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5" w:type="dxa"/>
        <w:tblInd w:w="-335" w:type="dxa"/>
        <w:tblLayout w:type="fixed"/>
        <w:tblCellMar>
          <w:left w:w="115" w:type="dxa"/>
          <w:right w:w="115" w:type="dxa"/>
        </w:tblCellMar>
        <w:tblLook w:val="00A0" w:firstRow="1" w:lastRow="0" w:firstColumn="1" w:lastColumn="0" w:noHBand="0" w:noVBand="0"/>
      </w:tblPr>
      <w:tblGrid>
        <w:gridCol w:w="9605"/>
        <w:gridCol w:w="630"/>
      </w:tblGrid>
      <w:tr w:rsidR="00C37DDC" w:rsidRPr="00BA6E9E" w14:paraId="4FAE1B21" w14:textId="77777777" w:rsidTr="002E7E58">
        <w:trPr>
          <w:gridAfter w:val="1"/>
          <w:wAfter w:w="630" w:type="dxa"/>
          <w:trHeight w:val="5040"/>
        </w:trPr>
        <w:tc>
          <w:tcPr>
            <w:tcW w:w="9605" w:type="dxa"/>
          </w:tcPr>
          <w:p w14:paraId="7A52A5C3" w14:textId="6C8DB50B" w:rsidR="00C37DDC" w:rsidRPr="00BA6E9E" w:rsidRDefault="00C26F37" w:rsidP="00C26F37">
            <w:pPr>
              <w:jc w:val="center"/>
            </w:pPr>
            <w:bookmarkStart w:id="0" w:name="_GoBack"/>
            <w:bookmarkEnd w:id="0"/>
            <w:r>
              <w:rPr>
                <w:noProof/>
              </w:rPr>
              <w:drawing>
                <wp:inline distT="0" distB="0" distL="0" distR="0" wp14:anchorId="6E372706" wp14:editId="09808876">
                  <wp:extent cx="5911757" cy="7645940"/>
                  <wp:effectExtent l="0" t="0" r="0" b="0"/>
                  <wp:docPr id="20" name="Picture 20" descr="Cover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3925" cy="7648744"/>
                          </a:xfrm>
                          <a:prstGeom prst="rect">
                            <a:avLst/>
                          </a:prstGeom>
                          <a:noFill/>
                        </pic:spPr>
                      </pic:pic>
                    </a:graphicData>
                  </a:graphic>
                </wp:inline>
              </w:drawing>
            </w:r>
          </w:p>
        </w:tc>
      </w:tr>
      <w:tr w:rsidR="00C37DDC" w:rsidRPr="00CF16E8" w14:paraId="5D819931" w14:textId="77777777" w:rsidTr="002E7E58">
        <w:tblPrEx>
          <w:tblCellMar>
            <w:left w:w="108" w:type="dxa"/>
            <w:right w:w="108" w:type="dxa"/>
          </w:tblCellMar>
        </w:tblPrEx>
        <w:trPr>
          <w:trHeight w:val="8235"/>
        </w:trPr>
        <w:tc>
          <w:tcPr>
            <w:tcW w:w="10235" w:type="dxa"/>
            <w:gridSpan w:val="2"/>
          </w:tcPr>
          <w:p w14:paraId="57165E44" w14:textId="203E1EC4" w:rsidR="00C37DDC" w:rsidRPr="00E51378" w:rsidRDefault="00C37DDC" w:rsidP="00511798">
            <w:pPr>
              <w:pStyle w:val="BoardMembers"/>
              <w:rPr>
                <w:rFonts w:ascii="Times New Roman" w:hAnsi="Times New Roman"/>
                <w:sz w:val="20"/>
              </w:rPr>
            </w:pPr>
            <w:r w:rsidRPr="00E51378">
              <w:rPr>
                <w:rFonts w:ascii="Times New Roman" w:hAnsi="Times New Roman"/>
                <w:sz w:val="20"/>
              </w:rPr>
              <w:lastRenderedPageBreak/>
              <w:t xml:space="preserve">This document was prepared by the </w:t>
            </w:r>
            <w:r>
              <w:rPr>
                <w:rFonts w:ascii="Times New Roman" w:hAnsi="Times New Roman"/>
                <w:sz w:val="20"/>
              </w:rPr>
              <w:t xml:space="preserve">Massachusetts </w:t>
            </w:r>
            <w:r w:rsidR="003E5741">
              <w:rPr>
                <w:rFonts w:ascii="Times New Roman" w:hAnsi="Times New Roman"/>
                <w:sz w:val="20"/>
              </w:rPr>
              <w:t xml:space="preserve">Department of Revenue </w:t>
            </w:r>
            <w:r>
              <w:rPr>
                <w:rFonts w:ascii="Times New Roman" w:hAnsi="Times New Roman"/>
                <w:sz w:val="20"/>
              </w:rPr>
              <w:t xml:space="preserve">Division of Local Services </w:t>
            </w:r>
            <w:r w:rsidR="00E86214">
              <w:rPr>
                <w:rFonts w:ascii="Times New Roman" w:hAnsi="Times New Roman"/>
                <w:sz w:val="20"/>
              </w:rPr>
              <w:t xml:space="preserve">(DOR/DLS) </w:t>
            </w:r>
            <w:r>
              <w:rPr>
                <w:rFonts w:ascii="Times New Roman" w:hAnsi="Times New Roman"/>
                <w:sz w:val="20"/>
              </w:rPr>
              <w:t>and the</w:t>
            </w:r>
            <w:r w:rsidR="00E86214">
              <w:rPr>
                <w:rFonts w:ascii="Times New Roman" w:hAnsi="Times New Roman"/>
                <w:sz w:val="20"/>
              </w:rPr>
              <w:t xml:space="preserve"> </w:t>
            </w:r>
            <w:r w:rsidRPr="00E51378">
              <w:rPr>
                <w:rFonts w:ascii="Times New Roman" w:hAnsi="Times New Roman"/>
                <w:sz w:val="20"/>
              </w:rPr>
              <w:t>Massachusetts Department of Elementary and Secondary Education</w:t>
            </w:r>
            <w:r w:rsidR="00E86214">
              <w:rPr>
                <w:rFonts w:ascii="Times New Roman" w:hAnsi="Times New Roman"/>
                <w:sz w:val="20"/>
              </w:rPr>
              <w:t xml:space="preserve"> (DESE)</w:t>
            </w:r>
          </w:p>
          <w:p w14:paraId="102B4D78" w14:textId="77777777" w:rsidR="00C37DDC" w:rsidRPr="00CF16E8" w:rsidRDefault="00C37DDC" w:rsidP="00511798">
            <w:pPr>
              <w:autoSpaceDE w:val="0"/>
              <w:autoSpaceDN w:val="0"/>
              <w:adjustRightInd w:val="0"/>
              <w:jc w:val="center"/>
              <w:rPr>
                <w:bCs/>
                <w:sz w:val="20"/>
                <w:szCs w:val="20"/>
              </w:rPr>
            </w:pPr>
          </w:p>
          <w:p w14:paraId="6847A43F" w14:textId="77777777" w:rsidR="00C37DDC" w:rsidRPr="00CF16E8" w:rsidRDefault="00C37DDC" w:rsidP="00511798">
            <w:pPr>
              <w:autoSpaceDE w:val="0"/>
              <w:autoSpaceDN w:val="0"/>
              <w:adjustRightInd w:val="0"/>
              <w:jc w:val="center"/>
              <w:rPr>
                <w:bCs/>
              </w:rPr>
            </w:pPr>
          </w:p>
          <w:p w14:paraId="1F74F2CF" w14:textId="77777777" w:rsidR="00C37DDC" w:rsidRPr="005A2BEC" w:rsidRDefault="00C37DDC" w:rsidP="00511798">
            <w:pPr>
              <w:autoSpaceDE w:val="0"/>
              <w:autoSpaceDN w:val="0"/>
              <w:adjustRightInd w:val="0"/>
              <w:jc w:val="center"/>
              <w:rPr>
                <w:b/>
                <w:bCs/>
                <w:sz w:val="22"/>
                <w:szCs w:val="22"/>
              </w:rPr>
            </w:pPr>
            <w:r w:rsidRPr="005A2BEC">
              <w:rPr>
                <w:b/>
                <w:bCs/>
                <w:sz w:val="22"/>
                <w:szCs w:val="22"/>
              </w:rPr>
              <w:t>Board of Elementary and Secondary Education Members</w:t>
            </w:r>
          </w:p>
          <w:p w14:paraId="6493B495" w14:textId="77777777" w:rsidR="00C37DDC" w:rsidRPr="00106266" w:rsidRDefault="00C37DDC" w:rsidP="00511798">
            <w:pPr>
              <w:jc w:val="center"/>
              <w:rPr>
                <w:sz w:val="20"/>
                <w:szCs w:val="20"/>
              </w:rPr>
            </w:pPr>
          </w:p>
          <w:p w14:paraId="1183999D" w14:textId="77777777" w:rsidR="00C37DDC" w:rsidRDefault="00C37DDC" w:rsidP="00511798">
            <w:pPr>
              <w:jc w:val="center"/>
              <w:rPr>
                <w:sz w:val="20"/>
                <w:szCs w:val="20"/>
              </w:rPr>
            </w:pPr>
            <w:r w:rsidRPr="3F8778A2">
              <w:rPr>
                <w:sz w:val="20"/>
                <w:szCs w:val="20"/>
              </w:rPr>
              <w:t>Ms. Katherine Craven, Chair, Brookline</w:t>
            </w:r>
          </w:p>
          <w:p w14:paraId="00A8DB94" w14:textId="20FC5E7E" w:rsidR="00C37DDC" w:rsidRDefault="00F930CF" w:rsidP="00511798">
            <w:pPr>
              <w:jc w:val="center"/>
              <w:rPr>
                <w:sz w:val="20"/>
                <w:szCs w:val="20"/>
              </w:rPr>
            </w:pPr>
            <w:r>
              <w:rPr>
                <w:sz w:val="20"/>
                <w:szCs w:val="20"/>
              </w:rPr>
              <w:t xml:space="preserve">Ms. </w:t>
            </w:r>
            <w:r w:rsidR="00C37DDC" w:rsidRPr="3F8778A2">
              <w:rPr>
                <w:sz w:val="20"/>
                <w:szCs w:val="20"/>
              </w:rPr>
              <w:t>Mary Darlene C. Lombos, Boston</w:t>
            </w:r>
          </w:p>
          <w:p w14:paraId="68FC7170" w14:textId="77777777" w:rsidR="00C37DDC" w:rsidRDefault="00C37DDC" w:rsidP="00511798">
            <w:pPr>
              <w:jc w:val="center"/>
              <w:rPr>
                <w:sz w:val="20"/>
                <w:szCs w:val="20"/>
              </w:rPr>
            </w:pPr>
            <w:r w:rsidRPr="3F8778A2">
              <w:rPr>
                <w:sz w:val="20"/>
                <w:szCs w:val="20"/>
              </w:rPr>
              <w:t>Ms. Amanda Fernández, Belmont</w:t>
            </w:r>
          </w:p>
          <w:p w14:paraId="3798CA21" w14:textId="77777777" w:rsidR="00C37DDC" w:rsidRDefault="00C37DDC" w:rsidP="00511798">
            <w:pPr>
              <w:jc w:val="center"/>
              <w:rPr>
                <w:sz w:val="20"/>
                <w:szCs w:val="20"/>
              </w:rPr>
            </w:pPr>
            <w:r w:rsidRPr="3F8778A2">
              <w:rPr>
                <w:sz w:val="20"/>
                <w:szCs w:val="20"/>
              </w:rPr>
              <w:t>Mr. Matthew Hills, Newton</w:t>
            </w:r>
          </w:p>
          <w:p w14:paraId="7B8F1D44" w14:textId="77777777" w:rsidR="00C37DDC" w:rsidRDefault="00C37DDC" w:rsidP="00511798">
            <w:pPr>
              <w:jc w:val="center"/>
              <w:rPr>
                <w:sz w:val="20"/>
                <w:szCs w:val="20"/>
              </w:rPr>
            </w:pPr>
            <w:r w:rsidRPr="3F8778A2">
              <w:rPr>
                <w:sz w:val="20"/>
                <w:szCs w:val="20"/>
              </w:rPr>
              <w:t>Mr. Michael Moriarty, Holyoke</w:t>
            </w:r>
          </w:p>
          <w:p w14:paraId="3C62AC45" w14:textId="77777777" w:rsidR="00C37DDC" w:rsidRDefault="00C37DDC" w:rsidP="00511798">
            <w:pPr>
              <w:jc w:val="center"/>
              <w:rPr>
                <w:sz w:val="20"/>
                <w:szCs w:val="20"/>
              </w:rPr>
            </w:pPr>
            <w:r w:rsidRPr="3F8778A2">
              <w:rPr>
                <w:sz w:val="20"/>
                <w:szCs w:val="20"/>
              </w:rPr>
              <w:t>Mr. James Morton, Vice Chair, Boston</w:t>
            </w:r>
          </w:p>
          <w:p w14:paraId="3077A291" w14:textId="77777777" w:rsidR="00C37DDC" w:rsidRDefault="00C37DDC" w:rsidP="00511798">
            <w:pPr>
              <w:jc w:val="center"/>
              <w:rPr>
                <w:sz w:val="20"/>
                <w:szCs w:val="20"/>
              </w:rPr>
            </w:pPr>
            <w:r w:rsidRPr="3F8778A2">
              <w:rPr>
                <w:sz w:val="20"/>
                <w:szCs w:val="20"/>
              </w:rPr>
              <w:t>Mr. James Peyser, Secretary of Education, Milton</w:t>
            </w:r>
          </w:p>
          <w:p w14:paraId="78A463CC" w14:textId="77777777" w:rsidR="00C37DDC" w:rsidRDefault="00C37DDC" w:rsidP="00511798">
            <w:pPr>
              <w:jc w:val="center"/>
              <w:rPr>
                <w:sz w:val="20"/>
                <w:szCs w:val="20"/>
              </w:rPr>
            </w:pPr>
            <w:r w:rsidRPr="3F8778A2">
              <w:rPr>
                <w:sz w:val="20"/>
                <w:szCs w:val="20"/>
              </w:rPr>
              <w:t>Mr. Paymon Rouhanifard, Brookline</w:t>
            </w:r>
          </w:p>
          <w:p w14:paraId="5595821E" w14:textId="77777777" w:rsidR="00C37DDC" w:rsidRDefault="00C37DDC" w:rsidP="00511798">
            <w:pPr>
              <w:jc w:val="center"/>
              <w:rPr>
                <w:sz w:val="20"/>
                <w:szCs w:val="20"/>
              </w:rPr>
            </w:pPr>
            <w:r w:rsidRPr="3F8778A2">
              <w:rPr>
                <w:sz w:val="20"/>
                <w:szCs w:val="20"/>
              </w:rPr>
              <w:t>Ms. Mary Ann Stewart, Lexington</w:t>
            </w:r>
          </w:p>
          <w:p w14:paraId="63ADA039" w14:textId="77777777" w:rsidR="00C37DDC" w:rsidRDefault="00C37DDC" w:rsidP="00511798">
            <w:pPr>
              <w:jc w:val="center"/>
              <w:rPr>
                <w:sz w:val="20"/>
                <w:szCs w:val="20"/>
              </w:rPr>
            </w:pPr>
            <w:r w:rsidRPr="3F8778A2">
              <w:rPr>
                <w:sz w:val="20"/>
                <w:szCs w:val="20"/>
              </w:rPr>
              <w:t>Mr. Jasper Coughlin, Student Advisory Council, Billerica</w:t>
            </w:r>
          </w:p>
          <w:p w14:paraId="16E8970E" w14:textId="77777777" w:rsidR="00C37DDC" w:rsidRDefault="00C37DDC" w:rsidP="00511798">
            <w:pPr>
              <w:jc w:val="center"/>
              <w:rPr>
                <w:sz w:val="20"/>
                <w:szCs w:val="20"/>
              </w:rPr>
            </w:pPr>
            <w:r w:rsidRPr="3F8778A2">
              <w:rPr>
                <w:sz w:val="20"/>
                <w:szCs w:val="20"/>
              </w:rPr>
              <w:t>Dr. Martin West, Newton</w:t>
            </w:r>
          </w:p>
          <w:p w14:paraId="73F7C096" w14:textId="77777777" w:rsidR="00C37DDC" w:rsidRDefault="00C37DDC" w:rsidP="00511798">
            <w:pPr>
              <w:jc w:val="center"/>
              <w:rPr>
                <w:sz w:val="20"/>
                <w:szCs w:val="20"/>
              </w:rPr>
            </w:pPr>
          </w:p>
          <w:p w14:paraId="02A425CB" w14:textId="77777777" w:rsidR="00C37DDC" w:rsidRPr="00106266" w:rsidRDefault="00C37DDC" w:rsidP="00511798">
            <w:pPr>
              <w:jc w:val="center"/>
              <w:rPr>
                <w:sz w:val="20"/>
                <w:szCs w:val="20"/>
              </w:rPr>
            </w:pPr>
          </w:p>
          <w:p w14:paraId="6E4A946A" w14:textId="77777777" w:rsidR="00C37DDC" w:rsidRPr="00106266" w:rsidRDefault="00C37DDC" w:rsidP="00511798">
            <w:pPr>
              <w:jc w:val="center"/>
              <w:rPr>
                <w:sz w:val="20"/>
                <w:szCs w:val="20"/>
              </w:rPr>
            </w:pPr>
            <w:r w:rsidRPr="00106266">
              <w:rPr>
                <w:sz w:val="20"/>
                <w:szCs w:val="20"/>
              </w:rPr>
              <w:t>Jeffrey C. Riley, Commissioner</w:t>
            </w:r>
          </w:p>
          <w:p w14:paraId="3E2CA524" w14:textId="77777777" w:rsidR="00C37DDC" w:rsidRPr="00106266" w:rsidRDefault="00C37DDC" w:rsidP="00511798">
            <w:pPr>
              <w:jc w:val="center"/>
              <w:rPr>
                <w:sz w:val="20"/>
                <w:szCs w:val="20"/>
              </w:rPr>
            </w:pPr>
            <w:r w:rsidRPr="00106266">
              <w:rPr>
                <w:sz w:val="20"/>
                <w:szCs w:val="20"/>
              </w:rPr>
              <w:t>Secretary to the Board</w:t>
            </w:r>
          </w:p>
          <w:p w14:paraId="51C81F95" w14:textId="77777777" w:rsidR="00C37DDC" w:rsidRPr="00CF16E8" w:rsidRDefault="00C37DDC" w:rsidP="00511798">
            <w:pPr>
              <w:jc w:val="center"/>
            </w:pPr>
          </w:p>
          <w:p w14:paraId="0570783D" w14:textId="77777777" w:rsidR="00C37DDC" w:rsidRPr="00272D63" w:rsidRDefault="00C37DDC" w:rsidP="00511798">
            <w:pPr>
              <w:pStyle w:val="BoardMembers"/>
              <w:rPr>
                <w:rFonts w:ascii="Times New Roman" w:hAnsi="Times New Roman"/>
                <w:szCs w:val="18"/>
              </w:rPr>
            </w:pPr>
            <w:r w:rsidRPr="00272D63">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6C17F39" w14:textId="77777777" w:rsidR="00C37DDC" w:rsidRPr="00272D63" w:rsidRDefault="00C37DDC" w:rsidP="00511798">
            <w:pPr>
              <w:pStyle w:val="BoardMembers"/>
              <w:rPr>
                <w:rFonts w:ascii="Times New Roman" w:hAnsi="Times New Roman"/>
                <w:szCs w:val="18"/>
              </w:rPr>
            </w:pPr>
            <w:r w:rsidRPr="00272D63">
              <w:rPr>
                <w:rFonts w:ascii="Times New Roman" w:hAnsi="Times New Roman"/>
                <w:szCs w:val="18"/>
              </w:rPr>
              <w:t xml:space="preserve">We do not discriminate on the basis of age, color, disability, national origin, race, religion, sex, gender identity, or sexual orientation. </w:t>
            </w:r>
          </w:p>
          <w:p w14:paraId="083A76FE" w14:textId="77777777" w:rsidR="00C37DDC" w:rsidRPr="00272D63" w:rsidRDefault="00C37DDC" w:rsidP="00511798">
            <w:pPr>
              <w:pStyle w:val="BoardMembers"/>
              <w:rPr>
                <w:rFonts w:ascii="Times New Roman" w:hAnsi="Times New Roman"/>
                <w:szCs w:val="18"/>
              </w:rPr>
            </w:pPr>
            <w:r w:rsidRPr="00272D63">
              <w:rPr>
                <w:rFonts w:ascii="Times New Roman" w:hAnsi="Times New Roman"/>
                <w:szCs w:val="18"/>
              </w:rPr>
              <w:t xml:space="preserve"> Inquiries regarding the Department’s compliance with Title IX and other civil rights laws may be directed to the </w:t>
            </w:r>
          </w:p>
          <w:p w14:paraId="45F3941D" w14:textId="77777777" w:rsidR="00C37DDC" w:rsidRPr="00272D63" w:rsidRDefault="00C37DDC" w:rsidP="00511798">
            <w:pPr>
              <w:pStyle w:val="BoardMembers"/>
              <w:rPr>
                <w:rFonts w:ascii="Times New Roman" w:hAnsi="Times New Roman"/>
                <w:szCs w:val="18"/>
              </w:rPr>
            </w:pPr>
            <w:r w:rsidRPr="00272D63">
              <w:rPr>
                <w:rFonts w:ascii="Times New Roman" w:hAnsi="Times New Roman"/>
                <w:szCs w:val="18"/>
              </w:rPr>
              <w:t xml:space="preserve">Human Resources Director, </w:t>
            </w:r>
            <w:r w:rsidRPr="00272D63">
              <w:rPr>
                <w:rFonts w:ascii="Times New Roman" w:hAnsi="Times New Roman"/>
                <w:snapToGrid w:val="0"/>
                <w:szCs w:val="18"/>
              </w:rPr>
              <w:t xml:space="preserve">75 Pleasant </w:t>
            </w:r>
            <w:r w:rsidRPr="00272D63">
              <w:rPr>
                <w:rFonts w:ascii="Times New Roman" w:hAnsi="Times New Roman"/>
                <w:szCs w:val="18"/>
              </w:rPr>
              <w:t>St., Malden, MA 02148-4906. Phone: 781-338-6105.</w:t>
            </w:r>
          </w:p>
          <w:p w14:paraId="2C85EBF6" w14:textId="77777777" w:rsidR="00C37DDC" w:rsidRPr="00CF16E8" w:rsidRDefault="00C37DDC" w:rsidP="00511798"/>
          <w:p w14:paraId="28BA0486" w14:textId="77777777" w:rsidR="00C37DDC" w:rsidRPr="00CF16E8" w:rsidRDefault="00C37DDC" w:rsidP="00511798"/>
          <w:p w14:paraId="034C5F73" w14:textId="77777777" w:rsidR="00C37DDC" w:rsidRPr="003E0257" w:rsidRDefault="00C37DDC" w:rsidP="00511798">
            <w:pPr>
              <w:pStyle w:val="BoardMembers"/>
              <w:rPr>
                <w:rFonts w:ascii="Times New Roman" w:hAnsi="Times New Roman"/>
                <w:szCs w:val="18"/>
              </w:rPr>
            </w:pPr>
            <w:r w:rsidRPr="003E0257">
              <w:rPr>
                <w:rFonts w:ascii="Times New Roman" w:hAnsi="Times New Roman"/>
                <w:szCs w:val="18"/>
              </w:rPr>
              <w:t>© 2020 Massachusetts Department of Elementary and Secondary Education</w:t>
            </w:r>
          </w:p>
          <w:p w14:paraId="23F67F4B" w14:textId="77777777" w:rsidR="00C37DDC" w:rsidRPr="003E0257" w:rsidRDefault="00C37DDC" w:rsidP="00511798">
            <w:pPr>
              <w:pStyle w:val="Permission"/>
              <w:rPr>
                <w:rFonts w:ascii="Times New Roman" w:hAnsi="Times New Roman"/>
                <w:szCs w:val="18"/>
              </w:rPr>
            </w:pPr>
            <w:r w:rsidRPr="003E0257">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427E22C9" w14:textId="77777777" w:rsidR="00C37DDC" w:rsidRPr="003E0257" w:rsidRDefault="00C37DDC" w:rsidP="00511798">
            <w:pPr>
              <w:rPr>
                <w:sz w:val="18"/>
                <w:szCs w:val="18"/>
              </w:rPr>
            </w:pPr>
          </w:p>
          <w:p w14:paraId="7C094EE2" w14:textId="77777777" w:rsidR="00C37DDC" w:rsidRPr="003E0257" w:rsidRDefault="00C37DDC" w:rsidP="00511798">
            <w:pPr>
              <w:pStyle w:val="Permission"/>
              <w:rPr>
                <w:rFonts w:ascii="Times New Roman" w:hAnsi="Times New Roman"/>
                <w:szCs w:val="18"/>
              </w:rPr>
            </w:pPr>
            <w:r w:rsidRPr="003E0257">
              <w:rPr>
                <w:rFonts w:ascii="Times New Roman" w:hAnsi="Times New Roman"/>
                <w:szCs w:val="18"/>
              </w:rPr>
              <w:t>This document printed on recycled paper</w:t>
            </w:r>
          </w:p>
          <w:p w14:paraId="0C243A74" w14:textId="77777777" w:rsidR="00C37DDC" w:rsidRPr="00CF16E8" w:rsidRDefault="00C37DDC" w:rsidP="00511798"/>
          <w:p w14:paraId="64E31B7A" w14:textId="77777777" w:rsidR="00C37DDC" w:rsidRPr="00CF16E8" w:rsidRDefault="00C37DDC" w:rsidP="00511798"/>
          <w:p w14:paraId="77A1FF05" w14:textId="77777777" w:rsidR="00C37DDC" w:rsidRPr="00CF16E8" w:rsidRDefault="00C37DDC" w:rsidP="00511798"/>
          <w:p w14:paraId="1CC14BA5" w14:textId="77777777" w:rsidR="00C37DDC" w:rsidRPr="00CB21C4" w:rsidRDefault="00C37DDC" w:rsidP="00511798">
            <w:pPr>
              <w:pStyle w:val="BoardMembers"/>
              <w:rPr>
                <w:rFonts w:ascii="Times New Roman" w:hAnsi="Times New Roman"/>
                <w:szCs w:val="18"/>
              </w:rPr>
            </w:pPr>
            <w:r w:rsidRPr="00CB21C4">
              <w:rPr>
                <w:rFonts w:ascii="Times New Roman" w:hAnsi="Times New Roman"/>
                <w:szCs w:val="18"/>
              </w:rPr>
              <w:t>Massachusetts Department of Elementary and Secondary Education</w:t>
            </w:r>
          </w:p>
          <w:p w14:paraId="3E7FB0EA" w14:textId="77777777" w:rsidR="00C37DDC" w:rsidRPr="00CB21C4" w:rsidRDefault="00C37DDC" w:rsidP="00511798">
            <w:pPr>
              <w:pStyle w:val="BoardMembers"/>
              <w:rPr>
                <w:rFonts w:ascii="Times New Roman" w:hAnsi="Times New Roman"/>
                <w:szCs w:val="18"/>
              </w:rPr>
            </w:pPr>
            <w:r w:rsidRPr="00CB21C4">
              <w:rPr>
                <w:rFonts w:ascii="Times New Roman" w:hAnsi="Times New Roman"/>
                <w:snapToGrid w:val="0"/>
                <w:szCs w:val="18"/>
              </w:rPr>
              <w:t xml:space="preserve">75 Pleasant </w:t>
            </w:r>
            <w:r w:rsidRPr="00CB21C4">
              <w:rPr>
                <w:rFonts w:ascii="Times New Roman" w:hAnsi="Times New Roman"/>
                <w:szCs w:val="18"/>
              </w:rPr>
              <w:t>Street, Malden, MA 02148-4906</w:t>
            </w:r>
          </w:p>
          <w:p w14:paraId="43B2CEC9" w14:textId="77777777" w:rsidR="00C37DDC" w:rsidRPr="00CB21C4" w:rsidRDefault="00C37DDC" w:rsidP="00511798">
            <w:pPr>
              <w:pStyle w:val="BoardMembers"/>
              <w:rPr>
                <w:rFonts w:ascii="Times New Roman" w:hAnsi="Times New Roman"/>
                <w:szCs w:val="18"/>
              </w:rPr>
            </w:pPr>
            <w:r w:rsidRPr="00CB21C4">
              <w:rPr>
                <w:rFonts w:ascii="Times New Roman" w:hAnsi="Times New Roman"/>
                <w:szCs w:val="18"/>
              </w:rPr>
              <w:t>Phone 781-338-3000  TTY: N.E.T. Relay 800-439-2370</w:t>
            </w:r>
          </w:p>
          <w:p w14:paraId="3DB3BD53" w14:textId="77777777" w:rsidR="00C37DDC" w:rsidRPr="00CB21C4" w:rsidRDefault="00C37DDC" w:rsidP="00511798">
            <w:pPr>
              <w:pStyle w:val="BoardMembers"/>
              <w:rPr>
                <w:rFonts w:ascii="Times New Roman" w:hAnsi="Times New Roman"/>
                <w:szCs w:val="18"/>
              </w:rPr>
            </w:pPr>
            <w:r w:rsidRPr="00CB21C4">
              <w:rPr>
                <w:rFonts w:ascii="Times New Roman" w:hAnsi="Times New Roman"/>
                <w:szCs w:val="18"/>
              </w:rPr>
              <w:t>www.doe.mass.edu</w:t>
            </w:r>
          </w:p>
          <w:p w14:paraId="3372FDDB" w14:textId="77777777" w:rsidR="00C37DDC" w:rsidRPr="00CF16E8" w:rsidRDefault="00C37DDC" w:rsidP="00511798">
            <w:pPr>
              <w:jc w:val="center"/>
            </w:pPr>
            <w:r w:rsidRPr="00511942">
              <w:rPr>
                <w:noProof/>
              </w:rPr>
              <w:drawing>
                <wp:inline distT="0" distB="0" distL="0" distR="0" wp14:anchorId="50CADE92" wp14:editId="11C95797">
                  <wp:extent cx="1028700" cy="1009650"/>
                  <wp:effectExtent l="19050" t="0" r="0" b="0"/>
                  <wp:docPr id="13" name="Picture 1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67774814" w14:textId="77777777" w:rsidR="00E8160E" w:rsidRPr="00BA6E9E" w:rsidRDefault="00E8160E" w:rsidP="00E8160E">
      <w:pPr>
        <w:sectPr w:rsidR="00E8160E" w:rsidRPr="00BA6E9E" w:rsidSect="00907254">
          <w:endnotePr>
            <w:numFmt w:val="decimal"/>
          </w:endnotePr>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rPr>
        <w:id w:val="1081793722"/>
        <w:docPartObj>
          <w:docPartGallery w:val="Table of Contents"/>
          <w:docPartUnique/>
        </w:docPartObj>
      </w:sdtPr>
      <w:sdtEndPr/>
      <w:sdtContent>
        <w:p w14:paraId="0CD4CA26" w14:textId="5AE3DBAA" w:rsidR="00456246" w:rsidRDefault="00922A5C">
          <w:pPr>
            <w:pStyle w:val="TOCHeading"/>
          </w:pPr>
          <w:r>
            <w:t>Table of c</w:t>
          </w:r>
          <w:r w:rsidR="00456246">
            <w:t>ontents</w:t>
          </w:r>
        </w:p>
        <w:p w14:paraId="0417F670" w14:textId="782F5266" w:rsidR="00FE10F4" w:rsidRDefault="00456246">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57725119" w:history="1">
            <w:r w:rsidR="00FE10F4" w:rsidRPr="007F54E7">
              <w:rPr>
                <w:rStyle w:val="Hyperlink"/>
                <w:noProof/>
              </w:rPr>
              <w:t>Legislative charge</w:t>
            </w:r>
            <w:r w:rsidR="00FE10F4">
              <w:rPr>
                <w:noProof/>
                <w:webHidden/>
              </w:rPr>
              <w:tab/>
            </w:r>
            <w:r w:rsidR="00FE10F4">
              <w:rPr>
                <w:noProof/>
                <w:webHidden/>
              </w:rPr>
              <w:fldChar w:fldCharType="begin"/>
            </w:r>
            <w:r w:rsidR="00FE10F4">
              <w:rPr>
                <w:noProof/>
                <w:webHidden/>
              </w:rPr>
              <w:instrText xml:space="preserve"> PAGEREF _Toc57725119 \h </w:instrText>
            </w:r>
            <w:r w:rsidR="00FE10F4">
              <w:rPr>
                <w:noProof/>
                <w:webHidden/>
              </w:rPr>
            </w:r>
            <w:r w:rsidR="00FE10F4">
              <w:rPr>
                <w:noProof/>
                <w:webHidden/>
              </w:rPr>
              <w:fldChar w:fldCharType="separate"/>
            </w:r>
            <w:r w:rsidR="00FE10F4">
              <w:rPr>
                <w:noProof/>
                <w:webHidden/>
              </w:rPr>
              <w:t>1</w:t>
            </w:r>
            <w:r w:rsidR="00FE10F4">
              <w:rPr>
                <w:noProof/>
                <w:webHidden/>
              </w:rPr>
              <w:fldChar w:fldCharType="end"/>
            </w:r>
          </w:hyperlink>
        </w:p>
        <w:p w14:paraId="2655D9B7" w14:textId="18D427E8" w:rsidR="00FE10F4" w:rsidRDefault="009F7D31">
          <w:pPr>
            <w:pStyle w:val="TOC1"/>
            <w:rPr>
              <w:rFonts w:asciiTheme="minorHAnsi" w:eastAsiaTheme="minorEastAsia" w:hAnsiTheme="minorHAnsi" w:cstheme="minorBidi"/>
              <w:b w:val="0"/>
              <w:noProof/>
              <w:sz w:val="22"/>
              <w:szCs w:val="22"/>
            </w:rPr>
          </w:pPr>
          <w:hyperlink w:anchor="_Toc57725120" w:history="1">
            <w:r w:rsidR="00FE10F4" w:rsidRPr="007F54E7">
              <w:rPr>
                <w:rStyle w:val="Hyperlink"/>
                <w:noProof/>
              </w:rPr>
              <w:t>Background</w:t>
            </w:r>
            <w:r w:rsidR="00FE10F4">
              <w:rPr>
                <w:noProof/>
                <w:webHidden/>
              </w:rPr>
              <w:tab/>
            </w:r>
            <w:r w:rsidR="00FE10F4">
              <w:rPr>
                <w:noProof/>
                <w:webHidden/>
              </w:rPr>
              <w:fldChar w:fldCharType="begin"/>
            </w:r>
            <w:r w:rsidR="00FE10F4">
              <w:rPr>
                <w:noProof/>
                <w:webHidden/>
              </w:rPr>
              <w:instrText xml:space="preserve"> PAGEREF _Toc57725120 \h </w:instrText>
            </w:r>
            <w:r w:rsidR="00FE10F4">
              <w:rPr>
                <w:noProof/>
                <w:webHidden/>
              </w:rPr>
            </w:r>
            <w:r w:rsidR="00FE10F4">
              <w:rPr>
                <w:noProof/>
                <w:webHidden/>
              </w:rPr>
              <w:fldChar w:fldCharType="separate"/>
            </w:r>
            <w:r w:rsidR="00FE10F4">
              <w:rPr>
                <w:noProof/>
                <w:webHidden/>
              </w:rPr>
              <w:t>2</w:t>
            </w:r>
            <w:r w:rsidR="00FE10F4">
              <w:rPr>
                <w:noProof/>
                <w:webHidden/>
              </w:rPr>
              <w:fldChar w:fldCharType="end"/>
            </w:r>
          </w:hyperlink>
        </w:p>
        <w:p w14:paraId="468E0FB5" w14:textId="28BC1C2F" w:rsidR="00FE10F4" w:rsidRDefault="009F7D31">
          <w:pPr>
            <w:pStyle w:val="TOC1"/>
            <w:rPr>
              <w:rFonts w:asciiTheme="minorHAnsi" w:eastAsiaTheme="minorEastAsia" w:hAnsiTheme="minorHAnsi" w:cstheme="minorBidi"/>
              <w:b w:val="0"/>
              <w:noProof/>
              <w:sz w:val="22"/>
              <w:szCs w:val="22"/>
            </w:rPr>
          </w:pPr>
          <w:hyperlink w:anchor="_Toc57725121" w:history="1">
            <w:r w:rsidR="00FE10F4" w:rsidRPr="007F54E7">
              <w:rPr>
                <w:rStyle w:val="Hyperlink"/>
                <w:noProof/>
              </w:rPr>
              <w:t>Public comment</w:t>
            </w:r>
            <w:r w:rsidR="00FE10F4">
              <w:rPr>
                <w:noProof/>
                <w:webHidden/>
              </w:rPr>
              <w:tab/>
            </w:r>
            <w:r w:rsidR="00FE10F4">
              <w:rPr>
                <w:noProof/>
                <w:webHidden/>
              </w:rPr>
              <w:fldChar w:fldCharType="begin"/>
            </w:r>
            <w:r w:rsidR="00FE10F4">
              <w:rPr>
                <w:noProof/>
                <w:webHidden/>
              </w:rPr>
              <w:instrText xml:space="preserve"> PAGEREF _Toc57725121 \h </w:instrText>
            </w:r>
            <w:r w:rsidR="00FE10F4">
              <w:rPr>
                <w:noProof/>
                <w:webHidden/>
              </w:rPr>
            </w:r>
            <w:r w:rsidR="00FE10F4">
              <w:rPr>
                <w:noProof/>
                <w:webHidden/>
              </w:rPr>
              <w:fldChar w:fldCharType="separate"/>
            </w:r>
            <w:r w:rsidR="00FE10F4">
              <w:rPr>
                <w:noProof/>
                <w:webHidden/>
              </w:rPr>
              <w:t>3</w:t>
            </w:r>
            <w:r w:rsidR="00FE10F4">
              <w:rPr>
                <w:noProof/>
                <w:webHidden/>
              </w:rPr>
              <w:fldChar w:fldCharType="end"/>
            </w:r>
          </w:hyperlink>
        </w:p>
        <w:p w14:paraId="52FD5E81" w14:textId="090AF53C" w:rsidR="00FE10F4" w:rsidRDefault="009F7D31">
          <w:pPr>
            <w:pStyle w:val="TOC1"/>
            <w:rPr>
              <w:rFonts w:asciiTheme="minorHAnsi" w:eastAsiaTheme="minorEastAsia" w:hAnsiTheme="minorHAnsi" w:cstheme="minorBidi"/>
              <w:b w:val="0"/>
              <w:noProof/>
              <w:sz w:val="22"/>
              <w:szCs w:val="22"/>
            </w:rPr>
          </w:pPr>
          <w:hyperlink w:anchor="_Toc57725122" w:history="1">
            <w:r w:rsidR="00FE10F4" w:rsidRPr="007F54E7">
              <w:rPr>
                <w:rStyle w:val="Hyperlink"/>
                <w:noProof/>
              </w:rPr>
              <w:t>Current local contribution formula</w:t>
            </w:r>
            <w:r w:rsidR="00FE10F4">
              <w:rPr>
                <w:noProof/>
                <w:webHidden/>
              </w:rPr>
              <w:tab/>
            </w:r>
            <w:r w:rsidR="00FE10F4">
              <w:rPr>
                <w:noProof/>
                <w:webHidden/>
              </w:rPr>
              <w:fldChar w:fldCharType="begin"/>
            </w:r>
            <w:r w:rsidR="00FE10F4">
              <w:rPr>
                <w:noProof/>
                <w:webHidden/>
              </w:rPr>
              <w:instrText xml:space="preserve"> PAGEREF _Toc57725122 \h </w:instrText>
            </w:r>
            <w:r w:rsidR="00FE10F4">
              <w:rPr>
                <w:noProof/>
                <w:webHidden/>
              </w:rPr>
            </w:r>
            <w:r w:rsidR="00FE10F4">
              <w:rPr>
                <w:noProof/>
                <w:webHidden/>
              </w:rPr>
              <w:fldChar w:fldCharType="separate"/>
            </w:r>
            <w:r w:rsidR="00FE10F4">
              <w:rPr>
                <w:noProof/>
                <w:webHidden/>
              </w:rPr>
              <w:t>6</w:t>
            </w:r>
            <w:r w:rsidR="00FE10F4">
              <w:rPr>
                <w:noProof/>
                <w:webHidden/>
              </w:rPr>
              <w:fldChar w:fldCharType="end"/>
            </w:r>
          </w:hyperlink>
        </w:p>
        <w:p w14:paraId="5D1F6D34" w14:textId="38FC5919" w:rsidR="00FE10F4" w:rsidRDefault="009F7D31">
          <w:pPr>
            <w:pStyle w:val="TOC1"/>
            <w:rPr>
              <w:rFonts w:asciiTheme="minorHAnsi" w:eastAsiaTheme="minorEastAsia" w:hAnsiTheme="minorHAnsi" w:cstheme="minorBidi"/>
              <w:b w:val="0"/>
              <w:noProof/>
              <w:sz w:val="22"/>
              <w:szCs w:val="22"/>
            </w:rPr>
          </w:pPr>
          <w:hyperlink w:anchor="_Toc57725123" w:history="1">
            <w:r w:rsidR="00FE10F4" w:rsidRPr="007F54E7">
              <w:rPr>
                <w:rStyle w:val="Hyperlink"/>
                <w:noProof/>
              </w:rPr>
              <w:t>Determining municipal fiscal capacity</w:t>
            </w:r>
            <w:r w:rsidR="00FE10F4">
              <w:rPr>
                <w:noProof/>
                <w:webHidden/>
              </w:rPr>
              <w:tab/>
            </w:r>
            <w:r w:rsidR="00FE10F4">
              <w:rPr>
                <w:noProof/>
                <w:webHidden/>
              </w:rPr>
              <w:fldChar w:fldCharType="begin"/>
            </w:r>
            <w:r w:rsidR="00FE10F4">
              <w:rPr>
                <w:noProof/>
                <w:webHidden/>
              </w:rPr>
              <w:instrText xml:space="preserve"> PAGEREF _Toc57725123 \h </w:instrText>
            </w:r>
            <w:r w:rsidR="00FE10F4">
              <w:rPr>
                <w:noProof/>
                <w:webHidden/>
              </w:rPr>
            </w:r>
            <w:r w:rsidR="00FE10F4">
              <w:rPr>
                <w:noProof/>
                <w:webHidden/>
              </w:rPr>
              <w:fldChar w:fldCharType="separate"/>
            </w:r>
            <w:r w:rsidR="00FE10F4">
              <w:rPr>
                <w:noProof/>
                <w:webHidden/>
              </w:rPr>
              <w:t>10</w:t>
            </w:r>
            <w:r w:rsidR="00FE10F4">
              <w:rPr>
                <w:noProof/>
                <w:webHidden/>
              </w:rPr>
              <w:fldChar w:fldCharType="end"/>
            </w:r>
          </w:hyperlink>
        </w:p>
        <w:p w14:paraId="19AD44C7" w14:textId="147F2AE0" w:rsidR="00FE10F4" w:rsidRDefault="009F7D31">
          <w:pPr>
            <w:pStyle w:val="TOC3"/>
            <w:tabs>
              <w:tab w:val="right" w:leader="dot" w:pos="9350"/>
            </w:tabs>
            <w:rPr>
              <w:rFonts w:asciiTheme="minorHAnsi" w:eastAsiaTheme="minorEastAsia" w:hAnsiTheme="minorHAnsi" w:cstheme="minorBidi"/>
              <w:noProof/>
              <w:szCs w:val="22"/>
            </w:rPr>
          </w:pPr>
          <w:hyperlink w:anchor="_Toc57725124" w:history="1">
            <w:r w:rsidR="00FE10F4" w:rsidRPr="007F54E7">
              <w:rPr>
                <w:rStyle w:val="Hyperlink"/>
                <w:noProof/>
              </w:rPr>
              <w:t>Local revenue sources: EQVs and aggregate income</w:t>
            </w:r>
            <w:r w:rsidR="00FE10F4">
              <w:rPr>
                <w:noProof/>
                <w:webHidden/>
              </w:rPr>
              <w:tab/>
            </w:r>
            <w:r w:rsidR="00FE10F4">
              <w:rPr>
                <w:noProof/>
                <w:webHidden/>
              </w:rPr>
              <w:fldChar w:fldCharType="begin"/>
            </w:r>
            <w:r w:rsidR="00FE10F4">
              <w:rPr>
                <w:noProof/>
                <w:webHidden/>
              </w:rPr>
              <w:instrText xml:space="preserve"> PAGEREF _Toc57725124 \h </w:instrText>
            </w:r>
            <w:r w:rsidR="00FE10F4">
              <w:rPr>
                <w:noProof/>
                <w:webHidden/>
              </w:rPr>
            </w:r>
            <w:r w:rsidR="00FE10F4">
              <w:rPr>
                <w:noProof/>
                <w:webHidden/>
              </w:rPr>
              <w:fldChar w:fldCharType="separate"/>
            </w:r>
            <w:r w:rsidR="00FE10F4">
              <w:rPr>
                <w:noProof/>
                <w:webHidden/>
              </w:rPr>
              <w:t>10</w:t>
            </w:r>
            <w:r w:rsidR="00FE10F4">
              <w:rPr>
                <w:noProof/>
                <w:webHidden/>
              </w:rPr>
              <w:fldChar w:fldCharType="end"/>
            </w:r>
          </w:hyperlink>
        </w:p>
        <w:p w14:paraId="27343473" w14:textId="5B5B7ED5" w:rsidR="00FE10F4" w:rsidRDefault="009F7D31">
          <w:pPr>
            <w:pStyle w:val="TOC3"/>
            <w:tabs>
              <w:tab w:val="right" w:leader="dot" w:pos="9350"/>
            </w:tabs>
            <w:rPr>
              <w:rFonts w:asciiTheme="minorHAnsi" w:eastAsiaTheme="minorEastAsia" w:hAnsiTheme="minorHAnsi" w:cstheme="minorBidi"/>
              <w:noProof/>
              <w:szCs w:val="22"/>
            </w:rPr>
          </w:pPr>
          <w:hyperlink w:anchor="_Toc57725125" w:history="1">
            <w:r w:rsidR="00FE10F4" w:rsidRPr="007F54E7">
              <w:rPr>
                <w:rStyle w:val="Hyperlink"/>
                <w:noProof/>
              </w:rPr>
              <w:t>Local revenue growth: Proposition 2 ½</w:t>
            </w:r>
            <w:r w:rsidR="00FE10F4">
              <w:rPr>
                <w:noProof/>
                <w:webHidden/>
              </w:rPr>
              <w:tab/>
            </w:r>
            <w:r w:rsidR="00FE10F4">
              <w:rPr>
                <w:noProof/>
                <w:webHidden/>
              </w:rPr>
              <w:fldChar w:fldCharType="begin"/>
            </w:r>
            <w:r w:rsidR="00FE10F4">
              <w:rPr>
                <w:noProof/>
                <w:webHidden/>
              </w:rPr>
              <w:instrText xml:space="preserve"> PAGEREF _Toc57725125 \h </w:instrText>
            </w:r>
            <w:r w:rsidR="00FE10F4">
              <w:rPr>
                <w:noProof/>
                <w:webHidden/>
              </w:rPr>
            </w:r>
            <w:r w:rsidR="00FE10F4">
              <w:rPr>
                <w:noProof/>
                <w:webHidden/>
              </w:rPr>
              <w:fldChar w:fldCharType="separate"/>
            </w:r>
            <w:r w:rsidR="00FE10F4">
              <w:rPr>
                <w:noProof/>
                <w:webHidden/>
              </w:rPr>
              <w:t>11</w:t>
            </w:r>
            <w:r w:rsidR="00FE10F4">
              <w:rPr>
                <w:noProof/>
                <w:webHidden/>
              </w:rPr>
              <w:fldChar w:fldCharType="end"/>
            </w:r>
          </w:hyperlink>
        </w:p>
        <w:p w14:paraId="18CCF56C" w14:textId="13E3CD6F" w:rsidR="00FE10F4" w:rsidRDefault="009F7D31">
          <w:pPr>
            <w:pStyle w:val="TOC3"/>
            <w:tabs>
              <w:tab w:val="right" w:leader="dot" w:pos="9350"/>
            </w:tabs>
            <w:rPr>
              <w:rFonts w:asciiTheme="minorHAnsi" w:eastAsiaTheme="minorEastAsia" w:hAnsiTheme="minorHAnsi" w:cstheme="minorBidi"/>
              <w:noProof/>
              <w:szCs w:val="22"/>
            </w:rPr>
          </w:pPr>
          <w:hyperlink w:anchor="_Toc57725126" w:history="1">
            <w:r w:rsidR="00FE10F4" w:rsidRPr="007F54E7">
              <w:rPr>
                <w:rStyle w:val="Hyperlink"/>
                <w:noProof/>
              </w:rPr>
              <w:t>Local revenue growth: Municipal Revenue Growth Factors (MRGFs)</w:t>
            </w:r>
            <w:r w:rsidR="00FE10F4">
              <w:rPr>
                <w:noProof/>
                <w:webHidden/>
              </w:rPr>
              <w:tab/>
            </w:r>
            <w:r w:rsidR="00FE10F4">
              <w:rPr>
                <w:noProof/>
                <w:webHidden/>
              </w:rPr>
              <w:fldChar w:fldCharType="begin"/>
            </w:r>
            <w:r w:rsidR="00FE10F4">
              <w:rPr>
                <w:noProof/>
                <w:webHidden/>
              </w:rPr>
              <w:instrText xml:space="preserve"> PAGEREF _Toc57725126 \h </w:instrText>
            </w:r>
            <w:r w:rsidR="00FE10F4">
              <w:rPr>
                <w:noProof/>
                <w:webHidden/>
              </w:rPr>
            </w:r>
            <w:r w:rsidR="00FE10F4">
              <w:rPr>
                <w:noProof/>
                <w:webHidden/>
              </w:rPr>
              <w:fldChar w:fldCharType="separate"/>
            </w:r>
            <w:r w:rsidR="00FE10F4">
              <w:rPr>
                <w:noProof/>
                <w:webHidden/>
              </w:rPr>
              <w:t>13</w:t>
            </w:r>
            <w:r w:rsidR="00FE10F4">
              <w:rPr>
                <w:noProof/>
                <w:webHidden/>
              </w:rPr>
              <w:fldChar w:fldCharType="end"/>
            </w:r>
          </w:hyperlink>
        </w:p>
        <w:p w14:paraId="09EFFB51" w14:textId="5F7B18F4" w:rsidR="00FE10F4" w:rsidRDefault="009F7D31">
          <w:pPr>
            <w:pStyle w:val="TOC1"/>
            <w:rPr>
              <w:rFonts w:asciiTheme="minorHAnsi" w:eastAsiaTheme="minorEastAsia" w:hAnsiTheme="minorHAnsi" w:cstheme="minorBidi"/>
              <w:b w:val="0"/>
              <w:noProof/>
              <w:sz w:val="22"/>
              <w:szCs w:val="22"/>
            </w:rPr>
          </w:pPr>
          <w:hyperlink w:anchor="_Toc57725127" w:history="1">
            <w:r w:rsidR="00FE10F4" w:rsidRPr="007F54E7">
              <w:rPr>
                <w:rStyle w:val="Hyperlink"/>
                <w:noProof/>
              </w:rPr>
              <w:t>Wage adjustment factor</w:t>
            </w:r>
            <w:r w:rsidR="00FE10F4">
              <w:rPr>
                <w:noProof/>
                <w:webHidden/>
              </w:rPr>
              <w:tab/>
            </w:r>
            <w:r w:rsidR="00FE10F4">
              <w:rPr>
                <w:noProof/>
                <w:webHidden/>
              </w:rPr>
              <w:fldChar w:fldCharType="begin"/>
            </w:r>
            <w:r w:rsidR="00FE10F4">
              <w:rPr>
                <w:noProof/>
                <w:webHidden/>
              </w:rPr>
              <w:instrText xml:space="preserve"> PAGEREF _Toc57725127 \h </w:instrText>
            </w:r>
            <w:r w:rsidR="00FE10F4">
              <w:rPr>
                <w:noProof/>
                <w:webHidden/>
              </w:rPr>
            </w:r>
            <w:r w:rsidR="00FE10F4">
              <w:rPr>
                <w:noProof/>
                <w:webHidden/>
              </w:rPr>
              <w:fldChar w:fldCharType="separate"/>
            </w:r>
            <w:r w:rsidR="00FE10F4">
              <w:rPr>
                <w:noProof/>
                <w:webHidden/>
              </w:rPr>
              <w:t>15</w:t>
            </w:r>
            <w:r w:rsidR="00FE10F4">
              <w:rPr>
                <w:noProof/>
                <w:webHidden/>
              </w:rPr>
              <w:fldChar w:fldCharType="end"/>
            </w:r>
          </w:hyperlink>
        </w:p>
        <w:p w14:paraId="5689060D" w14:textId="3564A159" w:rsidR="00FE10F4" w:rsidRDefault="009F7D31">
          <w:pPr>
            <w:pStyle w:val="TOC1"/>
            <w:rPr>
              <w:rFonts w:asciiTheme="minorHAnsi" w:eastAsiaTheme="minorEastAsia" w:hAnsiTheme="minorHAnsi" w:cstheme="minorBidi"/>
              <w:b w:val="0"/>
              <w:noProof/>
              <w:sz w:val="22"/>
              <w:szCs w:val="22"/>
            </w:rPr>
          </w:pPr>
          <w:hyperlink w:anchor="_Toc57725128" w:history="1">
            <w:r w:rsidR="00FE10F4" w:rsidRPr="007F54E7">
              <w:rPr>
                <w:rStyle w:val="Hyperlink"/>
                <w:noProof/>
              </w:rPr>
              <w:t>Setting contribution targets</w:t>
            </w:r>
            <w:r w:rsidR="00FE10F4">
              <w:rPr>
                <w:noProof/>
                <w:webHidden/>
              </w:rPr>
              <w:tab/>
            </w:r>
            <w:r w:rsidR="00FE10F4">
              <w:rPr>
                <w:noProof/>
                <w:webHidden/>
              </w:rPr>
              <w:fldChar w:fldCharType="begin"/>
            </w:r>
            <w:r w:rsidR="00FE10F4">
              <w:rPr>
                <w:noProof/>
                <w:webHidden/>
              </w:rPr>
              <w:instrText xml:space="preserve"> PAGEREF _Toc57725128 \h </w:instrText>
            </w:r>
            <w:r w:rsidR="00FE10F4">
              <w:rPr>
                <w:noProof/>
                <w:webHidden/>
              </w:rPr>
            </w:r>
            <w:r w:rsidR="00FE10F4">
              <w:rPr>
                <w:noProof/>
                <w:webHidden/>
              </w:rPr>
              <w:fldChar w:fldCharType="separate"/>
            </w:r>
            <w:r w:rsidR="00FE10F4">
              <w:rPr>
                <w:noProof/>
                <w:webHidden/>
              </w:rPr>
              <w:t>17</w:t>
            </w:r>
            <w:r w:rsidR="00FE10F4">
              <w:rPr>
                <w:noProof/>
                <w:webHidden/>
              </w:rPr>
              <w:fldChar w:fldCharType="end"/>
            </w:r>
          </w:hyperlink>
        </w:p>
        <w:p w14:paraId="61BA0054" w14:textId="3C72D97A" w:rsidR="00FE10F4" w:rsidRDefault="009F7D31">
          <w:pPr>
            <w:pStyle w:val="TOC3"/>
            <w:tabs>
              <w:tab w:val="right" w:leader="dot" w:pos="9350"/>
            </w:tabs>
            <w:rPr>
              <w:rFonts w:asciiTheme="minorHAnsi" w:eastAsiaTheme="minorEastAsia" w:hAnsiTheme="minorHAnsi" w:cstheme="minorBidi"/>
              <w:noProof/>
              <w:szCs w:val="22"/>
            </w:rPr>
          </w:pPr>
          <w:hyperlink w:anchor="_Toc57725129" w:history="1">
            <w:r w:rsidR="00FE10F4" w:rsidRPr="007F54E7">
              <w:rPr>
                <w:rStyle w:val="Hyperlink"/>
                <w:noProof/>
              </w:rPr>
              <w:t>Local share of foundation budget</w:t>
            </w:r>
            <w:r w:rsidR="00FE10F4">
              <w:rPr>
                <w:noProof/>
                <w:webHidden/>
              </w:rPr>
              <w:tab/>
            </w:r>
            <w:r w:rsidR="00FE10F4">
              <w:rPr>
                <w:noProof/>
                <w:webHidden/>
              </w:rPr>
              <w:fldChar w:fldCharType="begin"/>
            </w:r>
            <w:r w:rsidR="00FE10F4">
              <w:rPr>
                <w:noProof/>
                <w:webHidden/>
              </w:rPr>
              <w:instrText xml:space="preserve"> PAGEREF _Toc57725129 \h </w:instrText>
            </w:r>
            <w:r w:rsidR="00FE10F4">
              <w:rPr>
                <w:noProof/>
                <w:webHidden/>
              </w:rPr>
            </w:r>
            <w:r w:rsidR="00FE10F4">
              <w:rPr>
                <w:noProof/>
                <w:webHidden/>
              </w:rPr>
              <w:fldChar w:fldCharType="separate"/>
            </w:r>
            <w:r w:rsidR="00FE10F4">
              <w:rPr>
                <w:noProof/>
                <w:webHidden/>
              </w:rPr>
              <w:t>17</w:t>
            </w:r>
            <w:r w:rsidR="00FE10F4">
              <w:rPr>
                <w:noProof/>
                <w:webHidden/>
              </w:rPr>
              <w:fldChar w:fldCharType="end"/>
            </w:r>
          </w:hyperlink>
        </w:p>
        <w:p w14:paraId="37AB8E07" w14:textId="479E28FC" w:rsidR="00FE10F4" w:rsidRDefault="009F7D31">
          <w:pPr>
            <w:pStyle w:val="TOC3"/>
            <w:tabs>
              <w:tab w:val="right" w:leader="dot" w:pos="9350"/>
            </w:tabs>
            <w:rPr>
              <w:rFonts w:asciiTheme="minorHAnsi" w:eastAsiaTheme="minorEastAsia" w:hAnsiTheme="minorHAnsi" w:cstheme="minorBidi"/>
              <w:noProof/>
              <w:szCs w:val="22"/>
            </w:rPr>
          </w:pPr>
          <w:hyperlink w:anchor="_Toc57725130" w:history="1">
            <w:r w:rsidR="00FE10F4" w:rsidRPr="007F54E7">
              <w:rPr>
                <w:rStyle w:val="Hyperlink"/>
                <w:noProof/>
              </w:rPr>
              <w:t>Cap on required contributions</w:t>
            </w:r>
            <w:r w:rsidR="00FE10F4">
              <w:rPr>
                <w:noProof/>
                <w:webHidden/>
              </w:rPr>
              <w:tab/>
            </w:r>
            <w:r w:rsidR="00FE10F4">
              <w:rPr>
                <w:noProof/>
                <w:webHidden/>
              </w:rPr>
              <w:fldChar w:fldCharType="begin"/>
            </w:r>
            <w:r w:rsidR="00FE10F4">
              <w:rPr>
                <w:noProof/>
                <w:webHidden/>
              </w:rPr>
              <w:instrText xml:space="preserve"> PAGEREF _Toc57725130 \h </w:instrText>
            </w:r>
            <w:r w:rsidR="00FE10F4">
              <w:rPr>
                <w:noProof/>
                <w:webHidden/>
              </w:rPr>
            </w:r>
            <w:r w:rsidR="00FE10F4">
              <w:rPr>
                <w:noProof/>
                <w:webHidden/>
              </w:rPr>
              <w:fldChar w:fldCharType="separate"/>
            </w:r>
            <w:r w:rsidR="00FE10F4">
              <w:rPr>
                <w:noProof/>
                <w:webHidden/>
              </w:rPr>
              <w:t>18</w:t>
            </w:r>
            <w:r w:rsidR="00FE10F4">
              <w:rPr>
                <w:noProof/>
                <w:webHidden/>
              </w:rPr>
              <w:fldChar w:fldCharType="end"/>
            </w:r>
          </w:hyperlink>
        </w:p>
        <w:p w14:paraId="4B747184" w14:textId="301C2FE1" w:rsidR="00FE10F4" w:rsidRDefault="009F7D31">
          <w:pPr>
            <w:pStyle w:val="TOC1"/>
            <w:rPr>
              <w:rFonts w:asciiTheme="minorHAnsi" w:eastAsiaTheme="minorEastAsia" w:hAnsiTheme="minorHAnsi" w:cstheme="minorBidi"/>
              <w:b w:val="0"/>
              <w:noProof/>
              <w:sz w:val="22"/>
              <w:szCs w:val="22"/>
            </w:rPr>
          </w:pPr>
          <w:hyperlink w:anchor="_Toc57725131" w:history="1">
            <w:r w:rsidR="00FE10F4" w:rsidRPr="007F54E7">
              <w:rPr>
                <w:rStyle w:val="Hyperlink"/>
                <w:noProof/>
              </w:rPr>
              <w:t>Impact of local contribution formula on specific groups of communities</w:t>
            </w:r>
            <w:r w:rsidR="00FE10F4">
              <w:rPr>
                <w:noProof/>
                <w:webHidden/>
              </w:rPr>
              <w:tab/>
            </w:r>
            <w:r w:rsidR="00FE10F4">
              <w:rPr>
                <w:noProof/>
                <w:webHidden/>
              </w:rPr>
              <w:fldChar w:fldCharType="begin"/>
            </w:r>
            <w:r w:rsidR="00FE10F4">
              <w:rPr>
                <w:noProof/>
                <w:webHidden/>
              </w:rPr>
              <w:instrText xml:space="preserve"> PAGEREF _Toc57725131 \h </w:instrText>
            </w:r>
            <w:r w:rsidR="00FE10F4">
              <w:rPr>
                <w:noProof/>
                <w:webHidden/>
              </w:rPr>
            </w:r>
            <w:r w:rsidR="00FE10F4">
              <w:rPr>
                <w:noProof/>
                <w:webHidden/>
              </w:rPr>
              <w:fldChar w:fldCharType="separate"/>
            </w:r>
            <w:r w:rsidR="00FE10F4">
              <w:rPr>
                <w:noProof/>
                <w:webHidden/>
              </w:rPr>
              <w:t>19</w:t>
            </w:r>
            <w:r w:rsidR="00FE10F4">
              <w:rPr>
                <w:noProof/>
                <w:webHidden/>
              </w:rPr>
              <w:fldChar w:fldCharType="end"/>
            </w:r>
          </w:hyperlink>
        </w:p>
        <w:p w14:paraId="4D33C006" w14:textId="5A4A1577" w:rsidR="00FE10F4" w:rsidRDefault="009F7D31">
          <w:pPr>
            <w:pStyle w:val="TOC3"/>
            <w:tabs>
              <w:tab w:val="right" w:leader="dot" w:pos="9350"/>
            </w:tabs>
            <w:rPr>
              <w:rFonts w:asciiTheme="minorHAnsi" w:eastAsiaTheme="minorEastAsia" w:hAnsiTheme="minorHAnsi" w:cstheme="minorBidi"/>
              <w:noProof/>
              <w:szCs w:val="22"/>
            </w:rPr>
          </w:pPr>
          <w:hyperlink w:anchor="_Toc57725132" w:history="1">
            <w:r w:rsidR="00FE10F4" w:rsidRPr="007F54E7">
              <w:rPr>
                <w:rStyle w:val="Hyperlink"/>
                <w:noProof/>
              </w:rPr>
              <w:t>Impact on high wealth/high need communities</w:t>
            </w:r>
            <w:r w:rsidR="00FE10F4">
              <w:rPr>
                <w:noProof/>
                <w:webHidden/>
              </w:rPr>
              <w:tab/>
            </w:r>
            <w:r w:rsidR="00FE10F4">
              <w:rPr>
                <w:noProof/>
                <w:webHidden/>
              </w:rPr>
              <w:fldChar w:fldCharType="begin"/>
            </w:r>
            <w:r w:rsidR="00FE10F4">
              <w:rPr>
                <w:noProof/>
                <w:webHidden/>
              </w:rPr>
              <w:instrText xml:space="preserve"> PAGEREF _Toc57725132 \h </w:instrText>
            </w:r>
            <w:r w:rsidR="00FE10F4">
              <w:rPr>
                <w:noProof/>
                <w:webHidden/>
              </w:rPr>
            </w:r>
            <w:r w:rsidR="00FE10F4">
              <w:rPr>
                <w:noProof/>
                <w:webHidden/>
              </w:rPr>
              <w:fldChar w:fldCharType="separate"/>
            </w:r>
            <w:r w:rsidR="00FE10F4">
              <w:rPr>
                <w:noProof/>
                <w:webHidden/>
              </w:rPr>
              <w:t>19</w:t>
            </w:r>
            <w:r w:rsidR="00FE10F4">
              <w:rPr>
                <w:noProof/>
                <w:webHidden/>
              </w:rPr>
              <w:fldChar w:fldCharType="end"/>
            </w:r>
          </w:hyperlink>
        </w:p>
        <w:p w14:paraId="555A95AC" w14:textId="09E95A8E" w:rsidR="00FE10F4" w:rsidRDefault="009F7D31">
          <w:pPr>
            <w:pStyle w:val="TOC3"/>
            <w:tabs>
              <w:tab w:val="right" w:leader="dot" w:pos="9350"/>
            </w:tabs>
            <w:rPr>
              <w:rFonts w:asciiTheme="minorHAnsi" w:eastAsiaTheme="minorEastAsia" w:hAnsiTheme="minorHAnsi" w:cstheme="minorBidi"/>
              <w:noProof/>
              <w:szCs w:val="22"/>
            </w:rPr>
          </w:pPr>
          <w:hyperlink w:anchor="_Toc57725133" w:history="1">
            <w:r w:rsidR="00FE10F4" w:rsidRPr="007F54E7">
              <w:rPr>
                <w:rStyle w:val="Hyperlink"/>
                <w:noProof/>
              </w:rPr>
              <w:t>Impact on communities with declining student enrollment</w:t>
            </w:r>
            <w:r w:rsidR="00FE10F4">
              <w:rPr>
                <w:noProof/>
                <w:webHidden/>
              </w:rPr>
              <w:tab/>
            </w:r>
            <w:r w:rsidR="00FE10F4">
              <w:rPr>
                <w:noProof/>
                <w:webHidden/>
              </w:rPr>
              <w:fldChar w:fldCharType="begin"/>
            </w:r>
            <w:r w:rsidR="00FE10F4">
              <w:rPr>
                <w:noProof/>
                <w:webHidden/>
              </w:rPr>
              <w:instrText xml:space="preserve"> PAGEREF _Toc57725133 \h </w:instrText>
            </w:r>
            <w:r w:rsidR="00FE10F4">
              <w:rPr>
                <w:noProof/>
                <w:webHidden/>
              </w:rPr>
            </w:r>
            <w:r w:rsidR="00FE10F4">
              <w:rPr>
                <w:noProof/>
                <w:webHidden/>
              </w:rPr>
              <w:fldChar w:fldCharType="separate"/>
            </w:r>
            <w:r w:rsidR="00FE10F4">
              <w:rPr>
                <w:noProof/>
                <w:webHidden/>
              </w:rPr>
              <w:t>19</w:t>
            </w:r>
            <w:r w:rsidR="00FE10F4">
              <w:rPr>
                <w:noProof/>
                <w:webHidden/>
              </w:rPr>
              <w:fldChar w:fldCharType="end"/>
            </w:r>
          </w:hyperlink>
        </w:p>
        <w:p w14:paraId="0F2CCC1E" w14:textId="7B75D8E3" w:rsidR="00FE10F4" w:rsidRDefault="009F7D31">
          <w:pPr>
            <w:pStyle w:val="TOC3"/>
            <w:tabs>
              <w:tab w:val="right" w:leader="dot" w:pos="9350"/>
            </w:tabs>
            <w:rPr>
              <w:rFonts w:asciiTheme="minorHAnsi" w:eastAsiaTheme="minorEastAsia" w:hAnsiTheme="minorHAnsi" w:cstheme="minorBidi"/>
              <w:noProof/>
              <w:szCs w:val="22"/>
            </w:rPr>
          </w:pPr>
          <w:hyperlink w:anchor="_Toc57725134" w:history="1">
            <w:r w:rsidR="00FE10F4" w:rsidRPr="007F54E7">
              <w:rPr>
                <w:rStyle w:val="Hyperlink"/>
                <w:noProof/>
              </w:rPr>
              <w:t>Impact on regional school districts</w:t>
            </w:r>
            <w:r w:rsidR="00FE10F4">
              <w:rPr>
                <w:noProof/>
                <w:webHidden/>
              </w:rPr>
              <w:tab/>
            </w:r>
            <w:r w:rsidR="00FE10F4">
              <w:rPr>
                <w:noProof/>
                <w:webHidden/>
              </w:rPr>
              <w:fldChar w:fldCharType="begin"/>
            </w:r>
            <w:r w:rsidR="00FE10F4">
              <w:rPr>
                <w:noProof/>
                <w:webHidden/>
              </w:rPr>
              <w:instrText xml:space="preserve"> PAGEREF _Toc57725134 \h </w:instrText>
            </w:r>
            <w:r w:rsidR="00FE10F4">
              <w:rPr>
                <w:noProof/>
                <w:webHidden/>
              </w:rPr>
            </w:r>
            <w:r w:rsidR="00FE10F4">
              <w:rPr>
                <w:noProof/>
                <w:webHidden/>
              </w:rPr>
              <w:fldChar w:fldCharType="separate"/>
            </w:r>
            <w:r w:rsidR="00FE10F4">
              <w:rPr>
                <w:noProof/>
                <w:webHidden/>
              </w:rPr>
              <w:t>22</w:t>
            </w:r>
            <w:r w:rsidR="00FE10F4">
              <w:rPr>
                <w:noProof/>
                <w:webHidden/>
              </w:rPr>
              <w:fldChar w:fldCharType="end"/>
            </w:r>
          </w:hyperlink>
        </w:p>
        <w:p w14:paraId="449F4C34" w14:textId="263C7C54" w:rsidR="00FE10F4" w:rsidRDefault="009F7D31">
          <w:pPr>
            <w:pStyle w:val="TOC1"/>
            <w:rPr>
              <w:rFonts w:asciiTheme="minorHAnsi" w:eastAsiaTheme="minorEastAsia" w:hAnsiTheme="minorHAnsi" w:cstheme="minorBidi"/>
              <w:b w:val="0"/>
              <w:noProof/>
              <w:sz w:val="22"/>
              <w:szCs w:val="22"/>
            </w:rPr>
          </w:pPr>
          <w:hyperlink w:anchor="_Toc57725135" w:history="1">
            <w:r w:rsidR="00FE10F4" w:rsidRPr="007F54E7">
              <w:rPr>
                <w:rStyle w:val="Hyperlink"/>
                <w:noProof/>
              </w:rPr>
              <w:t>Looking forward</w:t>
            </w:r>
            <w:r w:rsidR="00FE10F4">
              <w:rPr>
                <w:noProof/>
                <w:webHidden/>
              </w:rPr>
              <w:tab/>
            </w:r>
            <w:r w:rsidR="00FE10F4">
              <w:rPr>
                <w:noProof/>
                <w:webHidden/>
              </w:rPr>
              <w:fldChar w:fldCharType="begin"/>
            </w:r>
            <w:r w:rsidR="00FE10F4">
              <w:rPr>
                <w:noProof/>
                <w:webHidden/>
              </w:rPr>
              <w:instrText xml:space="preserve"> PAGEREF _Toc57725135 \h </w:instrText>
            </w:r>
            <w:r w:rsidR="00FE10F4">
              <w:rPr>
                <w:noProof/>
                <w:webHidden/>
              </w:rPr>
            </w:r>
            <w:r w:rsidR="00FE10F4">
              <w:rPr>
                <w:noProof/>
                <w:webHidden/>
              </w:rPr>
              <w:fldChar w:fldCharType="separate"/>
            </w:r>
            <w:r w:rsidR="00FE10F4">
              <w:rPr>
                <w:noProof/>
                <w:webHidden/>
              </w:rPr>
              <w:t>23</w:t>
            </w:r>
            <w:r w:rsidR="00FE10F4">
              <w:rPr>
                <w:noProof/>
                <w:webHidden/>
              </w:rPr>
              <w:fldChar w:fldCharType="end"/>
            </w:r>
          </w:hyperlink>
        </w:p>
        <w:p w14:paraId="2E3B2E4C" w14:textId="1ECDD3A9" w:rsidR="00FE10F4" w:rsidRDefault="009F7D31">
          <w:pPr>
            <w:pStyle w:val="TOC1"/>
            <w:rPr>
              <w:rFonts w:asciiTheme="minorHAnsi" w:eastAsiaTheme="minorEastAsia" w:hAnsiTheme="minorHAnsi" w:cstheme="minorBidi"/>
              <w:b w:val="0"/>
              <w:noProof/>
              <w:sz w:val="22"/>
              <w:szCs w:val="22"/>
            </w:rPr>
          </w:pPr>
          <w:hyperlink w:anchor="_Toc57725136" w:history="1">
            <w:r w:rsidR="00FE10F4" w:rsidRPr="007F54E7">
              <w:rPr>
                <w:rStyle w:val="Hyperlink"/>
                <w:noProof/>
              </w:rPr>
              <w:t>Appendix A: Municipal Chapter 70 data</w:t>
            </w:r>
            <w:r w:rsidR="00FE10F4">
              <w:rPr>
                <w:noProof/>
                <w:webHidden/>
              </w:rPr>
              <w:tab/>
            </w:r>
            <w:r w:rsidR="00FE10F4">
              <w:rPr>
                <w:noProof/>
                <w:webHidden/>
              </w:rPr>
              <w:fldChar w:fldCharType="begin"/>
            </w:r>
            <w:r w:rsidR="00FE10F4">
              <w:rPr>
                <w:noProof/>
                <w:webHidden/>
              </w:rPr>
              <w:instrText xml:space="preserve"> PAGEREF _Toc57725136 \h </w:instrText>
            </w:r>
            <w:r w:rsidR="00FE10F4">
              <w:rPr>
                <w:noProof/>
                <w:webHidden/>
              </w:rPr>
            </w:r>
            <w:r w:rsidR="00FE10F4">
              <w:rPr>
                <w:noProof/>
                <w:webHidden/>
              </w:rPr>
              <w:fldChar w:fldCharType="separate"/>
            </w:r>
            <w:r w:rsidR="00FE10F4">
              <w:rPr>
                <w:noProof/>
                <w:webHidden/>
              </w:rPr>
              <w:t>25</w:t>
            </w:r>
            <w:r w:rsidR="00FE10F4">
              <w:rPr>
                <w:noProof/>
                <w:webHidden/>
              </w:rPr>
              <w:fldChar w:fldCharType="end"/>
            </w:r>
          </w:hyperlink>
        </w:p>
        <w:p w14:paraId="2F6BF76C" w14:textId="6284CA25" w:rsidR="00FE10F4" w:rsidRDefault="009F7D31">
          <w:pPr>
            <w:pStyle w:val="TOC1"/>
            <w:rPr>
              <w:rFonts w:asciiTheme="minorHAnsi" w:eastAsiaTheme="minorEastAsia" w:hAnsiTheme="minorHAnsi" w:cstheme="minorBidi"/>
              <w:b w:val="0"/>
              <w:noProof/>
              <w:sz w:val="22"/>
              <w:szCs w:val="22"/>
            </w:rPr>
          </w:pPr>
          <w:hyperlink w:anchor="_Toc57725137" w:history="1">
            <w:r w:rsidR="00FE10F4" w:rsidRPr="007F54E7">
              <w:rPr>
                <w:rStyle w:val="Hyperlink"/>
                <w:rFonts w:cs="Arial"/>
                <w:bCs/>
                <w:noProof/>
                <w:kern w:val="32"/>
                <w:lang w:bidi="en-US"/>
              </w:rPr>
              <w:t>Appendix B: Municipal general fund spending on education compared to total municipal spending</w:t>
            </w:r>
            <w:r w:rsidR="00FE10F4">
              <w:rPr>
                <w:noProof/>
                <w:webHidden/>
              </w:rPr>
              <w:tab/>
            </w:r>
            <w:r w:rsidR="00FE10F4">
              <w:rPr>
                <w:noProof/>
                <w:webHidden/>
              </w:rPr>
              <w:fldChar w:fldCharType="begin"/>
            </w:r>
            <w:r w:rsidR="00FE10F4">
              <w:rPr>
                <w:noProof/>
                <w:webHidden/>
              </w:rPr>
              <w:instrText xml:space="preserve"> PAGEREF _Toc57725137 \h </w:instrText>
            </w:r>
            <w:r w:rsidR="00FE10F4">
              <w:rPr>
                <w:noProof/>
                <w:webHidden/>
              </w:rPr>
            </w:r>
            <w:r w:rsidR="00FE10F4">
              <w:rPr>
                <w:noProof/>
                <w:webHidden/>
              </w:rPr>
              <w:fldChar w:fldCharType="separate"/>
            </w:r>
            <w:r w:rsidR="00FE10F4">
              <w:rPr>
                <w:noProof/>
                <w:webHidden/>
              </w:rPr>
              <w:t>37</w:t>
            </w:r>
            <w:r w:rsidR="00FE10F4">
              <w:rPr>
                <w:noProof/>
                <w:webHidden/>
              </w:rPr>
              <w:fldChar w:fldCharType="end"/>
            </w:r>
          </w:hyperlink>
        </w:p>
        <w:p w14:paraId="5BFFAD98" w14:textId="5DC9C91A" w:rsidR="00FE10F4" w:rsidRDefault="009F7D31">
          <w:pPr>
            <w:pStyle w:val="TOC1"/>
            <w:rPr>
              <w:rFonts w:asciiTheme="minorHAnsi" w:eastAsiaTheme="minorEastAsia" w:hAnsiTheme="minorHAnsi" w:cstheme="minorBidi"/>
              <w:b w:val="0"/>
              <w:noProof/>
              <w:sz w:val="22"/>
              <w:szCs w:val="22"/>
            </w:rPr>
          </w:pPr>
          <w:hyperlink w:anchor="_Toc57725138" w:history="1">
            <w:r w:rsidR="00FE10F4" w:rsidRPr="007F54E7">
              <w:rPr>
                <w:rStyle w:val="Hyperlink"/>
                <w:rFonts w:cs="Arial"/>
                <w:bCs/>
                <w:noProof/>
                <w:kern w:val="32"/>
                <w:lang w:bidi="en-US"/>
              </w:rPr>
              <w:t>Appendix C: District Chapter 70 data</w:t>
            </w:r>
            <w:r w:rsidR="00FE10F4">
              <w:rPr>
                <w:noProof/>
                <w:webHidden/>
              </w:rPr>
              <w:tab/>
            </w:r>
            <w:r w:rsidR="00FE10F4">
              <w:rPr>
                <w:noProof/>
                <w:webHidden/>
              </w:rPr>
              <w:fldChar w:fldCharType="begin"/>
            </w:r>
            <w:r w:rsidR="00FE10F4">
              <w:rPr>
                <w:noProof/>
                <w:webHidden/>
              </w:rPr>
              <w:instrText xml:space="preserve"> PAGEREF _Toc57725138 \h </w:instrText>
            </w:r>
            <w:r w:rsidR="00FE10F4">
              <w:rPr>
                <w:noProof/>
                <w:webHidden/>
              </w:rPr>
            </w:r>
            <w:r w:rsidR="00FE10F4">
              <w:rPr>
                <w:noProof/>
                <w:webHidden/>
              </w:rPr>
              <w:fldChar w:fldCharType="separate"/>
            </w:r>
            <w:r w:rsidR="00FE10F4">
              <w:rPr>
                <w:noProof/>
                <w:webHidden/>
              </w:rPr>
              <w:t>50</w:t>
            </w:r>
            <w:r w:rsidR="00FE10F4">
              <w:rPr>
                <w:noProof/>
                <w:webHidden/>
              </w:rPr>
              <w:fldChar w:fldCharType="end"/>
            </w:r>
          </w:hyperlink>
        </w:p>
        <w:p w14:paraId="7AB3855E" w14:textId="247A3A22" w:rsidR="00FE10F4" w:rsidRDefault="009F7D31">
          <w:pPr>
            <w:pStyle w:val="TOC1"/>
            <w:rPr>
              <w:rFonts w:asciiTheme="minorHAnsi" w:eastAsiaTheme="minorEastAsia" w:hAnsiTheme="minorHAnsi" w:cstheme="minorBidi"/>
              <w:b w:val="0"/>
              <w:noProof/>
              <w:sz w:val="22"/>
              <w:szCs w:val="22"/>
            </w:rPr>
          </w:pPr>
          <w:hyperlink w:anchor="_Toc57725139" w:history="1">
            <w:r w:rsidR="00FE10F4" w:rsidRPr="007F54E7">
              <w:rPr>
                <w:rStyle w:val="Hyperlink"/>
                <w:noProof/>
              </w:rPr>
              <w:t>Appendix D: Individuals and groups submitting public comments</w:t>
            </w:r>
            <w:r w:rsidR="00FE10F4">
              <w:rPr>
                <w:noProof/>
                <w:webHidden/>
              </w:rPr>
              <w:tab/>
            </w:r>
            <w:r w:rsidR="00FE10F4">
              <w:rPr>
                <w:noProof/>
                <w:webHidden/>
              </w:rPr>
              <w:fldChar w:fldCharType="begin"/>
            </w:r>
            <w:r w:rsidR="00FE10F4">
              <w:rPr>
                <w:noProof/>
                <w:webHidden/>
              </w:rPr>
              <w:instrText xml:space="preserve"> PAGEREF _Toc57725139 \h </w:instrText>
            </w:r>
            <w:r w:rsidR="00FE10F4">
              <w:rPr>
                <w:noProof/>
                <w:webHidden/>
              </w:rPr>
            </w:r>
            <w:r w:rsidR="00FE10F4">
              <w:rPr>
                <w:noProof/>
                <w:webHidden/>
              </w:rPr>
              <w:fldChar w:fldCharType="separate"/>
            </w:r>
            <w:r w:rsidR="00FE10F4">
              <w:rPr>
                <w:noProof/>
                <w:webHidden/>
              </w:rPr>
              <w:t>66</w:t>
            </w:r>
            <w:r w:rsidR="00FE10F4">
              <w:rPr>
                <w:noProof/>
                <w:webHidden/>
              </w:rPr>
              <w:fldChar w:fldCharType="end"/>
            </w:r>
          </w:hyperlink>
        </w:p>
        <w:p w14:paraId="5A5BBF43" w14:textId="54106F98" w:rsidR="00456246" w:rsidRDefault="00456246">
          <w:r>
            <w:rPr>
              <w:b/>
              <w:bCs/>
              <w:noProof/>
            </w:rPr>
            <w:fldChar w:fldCharType="end"/>
          </w:r>
        </w:p>
      </w:sdtContent>
    </w:sdt>
    <w:p w14:paraId="210392C5" w14:textId="77777777" w:rsidR="00E8160E" w:rsidRPr="00BA6E9E" w:rsidRDefault="00E8160E" w:rsidP="00E8160E"/>
    <w:p w14:paraId="212261FD" w14:textId="77777777" w:rsidR="00E8160E" w:rsidRPr="00BA6E9E" w:rsidRDefault="00E8160E" w:rsidP="00E8160E">
      <w:pPr>
        <w:sectPr w:rsidR="00E8160E" w:rsidRPr="00BA6E9E" w:rsidSect="00D51DF5">
          <w:pgSz w:w="12240" w:h="15840"/>
          <w:pgMar w:top="1440" w:right="1440" w:bottom="1440" w:left="1440" w:header="720" w:footer="720" w:gutter="0"/>
          <w:cols w:space="720"/>
          <w:docGrid w:linePitch="326"/>
        </w:sectPr>
      </w:pPr>
    </w:p>
    <w:p w14:paraId="3F15F942" w14:textId="4254ECAD" w:rsidR="00E8160E" w:rsidRPr="00CF16E8" w:rsidRDefault="00BA6E9E" w:rsidP="005D19B8">
      <w:pPr>
        <w:pStyle w:val="Heading1"/>
      </w:pPr>
      <w:bookmarkStart w:id="1" w:name="_Toc55558695"/>
      <w:bookmarkStart w:id="2" w:name="_Toc57725119"/>
      <w:r w:rsidRPr="00CF16E8">
        <w:lastRenderedPageBreak/>
        <w:t xml:space="preserve">Legislative </w:t>
      </w:r>
      <w:bookmarkEnd w:id="1"/>
      <w:r w:rsidR="00F13E46">
        <w:t>c</w:t>
      </w:r>
      <w:r w:rsidR="00F13E46" w:rsidRPr="00CF16E8">
        <w:t>harge</w:t>
      </w:r>
      <w:bookmarkEnd w:id="2"/>
    </w:p>
    <w:p w14:paraId="10CFCAED" w14:textId="63E1DB78" w:rsidR="006F7C9D" w:rsidRDefault="00E8160E" w:rsidP="00CF16E8">
      <w:r>
        <w:t xml:space="preserve">The Department of Elementary and Secondary Education </w:t>
      </w:r>
      <w:r w:rsidR="006F5910">
        <w:t xml:space="preserve">(DESE) </w:t>
      </w:r>
      <w:r>
        <w:t xml:space="preserve">respectfully submits this Report to the Legislature: </w:t>
      </w:r>
      <w:r w:rsidR="00E80C86">
        <w:t>Student Opportunity Act Local Contribution Study</w:t>
      </w:r>
      <w:r w:rsidR="000055AB">
        <w:t xml:space="preserve">. </w:t>
      </w:r>
      <w:r w:rsidR="00B41DF0">
        <w:t xml:space="preserve">This report has been prepared jointly by the </w:t>
      </w:r>
      <w:r w:rsidR="008001C2">
        <w:t>Department of Revenue’s</w:t>
      </w:r>
      <w:r w:rsidR="00E05748">
        <w:t xml:space="preserve"> </w:t>
      </w:r>
      <w:r w:rsidR="008001C2">
        <w:t>Division of Local Services (</w:t>
      </w:r>
      <w:r w:rsidR="009B5DB2">
        <w:t>DOR/</w:t>
      </w:r>
      <w:r w:rsidR="00E05748">
        <w:t>DLS</w:t>
      </w:r>
      <w:r w:rsidR="008001C2">
        <w:t xml:space="preserve">) and the Department of Elementary and Secondary Education (DESE) </w:t>
      </w:r>
      <w:r w:rsidR="00C7666E">
        <w:t xml:space="preserve">pursuant to the </w:t>
      </w:r>
      <w:r w:rsidR="0E5DFCB1">
        <w:t xml:space="preserve">statutory requirement </w:t>
      </w:r>
      <w:r w:rsidR="006C5426">
        <w:t>in c</w:t>
      </w:r>
      <w:r w:rsidR="006F7C9D">
        <w:t xml:space="preserve">hapter 132 of the </w:t>
      </w:r>
      <w:r w:rsidR="006C5426">
        <w:t>a</w:t>
      </w:r>
      <w:r w:rsidR="004215BB">
        <w:t>cts of 2019:</w:t>
      </w:r>
    </w:p>
    <w:p w14:paraId="73694703" w14:textId="77777777" w:rsidR="001A18AE" w:rsidRPr="00CF16E8" w:rsidRDefault="001A18AE" w:rsidP="00CF16E8"/>
    <w:p w14:paraId="48264531" w14:textId="1E1DEC15" w:rsidR="004215BB" w:rsidRPr="00CF16E8" w:rsidRDefault="004215BB" w:rsidP="00690EDF">
      <w:pPr>
        <w:ind w:left="450"/>
        <w:rPr>
          <w:i/>
          <w:iCs/>
        </w:rPr>
      </w:pPr>
      <w:r w:rsidRPr="00CF16E8">
        <w:rPr>
          <w:i/>
          <w:iCs/>
        </w:rPr>
        <w:t>SECTION 21. (a) The division of local services within the</w:t>
      </w:r>
      <w:r w:rsidR="002F0778" w:rsidRPr="00CF16E8">
        <w:rPr>
          <w:i/>
          <w:iCs/>
        </w:rPr>
        <w:t xml:space="preserve"> </w:t>
      </w:r>
      <w:r w:rsidRPr="00CF16E8">
        <w:rPr>
          <w:i/>
          <w:iCs/>
        </w:rPr>
        <w:t>department of revenue and the department of elementary and</w:t>
      </w:r>
      <w:r w:rsidR="009D6AB8" w:rsidRPr="00CF16E8">
        <w:rPr>
          <w:i/>
          <w:iCs/>
        </w:rPr>
        <w:t xml:space="preserve"> </w:t>
      </w:r>
      <w:r w:rsidRPr="00CF16E8">
        <w:rPr>
          <w:i/>
          <w:iCs/>
        </w:rPr>
        <w:t>secondary education shall jointly conduct a study and report on the</w:t>
      </w:r>
      <w:r w:rsidR="009C6EDB" w:rsidRPr="00CF16E8">
        <w:rPr>
          <w:i/>
          <w:iCs/>
        </w:rPr>
        <w:t xml:space="preserve"> </w:t>
      </w:r>
      <w:r w:rsidRPr="00CF16E8">
        <w:rPr>
          <w:i/>
          <w:iCs/>
        </w:rPr>
        <w:t>equity, predictability and accuracy of the method of determining each</w:t>
      </w:r>
      <w:r w:rsidR="009C6EDB" w:rsidRPr="00CF16E8">
        <w:rPr>
          <w:i/>
          <w:iCs/>
        </w:rPr>
        <w:t xml:space="preserve"> </w:t>
      </w:r>
      <w:r w:rsidRPr="00CF16E8">
        <w:rPr>
          <w:i/>
          <w:iCs/>
        </w:rPr>
        <w:t>municipality’s ability to contribute toward education funding and the</w:t>
      </w:r>
      <w:r w:rsidR="009C6EDB" w:rsidRPr="00CF16E8">
        <w:rPr>
          <w:i/>
          <w:iCs/>
        </w:rPr>
        <w:t xml:space="preserve"> </w:t>
      </w:r>
      <w:r w:rsidRPr="00CF16E8">
        <w:rPr>
          <w:i/>
          <w:iCs/>
        </w:rPr>
        <w:t>calculation of each municipality’s required local contribution as</w:t>
      </w:r>
      <w:r w:rsidR="009C6EDB" w:rsidRPr="00CF16E8">
        <w:rPr>
          <w:i/>
          <w:iCs/>
        </w:rPr>
        <w:t xml:space="preserve"> </w:t>
      </w:r>
      <w:r w:rsidRPr="00CF16E8">
        <w:rPr>
          <w:i/>
          <w:iCs/>
        </w:rPr>
        <w:t>defined in section 2 of chapter 70 of the General Laws; provided,</w:t>
      </w:r>
      <w:r w:rsidR="009C6EDB" w:rsidRPr="00CF16E8">
        <w:rPr>
          <w:i/>
          <w:iCs/>
        </w:rPr>
        <w:t xml:space="preserve"> </w:t>
      </w:r>
      <w:r w:rsidRPr="00CF16E8">
        <w:rPr>
          <w:i/>
          <w:iCs/>
        </w:rPr>
        <w:t>however, that the division and the department shall solicit public</w:t>
      </w:r>
      <w:r w:rsidR="00690EDF">
        <w:rPr>
          <w:i/>
          <w:iCs/>
        </w:rPr>
        <w:t xml:space="preserve"> comment.</w:t>
      </w:r>
    </w:p>
    <w:p w14:paraId="6A078E7B" w14:textId="0E3E8F2D" w:rsidR="00D67005" w:rsidRPr="00CF16E8" w:rsidRDefault="00D67005" w:rsidP="00690EDF">
      <w:pPr>
        <w:ind w:left="450"/>
        <w:rPr>
          <w:i/>
          <w:iCs/>
        </w:rPr>
      </w:pPr>
      <w:r>
        <w:br/>
      </w:r>
      <w:r w:rsidR="004215BB" w:rsidRPr="00CB05E5">
        <w:rPr>
          <w:i/>
          <w:iCs/>
        </w:rPr>
        <w:t>(b) Not later than December 1, 2020, the division of local services</w:t>
      </w:r>
      <w:r w:rsidR="009C6EDB" w:rsidRPr="00CB05E5">
        <w:rPr>
          <w:i/>
          <w:iCs/>
        </w:rPr>
        <w:t xml:space="preserve"> </w:t>
      </w:r>
      <w:r w:rsidR="004215BB" w:rsidRPr="00CB05E5">
        <w:rPr>
          <w:i/>
          <w:iCs/>
        </w:rPr>
        <w:t>within the department of revenue and the department of elementary</w:t>
      </w:r>
      <w:r w:rsidR="009B703E" w:rsidRPr="00CB05E5">
        <w:rPr>
          <w:i/>
          <w:iCs/>
        </w:rPr>
        <w:t xml:space="preserve"> </w:t>
      </w:r>
      <w:r w:rsidR="004215BB" w:rsidRPr="00CB05E5">
        <w:rPr>
          <w:i/>
          <w:iCs/>
        </w:rPr>
        <w:t>and secondary education shall file a report with the clerks of the</w:t>
      </w:r>
      <w:r w:rsidR="009B703E" w:rsidRPr="00CB05E5">
        <w:rPr>
          <w:i/>
          <w:iCs/>
        </w:rPr>
        <w:t xml:space="preserve"> </w:t>
      </w:r>
      <w:r w:rsidR="004215BB" w:rsidRPr="00CB05E5">
        <w:rPr>
          <w:i/>
          <w:iCs/>
        </w:rPr>
        <w:t>senate and the house of representatives, the chairs of the joint</w:t>
      </w:r>
      <w:r w:rsidR="009B703E" w:rsidRPr="00CB05E5">
        <w:rPr>
          <w:i/>
          <w:iCs/>
        </w:rPr>
        <w:t xml:space="preserve"> </w:t>
      </w:r>
      <w:r w:rsidR="004215BB" w:rsidRPr="00CB05E5">
        <w:rPr>
          <w:i/>
          <w:iCs/>
        </w:rPr>
        <w:t>committee on education and the chairs of the senate and house</w:t>
      </w:r>
      <w:r w:rsidR="009B703E" w:rsidRPr="00CB05E5">
        <w:rPr>
          <w:i/>
          <w:iCs/>
        </w:rPr>
        <w:t xml:space="preserve"> </w:t>
      </w:r>
      <w:r w:rsidR="004215BB" w:rsidRPr="00CB05E5">
        <w:rPr>
          <w:i/>
          <w:iCs/>
        </w:rPr>
        <w:t>committees on ways and means.</w:t>
      </w:r>
      <w:r w:rsidR="009B703E" w:rsidRPr="00CB05E5">
        <w:rPr>
          <w:i/>
          <w:iCs/>
        </w:rPr>
        <w:t xml:space="preserve"> </w:t>
      </w:r>
      <w:r w:rsidR="004215BB" w:rsidRPr="00CB05E5">
        <w:rPr>
          <w:i/>
          <w:iCs/>
        </w:rPr>
        <w:t xml:space="preserve">The report shall include, but not be limited to: </w:t>
      </w:r>
      <w:r w:rsidR="004215BB" w:rsidRPr="00335242">
        <w:rPr>
          <w:i/>
          <w:iCs/>
        </w:rPr>
        <w:t>(i) a summary of</w:t>
      </w:r>
      <w:r w:rsidR="009B703E" w:rsidRPr="00335242">
        <w:rPr>
          <w:i/>
          <w:iCs/>
        </w:rPr>
        <w:t xml:space="preserve"> </w:t>
      </w:r>
      <w:r w:rsidR="004215BB" w:rsidRPr="00335242">
        <w:rPr>
          <w:i/>
          <w:iCs/>
        </w:rPr>
        <w:t>target aid share and local contribution changes first instituted in</w:t>
      </w:r>
      <w:r w:rsidR="009B703E" w:rsidRPr="00335242">
        <w:rPr>
          <w:i/>
          <w:iCs/>
        </w:rPr>
        <w:t xml:space="preserve"> </w:t>
      </w:r>
      <w:r w:rsidR="004215BB" w:rsidRPr="00335242">
        <w:rPr>
          <w:i/>
          <w:iCs/>
        </w:rPr>
        <w:t>chapter 139 of the acts of 2006 and their impact on the equity,</w:t>
      </w:r>
      <w:r w:rsidR="009B703E" w:rsidRPr="00335242">
        <w:rPr>
          <w:i/>
          <w:iCs/>
        </w:rPr>
        <w:t xml:space="preserve"> </w:t>
      </w:r>
      <w:r w:rsidR="004215BB" w:rsidRPr="00335242">
        <w:rPr>
          <w:i/>
          <w:iCs/>
        </w:rPr>
        <w:t>predictability and accuracy of the method of determining required</w:t>
      </w:r>
      <w:r w:rsidR="009B703E" w:rsidRPr="00335242">
        <w:rPr>
          <w:i/>
          <w:iCs/>
        </w:rPr>
        <w:t xml:space="preserve"> </w:t>
      </w:r>
      <w:r w:rsidR="004215BB" w:rsidRPr="00335242">
        <w:rPr>
          <w:i/>
          <w:iCs/>
        </w:rPr>
        <w:t>local contribution and target local share; (ii) a survey of changes in</w:t>
      </w:r>
      <w:r w:rsidR="00D95B69" w:rsidRPr="00335242">
        <w:rPr>
          <w:i/>
          <w:iCs/>
        </w:rPr>
        <w:t xml:space="preserve"> </w:t>
      </w:r>
      <w:r w:rsidR="004215BB" w:rsidRPr="00335242">
        <w:rPr>
          <w:i/>
          <w:iCs/>
        </w:rPr>
        <w:t>municipal required local contribution as a share of the foundation</w:t>
      </w:r>
      <w:r w:rsidR="00D95B69" w:rsidRPr="00335242">
        <w:rPr>
          <w:i/>
          <w:iCs/>
        </w:rPr>
        <w:t xml:space="preserve"> </w:t>
      </w:r>
      <w:r w:rsidR="004215BB" w:rsidRPr="00335242">
        <w:rPr>
          <w:i/>
          <w:iCs/>
        </w:rPr>
        <w:t>budget from fiscal year 2006 to fiscal year 2020, inclusive, for</w:t>
      </w:r>
      <w:r w:rsidR="00723F0F" w:rsidRPr="00335242">
        <w:rPr>
          <w:i/>
          <w:iCs/>
        </w:rPr>
        <w:t xml:space="preserve"> </w:t>
      </w:r>
      <w:r w:rsidR="004215BB" w:rsidRPr="00335242">
        <w:rPr>
          <w:i/>
          <w:iCs/>
        </w:rPr>
        <w:t>districts of different target share levels, including a review of the</w:t>
      </w:r>
      <w:r w:rsidR="00D95B69" w:rsidRPr="00335242">
        <w:rPr>
          <w:i/>
          <w:iCs/>
        </w:rPr>
        <w:t xml:space="preserve"> </w:t>
      </w:r>
      <w:r w:rsidR="004215BB" w:rsidRPr="00335242">
        <w:rPr>
          <w:i/>
          <w:iCs/>
        </w:rPr>
        <w:t>number of communities with a maximum local contribution of 82.5</w:t>
      </w:r>
      <w:r w:rsidR="00B52B88" w:rsidRPr="00335242">
        <w:rPr>
          <w:i/>
          <w:iCs/>
        </w:rPr>
        <w:t xml:space="preserve"> </w:t>
      </w:r>
      <w:r w:rsidR="004215BB" w:rsidRPr="00335242">
        <w:rPr>
          <w:i/>
          <w:iCs/>
        </w:rPr>
        <w:t>per cent of the foundation budget; (iii) an assessment of the impact of</w:t>
      </w:r>
      <w:r w:rsidR="00B52B88" w:rsidRPr="00335242">
        <w:rPr>
          <w:i/>
          <w:iCs/>
        </w:rPr>
        <w:t xml:space="preserve"> </w:t>
      </w:r>
      <w:r w:rsidR="004215BB" w:rsidRPr="00335242">
        <w:rPr>
          <w:i/>
          <w:iCs/>
        </w:rPr>
        <w:t>enrollment demographics, including districts with flat or declining</w:t>
      </w:r>
      <w:r w:rsidR="00B52B88" w:rsidRPr="00335242">
        <w:rPr>
          <w:i/>
          <w:iCs/>
        </w:rPr>
        <w:t xml:space="preserve"> </w:t>
      </w:r>
      <w:r w:rsidR="004215BB" w:rsidRPr="00335242">
        <w:rPr>
          <w:i/>
          <w:iCs/>
        </w:rPr>
        <w:t>enrollment, on the distribution of chapter 70 school aid and the</w:t>
      </w:r>
      <w:r w:rsidR="00B52B88" w:rsidRPr="00335242">
        <w:rPr>
          <w:i/>
          <w:iCs/>
        </w:rPr>
        <w:t xml:space="preserve"> </w:t>
      </w:r>
      <w:r w:rsidR="004215BB" w:rsidRPr="00335242">
        <w:rPr>
          <w:i/>
          <w:iCs/>
        </w:rPr>
        <w:t>relationship between target local share and the chapter 70 school aid</w:t>
      </w:r>
      <w:r w:rsidR="00B52B88" w:rsidRPr="00335242">
        <w:rPr>
          <w:i/>
          <w:iCs/>
        </w:rPr>
        <w:t xml:space="preserve"> </w:t>
      </w:r>
      <w:r w:rsidR="004215BB" w:rsidRPr="00335242">
        <w:rPr>
          <w:i/>
          <w:iCs/>
        </w:rPr>
        <w:t>share of the foundation budget; (iv)</w:t>
      </w:r>
      <w:r w:rsidR="001443A9" w:rsidRPr="00335242">
        <w:rPr>
          <w:i/>
          <w:iCs/>
        </w:rPr>
        <w:t> </w:t>
      </w:r>
      <w:r w:rsidR="004215BB" w:rsidRPr="00335242">
        <w:rPr>
          <w:i/>
          <w:iCs/>
        </w:rPr>
        <w:t>an analysis of the accuracy in the</w:t>
      </w:r>
      <w:r w:rsidR="00B52B88" w:rsidRPr="00335242">
        <w:rPr>
          <w:i/>
          <w:iCs/>
        </w:rPr>
        <w:t xml:space="preserve"> </w:t>
      </w:r>
      <w:r w:rsidR="004215BB" w:rsidRPr="00335242">
        <w:rPr>
          <w:i/>
          <w:iCs/>
        </w:rPr>
        <w:t>calculation of municipal combined effort yield and the municipal</w:t>
      </w:r>
      <w:r w:rsidR="001443A9" w:rsidRPr="00335242">
        <w:rPr>
          <w:i/>
          <w:iCs/>
        </w:rPr>
        <w:t xml:space="preserve"> </w:t>
      </w:r>
      <w:r w:rsidR="004215BB" w:rsidRPr="00335242">
        <w:rPr>
          <w:i/>
          <w:iCs/>
        </w:rPr>
        <w:t>revenue growth factor in determining a municipality’s ability to</w:t>
      </w:r>
      <w:r w:rsidR="00912492" w:rsidRPr="00335242">
        <w:rPr>
          <w:i/>
          <w:iCs/>
        </w:rPr>
        <w:t xml:space="preserve"> </w:t>
      </w:r>
      <w:r w:rsidR="004215BB" w:rsidRPr="00335242">
        <w:rPr>
          <w:i/>
          <w:iCs/>
        </w:rPr>
        <w:t xml:space="preserve">contribute; (v) an analysis of the impact of </w:t>
      </w:r>
      <w:r w:rsidR="00D552A6" w:rsidRPr="00335242">
        <w:rPr>
          <w:i/>
          <w:iCs/>
        </w:rPr>
        <w:t>s</w:t>
      </w:r>
      <w:r w:rsidR="004215BB" w:rsidRPr="00335242">
        <w:rPr>
          <w:i/>
          <w:iCs/>
        </w:rPr>
        <w:t>tatewide increases to the</w:t>
      </w:r>
      <w:r w:rsidR="00912492" w:rsidRPr="00335242">
        <w:rPr>
          <w:i/>
          <w:iCs/>
        </w:rPr>
        <w:t xml:space="preserve"> </w:t>
      </w:r>
      <w:r w:rsidR="004215BB" w:rsidRPr="00335242">
        <w:rPr>
          <w:i/>
          <w:iCs/>
        </w:rPr>
        <w:t>foundation budget on target local share and required local</w:t>
      </w:r>
      <w:r w:rsidR="00912492" w:rsidRPr="00335242">
        <w:rPr>
          <w:i/>
          <w:iCs/>
        </w:rPr>
        <w:t xml:space="preserve"> </w:t>
      </w:r>
      <w:r w:rsidR="004215BB" w:rsidRPr="00335242">
        <w:rPr>
          <w:i/>
          <w:iCs/>
        </w:rPr>
        <w:t>contribution; (vi) an analysis of the impact of Proposition 2½ on the</w:t>
      </w:r>
      <w:r w:rsidR="00912492" w:rsidRPr="00335242">
        <w:rPr>
          <w:i/>
          <w:iCs/>
        </w:rPr>
        <w:t xml:space="preserve"> </w:t>
      </w:r>
      <w:r w:rsidR="004215BB" w:rsidRPr="00335242">
        <w:rPr>
          <w:i/>
          <w:iCs/>
        </w:rPr>
        <w:t>ability of municipalities to make their required local contributions in</w:t>
      </w:r>
      <w:r w:rsidR="00723F0F" w:rsidRPr="00335242">
        <w:rPr>
          <w:i/>
          <w:iCs/>
        </w:rPr>
        <w:t xml:space="preserve"> </w:t>
      </w:r>
      <w:r w:rsidR="004215BB" w:rsidRPr="00335242">
        <w:rPr>
          <w:i/>
          <w:iCs/>
        </w:rPr>
        <w:t>the short-term and long-term and recommendations to mitigate the</w:t>
      </w:r>
      <w:r w:rsidR="00D552A6" w:rsidRPr="00335242">
        <w:rPr>
          <w:i/>
          <w:iCs/>
        </w:rPr>
        <w:t xml:space="preserve"> </w:t>
      </w:r>
      <w:r w:rsidR="004215BB" w:rsidRPr="00335242">
        <w:rPr>
          <w:i/>
          <w:iCs/>
        </w:rPr>
        <w:t xml:space="preserve">constraints of Proposition 2½; </w:t>
      </w:r>
      <w:r w:rsidR="004215BB" w:rsidRPr="00335242">
        <w:rPr>
          <w:i/>
        </w:rPr>
        <w:t>(vii</w:t>
      </w:r>
      <w:r w:rsidR="004215BB" w:rsidRPr="00335242">
        <w:rPr>
          <w:i/>
          <w:iCs/>
        </w:rPr>
        <w:t>) an analysis of the placement of</w:t>
      </w:r>
      <w:r w:rsidR="00723F0F" w:rsidRPr="00335242">
        <w:rPr>
          <w:i/>
          <w:iCs/>
        </w:rPr>
        <w:t xml:space="preserve"> </w:t>
      </w:r>
      <w:r w:rsidR="004215BB" w:rsidRPr="00335242">
        <w:rPr>
          <w:i/>
          <w:iCs/>
        </w:rPr>
        <w:t>municipalities in a labor market area for the purpose of determining</w:t>
      </w:r>
      <w:r w:rsidR="00D552A6" w:rsidRPr="00335242">
        <w:rPr>
          <w:i/>
          <w:iCs/>
        </w:rPr>
        <w:t xml:space="preserve"> </w:t>
      </w:r>
      <w:r w:rsidR="004215BB" w:rsidRPr="00335242">
        <w:rPr>
          <w:i/>
          <w:iCs/>
        </w:rPr>
        <w:t>their wage adjustment factor and the advisability of alternate methods</w:t>
      </w:r>
      <w:r w:rsidR="00D552A6" w:rsidRPr="00335242">
        <w:rPr>
          <w:i/>
          <w:iCs/>
        </w:rPr>
        <w:t xml:space="preserve"> </w:t>
      </w:r>
      <w:r w:rsidR="004215BB" w:rsidRPr="00335242">
        <w:rPr>
          <w:i/>
          <w:iCs/>
        </w:rPr>
        <w:t>of determining municipality wage adjustment factors; and (viii) an</w:t>
      </w:r>
      <w:r w:rsidR="00D552A6" w:rsidRPr="00335242">
        <w:rPr>
          <w:i/>
          <w:iCs/>
        </w:rPr>
        <w:t xml:space="preserve"> </w:t>
      </w:r>
      <w:r w:rsidR="004215BB" w:rsidRPr="00335242">
        <w:rPr>
          <w:i/>
          <w:iCs/>
        </w:rPr>
        <w:t>assessment of the impact of the 82.5 per cent maximum local</w:t>
      </w:r>
      <w:r w:rsidR="00586095" w:rsidRPr="00335242">
        <w:rPr>
          <w:i/>
          <w:iCs/>
        </w:rPr>
        <w:t xml:space="preserve"> </w:t>
      </w:r>
      <w:r w:rsidR="004215BB" w:rsidRPr="00335242">
        <w:rPr>
          <w:i/>
          <w:iCs/>
        </w:rPr>
        <w:t>contribution of foundation on the equity of required local</w:t>
      </w:r>
      <w:r w:rsidR="00586095" w:rsidRPr="00335242">
        <w:rPr>
          <w:i/>
          <w:iCs/>
        </w:rPr>
        <w:t xml:space="preserve"> </w:t>
      </w:r>
      <w:r w:rsidR="004215BB" w:rsidRPr="00335242">
        <w:rPr>
          <w:i/>
          <w:iCs/>
        </w:rPr>
        <w:t>contributions and the distribution of chapter 70 school aid.</w:t>
      </w:r>
      <w:r w:rsidR="00586095" w:rsidRPr="00CF16E8">
        <w:rPr>
          <w:i/>
          <w:iCs/>
        </w:rPr>
        <w:t xml:space="preserve"> </w:t>
      </w:r>
    </w:p>
    <w:p w14:paraId="65EBD52F" w14:textId="77777777" w:rsidR="00D67005" w:rsidRPr="00CF16E8" w:rsidRDefault="00D67005" w:rsidP="00690EDF">
      <w:pPr>
        <w:ind w:left="450"/>
        <w:rPr>
          <w:i/>
          <w:iCs/>
        </w:rPr>
      </w:pPr>
    </w:p>
    <w:p w14:paraId="32F0399D" w14:textId="5B5DA64D" w:rsidR="004215BB" w:rsidRPr="00CF16E8" w:rsidRDefault="004215BB" w:rsidP="00690EDF">
      <w:pPr>
        <w:ind w:left="450"/>
        <w:rPr>
          <w:i/>
          <w:iCs/>
        </w:rPr>
      </w:pPr>
      <w:r w:rsidRPr="00CF16E8">
        <w:rPr>
          <w:i/>
          <w:iCs/>
        </w:rPr>
        <w:t>The report shall also make recommendations to refine or revise</w:t>
      </w:r>
      <w:r w:rsidR="00586095" w:rsidRPr="00CF16E8">
        <w:rPr>
          <w:i/>
          <w:iCs/>
        </w:rPr>
        <w:t xml:space="preserve"> </w:t>
      </w:r>
      <w:r w:rsidRPr="00CF16E8">
        <w:rPr>
          <w:i/>
          <w:iCs/>
        </w:rPr>
        <w:t>the method of determining required local contribution, the maximum</w:t>
      </w:r>
      <w:r w:rsidR="00723F0F">
        <w:rPr>
          <w:i/>
          <w:iCs/>
        </w:rPr>
        <w:t xml:space="preserve"> </w:t>
      </w:r>
      <w:r w:rsidRPr="00CF16E8">
        <w:rPr>
          <w:i/>
          <w:iCs/>
        </w:rPr>
        <w:t>required local contribution as a percentage of the foundation budget</w:t>
      </w:r>
      <w:r w:rsidR="00586095" w:rsidRPr="00CF16E8">
        <w:rPr>
          <w:i/>
          <w:iCs/>
        </w:rPr>
        <w:t xml:space="preserve"> </w:t>
      </w:r>
      <w:r w:rsidRPr="00CF16E8">
        <w:rPr>
          <w:i/>
          <w:iCs/>
        </w:rPr>
        <w:t>and the target state share of statewide foundation budget and other</w:t>
      </w:r>
      <w:r w:rsidR="00586095" w:rsidRPr="00CF16E8">
        <w:rPr>
          <w:i/>
          <w:iCs/>
        </w:rPr>
        <w:t xml:space="preserve"> </w:t>
      </w:r>
      <w:r w:rsidRPr="00CF16E8">
        <w:rPr>
          <w:i/>
          <w:iCs/>
        </w:rPr>
        <w:t>elements of the chapter 70 school aid formula to improve equity,</w:t>
      </w:r>
      <w:r w:rsidR="00586095" w:rsidRPr="00CF16E8">
        <w:rPr>
          <w:i/>
          <w:iCs/>
        </w:rPr>
        <w:t xml:space="preserve"> </w:t>
      </w:r>
      <w:r w:rsidRPr="00CF16E8">
        <w:rPr>
          <w:i/>
          <w:iCs/>
        </w:rPr>
        <w:t>predictability and accuracy.</w:t>
      </w:r>
    </w:p>
    <w:p w14:paraId="7AC63E20" w14:textId="1DE4FA67" w:rsidR="00C70442" w:rsidRPr="00CF16E8" w:rsidRDefault="00C70442" w:rsidP="005D19B8">
      <w:pPr>
        <w:pStyle w:val="Heading1"/>
      </w:pPr>
      <w:bookmarkStart w:id="3" w:name="_Toc55558696"/>
      <w:bookmarkStart w:id="4" w:name="_Toc57725120"/>
      <w:r w:rsidRPr="00CF16E8">
        <w:lastRenderedPageBreak/>
        <w:t>Background</w:t>
      </w:r>
      <w:bookmarkEnd w:id="3"/>
      <w:bookmarkEnd w:id="4"/>
    </w:p>
    <w:p w14:paraId="2D71BF56" w14:textId="00395563" w:rsidR="00AB0E5C" w:rsidRPr="00CF16E8" w:rsidRDefault="00AB0E5C" w:rsidP="00CF16E8">
      <w:r w:rsidRPr="00CF16E8">
        <w:t xml:space="preserve">The </w:t>
      </w:r>
      <w:r w:rsidR="00094DFB" w:rsidRPr="00CF16E8">
        <w:t xml:space="preserve">Commonwealth’s Constitution imposes a duty on the state to ensure that all </w:t>
      </w:r>
      <w:r w:rsidR="00ED4A84" w:rsidRPr="00CF16E8">
        <w:t>public school students receive an adequate education</w:t>
      </w:r>
      <w:r w:rsidR="00F11C55" w:rsidRPr="00CF16E8">
        <w:t xml:space="preserve">, a responsibility that is </w:t>
      </w:r>
      <w:r w:rsidR="00C45646" w:rsidRPr="00CF16E8">
        <w:t>carried out in partnership with our 351 cities and towns.</w:t>
      </w:r>
      <w:r w:rsidR="00AE21D5" w:rsidRPr="00CF16E8">
        <w:rPr>
          <w:rStyle w:val="FootnoteReference"/>
        </w:rPr>
        <w:footnoteReference w:id="2"/>
      </w:r>
      <w:r w:rsidR="00C45646" w:rsidRPr="00CF16E8">
        <w:t xml:space="preserve"> </w:t>
      </w:r>
      <w:r w:rsidR="007D2AAD" w:rsidRPr="00CF16E8">
        <w:t>The 1993 Education Reform Act</w:t>
      </w:r>
      <w:r w:rsidR="00BB66EB" w:rsidRPr="00CF16E8">
        <w:rPr>
          <w:rStyle w:val="FootnoteReference"/>
        </w:rPr>
        <w:footnoteReference w:id="3"/>
      </w:r>
      <w:r w:rsidR="007D2AAD" w:rsidRPr="00CF16E8">
        <w:t xml:space="preserve"> established a framework for </w:t>
      </w:r>
      <w:r w:rsidR="00BB66EB" w:rsidRPr="00CF16E8">
        <w:t xml:space="preserve">financing our </w:t>
      </w:r>
      <w:r w:rsidR="00BD172B" w:rsidRPr="00CF16E8">
        <w:t>public schools, the essential elements of which are still in use today.</w:t>
      </w:r>
      <w:r w:rsidR="003C0766" w:rsidRPr="00CF16E8">
        <w:rPr>
          <w:rStyle w:val="FootnoteReference"/>
        </w:rPr>
        <w:footnoteReference w:id="4"/>
      </w:r>
      <w:r w:rsidR="00BD172B" w:rsidRPr="00CF16E8">
        <w:t xml:space="preserve"> </w:t>
      </w:r>
      <w:r w:rsidR="003723A0" w:rsidRPr="00CF16E8">
        <w:t xml:space="preserve">The framework begins with the </w:t>
      </w:r>
      <w:r w:rsidR="00C146F9" w:rsidRPr="00CF16E8">
        <w:t xml:space="preserve">annual </w:t>
      </w:r>
      <w:r w:rsidR="003723A0" w:rsidRPr="00CF16E8">
        <w:t xml:space="preserve">calculation of </w:t>
      </w:r>
      <w:r w:rsidR="00C146F9" w:rsidRPr="00CF16E8">
        <w:t>a foundation budget for each school district</w:t>
      </w:r>
      <w:r w:rsidR="00C05CC9" w:rsidRPr="00CF16E8">
        <w:t xml:space="preserve">, representing the minimum level of funding required by the district to </w:t>
      </w:r>
      <w:r w:rsidR="005D3C8D" w:rsidRPr="00CF16E8">
        <w:t xml:space="preserve">provide a constitutionally adequate education. </w:t>
      </w:r>
      <w:r w:rsidR="003B20A3" w:rsidRPr="00CF16E8">
        <w:t xml:space="preserve">Each district’s foundation budget </w:t>
      </w:r>
      <w:r w:rsidR="00243FAC" w:rsidRPr="00CF16E8">
        <w:t>is based on the number of students enrolled, their grade level</w:t>
      </w:r>
      <w:r w:rsidR="007A4412" w:rsidRPr="00CF16E8">
        <w:t xml:space="preserve"> and demographics, and other factors.</w:t>
      </w:r>
      <w:r w:rsidR="007B6312" w:rsidRPr="00CF16E8">
        <w:rPr>
          <w:rStyle w:val="FootnoteReference"/>
        </w:rPr>
        <w:footnoteReference w:id="5"/>
      </w:r>
      <w:r w:rsidR="007A4412" w:rsidRPr="00CF16E8">
        <w:t xml:space="preserve"> </w:t>
      </w:r>
    </w:p>
    <w:p w14:paraId="76CF3EEE" w14:textId="77777777" w:rsidR="00723F0F" w:rsidRDefault="00723F0F" w:rsidP="00BA6E9E"/>
    <w:p w14:paraId="22F3ECA3" w14:textId="77ABB6F7" w:rsidR="00311B92" w:rsidRPr="00CF16E8" w:rsidRDefault="00016081" w:rsidP="00CF16E8">
      <w:r>
        <w:t>The foundation budget for each municipality’s students is funded by a combination of state and local dollars.</w:t>
      </w:r>
      <w:r w:rsidR="000865E7" w:rsidRPr="00CF16E8">
        <w:t xml:space="preserve"> </w:t>
      </w:r>
      <w:r w:rsidR="005A7931" w:rsidRPr="00CF16E8">
        <w:t xml:space="preserve">The </w:t>
      </w:r>
      <w:r w:rsidR="001C4771" w:rsidRPr="00CF16E8">
        <w:t xml:space="preserve">framework envisions a progressive formula whereby municipalities with greater fiscal resources </w:t>
      </w:r>
      <w:r w:rsidR="004A3C85" w:rsidRPr="00CF16E8">
        <w:t xml:space="preserve">shoulder a larger share of </w:t>
      </w:r>
      <w:r w:rsidR="0083522E" w:rsidRPr="00CF16E8">
        <w:t>their</w:t>
      </w:r>
      <w:r w:rsidR="004A3C85" w:rsidRPr="00CF16E8">
        <w:t xml:space="preserve"> foundation budget</w:t>
      </w:r>
      <w:r w:rsidR="0083522E" w:rsidRPr="00CF16E8">
        <w:t>s</w:t>
      </w:r>
      <w:r w:rsidR="004A3C85" w:rsidRPr="00CF16E8">
        <w:t xml:space="preserve">, while municipalities with fewer fiscal resources shoulder </w:t>
      </w:r>
      <w:r w:rsidR="00E1361A" w:rsidRPr="00CF16E8">
        <w:t xml:space="preserve">a smaller share. </w:t>
      </w:r>
      <w:r w:rsidR="001939CE" w:rsidRPr="00CF16E8">
        <w:t>For all districts, s</w:t>
      </w:r>
      <w:r w:rsidR="004C3502" w:rsidRPr="00CF16E8">
        <w:t>tate education aid (</w:t>
      </w:r>
      <w:r w:rsidR="005A0F1E" w:rsidRPr="00CF16E8">
        <w:t>colloquially</w:t>
      </w:r>
      <w:r w:rsidR="001939CE" w:rsidRPr="00CF16E8">
        <w:t xml:space="preserve"> known as Chapter 70 aid) </w:t>
      </w:r>
      <w:r w:rsidR="3382224D">
        <w:t xml:space="preserve">is designed to </w:t>
      </w:r>
      <w:r w:rsidR="001939CE" w:rsidRPr="00CF16E8">
        <w:t xml:space="preserve">make up the </w:t>
      </w:r>
      <w:r w:rsidR="00DB4509" w:rsidRPr="00CF16E8">
        <w:t xml:space="preserve">difference between what the district needs (i.e., its foundation budget) and </w:t>
      </w:r>
      <w:r w:rsidR="00311B92" w:rsidRPr="00CF16E8">
        <w:t xml:space="preserve">what the formula determines the city or town </w:t>
      </w:r>
      <w:r w:rsidR="78AED52A" w:rsidRPr="00CF16E8">
        <w:t>should reasonably be expected to contribute</w:t>
      </w:r>
      <w:r w:rsidR="00311B92" w:rsidRPr="00CF16E8">
        <w:t>.</w:t>
      </w:r>
    </w:p>
    <w:p w14:paraId="39A70CF0" w14:textId="3D4090F5" w:rsidR="00D07BD2" w:rsidRDefault="00D07BD2"/>
    <w:p w14:paraId="79C3993A" w14:textId="5194CC4F" w:rsidR="003B5169" w:rsidRDefault="003B5169" w:rsidP="00CF16E8">
      <w:r w:rsidRPr="00CF16E8">
        <w:t xml:space="preserve">In the years immediately following the </w:t>
      </w:r>
      <w:r w:rsidR="002111C9" w:rsidRPr="00CF16E8">
        <w:t>creation of the Chapter 70 framework (first used in the 1993</w:t>
      </w:r>
      <w:r w:rsidR="004B5FAD">
        <w:t>–</w:t>
      </w:r>
      <w:r w:rsidR="002111C9" w:rsidRPr="00CF16E8">
        <w:t xml:space="preserve">94 school year), the concept of the foundation budget </w:t>
      </w:r>
      <w:r w:rsidR="00C10509" w:rsidRPr="00CF16E8">
        <w:t xml:space="preserve">was widely praised, and it became a model for school finance reform efforts in other states. </w:t>
      </w:r>
      <w:r w:rsidR="009C1BF9" w:rsidRPr="00CF16E8">
        <w:t xml:space="preserve">But the calculation </w:t>
      </w:r>
      <w:r w:rsidR="00D92830" w:rsidRPr="00CF16E8">
        <w:t xml:space="preserve">of each municipality’s share </w:t>
      </w:r>
      <w:r w:rsidR="007F3B5F" w:rsidRPr="00CF16E8">
        <w:t xml:space="preserve">proved problematic. </w:t>
      </w:r>
      <w:r w:rsidR="00B4267B" w:rsidRPr="00CF16E8">
        <w:t xml:space="preserve">The original calculation </w:t>
      </w:r>
      <w:r w:rsidR="00D04065" w:rsidRPr="00CF16E8">
        <w:t xml:space="preserve">gave too much weight to what municipalities had been spending </w:t>
      </w:r>
      <w:r w:rsidR="009B5178" w:rsidRPr="00CF16E8">
        <w:t>prior to the new law</w:t>
      </w:r>
      <w:r w:rsidR="006375A1">
        <w:t>, when the state had no minimum spending requirement.</w:t>
      </w:r>
      <w:r w:rsidR="009B5178" w:rsidRPr="00CF16E8">
        <w:rPr>
          <w:rStyle w:val="FootnoteReference"/>
        </w:rPr>
        <w:footnoteReference w:id="6"/>
      </w:r>
      <w:r w:rsidR="00277F36" w:rsidRPr="00CF16E8">
        <w:t xml:space="preserve"> </w:t>
      </w:r>
      <w:r w:rsidR="00794E26" w:rsidRPr="00CF16E8">
        <w:t>The formula did include some fiscal capacity factors</w:t>
      </w:r>
      <w:r w:rsidR="2B4CB49D">
        <w:t xml:space="preserve"> designed to </w:t>
      </w:r>
      <w:r w:rsidR="56281811">
        <w:t xml:space="preserve">gradually </w:t>
      </w:r>
      <w:r w:rsidR="07EEA7FA">
        <w:t>re</w:t>
      </w:r>
      <w:r w:rsidR="2B4CB49D">
        <w:t xml:space="preserve">calibrate local contribution levels </w:t>
      </w:r>
      <w:r w:rsidR="5A557A9C">
        <w:t>over time</w:t>
      </w:r>
      <w:r w:rsidR="00794E26" w:rsidRPr="00CF16E8">
        <w:t xml:space="preserve">, but the data </w:t>
      </w:r>
      <w:r w:rsidR="005511CC" w:rsidRPr="00CF16E8">
        <w:t>was static</w:t>
      </w:r>
      <w:r w:rsidR="50CE40CB">
        <w:t xml:space="preserve"> and those </w:t>
      </w:r>
      <w:r w:rsidR="787D4E0F">
        <w:t>factors were largely ineffective, or set aside in subsequent legislative action</w:t>
      </w:r>
      <w:r w:rsidR="001115AD" w:rsidRPr="00CF16E8">
        <w:t xml:space="preserve">. As a result, </w:t>
      </w:r>
      <w:r w:rsidR="008C17E0" w:rsidRPr="00CF16E8">
        <w:t xml:space="preserve">it was not long before municipal officials </w:t>
      </w:r>
      <w:r w:rsidR="0008409D" w:rsidRPr="00CF16E8">
        <w:t>began pointing out inconsisten</w:t>
      </w:r>
      <w:r w:rsidR="32B96CEB" w:rsidRPr="00CF16E8">
        <w:t>t fiscal expectations being applied to</w:t>
      </w:r>
      <w:r w:rsidR="008F57E3" w:rsidRPr="00CF16E8">
        <w:t xml:space="preserve"> communities </w:t>
      </w:r>
      <w:r w:rsidR="1207B130" w:rsidRPr="00CF16E8">
        <w:t>with</w:t>
      </w:r>
      <w:r w:rsidR="0015639D">
        <w:t xml:space="preserve"> </w:t>
      </w:r>
      <w:r w:rsidR="1E783BF1" w:rsidRPr="00CF16E8">
        <w:t>similar</w:t>
      </w:r>
      <w:r w:rsidR="005D7C93" w:rsidRPr="00CF16E8">
        <w:t xml:space="preserve"> </w:t>
      </w:r>
      <w:r w:rsidR="37D4AC79" w:rsidRPr="00CF16E8">
        <w:t>fiscal capacity</w:t>
      </w:r>
      <w:r w:rsidR="00CD13B9" w:rsidRPr="00CF16E8">
        <w:t>.</w:t>
      </w:r>
    </w:p>
    <w:p w14:paraId="5AB3CBB4" w14:textId="77777777" w:rsidR="00E11812" w:rsidRPr="00CF16E8" w:rsidRDefault="00E11812" w:rsidP="00CF16E8"/>
    <w:p w14:paraId="7A84F613" w14:textId="53AAA8FB" w:rsidR="00CD13B9" w:rsidRPr="00CF16E8" w:rsidRDefault="00415C4B" w:rsidP="00CF16E8">
      <w:r w:rsidRPr="00CF16E8">
        <w:t xml:space="preserve">Because any change to a local aid formula </w:t>
      </w:r>
      <w:r w:rsidR="00122331" w:rsidRPr="00CF16E8">
        <w:t xml:space="preserve">benefits some communities and disadvantages others, </w:t>
      </w:r>
      <w:r w:rsidR="00F128DA" w:rsidRPr="00CF16E8">
        <w:t xml:space="preserve">achieving a consensus </w:t>
      </w:r>
      <w:r w:rsidR="00E217E7" w:rsidRPr="00CF16E8">
        <w:t xml:space="preserve">can take a period of years. </w:t>
      </w:r>
      <w:r w:rsidR="004659BA" w:rsidRPr="00CF16E8">
        <w:t xml:space="preserve">It </w:t>
      </w:r>
      <w:r w:rsidR="00F80A9A" w:rsidRPr="00CF16E8">
        <w:t>was</w:t>
      </w:r>
      <w:r w:rsidR="0029263C" w:rsidRPr="00CF16E8">
        <w:t xml:space="preserve"> not until </w:t>
      </w:r>
      <w:r w:rsidR="00F00B0C">
        <w:t>FY</w:t>
      </w:r>
      <w:r w:rsidR="0029263C" w:rsidRPr="00CF16E8">
        <w:t xml:space="preserve">07 that the Legislature </w:t>
      </w:r>
      <w:r w:rsidR="28898E97" w:rsidRPr="00CF16E8">
        <w:t>made substantial changes</w:t>
      </w:r>
      <w:r w:rsidR="00EA4E93" w:rsidRPr="00CF16E8">
        <w:t xml:space="preserve"> </w:t>
      </w:r>
      <w:r w:rsidR="3E9AEFEC" w:rsidRPr="00CF16E8">
        <w:t xml:space="preserve">to </w:t>
      </w:r>
      <w:r w:rsidR="00EA4E93" w:rsidRPr="00CF16E8">
        <w:t xml:space="preserve">the municipal contribution </w:t>
      </w:r>
      <w:r w:rsidR="001F4558" w:rsidRPr="00CF16E8">
        <w:t xml:space="preserve">component </w:t>
      </w:r>
      <w:r w:rsidR="00AE0AA5" w:rsidRPr="00CF16E8">
        <w:t>in the Chapter 70 calculatio</w:t>
      </w:r>
      <w:r w:rsidR="012731CB" w:rsidRPr="00CF16E8">
        <w:t xml:space="preserve">n </w:t>
      </w:r>
      <w:r w:rsidR="7E4A1B77">
        <w:t>in order</w:t>
      </w:r>
      <w:r w:rsidR="012731CB">
        <w:t xml:space="preserve"> </w:t>
      </w:r>
      <w:r w:rsidR="012731CB" w:rsidRPr="00CF16E8">
        <w:t xml:space="preserve">to respond to widely expressed equity concerns </w:t>
      </w:r>
      <w:r w:rsidR="7ABDBA71" w:rsidRPr="00CF16E8">
        <w:t xml:space="preserve">that were eroding </w:t>
      </w:r>
      <w:r w:rsidR="2CE4F043">
        <w:t xml:space="preserve">general </w:t>
      </w:r>
      <w:r w:rsidR="7ABDBA71" w:rsidRPr="00CF16E8">
        <w:t xml:space="preserve">support for the </w:t>
      </w:r>
      <w:r w:rsidR="7ABDBA71" w:rsidRPr="00CF16E8">
        <w:lastRenderedPageBreak/>
        <w:t>Chapter 70 aid program.</w:t>
      </w:r>
      <w:r w:rsidR="008430B9" w:rsidRPr="00CF16E8">
        <w:rPr>
          <w:rStyle w:val="FootnoteReference"/>
        </w:rPr>
        <w:footnoteReference w:id="7"/>
      </w:r>
      <w:r w:rsidR="00AE0AA5" w:rsidRPr="00CF16E8">
        <w:t xml:space="preserve"> </w:t>
      </w:r>
      <w:r w:rsidR="001F4558" w:rsidRPr="00CF16E8">
        <w:t xml:space="preserve">The new calculation, described in detail below, </w:t>
      </w:r>
      <w:r w:rsidR="00DD2896" w:rsidRPr="00CF16E8">
        <w:t>is still in use, with only minor tweaks over the past decade and a half.</w:t>
      </w:r>
    </w:p>
    <w:p w14:paraId="3A5DC9C2" w14:textId="77777777" w:rsidR="00FB7265" w:rsidRDefault="00FB7265" w:rsidP="00CF16E8"/>
    <w:p w14:paraId="379E66C5" w14:textId="55217FD9" w:rsidR="00736DE5" w:rsidRPr="00CF16E8" w:rsidRDefault="00C6592E" w:rsidP="00CF16E8">
      <w:r w:rsidRPr="00CF16E8">
        <w:t>In 2014, the Legislature created a Foundation Budget Review Commission</w:t>
      </w:r>
      <w:r w:rsidR="003B0FCC">
        <w:t xml:space="preserve"> (FBRC)</w:t>
      </w:r>
      <w:r w:rsidRPr="00CF16E8">
        <w:t xml:space="preserve">, charged with reviewing the </w:t>
      </w:r>
      <w:r w:rsidR="00F36A21" w:rsidRPr="00CF16E8">
        <w:t xml:space="preserve">factors and assumptions underlying the Chapter 70 foundation budget calculation. </w:t>
      </w:r>
      <w:r w:rsidR="00CA5ED6" w:rsidRPr="00CF16E8">
        <w:t xml:space="preserve">The commission released its report in late 2015, and in 2019 the </w:t>
      </w:r>
      <w:r w:rsidR="00687015" w:rsidRPr="00CF16E8">
        <w:t>Student Opportunity Act</w:t>
      </w:r>
      <w:r w:rsidR="00687015" w:rsidRPr="00CF16E8">
        <w:rPr>
          <w:rStyle w:val="FootnoteReference"/>
        </w:rPr>
        <w:footnoteReference w:id="8"/>
      </w:r>
      <w:r w:rsidR="00EA1EB3" w:rsidRPr="00CF16E8">
        <w:t xml:space="preserve"> </w:t>
      </w:r>
      <w:r w:rsidR="002B0864">
        <w:t>(SOA)</w:t>
      </w:r>
      <w:r w:rsidR="00EA1EB3" w:rsidRPr="00CF16E8">
        <w:t>was signed into law</w:t>
      </w:r>
      <w:r w:rsidR="002666E7" w:rsidRPr="00CF16E8">
        <w:t xml:space="preserve">, based in large part on the commission’s recommendations. </w:t>
      </w:r>
      <w:r w:rsidR="004C014C" w:rsidRPr="00CF16E8">
        <w:t>It is important to note that the commission focused almost exclusively on the foundation budget component of the Chapter 70</w:t>
      </w:r>
      <w:r w:rsidR="00981C51" w:rsidRPr="00CF16E8">
        <w:t xml:space="preserve"> formula</w:t>
      </w:r>
      <w:r w:rsidR="004815FA" w:rsidRPr="00CF16E8">
        <w:t xml:space="preserve">; </w:t>
      </w:r>
      <w:r w:rsidR="00553BD0" w:rsidRPr="00CF16E8">
        <w:t>c</w:t>
      </w:r>
      <w:r w:rsidR="006C7BD5" w:rsidRPr="00CF16E8">
        <w:t>onsideration of issues relating to the municipal contribution component w</w:t>
      </w:r>
      <w:r w:rsidR="00FB4897">
        <w:t>ere</w:t>
      </w:r>
      <w:r w:rsidR="006C7BD5" w:rsidRPr="00CF16E8">
        <w:t xml:space="preserve"> beyond the commission’s scope</w:t>
      </w:r>
      <w:r w:rsidR="00553BD0" w:rsidRPr="00CF16E8">
        <w:t xml:space="preserve">. </w:t>
      </w:r>
      <w:r w:rsidR="6C29F887" w:rsidRPr="00CF16E8">
        <w:t>However,</w:t>
      </w:r>
      <w:r w:rsidR="006C7BD5" w:rsidRPr="00CF16E8">
        <w:t xml:space="preserve"> </w:t>
      </w:r>
      <w:r w:rsidR="00A85374" w:rsidRPr="00CF16E8">
        <w:t xml:space="preserve">in the </w:t>
      </w:r>
      <w:r w:rsidR="002B0864">
        <w:t>SOA</w:t>
      </w:r>
      <w:r w:rsidR="00A85374" w:rsidRPr="00CF16E8">
        <w:t xml:space="preserve">, the Legislature </w:t>
      </w:r>
      <w:r w:rsidR="4095B77F" w:rsidRPr="00CF16E8">
        <w:t>deemed</w:t>
      </w:r>
      <w:r w:rsidR="0049370E" w:rsidRPr="00CF16E8">
        <w:t xml:space="preserve"> </w:t>
      </w:r>
      <w:r w:rsidR="00A044C4" w:rsidRPr="00CF16E8">
        <w:t xml:space="preserve">that </w:t>
      </w:r>
      <w:r w:rsidR="00436BF1" w:rsidRPr="00CF16E8">
        <w:t>a review of the</w:t>
      </w:r>
      <w:r w:rsidR="0049370E" w:rsidRPr="00CF16E8">
        <w:t xml:space="preserve"> </w:t>
      </w:r>
      <w:r w:rsidR="007160F8" w:rsidRPr="00CF16E8">
        <w:t xml:space="preserve">2007 changes </w:t>
      </w:r>
      <w:r w:rsidR="0070373E" w:rsidRPr="00CF16E8">
        <w:t xml:space="preserve">would be </w:t>
      </w:r>
      <w:r w:rsidR="006C1E08" w:rsidRPr="00CF16E8">
        <w:t>appropriate</w:t>
      </w:r>
      <w:r w:rsidR="0070373E" w:rsidRPr="00CF16E8">
        <w:t xml:space="preserve">, and directed the preparation </w:t>
      </w:r>
      <w:r w:rsidR="71E95A60" w:rsidRPr="00CF16E8">
        <w:t xml:space="preserve">and filing </w:t>
      </w:r>
      <w:r w:rsidR="0070373E" w:rsidRPr="00CF16E8">
        <w:t>of this report</w:t>
      </w:r>
      <w:r w:rsidR="006C1E08" w:rsidRPr="00CF16E8">
        <w:t>.</w:t>
      </w:r>
    </w:p>
    <w:p w14:paraId="61C0BD52" w14:textId="5CE35891" w:rsidR="00C70442" w:rsidRPr="00CF16E8" w:rsidRDefault="00C70442" w:rsidP="005D19B8">
      <w:pPr>
        <w:pStyle w:val="Heading1"/>
      </w:pPr>
      <w:bookmarkStart w:id="5" w:name="_Toc55558697"/>
      <w:bookmarkStart w:id="6" w:name="_Toc57725121"/>
      <w:r>
        <w:t xml:space="preserve">Public </w:t>
      </w:r>
      <w:bookmarkEnd w:id="5"/>
      <w:r w:rsidR="00167AB8">
        <w:t>comment</w:t>
      </w:r>
      <w:bookmarkEnd w:id="6"/>
    </w:p>
    <w:p w14:paraId="1ED60B0A" w14:textId="2BDB4A51" w:rsidR="00E36239" w:rsidRDefault="3C358678">
      <w:r>
        <w:t>Pursuant to the legislative mandate</w:t>
      </w:r>
      <w:r w:rsidR="5327A58F">
        <w:t>,</w:t>
      </w:r>
      <w:r>
        <w:t xml:space="preserve"> </w:t>
      </w:r>
      <w:r w:rsidR="000D21AF">
        <w:t>DOR</w:t>
      </w:r>
      <w:r w:rsidR="00E05748">
        <w:t>/DLS</w:t>
      </w:r>
      <w:r w:rsidR="000D21AF">
        <w:t xml:space="preserve"> </w:t>
      </w:r>
      <w:r>
        <w:t>and DESE solicited public comment on the report topics outlined</w:t>
      </w:r>
      <w:r w:rsidR="5D43B9BE">
        <w:t xml:space="preserve"> in the legislation. Originally planned as a series of regional public hearings, </w:t>
      </w:r>
      <w:r w:rsidR="000D21AF">
        <w:t>DOR</w:t>
      </w:r>
      <w:r w:rsidR="00E05748">
        <w:t>/DLS</w:t>
      </w:r>
      <w:r w:rsidR="000D21AF">
        <w:t xml:space="preserve"> </w:t>
      </w:r>
      <w:r w:rsidR="5D43B9BE">
        <w:t xml:space="preserve">and DESE </w:t>
      </w:r>
      <w:r w:rsidR="122E0BA9">
        <w:t>ul</w:t>
      </w:r>
      <w:r w:rsidR="5D43B9BE">
        <w:t xml:space="preserve">timately solicited public comment through </w:t>
      </w:r>
      <w:r w:rsidR="6567E1A2">
        <w:t xml:space="preserve">the submission of </w:t>
      </w:r>
      <w:r w:rsidR="13038311">
        <w:t>written testimony</w:t>
      </w:r>
      <w:r w:rsidR="67F533BC">
        <w:t xml:space="preserve"> </w:t>
      </w:r>
      <w:r w:rsidR="006E5399">
        <w:t>due to the</w:t>
      </w:r>
      <w:r w:rsidR="13038311">
        <w:t xml:space="preserve"> limitation</w:t>
      </w:r>
      <w:r w:rsidR="6040E9C7">
        <w:t>s</w:t>
      </w:r>
      <w:r w:rsidR="13038311">
        <w:t xml:space="preserve"> imposed by the COVID-19 pandemic.</w:t>
      </w:r>
      <w:r w:rsidR="38165D07">
        <w:t xml:space="preserve"> In anticipation of the comment period, both </w:t>
      </w:r>
      <w:r w:rsidR="07A314EF">
        <w:t>DESE</w:t>
      </w:r>
      <w:r w:rsidR="38165D07">
        <w:t xml:space="preserve"> and </w:t>
      </w:r>
      <w:r w:rsidR="000D21AF">
        <w:t>DOR</w:t>
      </w:r>
      <w:r w:rsidR="00E05748">
        <w:t>/DLS</w:t>
      </w:r>
      <w:r w:rsidR="000D21AF">
        <w:t xml:space="preserve"> </w:t>
      </w:r>
      <w:r w:rsidR="38165D07">
        <w:t>reached out to various constituencies and public officials to make them aware of</w:t>
      </w:r>
      <w:r w:rsidR="74C6A030">
        <w:t xml:space="preserve"> the opportunity to submit comment for consideration and publi</w:t>
      </w:r>
      <w:r w:rsidR="7D22A6DD">
        <w:t>c posting.</w:t>
      </w:r>
      <w:r w:rsidR="13038311">
        <w:t xml:space="preserve"> </w:t>
      </w:r>
    </w:p>
    <w:p w14:paraId="0EC2156C" w14:textId="46BC8EB9" w:rsidR="0012610F" w:rsidRDefault="0012610F"/>
    <w:p w14:paraId="05691733" w14:textId="71E6D10B" w:rsidR="00227C7C" w:rsidRDefault="0012610F" w:rsidP="000D21AF">
      <w:r>
        <w:t xml:space="preserve">The public comment period was open from September </w:t>
      </w:r>
      <w:r w:rsidR="00FD179F">
        <w:t>21</w:t>
      </w:r>
      <w:r>
        <w:t xml:space="preserve"> to October 16, during which </w:t>
      </w:r>
      <w:r w:rsidR="00B658DB">
        <w:t>1</w:t>
      </w:r>
      <w:r w:rsidR="00BA3C25">
        <w:t>38</w:t>
      </w:r>
      <w:r>
        <w:t xml:space="preserve"> comments were submitted. The list of individuals who submitted public comment is included in Appendix B and the </w:t>
      </w:r>
      <w:hyperlink r:id="rId14" w:history="1">
        <w:r w:rsidRPr="0001207B">
          <w:rPr>
            <w:rStyle w:val="Hyperlink"/>
          </w:rPr>
          <w:t>full text</w:t>
        </w:r>
      </w:hyperlink>
      <w:r>
        <w:t xml:space="preserve"> of the comments along with any attachments that were submitted are posted on DESE’s website</w:t>
      </w:r>
      <w:r w:rsidR="00FB32BD">
        <w:t>.</w:t>
      </w:r>
      <w:r w:rsidR="00FB32BD">
        <w:rPr>
          <w:rStyle w:val="FootnoteReference"/>
        </w:rPr>
        <w:footnoteReference w:id="9"/>
      </w:r>
      <w:r w:rsidR="00F5723C">
        <w:t xml:space="preserve"> </w:t>
      </w:r>
      <w:r w:rsidR="00B33B9A">
        <w:t xml:space="preserve">We want to thank the </w:t>
      </w:r>
      <w:r w:rsidR="000C667D">
        <w:t xml:space="preserve">state and local </w:t>
      </w:r>
      <w:r w:rsidR="003A047E">
        <w:t xml:space="preserve">elected officials, </w:t>
      </w:r>
      <w:r w:rsidR="00BE7261">
        <w:t xml:space="preserve">school </w:t>
      </w:r>
      <w:r w:rsidR="000C667D">
        <w:t xml:space="preserve">district administrators, municipal officials, advocacy group representatives, and </w:t>
      </w:r>
      <w:r w:rsidR="00B33B9A">
        <w:t>concerned citizens</w:t>
      </w:r>
      <w:r w:rsidR="000C667D">
        <w:t xml:space="preserve"> </w:t>
      </w:r>
      <w:r w:rsidR="00B33B9A">
        <w:t xml:space="preserve">who submitted comments in support of this report. While we cannot summarize every issue that was </w:t>
      </w:r>
      <w:r w:rsidR="009546E3">
        <w:t>addressed</w:t>
      </w:r>
      <w:r w:rsidR="00A37189">
        <w:t xml:space="preserve">, this section </w:t>
      </w:r>
      <w:r w:rsidR="00DD2F99">
        <w:t>is meant to capture the most common themes that were raised</w:t>
      </w:r>
      <w:r w:rsidR="00B33B9A">
        <w:t>.</w:t>
      </w:r>
      <w:r w:rsidR="000D21AF">
        <w:t xml:space="preserve"> Many of the</w:t>
      </w:r>
      <w:r w:rsidR="00227C7C">
        <w:t>se</w:t>
      </w:r>
      <w:r w:rsidR="000D21AF">
        <w:t xml:space="preserve"> comments reflected findings in a recent report on the Chapter 70 formula issued by </w:t>
      </w:r>
      <w:r w:rsidR="002964A2">
        <w:t>the Massachusetts Business Alliance for Education</w:t>
      </w:r>
      <w:r w:rsidR="0093759D">
        <w:t xml:space="preserve"> (MBAE)</w:t>
      </w:r>
      <w:r w:rsidR="002964A2">
        <w:t xml:space="preserve"> and the </w:t>
      </w:r>
      <w:r w:rsidR="000D21AF">
        <w:t xml:space="preserve">Greater Boston </w:t>
      </w:r>
      <w:r w:rsidR="002964A2">
        <w:t>Chamber of Commerce</w:t>
      </w:r>
      <w:r w:rsidR="00227C7C">
        <w:t>.</w:t>
      </w:r>
      <w:r w:rsidR="003D3069">
        <w:rPr>
          <w:rStyle w:val="FootnoteReference"/>
        </w:rPr>
        <w:footnoteReference w:id="10"/>
      </w:r>
    </w:p>
    <w:p w14:paraId="76550FA4" w14:textId="77777777" w:rsidR="00227C7C" w:rsidRDefault="00227C7C" w:rsidP="00227C7C"/>
    <w:p w14:paraId="178C8CAA" w14:textId="37B06EEB" w:rsidR="0011697F" w:rsidRDefault="00E52017">
      <w:r>
        <w:t>Close to 40</w:t>
      </w:r>
      <w:r w:rsidR="00586108">
        <w:t>%</w:t>
      </w:r>
      <w:r>
        <w:t xml:space="preserve"> of the </w:t>
      </w:r>
      <w:r w:rsidR="005A6EA4">
        <w:t xml:space="preserve">public </w:t>
      </w:r>
      <w:r>
        <w:t>comments</w:t>
      </w:r>
      <w:r w:rsidR="0011697F">
        <w:t xml:space="preserve"> </w:t>
      </w:r>
      <w:r>
        <w:t xml:space="preserve">were </w:t>
      </w:r>
      <w:r w:rsidR="0011697F">
        <w:t xml:space="preserve">submitted by </w:t>
      </w:r>
      <w:r w:rsidR="00471221">
        <w:t xml:space="preserve">residents </w:t>
      </w:r>
      <w:r>
        <w:t xml:space="preserve">of Franklin </w:t>
      </w:r>
      <w:r w:rsidR="001F7D3D">
        <w:t>County</w:t>
      </w:r>
      <w:r w:rsidR="006D6E5A">
        <w:t xml:space="preserve"> </w:t>
      </w:r>
      <w:r w:rsidR="00490CA4">
        <w:t xml:space="preserve">and </w:t>
      </w:r>
      <w:r w:rsidR="001D1A6A">
        <w:t xml:space="preserve">an additional </w:t>
      </w:r>
      <w:r w:rsidR="00B3518E">
        <w:t>1</w:t>
      </w:r>
      <w:r w:rsidR="00B35068">
        <w:t>6</w:t>
      </w:r>
      <w:r w:rsidR="00227C7C">
        <w:t>%</w:t>
      </w:r>
      <w:r w:rsidR="00B3518E">
        <w:t xml:space="preserve"> </w:t>
      </w:r>
      <w:r w:rsidR="003D3D05">
        <w:t xml:space="preserve">of the comments </w:t>
      </w:r>
      <w:r w:rsidR="00B3518E">
        <w:t>were</w:t>
      </w:r>
      <w:r w:rsidR="00BD3EC3">
        <w:t xml:space="preserve"> submitted by residents </w:t>
      </w:r>
      <w:r w:rsidR="002145D1">
        <w:t xml:space="preserve">from the </w:t>
      </w:r>
      <w:r w:rsidR="00E11D3A">
        <w:t xml:space="preserve">other </w:t>
      </w:r>
      <w:r w:rsidR="002145D1">
        <w:t xml:space="preserve">3 </w:t>
      </w:r>
      <w:r w:rsidR="00CC4280">
        <w:t>western Massachusetts counties</w:t>
      </w:r>
      <w:r w:rsidR="00227C7C">
        <w:t xml:space="preserve"> (</w:t>
      </w:r>
      <w:r w:rsidR="008E5C2D">
        <w:t>Berkshire</w:t>
      </w:r>
      <w:r w:rsidR="00D86FC3">
        <w:t xml:space="preserve">, </w:t>
      </w:r>
      <w:r w:rsidR="00652F3D">
        <w:t>Hampde</w:t>
      </w:r>
      <w:r w:rsidR="003A26A4">
        <w:t>n, and Hampshire</w:t>
      </w:r>
      <w:r w:rsidR="00227C7C">
        <w:t xml:space="preserve">). </w:t>
      </w:r>
      <w:r w:rsidR="00B02A24">
        <w:t xml:space="preserve">Comments submitted by residents of Worcester </w:t>
      </w:r>
      <w:r w:rsidR="00C42040">
        <w:t>C</w:t>
      </w:r>
      <w:r w:rsidR="00B02A24">
        <w:t>ounty</w:t>
      </w:r>
      <w:r w:rsidR="00934FDB">
        <w:t xml:space="preserve"> comprised 1</w:t>
      </w:r>
      <w:r w:rsidR="00AE3E45">
        <w:t>6</w:t>
      </w:r>
      <w:r w:rsidR="00586108">
        <w:t>%</w:t>
      </w:r>
      <w:r w:rsidR="00244568">
        <w:t xml:space="preserve">, while comments submitted by residents of </w:t>
      </w:r>
      <w:r w:rsidR="00244568">
        <w:lastRenderedPageBreak/>
        <w:t xml:space="preserve">eastern Massachusetts, </w:t>
      </w:r>
      <w:r w:rsidR="00235252">
        <w:t>including Barnstable, Bristol, Essex, Middlesex, Plymouth, and Suffolk Counties, accounted fo</w:t>
      </w:r>
      <w:r w:rsidR="00437E9E">
        <w:t>r close to 30%</w:t>
      </w:r>
      <w:r w:rsidR="00235252">
        <w:t xml:space="preserve"> </w:t>
      </w:r>
      <w:r w:rsidR="007F11C5">
        <w:t>of the comments submitted</w:t>
      </w:r>
      <w:r w:rsidR="00EC30C6">
        <w:t xml:space="preserve">, see </w:t>
      </w:r>
      <w:r w:rsidR="007F11C5">
        <w:t>Table 1</w:t>
      </w:r>
      <w:r w:rsidR="006D613D">
        <w:t>.</w:t>
      </w:r>
      <w:r w:rsidR="00EE29A7">
        <w:t xml:space="preserve"> </w:t>
      </w:r>
    </w:p>
    <w:p w14:paraId="01893B19" w14:textId="16BED65A" w:rsidR="00052434" w:rsidRDefault="00052434">
      <w:pPr>
        <w:spacing w:after="160" w:line="259" w:lineRule="auto"/>
      </w:pPr>
    </w:p>
    <w:tbl>
      <w:tblPr>
        <w:tblStyle w:val="ESETablesGridStyle"/>
        <w:tblW w:w="0" w:type="auto"/>
        <w:jc w:val="center"/>
        <w:tblLook w:val="04A0" w:firstRow="1" w:lastRow="0" w:firstColumn="1" w:lastColumn="0" w:noHBand="0" w:noVBand="1"/>
      </w:tblPr>
      <w:tblGrid>
        <w:gridCol w:w="1620"/>
        <w:gridCol w:w="1620"/>
        <w:gridCol w:w="1710"/>
      </w:tblGrid>
      <w:tr w:rsidR="00C00269" w:rsidRPr="0006165F" w14:paraId="5CFFA00A" w14:textId="77777777" w:rsidTr="00A84D5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950" w:type="dxa"/>
            <w:gridSpan w:val="3"/>
            <w:noWrap/>
          </w:tcPr>
          <w:p w14:paraId="5BEAE27C" w14:textId="612866B2" w:rsidR="00C00269" w:rsidRPr="00C534B6" w:rsidRDefault="00C00269" w:rsidP="00C534B6">
            <w:pPr>
              <w:rPr>
                <w:rFonts w:ascii="Calibri" w:hAnsi="Calibri" w:cs="Calibri"/>
                <w:color w:val="000000"/>
              </w:rPr>
            </w:pPr>
            <w:r w:rsidRPr="00C534B6">
              <w:rPr>
                <w:rFonts w:ascii="Calibri" w:hAnsi="Calibri" w:cs="Calibri"/>
                <w:color w:val="000000"/>
              </w:rPr>
              <w:t>Table 1: Public comments submitted by county</w:t>
            </w:r>
          </w:p>
        </w:tc>
      </w:tr>
      <w:tr w:rsidR="00C9371D" w:rsidRPr="0006165F" w14:paraId="6553371E"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1191C53F" w14:textId="4BA1873A" w:rsidR="0006165F" w:rsidRPr="00356EA4" w:rsidRDefault="0006165F" w:rsidP="0006165F">
            <w:pPr>
              <w:rPr>
                <w:rFonts w:ascii="Calibri" w:hAnsi="Calibri" w:cs="Calibri"/>
                <w:b/>
                <w:bCs/>
                <w:color w:val="000000"/>
                <w:sz w:val="22"/>
                <w:szCs w:val="22"/>
              </w:rPr>
            </w:pPr>
            <w:r w:rsidRPr="00356EA4">
              <w:rPr>
                <w:rFonts w:ascii="Calibri" w:hAnsi="Calibri" w:cs="Calibri"/>
                <w:b/>
                <w:bCs/>
                <w:color w:val="000000"/>
                <w:sz w:val="22"/>
                <w:szCs w:val="22"/>
              </w:rPr>
              <w:t>County</w:t>
            </w:r>
          </w:p>
        </w:tc>
        <w:tc>
          <w:tcPr>
            <w:tcW w:w="1620" w:type="dxa"/>
            <w:noWrap/>
            <w:hideMark/>
          </w:tcPr>
          <w:p w14:paraId="2048C58D" w14:textId="737C28E8" w:rsidR="0006165F" w:rsidRPr="00356EA4" w:rsidRDefault="0006165F" w:rsidP="00C9371D">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356EA4">
              <w:rPr>
                <w:rFonts w:ascii="Calibri" w:hAnsi="Calibri" w:cs="Calibri"/>
                <w:b/>
                <w:bCs/>
                <w:color w:val="000000"/>
                <w:sz w:val="22"/>
                <w:szCs w:val="22"/>
              </w:rPr>
              <w:t>N comments</w:t>
            </w:r>
          </w:p>
        </w:tc>
        <w:tc>
          <w:tcPr>
            <w:tcW w:w="1710" w:type="dxa"/>
            <w:noWrap/>
            <w:hideMark/>
          </w:tcPr>
          <w:p w14:paraId="22CF6686" w14:textId="77777777" w:rsidR="0006165F" w:rsidRPr="00356EA4" w:rsidRDefault="0006165F" w:rsidP="00C9371D">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356EA4">
              <w:rPr>
                <w:rFonts w:ascii="Calibri" w:hAnsi="Calibri" w:cs="Calibri"/>
                <w:b/>
                <w:bCs/>
                <w:color w:val="000000"/>
                <w:sz w:val="22"/>
                <w:szCs w:val="22"/>
              </w:rPr>
              <w:t>%</w:t>
            </w:r>
          </w:p>
        </w:tc>
      </w:tr>
      <w:tr w:rsidR="001F3077" w:rsidRPr="0006165F" w14:paraId="2DBCD644"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65541A36"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Barnstable</w:t>
            </w:r>
          </w:p>
        </w:tc>
        <w:tc>
          <w:tcPr>
            <w:tcW w:w="1620" w:type="dxa"/>
            <w:noWrap/>
            <w:hideMark/>
          </w:tcPr>
          <w:p w14:paraId="667E8253" w14:textId="0B4964AD"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p>
        </w:tc>
        <w:tc>
          <w:tcPr>
            <w:tcW w:w="1710" w:type="dxa"/>
            <w:noWrap/>
            <w:hideMark/>
          </w:tcPr>
          <w:p w14:paraId="1E5A9BE5" w14:textId="494AD8F3"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E8393A">
              <w:rPr>
                <w:rFonts w:ascii="Calibri" w:hAnsi="Calibri" w:cs="Calibri"/>
                <w:color w:val="000000"/>
                <w:sz w:val="22"/>
                <w:szCs w:val="22"/>
              </w:rPr>
              <w:t>4</w:t>
            </w:r>
            <w:r>
              <w:rPr>
                <w:rFonts w:ascii="Calibri" w:hAnsi="Calibri" w:cs="Calibri"/>
                <w:color w:val="000000"/>
                <w:sz w:val="22"/>
                <w:szCs w:val="22"/>
              </w:rPr>
              <w:t>%</w:t>
            </w:r>
          </w:p>
        </w:tc>
      </w:tr>
      <w:tr w:rsidR="001F3077" w:rsidRPr="0006165F" w14:paraId="7651CC0B"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5898A86D"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Berkshire</w:t>
            </w:r>
          </w:p>
        </w:tc>
        <w:tc>
          <w:tcPr>
            <w:tcW w:w="1620" w:type="dxa"/>
            <w:noWrap/>
            <w:hideMark/>
          </w:tcPr>
          <w:p w14:paraId="7382303E" w14:textId="5D548ECD"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710" w:type="dxa"/>
            <w:noWrap/>
            <w:hideMark/>
          </w:tcPr>
          <w:p w14:paraId="6481A1C6" w14:textId="0FF74995"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w:t>
            </w:r>
          </w:p>
        </w:tc>
      </w:tr>
      <w:tr w:rsidR="001F3077" w:rsidRPr="0006165F" w14:paraId="051B3197"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07BF7D11"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Bristol</w:t>
            </w:r>
          </w:p>
        </w:tc>
        <w:tc>
          <w:tcPr>
            <w:tcW w:w="1620" w:type="dxa"/>
            <w:noWrap/>
            <w:hideMark/>
          </w:tcPr>
          <w:p w14:paraId="582DB17E" w14:textId="1CCE9D51"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w:t>
            </w:r>
          </w:p>
        </w:tc>
        <w:tc>
          <w:tcPr>
            <w:tcW w:w="1710" w:type="dxa"/>
            <w:noWrap/>
            <w:hideMark/>
          </w:tcPr>
          <w:p w14:paraId="6BFF1114" w14:textId="5771B928"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r w:rsidR="001D3C6C">
              <w:rPr>
                <w:rFonts w:ascii="Calibri" w:hAnsi="Calibri" w:cs="Calibri"/>
                <w:color w:val="000000"/>
                <w:sz w:val="22"/>
                <w:szCs w:val="22"/>
              </w:rPr>
              <w:t>3</w:t>
            </w:r>
            <w:r>
              <w:rPr>
                <w:rFonts w:ascii="Calibri" w:hAnsi="Calibri" w:cs="Calibri"/>
                <w:color w:val="000000"/>
                <w:sz w:val="22"/>
                <w:szCs w:val="22"/>
              </w:rPr>
              <w:t>%</w:t>
            </w:r>
          </w:p>
        </w:tc>
      </w:tr>
      <w:tr w:rsidR="001F3077" w:rsidRPr="0006165F" w14:paraId="2942E201"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15A5F6DE"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Essex</w:t>
            </w:r>
          </w:p>
        </w:tc>
        <w:tc>
          <w:tcPr>
            <w:tcW w:w="1620" w:type="dxa"/>
            <w:noWrap/>
            <w:hideMark/>
          </w:tcPr>
          <w:p w14:paraId="1AFC5574" w14:textId="6FCA9F30"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p>
        </w:tc>
        <w:tc>
          <w:tcPr>
            <w:tcW w:w="1710" w:type="dxa"/>
            <w:noWrap/>
            <w:hideMark/>
          </w:tcPr>
          <w:p w14:paraId="5D66FC76" w14:textId="62869FCF"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B207B1">
              <w:rPr>
                <w:rFonts w:ascii="Calibri" w:hAnsi="Calibri" w:cs="Calibri"/>
                <w:color w:val="000000"/>
                <w:sz w:val="22"/>
                <w:szCs w:val="22"/>
              </w:rPr>
              <w:t>2</w:t>
            </w:r>
            <w:r>
              <w:rPr>
                <w:rFonts w:ascii="Calibri" w:hAnsi="Calibri" w:cs="Calibri"/>
                <w:color w:val="000000"/>
                <w:sz w:val="22"/>
                <w:szCs w:val="22"/>
              </w:rPr>
              <w:t>%</w:t>
            </w:r>
          </w:p>
        </w:tc>
      </w:tr>
      <w:tr w:rsidR="001F3077" w:rsidRPr="0006165F" w14:paraId="56EB056F"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5F151866"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Franklin</w:t>
            </w:r>
          </w:p>
        </w:tc>
        <w:tc>
          <w:tcPr>
            <w:tcW w:w="1620" w:type="dxa"/>
            <w:noWrap/>
            <w:hideMark/>
          </w:tcPr>
          <w:p w14:paraId="4755EC80" w14:textId="61ADC33B"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r w:rsidR="001A015E">
              <w:rPr>
                <w:rFonts w:ascii="Calibri" w:hAnsi="Calibri" w:cs="Calibri"/>
                <w:color w:val="000000"/>
                <w:sz w:val="22"/>
                <w:szCs w:val="22"/>
              </w:rPr>
              <w:t>3</w:t>
            </w:r>
          </w:p>
        </w:tc>
        <w:tc>
          <w:tcPr>
            <w:tcW w:w="1710" w:type="dxa"/>
            <w:noWrap/>
            <w:hideMark/>
          </w:tcPr>
          <w:p w14:paraId="465ED679" w14:textId="2075FFA0" w:rsidR="001F3077" w:rsidRPr="0006165F" w:rsidRDefault="001D3C6C"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w:t>
            </w:r>
            <w:r w:rsidR="001A015E">
              <w:rPr>
                <w:rFonts w:ascii="Calibri" w:hAnsi="Calibri" w:cs="Calibri"/>
                <w:color w:val="000000"/>
                <w:sz w:val="22"/>
                <w:szCs w:val="22"/>
              </w:rPr>
              <w:t>8</w:t>
            </w:r>
            <w:r>
              <w:rPr>
                <w:rFonts w:ascii="Calibri" w:hAnsi="Calibri" w:cs="Calibri"/>
                <w:color w:val="000000"/>
                <w:sz w:val="22"/>
                <w:szCs w:val="22"/>
              </w:rPr>
              <w:t>.</w:t>
            </w:r>
            <w:r w:rsidR="001A015E">
              <w:rPr>
                <w:rFonts w:ascii="Calibri" w:hAnsi="Calibri" w:cs="Calibri"/>
                <w:color w:val="000000"/>
                <w:sz w:val="22"/>
                <w:szCs w:val="22"/>
              </w:rPr>
              <w:t>4</w:t>
            </w:r>
            <w:r w:rsidR="001F3077">
              <w:rPr>
                <w:rFonts w:ascii="Calibri" w:hAnsi="Calibri" w:cs="Calibri"/>
                <w:color w:val="000000"/>
                <w:sz w:val="22"/>
                <w:szCs w:val="22"/>
              </w:rPr>
              <w:t>%</w:t>
            </w:r>
          </w:p>
        </w:tc>
      </w:tr>
      <w:tr w:rsidR="001F3077" w:rsidRPr="0006165F" w14:paraId="478CE35B"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7BAA09B8"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Hampden</w:t>
            </w:r>
          </w:p>
        </w:tc>
        <w:tc>
          <w:tcPr>
            <w:tcW w:w="1620" w:type="dxa"/>
            <w:noWrap/>
            <w:hideMark/>
          </w:tcPr>
          <w:p w14:paraId="4543DA5E" w14:textId="041D7FDF"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w:t>
            </w:r>
          </w:p>
        </w:tc>
        <w:tc>
          <w:tcPr>
            <w:tcW w:w="1710" w:type="dxa"/>
            <w:noWrap/>
            <w:hideMark/>
          </w:tcPr>
          <w:p w14:paraId="571D322C" w14:textId="7ABF3CEA"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2.9%</w:t>
            </w:r>
          </w:p>
        </w:tc>
      </w:tr>
      <w:tr w:rsidR="001F3077" w:rsidRPr="0006165F" w14:paraId="2CFC3C67"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15F85DE8"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Hampshire</w:t>
            </w:r>
          </w:p>
        </w:tc>
        <w:tc>
          <w:tcPr>
            <w:tcW w:w="1620" w:type="dxa"/>
            <w:noWrap/>
            <w:hideMark/>
          </w:tcPr>
          <w:p w14:paraId="74373956" w14:textId="1590D1F9"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w:t>
            </w:r>
          </w:p>
        </w:tc>
        <w:tc>
          <w:tcPr>
            <w:tcW w:w="1710" w:type="dxa"/>
            <w:noWrap/>
            <w:hideMark/>
          </w:tcPr>
          <w:p w14:paraId="059F90F5" w14:textId="43DC17D1"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10.</w:t>
            </w:r>
            <w:r w:rsidR="00B207B1">
              <w:rPr>
                <w:rFonts w:ascii="Calibri" w:hAnsi="Calibri" w:cs="Calibri"/>
                <w:color w:val="000000"/>
                <w:sz w:val="22"/>
                <w:szCs w:val="22"/>
              </w:rPr>
              <w:t>1</w:t>
            </w:r>
            <w:r>
              <w:rPr>
                <w:rFonts w:ascii="Calibri" w:hAnsi="Calibri" w:cs="Calibri"/>
                <w:color w:val="000000"/>
                <w:sz w:val="22"/>
                <w:szCs w:val="22"/>
              </w:rPr>
              <w:t>%</w:t>
            </w:r>
          </w:p>
        </w:tc>
      </w:tr>
      <w:tr w:rsidR="001F3077" w:rsidRPr="0006165F" w14:paraId="0668BD40"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773EEB2F"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Middlesex</w:t>
            </w:r>
          </w:p>
        </w:tc>
        <w:tc>
          <w:tcPr>
            <w:tcW w:w="1620" w:type="dxa"/>
            <w:noWrap/>
            <w:hideMark/>
          </w:tcPr>
          <w:p w14:paraId="43D15B71" w14:textId="33EDEE8B"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w:t>
            </w:r>
          </w:p>
        </w:tc>
        <w:tc>
          <w:tcPr>
            <w:tcW w:w="1710" w:type="dxa"/>
            <w:noWrap/>
            <w:hideMark/>
          </w:tcPr>
          <w:p w14:paraId="51ADD125" w14:textId="754FCB28"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8.</w:t>
            </w:r>
            <w:r w:rsidR="00B207B1">
              <w:rPr>
                <w:rFonts w:ascii="Calibri" w:hAnsi="Calibri" w:cs="Calibri"/>
                <w:color w:val="000000"/>
                <w:sz w:val="22"/>
                <w:szCs w:val="22"/>
              </w:rPr>
              <w:t>7</w:t>
            </w:r>
            <w:r>
              <w:rPr>
                <w:rFonts w:ascii="Calibri" w:hAnsi="Calibri" w:cs="Calibri"/>
                <w:color w:val="000000"/>
                <w:sz w:val="22"/>
                <w:szCs w:val="22"/>
              </w:rPr>
              <w:t>%</w:t>
            </w:r>
          </w:p>
        </w:tc>
      </w:tr>
      <w:tr w:rsidR="001F3077" w:rsidRPr="0006165F" w14:paraId="44685909"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121128BC"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Plymouth</w:t>
            </w:r>
          </w:p>
        </w:tc>
        <w:tc>
          <w:tcPr>
            <w:tcW w:w="1620" w:type="dxa"/>
            <w:noWrap/>
            <w:hideMark/>
          </w:tcPr>
          <w:p w14:paraId="375460CE" w14:textId="7767C0A2"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13</w:t>
            </w:r>
          </w:p>
        </w:tc>
        <w:tc>
          <w:tcPr>
            <w:tcW w:w="1710" w:type="dxa"/>
            <w:noWrap/>
            <w:hideMark/>
          </w:tcPr>
          <w:p w14:paraId="3B1294A1" w14:textId="3D681A1D"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w:t>
            </w:r>
            <w:r w:rsidR="00B207B1">
              <w:rPr>
                <w:rFonts w:ascii="Calibri" w:hAnsi="Calibri" w:cs="Calibri"/>
                <w:color w:val="000000"/>
                <w:sz w:val="22"/>
                <w:szCs w:val="22"/>
              </w:rPr>
              <w:t>4</w:t>
            </w:r>
            <w:r>
              <w:rPr>
                <w:rFonts w:ascii="Calibri" w:hAnsi="Calibri" w:cs="Calibri"/>
                <w:color w:val="000000"/>
                <w:sz w:val="22"/>
                <w:szCs w:val="22"/>
              </w:rPr>
              <w:t>%</w:t>
            </w:r>
          </w:p>
        </w:tc>
      </w:tr>
      <w:tr w:rsidR="001F3077" w:rsidRPr="0006165F" w14:paraId="2B0EB13C"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795ECF9B"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Suffolk</w:t>
            </w:r>
          </w:p>
        </w:tc>
        <w:tc>
          <w:tcPr>
            <w:tcW w:w="1620" w:type="dxa"/>
            <w:noWrap/>
            <w:hideMark/>
          </w:tcPr>
          <w:p w14:paraId="454F7408" w14:textId="1A002E56"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w:t>
            </w:r>
          </w:p>
        </w:tc>
        <w:tc>
          <w:tcPr>
            <w:tcW w:w="1710" w:type="dxa"/>
            <w:noWrap/>
            <w:hideMark/>
          </w:tcPr>
          <w:p w14:paraId="1423212A" w14:textId="13FE4A66"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3.6%</w:t>
            </w:r>
          </w:p>
        </w:tc>
      </w:tr>
      <w:tr w:rsidR="001F3077" w:rsidRPr="0006165F" w14:paraId="3B9E3ACE"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20BDCC95" w14:textId="77777777" w:rsidR="001F3077" w:rsidRPr="0006165F" w:rsidRDefault="001F3077" w:rsidP="001F3077">
            <w:pPr>
              <w:rPr>
                <w:rFonts w:ascii="Calibri" w:hAnsi="Calibri" w:cs="Calibri"/>
                <w:color w:val="000000"/>
                <w:sz w:val="22"/>
                <w:szCs w:val="22"/>
              </w:rPr>
            </w:pPr>
            <w:r w:rsidRPr="0006165F">
              <w:rPr>
                <w:rFonts w:ascii="Calibri" w:hAnsi="Calibri" w:cs="Calibri"/>
                <w:color w:val="000000"/>
                <w:sz w:val="22"/>
                <w:szCs w:val="22"/>
              </w:rPr>
              <w:t>Worcester</w:t>
            </w:r>
          </w:p>
        </w:tc>
        <w:tc>
          <w:tcPr>
            <w:tcW w:w="1620" w:type="dxa"/>
            <w:noWrap/>
            <w:hideMark/>
          </w:tcPr>
          <w:p w14:paraId="2C5E3D28" w14:textId="1D78E487" w:rsidR="001F3077" w:rsidRPr="0006165F" w:rsidRDefault="001F3077"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22</w:t>
            </w:r>
          </w:p>
        </w:tc>
        <w:tc>
          <w:tcPr>
            <w:tcW w:w="1710" w:type="dxa"/>
            <w:noWrap/>
            <w:hideMark/>
          </w:tcPr>
          <w:p w14:paraId="365CF6E2" w14:textId="726A8E70" w:rsidR="001F3077" w:rsidRPr="0006165F" w:rsidRDefault="001D3C6C" w:rsidP="001F307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r w:rsidR="00B207B1">
              <w:rPr>
                <w:rFonts w:ascii="Calibri" w:hAnsi="Calibri" w:cs="Calibri"/>
                <w:color w:val="000000"/>
                <w:sz w:val="22"/>
                <w:szCs w:val="22"/>
              </w:rPr>
              <w:t>9</w:t>
            </w:r>
            <w:r w:rsidR="001F3077">
              <w:rPr>
                <w:rFonts w:ascii="Calibri" w:hAnsi="Calibri" w:cs="Calibri"/>
                <w:color w:val="000000"/>
                <w:sz w:val="22"/>
                <w:szCs w:val="22"/>
              </w:rPr>
              <w:t>%</w:t>
            </w:r>
          </w:p>
        </w:tc>
      </w:tr>
      <w:tr w:rsidR="00B658DB" w:rsidRPr="0006165F" w14:paraId="741D670D" w14:textId="77777777" w:rsidTr="00A84D5B">
        <w:trPr>
          <w:trHeight w:val="290"/>
          <w:jc w:val="center"/>
        </w:trPr>
        <w:tc>
          <w:tcPr>
            <w:cnfStyle w:val="001000000000" w:firstRow="0" w:lastRow="0" w:firstColumn="1" w:lastColumn="0" w:oddVBand="0" w:evenVBand="0" w:oddHBand="0" w:evenHBand="0" w:firstRowFirstColumn="0" w:firstRowLastColumn="0" w:lastRowFirstColumn="0" w:lastRowLastColumn="0"/>
            <w:tcW w:w="1620" w:type="dxa"/>
            <w:noWrap/>
            <w:hideMark/>
          </w:tcPr>
          <w:p w14:paraId="413CDAC5" w14:textId="3CFC650F" w:rsidR="00B658DB" w:rsidRPr="00356EA4" w:rsidRDefault="00B658DB" w:rsidP="00B658DB">
            <w:pPr>
              <w:rPr>
                <w:rFonts w:ascii="Calibri" w:hAnsi="Calibri" w:cs="Calibri"/>
                <w:b/>
                <w:bCs/>
                <w:color w:val="000000"/>
                <w:sz w:val="22"/>
                <w:szCs w:val="22"/>
              </w:rPr>
            </w:pPr>
            <w:r w:rsidRPr="00356EA4">
              <w:rPr>
                <w:rFonts w:ascii="Calibri" w:hAnsi="Calibri" w:cs="Calibri"/>
                <w:b/>
                <w:bCs/>
                <w:color w:val="000000"/>
                <w:sz w:val="22"/>
                <w:szCs w:val="22"/>
              </w:rPr>
              <w:t>Total</w:t>
            </w:r>
          </w:p>
        </w:tc>
        <w:tc>
          <w:tcPr>
            <w:tcW w:w="1620" w:type="dxa"/>
            <w:noWrap/>
            <w:hideMark/>
          </w:tcPr>
          <w:p w14:paraId="56A19E11" w14:textId="7CE74A48" w:rsidR="00B658DB" w:rsidRPr="00B97640" w:rsidRDefault="00B658DB" w:rsidP="00B658D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B97640">
              <w:rPr>
                <w:rFonts w:ascii="Calibri" w:hAnsi="Calibri" w:cs="Calibri"/>
                <w:b/>
                <w:bCs/>
                <w:color w:val="000000"/>
                <w:sz w:val="22"/>
                <w:szCs w:val="22"/>
              </w:rPr>
              <w:t>1</w:t>
            </w:r>
            <w:r w:rsidR="001A015E">
              <w:rPr>
                <w:rFonts w:ascii="Calibri" w:hAnsi="Calibri" w:cs="Calibri"/>
                <w:b/>
                <w:bCs/>
                <w:color w:val="000000"/>
                <w:sz w:val="22"/>
                <w:szCs w:val="22"/>
              </w:rPr>
              <w:t>38</w:t>
            </w:r>
          </w:p>
        </w:tc>
        <w:tc>
          <w:tcPr>
            <w:tcW w:w="1710" w:type="dxa"/>
            <w:noWrap/>
            <w:hideMark/>
          </w:tcPr>
          <w:p w14:paraId="1139DE9A" w14:textId="77777777" w:rsidR="00B658DB" w:rsidRPr="0006165F" w:rsidRDefault="00B658DB" w:rsidP="00B658D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bl>
    <w:p w14:paraId="7C489774" w14:textId="77777777" w:rsidR="000E2511" w:rsidRDefault="000E2511"/>
    <w:p w14:paraId="1EA43809" w14:textId="0304A209" w:rsidR="00B27846" w:rsidRDefault="00627CBF">
      <w:r>
        <w:t xml:space="preserve">The issues raised in the comments were wide ranging, but </w:t>
      </w:r>
      <w:r w:rsidR="00BD0AC7">
        <w:t>the most common issues cited focused on the challenges facing rural communities</w:t>
      </w:r>
      <w:r w:rsidR="004B174A">
        <w:t xml:space="preserve"> </w:t>
      </w:r>
      <w:r w:rsidR="00BD0AC7">
        <w:t>in the Commonwealth</w:t>
      </w:r>
      <w:r w:rsidR="00996EDF">
        <w:t xml:space="preserve"> (</w:t>
      </w:r>
      <w:r w:rsidR="00397070">
        <w:t>38</w:t>
      </w:r>
      <w:r w:rsidR="008D1BEA">
        <w:t xml:space="preserve"> </w:t>
      </w:r>
      <w:r w:rsidR="00996EDF">
        <w:t>comments)</w:t>
      </w:r>
      <w:r w:rsidR="00BD0AC7">
        <w:t>, including</w:t>
      </w:r>
      <w:r w:rsidR="00636397">
        <w:t>, but not limited to,</w:t>
      </w:r>
      <w:r w:rsidR="00BD0AC7">
        <w:t xml:space="preserve"> declining enrollments </w:t>
      </w:r>
      <w:r w:rsidR="00A51643">
        <w:t xml:space="preserve">(29 comments) </w:t>
      </w:r>
      <w:r w:rsidR="00BD0AC7">
        <w:t>and limited fiscal capacity</w:t>
      </w:r>
      <w:r w:rsidR="00241D8F">
        <w:t xml:space="preserve"> to</w:t>
      </w:r>
      <w:r w:rsidR="00346E0C">
        <w:t xml:space="preserve"> support</w:t>
      </w:r>
      <w:r w:rsidR="00241D8F">
        <w:t xml:space="preserve"> local educational needs</w:t>
      </w:r>
      <w:r w:rsidR="00996EDF">
        <w:t xml:space="preserve"> (23 comments)</w:t>
      </w:r>
      <w:r w:rsidR="00D22735">
        <w:t xml:space="preserve">. Another </w:t>
      </w:r>
      <w:r w:rsidR="00061132">
        <w:t>frequently raised</w:t>
      </w:r>
      <w:r w:rsidR="00D22735">
        <w:t xml:space="preserve"> concern</w:t>
      </w:r>
      <w:r w:rsidR="00061132">
        <w:t xml:space="preserve"> centered around</w:t>
      </w:r>
      <w:r w:rsidR="00D22735">
        <w:t xml:space="preserve"> the </w:t>
      </w:r>
      <w:r w:rsidR="00385E2C">
        <w:t>82.5% local contribution cap</w:t>
      </w:r>
      <w:r w:rsidR="00996EDF">
        <w:t xml:space="preserve"> (38 comments)</w:t>
      </w:r>
      <w:r w:rsidR="00385E2C">
        <w:t xml:space="preserve">, which </w:t>
      </w:r>
      <w:r w:rsidR="0010603B">
        <w:t>several</w:t>
      </w:r>
      <w:r w:rsidR="00385E2C">
        <w:t xml:space="preserve"> </w:t>
      </w:r>
      <w:r w:rsidR="001B7C40">
        <w:t>commenters</w:t>
      </w:r>
      <w:r w:rsidR="00C4164A">
        <w:t xml:space="preserve"> </w:t>
      </w:r>
      <w:r w:rsidR="00227C7C">
        <w:t>suggested benefits</w:t>
      </w:r>
      <w:r w:rsidR="00057E5F">
        <w:t xml:space="preserve"> </w:t>
      </w:r>
      <w:r w:rsidR="00F96E6E">
        <w:t>communities with greater fiscal capacity at the expense of less wealth</w:t>
      </w:r>
      <w:r w:rsidR="0058330E">
        <w:t>y</w:t>
      </w:r>
      <w:r w:rsidR="00F96E6E">
        <w:t xml:space="preserve"> communities</w:t>
      </w:r>
      <w:r w:rsidR="00A12DCB">
        <w:t>.</w:t>
      </w:r>
      <w:r w:rsidR="00F96E6E">
        <w:t xml:space="preserve"> </w:t>
      </w:r>
      <w:r w:rsidR="001B7C40">
        <w:t>Some of these</w:t>
      </w:r>
      <w:r w:rsidR="00CC5476">
        <w:t xml:space="preserve"> responses advocated for raising the ceiling on local contributions</w:t>
      </w:r>
      <w:r w:rsidR="00FE3F96">
        <w:t xml:space="preserve"> above </w:t>
      </w:r>
      <w:r w:rsidR="00CC7B1A">
        <w:t xml:space="preserve">the current </w:t>
      </w:r>
      <w:r w:rsidR="00FE3F96">
        <w:t xml:space="preserve">82.5% </w:t>
      </w:r>
      <w:r w:rsidR="00CC7B1A">
        <w:t>cap</w:t>
      </w:r>
      <w:r w:rsidR="00FE3F96">
        <w:t xml:space="preserve">, </w:t>
      </w:r>
      <w:r w:rsidR="0063300E">
        <w:t>some as high as 100% of foundation.</w:t>
      </w:r>
      <w:r w:rsidR="00A12DCB">
        <w:t xml:space="preserve"> </w:t>
      </w:r>
      <w:r w:rsidR="00227C7C">
        <w:t>Thirty-seven comments</w:t>
      </w:r>
      <w:r w:rsidR="001A5893">
        <w:t xml:space="preserve"> support</w:t>
      </w:r>
      <w:r w:rsidR="00227C7C">
        <w:t>ed retaining</w:t>
      </w:r>
      <w:r w:rsidR="001A5893">
        <w:t xml:space="preserve"> hold harmless aid</w:t>
      </w:r>
      <w:r w:rsidR="009D5F1A">
        <w:t>.</w:t>
      </w:r>
      <w:r w:rsidR="00D647D2">
        <w:rPr>
          <w:rStyle w:val="FootnoteReference"/>
        </w:rPr>
        <w:footnoteReference w:id="11"/>
      </w:r>
    </w:p>
    <w:p w14:paraId="1AFD31EC" w14:textId="77777777" w:rsidR="00B27846" w:rsidRDefault="00B27846"/>
    <w:p w14:paraId="34D6A444" w14:textId="0FD4D08F" w:rsidR="00457DB3" w:rsidRPr="00457DB3" w:rsidRDefault="00B27846" w:rsidP="00457DB3">
      <w:r>
        <w:t xml:space="preserve">Other responses </w:t>
      </w:r>
      <w:r w:rsidR="00CD2C3F">
        <w:t xml:space="preserve">pointed to </w:t>
      </w:r>
      <w:r w:rsidR="009E62FC">
        <w:t xml:space="preserve">issues raised by </w:t>
      </w:r>
      <w:r w:rsidR="005B0363">
        <w:t>Proposition 2 ½</w:t>
      </w:r>
      <w:r w:rsidR="00075E6A">
        <w:t xml:space="preserve"> </w:t>
      </w:r>
      <w:r w:rsidR="006823B2">
        <w:t>(2</w:t>
      </w:r>
      <w:r w:rsidR="009307DD">
        <w:t>4</w:t>
      </w:r>
      <w:r w:rsidR="006823B2">
        <w:t xml:space="preserve"> comments)</w:t>
      </w:r>
      <w:r w:rsidR="00197DF1">
        <w:t xml:space="preserve">, </w:t>
      </w:r>
      <w:r w:rsidR="008E7EED">
        <w:t>including claims</w:t>
      </w:r>
      <w:r w:rsidR="00C86F41">
        <w:t xml:space="preserve"> that </w:t>
      </w:r>
      <w:r w:rsidR="008E7EED">
        <w:t xml:space="preserve">because </w:t>
      </w:r>
      <w:r w:rsidR="00C86F41">
        <w:t xml:space="preserve">state </w:t>
      </w:r>
      <w:r w:rsidR="00F71FCA">
        <w:t>funding has not kept pace</w:t>
      </w:r>
      <w:r w:rsidR="00C86F41">
        <w:t xml:space="preserve"> with rising local education costs</w:t>
      </w:r>
      <w:r w:rsidR="008E7EED">
        <w:t xml:space="preserve"> it causes local school districts to rely more heavily on local property taxes</w:t>
      </w:r>
      <w:r w:rsidR="004606AA">
        <w:t xml:space="preserve"> to make up the difference</w:t>
      </w:r>
      <w:r w:rsidR="0039140D">
        <w:t xml:space="preserve">. </w:t>
      </w:r>
      <w:r w:rsidR="00A201FC">
        <w:t>Commenters noted</w:t>
      </w:r>
      <w:r w:rsidR="00D647D2">
        <w:t xml:space="preserve"> that i</w:t>
      </w:r>
      <w:r w:rsidR="0039140D">
        <w:t xml:space="preserve">f costs rise faster than Proposition 2 ½ limits allow, </w:t>
      </w:r>
      <w:r w:rsidR="00A1215E">
        <w:t xml:space="preserve">cities and towns </w:t>
      </w:r>
      <w:r w:rsidR="00015FC4">
        <w:t>have to pass overrides</w:t>
      </w:r>
      <w:r w:rsidR="00D11D1F">
        <w:t xml:space="preserve"> </w:t>
      </w:r>
      <w:r w:rsidR="008B5677">
        <w:t>to maintain services</w:t>
      </w:r>
      <w:r w:rsidR="00491FDF">
        <w:t>, and residents in s</w:t>
      </w:r>
      <w:r w:rsidR="00FA39FD">
        <w:t xml:space="preserve">ome communities are in a better position to </w:t>
      </w:r>
      <w:r w:rsidR="00654309">
        <w:t xml:space="preserve">pass overrides than others. </w:t>
      </w:r>
      <w:r w:rsidR="00B7300A">
        <w:t xml:space="preserve">Some commenters </w:t>
      </w:r>
      <w:r w:rsidR="00884C74">
        <w:t xml:space="preserve">also </w:t>
      </w:r>
      <w:r w:rsidR="00B7300A">
        <w:t xml:space="preserve">pointed out that their towns are close to their </w:t>
      </w:r>
      <w:r w:rsidR="005172AD">
        <w:t xml:space="preserve">tax </w:t>
      </w:r>
      <w:r w:rsidR="00B7300A">
        <w:lastRenderedPageBreak/>
        <w:t xml:space="preserve">levy ceilings, </w:t>
      </w:r>
      <w:r w:rsidR="004C7065">
        <w:t xml:space="preserve">which is a particular concern in </w:t>
      </w:r>
      <w:r w:rsidR="00457DB3" w:rsidRPr="004C7065">
        <w:t>western and central Massachusetts and other rural parts of the state</w:t>
      </w:r>
      <w:r w:rsidR="00113640">
        <w:t xml:space="preserve">, further compounding their ability to raise </w:t>
      </w:r>
      <w:r w:rsidR="00CB6370">
        <w:t>revenues</w:t>
      </w:r>
      <w:r w:rsidR="004C7065">
        <w:t>.</w:t>
      </w:r>
      <w:r w:rsidR="00457DB3" w:rsidRPr="00457DB3">
        <w:t xml:space="preserve"> </w:t>
      </w:r>
    </w:p>
    <w:p w14:paraId="46E22960" w14:textId="4E06FE2A" w:rsidR="0047707C" w:rsidRDefault="0047707C"/>
    <w:p w14:paraId="7D516EEA" w14:textId="600283F4" w:rsidR="00E60AE9" w:rsidRDefault="00B64133">
      <w:r>
        <w:t>Some comments focused on how property wealth and income</w:t>
      </w:r>
      <w:r w:rsidR="00E31602">
        <w:t xml:space="preserve"> </w:t>
      </w:r>
      <w:r>
        <w:t>are used in the formula</w:t>
      </w:r>
      <w:r w:rsidR="00A12A38">
        <w:t xml:space="preserve"> </w:t>
      </w:r>
      <w:r w:rsidR="00D64FF3">
        <w:t>to determine local contribution requirements</w:t>
      </w:r>
      <w:r w:rsidR="00A12A38">
        <w:t xml:space="preserve"> (</w:t>
      </w:r>
      <w:r w:rsidR="00FC5631">
        <w:t xml:space="preserve">14 </w:t>
      </w:r>
      <w:r w:rsidR="00A12A38">
        <w:t>comments)</w:t>
      </w:r>
      <w:r w:rsidR="00D64FF3">
        <w:t>.</w:t>
      </w:r>
      <w:r w:rsidR="00FC7652">
        <w:t xml:space="preserve"> </w:t>
      </w:r>
      <w:r w:rsidR="00E31602">
        <w:t>These comments included calls to</w:t>
      </w:r>
      <w:r w:rsidR="00FC7652">
        <w:t xml:space="preserve"> </w:t>
      </w:r>
      <w:r w:rsidR="00860842">
        <w:t>remov</w:t>
      </w:r>
      <w:r w:rsidR="00444455">
        <w:t>e</w:t>
      </w:r>
      <w:r w:rsidR="00860842">
        <w:t xml:space="preserve"> aggregate income as reported on state tax returns as a factor in the wealth determin</w:t>
      </w:r>
      <w:r w:rsidR="00D64B51">
        <w:t>ation, pointing to the fact that property</w:t>
      </w:r>
      <w:r w:rsidR="00D647D2">
        <w:t>, not income,</w:t>
      </w:r>
      <w:r w:rsidR="00D64B51">
        <w:t xml:space="preserve"> i</w:t>
      </w:r>
      <w:r w:rsidR="00C23E13">
        <w:t>s</w:t>
      </w:r>
      <w:r w:rsidR="00D64B51">
        <w:t xml:space="preserve"> taxe</w:t>
      </w:r>
      <w:r w:rsidR="00C23E13">
        <w:t>d</w:t>
      </w:r>
      <w:r w:rsidR="00D64B51">
        <w:t xml:space="preserve"> locally. </w:t>
      </w:r>
      <w:r w:rsidR="00862C58">
        <w:t>While some comments looked to remove</w:t>
      </w:r>
      <w:r w:rsidR="00E272D3">
        <w:t xml:space="preserve"> income</w:t>
      </w:r>
      <w:r w:rsidR="00862C58">
        <w:t xml:space="preserve"> from the formula, others asked</w:t>
      </w:r>
      <w:r w:rsidR="00C23E13">
        <w:t xml:space="preserve"> </w:t>
      </w:r>
      <w:r w:rsidR="00862C58">
        <w:t xml:space="preserve">the state </w:t>
      </w:r>
      <w:r w:rsidR="00C23E13">
        <w:t xml:space="preserve">to consider </w:t>
      </w:r>
      <w:r w:rsidR="00862C58">
        <w:t>us</w:t>
      </w:r>
      <w:r w:rsidR="00C23E13">
        <w:t>ing</w:t>
      </w:r>
      <w:r w:rsidR="00862C58">
        <w:t xml:space="preserve"> median income</w:t>
      </w:r>
      <w:r w:rsidR="00C23E13">
        <w:t xml:space="preserve"> instead</w:t>
      </w:r>
      <w:r w:rsidR="00862C58">
        <w:t xml:space="preserve"> </w:t>
      </w:r>
      <w:r w:rsidR="0065403D">
        <w:t xml:space="preserve">of </w:t>
      </w:r>
      <w:r w:rsidR="00862C58">
        <w:t>aggregate income</w:t>
      </w:r>
      <w:r w:rsidR="00C23E13">
        <w:t xml:space="preserve"> </w:t>
      </w:r>
      <w:r w:rsidR="00120832">
        <w:t>to</w:t>
      </w:r>
      <w:r w:rsidR="008E1FB8">
        <w:t xml:space="preserve"> </w:t>
      </w:r>
      <w:r w:rsidR="004F5D8B">
        <w:t xml:space="preserve">eliminate the influence that a few </w:t>
      </w:r>
      <w:r w:rsidR="003B7C41">
        <w:t>high-income</w:t>
      </w:r>
      <w:r w:rsidR="006C7AFB">
        <w:t xml:space="preserve"> </w:t>
      </w:r>
      <w:r w:rsidR="00995288">
        <w:t>residents can have on a communit</w:t>
      </w:r>
      <w:r w:rsidR="00243D9C">
        <w:t xml:space="preserve">y’s </w:t>
      </w:r>
      <w:r w:rsidR="003B7C41">
        <w:t>wealth</w:t>
      </w:r>
      <w:r w:rsidR="00862C58">
        <w:t>.</w:t>
      </w:r>
      <w:r w:rsidR="00B31EAC">
        <w:t xml:space="preserve"> </w:t>
      </w:r>
      <w:r w:rsidR="00546644" w:rsidRPr="00356EA4">
        <w:t>Other responses called for changes to how property wealth is measured, advocating that the state use assessed values instead of equalized values (EQVs) because they reflect the actual tax base in each city and town.</w:t>
      </w:r>
      <w:r w:rsidR="00546644">
        <w:t xml:space="preserve"> </w:t>
      </w:r>
      <w:r w:rsidR="00B31EAC">
        <w:t xml:space="preserve">Another commenter </w:t>
      </w:r>
      <w:r w:rsidR="00D647D2">
        <w:t>suggested</w:t>
      </w:r>
      <w:r w:rsidR="00B31EAC">
        <w:t xml:space="preserve"> that </w:t>
      </w:r>
      <w:r w:rsidR="0025741D">
        <w:t>setting an</w:t>
      </w:r>
      <w:r w:rsidR="00551EF4" w:rsidRPr="00551EF4">
        <w:t xml:space="preserve"> arbitrary </w:t>
      </w:r>
      <w:r w:rsidR="0025741D">
        <w:t>cap on local contribution requirements at 82.5% of foundation leads to outcomes w</w:t>
      </w:r>
      <w:r w:rsidR="003416C8">
        <w:t>here</w:t>
      </w:r>
      <w:r w:rsidR="00551EF4" w:rsidRPr="00551EF4">
        <w:t xml:space="preserve"> communities with significantly different wealth factors are</w:t>
      </w:r>
      <w:r w:rsidR="0025741D">
        <w:t xml:space="preserve"> treated </w:t>
      </w:r>
      <w:r w:rsidR="00E67AF8">
        <w:t xml:space="preserve">the same when in </w:t>
      </w:r>
      <w:r w:rsidR="0074758A">
        <w:t>fact</w:t>
      </w:r>
      <w:r w:rsidR="00E67AF8">
        <w:t xml:space="preserve"> they might be quite different</w:t>
      </w:r>
      <w:r w:rsidR="00DF5CF1">
        <w:t>.</w:t>
      </w:r>
    </w:p>
    <w:p w14:paraId="33813101" w14:textId="698071B1" w:rsidR="00E60AE9" w:rsidRDefault="00E60AE9"/>
    <w:p w14:paraId="7F9684D0" w14:textId="2C742641" w:rsidR="009263F1" w:rsidRDefault="009263F1">
      <w:r>
        <w:t>Other comment</w:t>
      </w:r>
      <w:r w:rsidR="00695544">
        <w:t>s</w:t>
      </w:r>
      <w:r w:rsidR="00715BA8">
        <w:t xml:space="preserve"> </w:t>
      </w:r>
      <w:r w:rsidR="001F49F6">
        <w:t xml:space="preserve">called for </w:t>
      </w:r>
      <w:r w:rsidR="005C1381">
        <w:t>changing</w:t>
      </w:r>
      <w:r w:rsidR="001F49F6">
        <w:t xml:space="preserve"> the</w:t>
      </w:r>
      <w:r>
        <w:t xml:space="preserve"> </w:t>
      </w:r>
      <w:r w:rsidR="003B4C4E">
        <w:t xml:space="preserve">statewide </w:t>
      </w:r>
      <w:r w:rsidR="000F4AFE">
        <w:t xml:space="preserve">target </w:t>
      </w:r>
      <w:r w:rsidR="00CE538F">
        <w:t>percentages</w:t>
      </w:r>
      <w:r w:rsidR="007C1E76">
        <w:t xml:space="preserve"> </w:t>
      </w:r>
      <w:r w:rsidR="00054D60">
        <w:t>(</w:t>
      </w:r>
      <w:r w:rsidR="00752143">
        <w:t xml:space="preserve">59% </w:t>
      </w:r>
      <w:r w:rsidR="00054D60">
        <w:t xml:space="preserve">state </w:t>
      </w:r>
      <w:r w:rsidR="00752143">
        <w:t xml:space="preserve">and 41% </w:t>
      </w:r>
      <w:r w:rsidR="00054D60">
        <w:t>local contribution)</w:t>
      </w:r>
      <w:r w:rsidR="00A931DD">
        <w:t xml:space="preserve"> </w:t>
      </w:r>
      <w:r w:rsidR="002D398E">
        <w:t xml:space="preserve">to reflect </w:t>
      </w:r>
      <w:r w:rsidR="00E12EE4">
        <w:t xml:space="preserve">a higher state share </w:t>
      </w:r>
      <w:r>
        <w:t>(</w:t>
      </w:r>
      <w:r w:rsidR="008D668B">
        <w:t>13 comments)</w:t>
      </w:r>
      <w:r w:rsidR="001964B0">
        <w:t xml:space="preserve">. </w:t>
      </w:r>
      <w:r w:rsidR="00AA0F8C">
        <w:t xml:space="preserve">Some commenters pointed out that this </w:t>
      </w:r>
      <w:r w:rsidR="00587CA4">
        <w:t>change will be</w:t>
      </w:r>
      <w:r w:rsidR="005606EA">
        <w:t xml:space="preserve"> </w:t>
      </w:r>
      <w:r w:rsidR="00587CA4">
        <w:t xml:space="preserve">important </w:t>
      </w:r>
      <w:r w:rsidR="005606EA">
        <w:t>as</w:t>
      </w:r>
      <w:r w:rsidR="005173FB">
        <w:t xml:space="preserve"> the SOA is</w:t>
      </w:r>
      <w:r w:rsidR="001640C5" w:rsidRPr="001640C5">
        <w:t xml:space="preserve"> phased</w:t>
      </w:r>
      <w:r w:rsidR="005606EA">
        <w:t>-</w:t>
      </w:r>
      <w:r w:rsidR="001640C5" w:rsidRPr="001640C5">
        <w:t>in</w:t>
      </w:r>
      <w:r w:rsidR="005173FB">
        <w:t>, which</w:t>
      </w:r>
      <w:r w:rsidR="001114F2">
        <w:t xml:space="preserve"> </w:t>
      </w:r>
      <w:r w:rsidR="00420282">
        <w:t xml:space="preserve">will </w:t>
      </w:r>
      <w:r w:rsidR="001114F2">
        <w:t>increase some communit</w:t>
      </w:r>
      <w:r w:rsidR="00744462">
        <w:t>ies</w:t>
      </w:r>
      <w:r w:rsidR="005260BF">
        <w:t>’</w:t>
      </w:r>
      <w:r w:rsidR="00205211">
        <w:t xml:space="preserve"> </w:t>
      </w:r>
      <w:r w:rsidR="00FC4526">
        <w:t xml:space="preserve">target local shares and decrease their target </w:t>
      </w:r>
      <w:r w:rsidR="00DD5075">
        <w:t>aid shares</w:t>
      </w:r>
      <w:r w:rsidR="00E92BFD">
        <w:t xml:space="preserve"> as </w:t>
      </w:r>
      <w:r w:rsidR="00F902F3">
        <w:t xml:space="preserve">the </w:t>
      </w:r>
      <w:r w:rsidR="00E92BFD">
        <w:t xml:space="preserve">statewide foundation </w:t>
      </w:r>
      <w:r w:rsidR="00F902F3">
        <w:t xml:space="preserve">budget </w:t>
      </w:r>
      <w:r w:rsidR="00E92BFD">
        <w:t>increases</w:t>
      </w:r>
      <w:r w:rsidR="001640C5" w:rsidRPr="001640C5">
        <w:t>.</w:t>
      </w:r>
    </w:p>
    <w:p w14:paraId="0EA5B92E" w14:textId="77777777" w:rsidR="00C226A2" w:rsidRDefault="00C226A2"/>
    <w:p w14:paraId="008FB25A" w14:textId="7C5DE600" w:rsidR="00A7583B" w:rsidRDefault="00A40436">
      <w:r>
        <w:t xml:space="preserve">Finally, </w:t>
      </w:r>
      <w:r w:rsidR="00EC0042">
        <w:t>issues</w:t>
      </w:r>
      <w:r w:rsidR="00D339A8">
        <w:t xml:space="preserve"> specific to regional school district</w:t>
      </w:r>
      <w:r w:rsidR="000917DF">
        <w:t>s</w:t>
      </w:r>
      <w:r w:rsidR="00D339A8">
        <w:t xml:space="preserve"> </w:t>
      </w:r>
      <w:r w:rsidR="00C64FF6">
        <w:t xml:space="preserve">were raised in </w:t>
      </w:r>
      <w:r w:rsidR="00D647D2">
        <w:t>1</w:t>
      </w:r>
      <w:r w:rsidR="000A7470">
        <w:t>8</w:t>
      </w:r>
      <w:r w:rsidR="00C64FF6">
        <w:t xml:space="preserve"> comments</w:t>
      </w:r>
      <w:r w:rsidR="00893293">
        <w:t>.</w:t>
      </w:r>
      <w:r w:rsidR="00EC0042">
        <w:t xml:space="preserve"> </w:t>
      </w:r>
      <w:r w:rsidR="00B26AEC">
        <w:t>Commenters</w:t>
      </w:r>
      <w:r w:rsidR="00E041B3">
        <w:t xml:space="preserve"> </w:t>
      </w:r>
      <w:r w:rsidR="00A42327">
        <w:t>pointed out that</w:t>
      </w:r>
      <w:r w:rsidR="002B2EAF">
        <w:t xml:space="preserve"> the current process for determining </w:t>
      </w:r>
      <w:r w:rsidR="00646CCE">
        <w:t xml:space="preserve">minimum </w:t>
      </w:r>
      <w:r w:rsidR="002B2EAF">
        <w:t xml:space="preserve">local contribution requirements and regional assessments can pit </w:t>
      </w:r>
      <w:r w:rsidR="002A3056">
        <w:t>towns against each other</w:t>
      </w:r>
      <w:r w:rsidR="005718A6">
        <w:t xml:space="preserve"> and create situations where</w:t>
      </w:r>
      <w:r w:rsidR="004134F1" w:rsidRPr="004134F1">
        <w:t xml:space="preserve"> one town feels it is paying more </w:t>
      </w:r>
      <w:r w:rsidR="005718A6">
        <w:t xml:space="preserve">than other towns in the region. </w:t>
      </w:r>
      <w:r w:rsidR="0036621D">
        <w:t>Commenters suggested that because the</w:t>
      </w:r>
      <w:r w:rsidR="00993E42">
        <w:t xml:space="preserve"> b</w:t>
      </w:r>
      <w:r w:rsidR="004134F1" w:rsidRPr="004134F1">
        <w:t xml:space="preserve">udget process is so different for member towns </w:t>
      </w:r>
      <w:r w:rsidR="0036621D">
        <w:t xml:space="preserve">in </w:t>
      </w:r>
      <w:r w:rsidR="00F573C3">
        <w:t xml:space="preserve">regional </w:t>
      </w:r>
      <w:r w:rsidR="004134F1" w:rsidRPr="004134F1">
        <w:t>school district</w:t>
      </w:r>
      <w:r w:rsidR="0028743F">
        <w:t>s</w:t>
      </w:r>
      <w:r w:rsidR="000A7470">
        <w:t>,</w:t>
      </w:r>
      <w:r w:rsidR="004134F1" w:rsidRPr="004134F1">
        <w:t xml:space="preserve"> </w:t>
      </w:r>
      <w:r w:rsidR="00573483">
        <w:t xml:space="preserve">the state should </w:t>
      </w:r>
      <w:r w:rsidR="004134F1" w:rsidRPr="004134F1">
        <w:t>explor</w:t>
      </w:r>
      <w:r w:rsidR="00573483">
        <w:t>e</w:t>
      </w:r>
      <w:r w:rsidR="004134F1" w:rsidRPr="004134F1">
        <w:t xml:space="preserve"> an alternative mechanism to determine the local contribution</w:t>
      </w:r>
      <w:r w:rsidR="004B6268">
        <w:t xml:space="preserve"> requirements for regional members</w:t>
      </w:r>
      <w:r w:rsidR="004134F1" w:rsidRPr="004134F1">
        <w:t>.</w:t>
      </w:r>
    </w:p>
    <w:p w14:paraId="3835F83F" w14:textId="77777777" w:rsidR="00CB05E5" w:rsidRPr="003E5741" w:rsidRDefault="00CB05E5">
      <w:pPr>
        <w:spacing w:after="160" w:line="259" w:lineRule="auto"/>
        <w:rPr>
          <w:rFonts w:ascii="Arial" w:hAnsi="Arial" w:cs="Arial"/>
          <w:kern w:val="32"/>
          <w:sz w:val="32"/>
          <w:szCs w:val="32"/>
        </w:rPr>
      </w:pPr>
      <w:bookmarkStart w:id="7" w:name="_Toc55558698"/>
      <w:r>
        <w:br w:type="page"/>
      </w:r>
    </w:p>
    <w:p w14:paraId="701D0ADC" w14:textId="18631F93" w:rsidR="00C70442" w:rsidRPr="00CF16E8" w:rsidRDefault="00C70442" w:rsidP="005D19B8">
      <w:pPr>
        <w:pStyle w:val="Heading1"/>
      </w:pPr>
      <w:bookmarkStart w:id="8" w:name="_Toc57725122"/>
      <w:r w:rsidRPr="00CF16E8">
        <w:lastRenderedPageBreak/>
        <w:t>Current local contribution formula</w:t>
      </w:r>
      <w:bookmarkEnd w:id="7"/>
      <w:bookmarkEnd w:id="8"/>
    </w:p>
    <w:p w14:paraId="4AF9666A" w14:textId="6B76C303" w:rsidR="0027689F" w:rsidRDefault="004F0D65" w:rsidP="0027689F">
      <w:r>
        <w:t xml:space="preserve">The formula for </w:t>
      </w:r>
      <w:r w:rsidR="004F78D9">
        <w:t xml:space="preserve">establishing a municipality’s required contribution toward its public schools </w:t>
      </w:r>
      <w:r w:rsidR="7E26AC1E">
        <w:t>continues to be based largely on the FY07 reforms</w:t>
      </w:r>
      <w:r w:rsidR="50981EAB">
        <w:t>.</w:t>
      </w:r>
      <w:r w:rsidR="00E75BD6">
        <w:rPr>
          <w:rStyle w:val="FootnoteReference"/>
        </w:rPr>
        <w:footnoteReference w:id="12"/>
      </w:r>
      <w:r w:rsidR="50981EAB">
        <w:t xml:space="preserve"> The objective of the </w:t>
      </w:r>
      <w:r w:rsidR="35E087AB">
        <w:t>FY</w:t>
      </w:r>
      <w:r w:rsidR="004B2964">
        <w:t>0</w:t>
      </w:r>
      <w:r w:rsidR="35E087AB">
        <w:t>7</w:t>
      </w:r>
      <w:r w:rsidR="50981EAB">
        <w:t xml:space="preserve"> reforms was to pro</w:t>
      </w:r>
      <w:r w:rsidR="4BFC86F7">
        <w:t>mote equity across the cities</w:t>
      </w:r>
      <w:r w:rsidR="7E26AC1E">
        <w:t xml:space="preserve"> and </w:t>
      </w:r>
      <w:r w:rsidR="4BFC86F7">
        <w:t xml:space="preserve">towns of the Commonwealth by </w:t>
      </w:r>
      <w:r w:rsidR="0A56419C">
        <w:t xml:space="preserve">establishing target contribution levels for each municipality and gradually moving </w:t>
      </w:r>
      <w:r w:rsidR="66A35012">
        <w:t xml:space="preserve">the </w:t>
      </w:r>
      <w:r w:rsidR="66A35012" w:rsidRPr="00BF34F6">
        <w:t>required</w:t>
      </w:r>
      <w:r w:rsidR="66A35012">
        <w:t xml:space="preserve"> contribution of each </w:t>
      </w:r>
      <w:r w:rsidR="0A56419C">
        <w:t xml:space="preserve">district towards those </w:t>
      </w:r>
      <w:r w:rsidR="0A56419C" w:rsidRPr="00BF34F6">
        <w:t>t</w:t>
      </w:r>
      <w:r w:rsidR="64DE23FC" w:rsidRPr="00BF34F6">
        <w:t>arget</w:t>
      </w:r>
      <w:r w:rsidR="64DE23FC">
        <w:t xml:space="preserve"> levels over time. </w:t>
      </w:r>
      <w:r w:rsidR="37EF1945">
        <w:t xml:space="preserve">Consistent with this goal, the formula did not seek to significantly change the </w:t>
      </w:r>
      <w:r w:rsidR="0071EFED">
        <w:t>overall s</w:t>
      </w:r>
      <w:r w:rsidR="37EF1945">
        <w:t>tate and local share of foundation budget</w:t>
      </w:r>
      <w:r w:rsidR="20144BBC">
        <w:t>s</w:t>
      </w:r>
      <w:r w:rsidR="22F64905">
        <w:t xml:space="preserve"> being paid</w:t>
      </w:r>
      <w:r w:rsidR="00B813B2">
        <w:t xml:space="preserve">; </w:t>
      </w:r>
      <w:r w:rsidR="0D279FA0">
        <w:t>that was reflected in the establishment of a</w:t>
      </w:r>
      <w:r w:rsidR="2D14BECA">
        <w:t xml:space="preserve"> statewide </w:t>
      </w:r>
      <w:r w:rsidR="0D279FA0">
        <w:t>target share</w:t>
      </w:r>
      <w:r w:rsidR="2AF3EA7B">
        <w:t xml:space="preserve"> for local contributions of 59% of the statewide foundation budget.</w:t>
      </w:r>
      <w:r w:rsidR="46B417A7">
        <w:t xml:space="preserve"> That target statewide share </w:t>
      </w:r>
      <w:r w:rsidR="004F78D9">
        <w:t xml:space="preserve">has </w:t>
      </w:r>
      <w:r w:rsidR="46B417A7">
        <w:t>remained in place since its adoption for the FY07 budget cycle.</w:t>
      </w:r>
    </w:p>
    <w:p w14:paraId="47668D51" w14:textId="09E1C225" w:rsidR="0027689F" w:rsidRDefault="0027689F" w:rsidP="0027689F"/>
    <w:p w14:paraId="0357853D" w14:textId="3D98513D" w:rsidR="0027689F" w:rsidRDefault="069D763B" w:rsidP="0027689F">
      <w:r>
        <w:t>In</w:t>
      </w:r>
      <w:r w:rsidR="53E68489">
        <w:t xml:space="preserve"> broad terms, </w:t>
      </w:r>
      <w:r>
        <w:t xml:space="preserve">the </w:t>
      </w:r>
      <w:r w:rsidR="00E75BD6">
        <w:t xml:space="preserve">local contribution </w:t>
      </w:r>
      <w:r>
        <w:t>formula</w:t>
      </w:r>
      <w:r w:rsidR="5393CD99">
        <w:t xml:space="preserve"> </w:t>
      </w:r>
      <w:r w:rsidR="004F78D9">
        <w:t xml:space="preserve">has </w:t>
      </w:r>
      <w:r w:rsidR="00054D60">
        <w:t>four</w:t>
      </w:r>
      <w:r w:rsidR="004F78D9">
        <w:t xml:space="preserve"> components:</w:t>
      </w:r>
    </w:p>
    <w:p w14:paraId="433C2270" w14:textId="77777777" w:rsidR="0027689F" w:rsidRPr="00CF16E8" w:rsidRDefault="0027689F" w:rsidP="00CF16E8"/>
    <w:p w14:paraId="11836714" w14:textId="377753F3" w:rsidR="005D5009" w:rsidRDefault="002326AA" w:rsidP="00CF16E8">
      <w:pPr>
        <w:pStyle w:val="ListParagraph"/>
        <w:numPr>
          <w:ilvl w:val="0"/>
          <w:numId w:val="60"/>
        </w:numPr>
      </w:pPr>
      <w:r w:rsidRPr="00E75BD6">
        <w:rPr>
          <w:i/>
          <w:iCs/>
        </w:rPr>
        <w:t xml:space="preserve">Setting </w:t>
      </w:r>
      <w:r w:rsidR="005B0116" w:rsidRPr="00E75BD6">
        <w:rPr>
          <w:i/>
          <w:iCs/>
        </w:rPr>
        <w:t>uniform property and income</w:t>
      </w:r>
      <w:r w:rsidRPr="00E75BD6">
        <w:rPr>
          <w:i/>
          <w:iCs/>
        </w:rPr>
        <w:t xml:space="preserve"> percentages so that </w:t>
      </w:r>
      <w:r w:rsidR="00BD63AC" w:rsidRPr="00E75BD6">
        <w:rPr>
          <w:i/>
          <w:iCs/>
        </w:rPr>
        <w:t>59% of the statewide foundation budget is funded from local revenues</w:t>
      </w:r>
      <w:r w:rsidR="00BD63AC">
        <w:t>.</w:t>
      </w:r>
      <w:r w:rsidR="638617FF">
        <w:t xml:space="preserve"> </w:t>
      </w:r>
      <w:r w:rsidR="604C8F6B">
        <w:t>Under</w:t>
      </w:r>
      <w:r w:rsidR="563786CF">
        <w:t xml:space="preserve"> the</w:t>
      </w:r>
      <w:r w:rsidR="604C8F6B">
        <w:t xml:space="preserve"> updated measure of fi</w:t>
      </w:r>
      <w:r w:rsidR="2C9745A9">
        <w:t xml:space="preserve">scal capacity </w:t>
      </w:r>
      <w:r w:rsidR="2DB36A57">
        <w:t xml:space="preserve">first </w:t>
      </w:r>
      <w:r w:rsidR="604C8F6B">
        <w:t>established for the FY07 budget</w:t>
      </w:r>
      <w:r w:rsidR="3BA22279">
        <w:t>,</w:t>
      </w:r>
      <w:r w:rsidR="2F13FD5D">
        <w:t xml:space="preserve"> </w:t>
      </w:r>
      <w:r w:rsidR="792EA949">
        <w:t xml:space="preserve">the model annually establishes </w:t>
      </w:r>
      <w:r w:rsidR="00445AA9">
        <w:t xml:space="preserve">uniform </w:t>
      </w:r>
      <w:r w:rsidR="00503B94">
        <w:t xml:space="preserve">property and income percentages </w:t>
      </w:r>
      <w:r w:rsidR="00FC41CB">
        <w:t>that</w:t>
      </w:r>
      <w:r w:rsidR="00E72B12">
        <w:t>,</w:t>
      </w:r>
      <w:r w:rsidR="00FC41CB">
        <w:t xml:space="preserve"> </w:t>
      </w:r>
      <w:r w:rsidR="22ACAC47">
        <w:t xml:space="preserve">given other limits </w:t>
      </w:r>
      <w:r w:rsidR="009D2775">
        <w:t>in the formula</w:t>
      </w:r>
      <w:r w:rsidR="00E72B12">
        <w:t xml:space="preserve">, </w:t>
      </w:r>
      <w:r w:rsidR="00BA202A">
        <w:t xml:space="preserve">generate the </w:t>
      </w:r>
      <w:r w:rsidR="0885FB3A">
        <w:t xml:space="preserve">59% </w:t>
      </w:r>
      <w:r w:rsidR="00BA202A">
        <w:t xml:space="preserve">local revenue target </w:t>
      </w:r>
      <w:r w:rsidR="0885FB3A">
        <w:t xml:space="preserve">when applied to </w:t>
      </w:r>
      <w:r w:rsidR="005E10ED">
        <w:t xml:space="preserve">the </w:t>
      </w:r>
      <w:r w:rsidR="009B36CB">
        <w:t>total equalized property values (EQVs)</w:t>
      </w:r>
      <w:r w:rsidR="0040257C">
        <w:rPr>
          <w:rStyle w:val="FootnoteReference"/>
        </w:rPr>
        <w:footnoteReference w:id="13"/>
      </w:r>
      <w:r w:rsidR="59A6434B">
        <w:t xml:space="preserve"> </w:t>
      </w:r>
      <w:r w:rsidR="005E10ED">
        <w:t>and</w:t>
      </w:r>
      <w:r w:rsidR="009B36CB">
        <w:t xml:space="preserve"> total</w:t>
      </w:r>
      <w:r w:rsidR="005E10ED">
        <w:t xml:space="preserve"> </w:t>
      </w:r>
      <w:r w:rsidR="007D76F9">
        <w:t xml:space="preserve">personal </w:t>
      </w:r>
      <w:r w:rsidR="005E10ED">
        <w:t>income</w:t>
      </w:r>
      <w:r w:rsidR="007D76F9">
        <w:t>, respectively</w:t>
      </w:r>
      <w:r w:rsidR="00A07F8F">
        <w:t>.</w:t>
      </w:r>
      <w:r w:rsidR="00A07F8F" w:rsidRPr="008B18E3">
        <w:rPr>
          <w:vertAlign w:val="superscript"/>
        </w:rPr>
        <w:footnoteReference w:id="14"/>
      </w:r>
      <w:r w:rsidR="007D76F9">
        <w:t xml:space="preserve"> By design, </w:t>
      </w:r>
      <w:r w:rsidR="004A45C1">
        <w:t xml:space="preserve">when the uniform percentages are applied to </w:t>
      </w:r>
      <w:r w:rsidR="007D76F9">
        <w:t xml:space="preserve">the two metrics, property values and personal income, </w:t>
      </w:r>
      <w:r w:rsidR="00237369">
        <w:t>each metric is leveraged</w:t>
      </w:r>
      <w:r w:rsidR="007D76F9">
        <w:t xml:space="preserve"> equally at the state level; </w:t>
      </w:r>
      <w:r w:rsidR="00237369">
        <w:t xml:space="preserve">with </w:t>
      </w:r>
      <w:r w:rsidR="007D76F9">
        <w:t xml:space="preserve">each </w:t>
      </w:r>
      <w:r w:rsidR="00237369">
        <w:t xml:space="preserve">targeted to </w:t>
      </w:r>
      <w:r w:rsidR="007D76F9">
        <w:t>contribute 29.5%</w:t>
      </w:r>
      <w:r w:rsidR="00A07F8F">
        <w:t xml:space="preserve"> of the statewide </w:t>
      </w:r>
      <w:r w:rsidR="00237369">
        <w:t>foundation budget</w:t>
      </w:r>
      <w:r w:rsidR="00A07F8F">
        <w:t>. The source data used in this calculation</w:t>
      </w:r>
      <w:r w:rsidR="00A07F8F" w:rsidRPr="00A07F8F">
        <w:t xml:space="preserve"> </w:t>
      </w:r>
      <w:r w:rsidR="00A07F8F">
        <w:t xml:space="preserve">is </w:t>
      </w:r>
      <w:r w:rsidR="00A07F8F" w:rsidRPr="00CF16E8">
        <w:t xml:space="preserve">provided to DESE </w:t>
      </w:r>
      <w:r w:rsidR="00A07F8F">
        <w:t>by DOR</w:t>
      </w:r>
      <w:r w:rsidR="0040257C">
        <w:t>/DLS</w:t>
      </w:r>
      <w:r w:rsidR="00A07F8F">
        <w:t xml:space="preserve"> each year</w:t>
      </w:r>
      <w:r w:rsidR="00284C78">
        <w:t>, with</w:t>
      </w:r>
      <w:r w:rsidR="00A07F8F">
        <w:t xml:space="preserve"> </w:t>
      </w:r>
      <w:r w:rsidR="008B18E3">
        <w:t xml:space="preserve">EQVs updated biennially and </w:t>
      </w:r>
      <w:r w:rsidR="00174D70" w:rsidRPr="00CF16E8">
        <w:t>personal income of residents updated annually</w:t>
      </w:r>
      <w:r w:rsidR="00A07F8F">
        <w:t>.</w:t>
      </w:r>
    </w:p>
    <w:p w14:paraId="75CA6955" w14:textId="64E3C82E" w:rsidR="00DE4D77" w:rsidRDefault="00321930" w:rsidP="00A07F8F">
      <w:pPr>
        <w:pStyle w:val="ListParagraph"/>
      </w:pPr>
      <w:r>
        <w:t xml:space="preserve"> </w:t>
      </w:r>
    </w:p>
    <w:p w14:paraId="5EA7A739" w14:textId="6FED22BF" w:rsidR="00512C7D" w:rsidRDefault="00A455CB" w:rsidP="008203BA">
      <w:pPr>
        <w:pStyle w:val="ListParagraph"/>
        <w:numPr>
          <w:ilvl w:val="0"/>
          <w:numId w:val="60"/>
        </w:numPr>
      </w:pPr>
      <w:r>
        <w:rPr>
          <w:i/>
          <w:iCs/>
        </w:rPr>
        <w:t>Establishing local contribution targets for each municipality.</w:t>
      </w:r>
      <w:r w:rsidR="3366AF54">
        <w:t xml:space="preserve"> </w:t>
      </w:r>
      <w:r w:rsidR="00341B86">
        <w:t>T</w:t>
      </w:r>
      <w:r w:rsidR="00341B86" w:rsidRPr="00341B86">
        <w:t xml:space="preserve">he </w:t>
      </w:r>
      <w:r w:rsidR="00D667A2">
        <w:t xml:space="preserve">uniform </w:t>
      </w:r>
      <w:r w:rsidR="00341B86" w:rsidRPr="00341B86">
        <w:t>property and income percentage</w:t>
      </w:r>
      <w:r w:rsidR="005263BD">
        <w:t>s</w:t>
      </w:r>
      <w:r w:rsidR="00341B86" w:rsidRPr="00341B86">
        <w:t xml:space="preserve"> </w:t>
      </w:r>
      <w:r w:rsidR="00D667A2">
        <w:t xml:space="preserve">are </w:t>
      </w:r>
      <w:r w:rsidR="000642BA">
        <w:t xml:space="preserve">applied </w:t>
      </w:r>
      <w:r w:rsidR="00341B86" w:rsidRPr="00341B86">
        <w:t xml:space="preserve">to each municipality's </w:t>
      </w:r>
      <w:r w:rsidR="00AA10F1">
        <w:t>EQV and aggregate</w:t>
      </w:r>
      <w:r w:rsidR="00A07F8F">
        <w:t xml:space="preserve"> personal</w:t>
      </w:r>
      <w:r w:rsidR="00341B86" w:rsidRPr="00341B86">
        <w:t xml:space="preserve"> income</w:t>
      </w:r>
      <w:r w:rsidR="00AA10F1">
        <w:t xml:space="preserve"> </w:t>
      </w:r>
      <w:r w:rsidR="00D667A2">
        <w:t xml:space="preserve">to </w:t>
      </w:r>
      <w:r w:rsidR="00341B86" w:rsidRPr="00341B86">
        <w:t>determine</w:t>
      </w:r>
      <w:r w:rsidR="00AA10F1">
        <w:t xml:space="preserve"> </w:t>
      </w:r>
      <w:r w:rsidR="00D667A2">
        <w:t>the</w:t>
      </w:r>
      <w:r w:rsidR="00D667A2" w:rsidRPr="00341B86">
        <w:t xml:space="preserve"> </w:t>
      </w:r>
      <w:r w:rsidR="00341B86" w:rsidRPr="00341B86">
        <w:t>municipality's combined effort yield</w:t>
      </w:r>
      <w:r w:rsidR="00AA10F1">
        <w:t xml:space="preserve"> (CEY)</w:t>
      </w:r>
      <w:r w:rsidR="00341B86" w:rsidRPr="00341B86">
        <w:t xml:space="preserve">. </w:t>
      </w:r>
      <w:r w:rsidR="004E3E2F">
        <w:rPr>
          <w:color w:val="000000"/>
        </w:rPr>
        <w:t xml:space="preserve">The </w:t>
      </w:r>
      <w:r w:rsidR="004E3E2F" w:rsidRPr="00A07F8F">
        <w:rPr>
          <w:bCs/>
          <w:color w:val="000000"/>
        </w:rPr>
        <w:t>target local contribution</w:t>
      </w:r>
      <w:r w:rsidR="004E3E2F" w:rsidRPr="008203BA">
        <w:rPr>
          <w:bCs/>
          <w:color w:val="000000"/>
        </w:rPr>
        <w:t xml:space="preserve"> </w:t>
      </w:r>
      <w:r w:rsidR="004E3E2F">
        <w:rPr>
          <w:color w:val="000000"/>
        </w:rPr>
        <w:t>is equal to the CEY unless the municipality’s</w:t>
      </w:r>
      <w:r w:rsidR="009120BE">
        <w:rPr>
          <w:color w:val="000000"/>
        </w:rPr>
        <w:t xml:space="preserve"> CEY</w:t>
      </w:r>
      <w:r w:rsidR="004E3E2F">
        <w:rPr>
          <w:color w:val="000000"/>
        </w:rPr>
        <w:t xml:space="preserve"> exceeds </w:t>
      </w:r>
      <w:r w:rsidR="009120BE">
        <w:rPr>
          <w:color w:val="000000"/>
        </w:rPr>
        <w:t xml:space="preserve">82.5% </w:t>
      </w:r>
      <w:r w:rsidR="00E00934">
        <w:rPr>
          <w:color w:val="000000"/>
        </w:rPr>
        <w:t xml:space="preserve">of </w:t>
      </w:r>
      <w:r w:rsidR="00D667A2">
        <w:rPr>
          <w:color w:val="000000"/>
        </w:rPr>
        <w:t>its</w:t>
      </w:r>
      <w:r w:rsidR="00E00934">
        <w:rPr>
          <w:color w:val="000000"/>
        </w:rPr>
        <w:t xml:space="preserve"> foundation budget, </w:t>
      </w:r>
      <w:r w:rsidR="00E00934">
        <w:t xml:space="preserve">in which case the </w:t>
      </w:r>
      <w:r w:rsidR="000C37D6">
        <w:t xml:space="preserve">target contribution is capped at </w:t>
      </w:r>
      <w:r w:rsidR="1A07E4E5" w:rsidRPr="00CF16E8">
        <w:t>82.5%</w:t>
      </w:r>
      <w:r w:rsidR="65306D77" w:rsidRPr="00CF16E8">
        <w:t>.</w:t>
      </w:r>
      <w:r w:rsidR="00F843F3" w:rsidRPr="00CF16E8">
        <w:rPr>
          <w:rStyle w:val="FootnoteReference"/>
        </w:rPr>
        <w:footnoteReference w:id="15"/>
      </w:r>
    </w:p>
    <w:p w14:paraId="60DB9D3A" w14:textId="77777777" w:rsidR="00EC338B" w:rsidRDefault="00EC338B" w:rsidP="00CF16E8">
      <w:pPr>
        <w:pStyle w:val="ListParagraph"/>
      </w:pPr>
    </w:p>
    <w:p w14:paraId="6964BAFB" w14:textId="5D6256F1" w:rsidR="00A15439" w:rsidRDefault="00CE5E65" w:rsidP="00CF16E8">
      <w:pPr>
        <w:pStyle w:val="ListParagraph"/>
        <w:numPr>
          <w:ilvl w:val="0"/>
          <w:numId w:val="60"/>
        </w:numPr>
        <w:rPr>
          <w:rFonts w:asciiTheme="minorHAnsi" w:eastAsiaTheme="minorEastAsia" w:hAnsiTheme="minorHAnsi" w:cstheme="minorBidi"/>
        </w:rPr>
      </w:pPr>
      <w:r>
        <w:rPr>
          <w:i/>
          <w:iCs/>
        </w:rPr>
        <w:t xml:space="preserve">Determining each city and town’s </w:t>
      </w:r>
      <w:r w:rsidR="00BF25AD">
        <w:rPr>
          <w:i/>
          <w:iCs/>
        </w:rPr>
        <w:t>minimum</w:t>
      </w:r>
      <w:r>
        <w:rPr>
          <w:i/>
          <w:iCs/>
        </w:rPr>
        <w:t xml:space="preserve"> required local contribution. </w:t>
      </w:r>
      <w:r w:rsidR="55516350">
        <w:t xml:space="preserve">The prior year’s </w:t>
      </w:r>
      <w:r w:rsidR="55516350" w:rsidRPr="008203BA">
        <w:t xml:space="preserve">required </w:t>
      </w:r>
      <w:r w:rsidR="55516350">
        <w:t xml:space="preserve">contribution is increased by </w:t>
      </w:r>
      <w:r w:rsidR="42C3568D">
        <w:t>a municipal revenue growth factor</w:t>
      </w:r>
      <w:r w:rsidR="453B6CC3">
        <w:t xml:space="preserve"> (MRGF)</w:t>
      </w:r>
      <w:r w:rsidR="42C3568D">
        <w:t xml:space="preserve">, an estimate </w:t>
      </w:r>
      <w:r w:rsidR="3C9D3AF2">
        <w:t>made by DOR</w:t>
      </w:r>
      <w:r w:rsidR="0040257C">
        <w:t>/DLS</w:t>
      </w:r>
      <w:r w:rsidR="3C9D3AF2">
        <w:t xml:space="preserve"> of how much each municipality’s general revenues are </w:t>
      </w:r>
      <w:r w:rsidR="3C9D3AF2">
        <w:lastRenderedPageBreak/>
        <w:t>expected to increase</w:t>
      </w:r>
      <w:r w:rsidR="0D6ADB76">
        <w:t xml:space="preserve">, in order to establish a </w:t>
      </w:r>
      <w:r w:rsidR="0D6ADB76" w:rsidRPr="008203BA">
        <w:t>preliminary required</w:t>
      </w:r>
      <w:r w:rsidR="0D6ADB76">
        <w:t xml:space="preserve"> local contribution</w:t>
      </w:r>
      <w:r w:rsidR="3C9D3AF2">
        <w:t xml:space="preserve">. </w:t>
      </w:r>
      <w:r w:rsidR="483D1A8E">
        <w:t xml:space="preserve">This </w:t>
      </w:r>
      <w:r w:rsidR="3357FB75">
        <w:t>preliminary contr</w:t>
      </w:r>
      <w:r w:rsidR="3C5BCEE1">
        <w:t>i</w:t>
      </w:r>
      <w:r w:rsidR="3357FB75">
        <w:t>bution</w:t>
      </w:r>
      <w:r w:rsidR="162D2D12">
        <w:t xml:space="preserve"> </w:t>
      </w:r>
      <w:r w:rsidR="483D1A8E">
        <w:t xml:space="preserve">is </w:t>
      </w:r>
      <w:r w:rsidR="3326882E">
        <w:t>then</w:t>
      </w:r>
      <w:r w:rsidR="483D1A8E">
        <w:t xml:space="preserve"> compared to the </w:t>
      </w:r>
      <w:r w:rsidR="7CF864DD">
        <w:t xml:space="preserve">target contribution calculated in step </w:t>
      </w:r>
      <w:r w:rsidR="2954D68D">
        <w:t>2</w:t>
      </w:r>
      <w:r w:rsidR="7CF864DD">
        <w:t>.</w:t>
      </w:r>
      <w:r w:rsidR="5FA1A982">
        <w:t xml:space="preserve"> </w:t>
      </w:r>
      <w:r w:rsidR="00190F41">
        <w:t>T</w:t>
      </w:r>
      <w:r w:rsidR="5FA1A982">
        <w:t>his step recognizes that not every city and town can immediately reach its target contribution because of the property tax revenue limits imposed by Proposition 2½</w:t>
      </w:r>
      <w:r w:rsidR="00190F41">
        <w:t xml:space="preserve">, which is reflected in each </w:t>
      </w:r>
      <w:r w:rsidR="000366DA">
        <w:t>city and town’s MRGF</w:t>
      </w:r>
      <w:r w:rsidR="5FA1A982">
        <w:t>. The relationship between required contributions and the limits imposed by Proposition 2½ is discussed in more detail below.</w:t>
      </w:r>
    </w:p>
    <w:p w14:paraId="716D4580" w14:textId="77777777" w:rsidR="00B15DB4" w:rsidRDefault="00B15DB4" w:rsidP="0042083F">
      <w:pPr>
        <w:pStyle w:val="ListParagraph"/>
      </w:pPr>
    </w:p>
    <w:p w14:paraId="78E0FC2C" w14:textId="04E28A15" w:rsidR="00392BE9" w:rsidRDefault="00D10AF0" w:rsidP="00CF16E8">
      <w:pPr>
        <w:pStyle w:val="ListParagraph"/>
        <w:numPr>
          <w:ilvl w:val="1"/>
          <w:numId w:val="60"/>
        </w:numPr>
      </w:pPr>
      <w:r>
        <w:t>I</w:t>
      </w:r>
      <w:r w:rsidR="00392BE9" w:rsidRPr="00CF16E8">
        <w:t xml:space="preserve">f </w:t>
      </w:r>
      <w:r w:rsidR="00D667A2">
        <w:t>the preliminary contribution</w:t>
      </w:r>
      <w:r w:rsidR="00D667A2" w:rsidRPr="00CF16E8">
        <w:t xml:space="preserve"> </w:t>
      </w:r>
      <w:r w:rsidR="00392BE9" w:rsidRPr="00CF16E8">
        <w:t xml:space="preserve">is higher than </w:t>
      </w:r>
      <w:r w:rsidR="00AF1C19" w:rsidRPr="00CF16E8">
        <w:t>the target</w:t>
      </w:r>
      <w:r w:rsidR="00E97BB2" w:rsidRPr="00CF16E8">
        <w:t xml:space="preserve">, the </w:t>
      </w:r>
      <w:r w:rsidR="003223D7" w:rsidRPr="00CF16E8">
        <w:t xml:space="preserve">community is considered </w:t>
      </w:r>
      <w:r w:rsidR="003223D7" w:rsidRPr="00CF16E8">
        <w:rPr>
          <w:i/>
          <w:iCs/>
        </w:rPr>
        <w:t>above effort</w:t>
      </w:r>
      <w:r w:rsidR="003223D7" w:rsidRPr="00CF16E8">
        <w:t xml:space="preserve"> and the actual requirement for the year is lowered toward </w:t>
      </w:r>
      <w:r w:rsidR="00F76A20" w:rsidRPr="00CF16E8">
        <w:t>the target</w:t>
      </w:r>
      <w:r w:rsidR="00DA52B6" w:rsidRPr="00CF16E8">
        <w:t>.</w:t>
      </w:r>
      <w:r w:rsidR="00D667A2">
        <w:t xml:space="preserve"> Whether the requirement is lowered all the way to the target or to some intermediate point is determined during each year’s state budget deliberations.</w:t>
      </w:r>
    </w:p>
    <w:p w14:paraId="7B59B1EF" w14:textId="77777777" w:rsidR="005D5009" w:rsidRPr="00CF16E8" w:rsidRDefault="005D5009" w:rsidP="00D667A2">
      <w:pPr>
        <w:pStyle w:val="ListParagraph"/>
        <w:ind w:left="1440"/>
      </w:pPr>
    </w:p>
    <w:p w14:paraId="23A0C690" w14:textId="78FBB346" w:rsidR="00F70FC0" w:rsidRDefault="00847104" w:rsidP="00CF16E8">
      <w:pPr>
        <w:pStyle w:val="ListParagraph"/>
        <w:numPr>
          <w:ilvl w:val="1"/>
          <w:numId w:val="60"/>
        </w:numPr>
      </w:pPr>
      <w:r w:rsidRPr="00CF16E8">
        <w:t xml:space="preserve">If </w:t>
      </w:r>
      <w:r w:rsidR="00EF677B">
        <w:t xml:space="preserve">the preliminary contribution </w:t>
      </w:r>
      <w:r w:rsidRPr="00CF16E8">
        <w:t xml:space="preserve">is lower than the target, the community is considered </w:t>
      </w:r>
      <w:r w:rsidRPr="00CF16E8">
        <w:rPr>
          <w:i/>
          <w:iCs/>
        </w:rPr>
        <w:t>below effor</w:t>
      </w:r>
      <w:r w:rsidR="00964F43" w:rsidRPr="00EF677B">
        <w:rPr>
          <w:i/>
          <w:iCs/>
        </w:rPr>
        <w:t>t</w:t>
      </w:r>
      <w:r w:rsidR="001C280B" w:rsidRPr="00CF16E8">
        <w:t xml:space="preserve">, and the actual requirement </w:t>
      </w:r>
      <w:r w:rsidR="002C1D43" w:rsidRPr="00CF16E8">
        <w:t>increases slightly toward the target.</w:t>
      </w:r>
      <w:r w:rsidR="00F44A5A" w:rsidRPr="00CF16E8">
        <w:t xml:space="preserve"> </w:t>
      </w:r>
      <w:r w:rsidR="00EF677B">
        <w:t xml:space="preserve">The amount of the increase toward the target depends on how far the municipality is below its target. </w:t>
      </w:r>
    </w:p>
    <w:p w14:paraId="71AC9E61" w14:textId="77777777" w:rsidR="00236A28" w:rsidRDefault="00236A28" w:rsidP="0042083F"/>
    <w:p w14:paraId="58615727" w14:textId="02419827" w:rsidR="00716577" w:rsidRPr="00CF16E8" w:rsidRDefault="00CF3018" w:rsidP="00CF16E8">
      <w:pPr>
        <w:pStyle w:val="ListParagraph"/>
        <w:numPr>
          <w:ilvl w:val="0"/>
          <w:numId w:val="60"/>
        </w:numPr>
      </w:pPr>
      <w:r>
        <w:rPr>
          <w:i/>
          <w:iCs/>
        </w:rPr>
        <w:t xml:space="preserve">Allocating </w:t>
      </w:r>
      <w:r w:rsidR="000469DA">
        <w:rPr>
          <w:i/>
          <w:iCs/>
        </w:rPr>
        <w:t xml:space="preserve">minimum </w:t>
      </w:r>
      <w:r>
        <w:rPr>
          <w:i/>
          <w:iCs/>
        </w:rPr>
        <w:t xml:space="preserve">contributions to </w:t>
      </w:r>
      <w:r w:rsidR="000469DA">
        <w:rPr>
          <w:i/>
          <w:iCs/>
        </w:rPr>
        <w:t>school districts</w:t>
      </w:r>
      <w:r>
        <w:rPr>
          <w:i/>
          <w:iCs/>
        </w:rPr>
        <w:t xml:space="preserve">. </w:t>
      </w:r>
      <w:r w:rsidR="25CB8DE1">
        <w:t xml:space="preserve">In the </w:t>
      </w:r>
      <w:r w:rsidR="5038C54C">
        <w:t>final</w:t>
      </w:r>
      <w:r w:rsidR="528F8B53">
        <w:t xml:space="preserve"> </w:t>
      </w:r>
      <w:r w:rsidR="25CB8DE1">
        <w:t xml:space="preserve">step, </w:t>
      </w:r>
      <w:r w:rsidR="00115E59">
        <w:t xml:space="preserve">each city and town’s </w:t>
      </w:r>
      <w:r w:rsidR="25CB8DE1">
        <w:t xml:space="preserve">required contribution is allocated among each of the </w:t>
      </w:r>
      <w:r w:rsidR="0475BD16">
        <w:t xml:space="preserve">school </w:t>
      </w:r>
      <w:r w:rsidR="25CB8DE1">
        <w:t xml:space="preserve">districts </w:t>
      </w:r>
      <w:r w:rsidR="008D6E1B">
        <w:t xml:space="preserve">where it belongs </w:t>
      </w:r>
      <w:r w:rsidR="67E2740D">
        <w:t xml:space="preserve">in proportion to each district’s </w:t>
      </w:r>
      <w:r w:rsidR="00C07C4A">
        <w:t xml:space="preserve">share of the municipality’s total </w:t>
      </w:r>
      <w:r w:rsidR="67E2740D">
        <w:t>foundation budget.</w:t>
      </w:r>
      <w:r w:rsidR="00C07C4A">
        <w:br/>
      </w:r>
    </w:p>
    <w:p w14:paraId="6A865B1A" w14:textId="7603AED4" w:rsidR="00C07C4A" w:rsidRDefault="004259B3" w:rsidP="00511942">
      <w:r>
        <w:t>T</w:t>
      </w:r>
      <w:r w:rsidR="00C07C4A">
        <w:t xml:space="preserve">he required local contributions are used in the calculation of each district’s Chapter 70 aid </w:t>
      </w:r>
      <w:r w:rsidR="006D606E">
        <w:t>and e</w:t>
      </w:r>
      <w:r>
        <w:t>ach district’s required local contribution is added to its aid</w:t>
      </w:r>
      <w:r w:rsidR="000F14CB">
        <w:t xml:space="preserve"> amount</w:t>
      </w:r>
      <w:r>
        <w:t xml:space="preserve"> to determine its net school spending</w:t>
      </w:r>
      <w:r w:rsidR="006D606E">
        <w:t xml:space="preserve"> </w:t>
      </w:r>
      <w:r>
        <w:t xml:space="preserve">requirement for the school year. This is the minimum amount that the district must spend on eligible education costs. </w:t>
      </w:r>
    </w:p>
    <w:p w14:paraId="6EBCF6DE" w14:textId="77777777" w:rsidR="004259B3" w:rsidRDefault="004259B3" w:rsidP="00511942"/>
    <w:p w14:paraId="7F04AB76" w14:textId="064AFF09" w:rsidR="30D84ECF" w:rsidRPr="00BA6E9E" w:rsidRDefault="00C161F7" w:rsidP="00511942">
      <w:r>
        <w:t xml:space="preserve">Since the local contribution methodology was changed in FY07, </w:t>
      </w:r>
      <w:r w:rsidR="00C04A13">
        <w:t xml:space="preserve">districts have been brought down </w:t>
      </w:r>
      <w:r w:rsidR="003E5E36">
        <w:t xml:space="preserve">to </w:t>
      </w:r>
      <w:r w:rsidR="00C04A13">
        <w:t>and brought up to their</w:t>
      </w:r>
      <w:r w:rsidR="007F6E02">
        <w:t xml:space="preserve"> contribution</w:t>
      </w:r>
      <w:r w:rsidR="00C04A13">
        <w:t xml:space="preserve"> targets </w:t>
      </w:r>
      <w:r w:rsidR="004702B4">
        <w:t xml:space="preserve">as determined by the formula. </w:t>
      </w:r>
      <w:r w:rsidR="00FA21B1">
        <w:t>Figure 1 compares target local share</w:t>
      </w:r>
      <w:r w:rsidR="00755F06">
        <w:t>s</w:t>
      </w:r>
      <w:r w:rsidR="00FA21B1">
        <w:t xml:space="preserve"> versus required local share</w:t>
      </w:r>
      <w:r w:rsidR="00755F06">
        <w:t>s</w:t>
      </w:r>
      <w:r w:rsidR="00FA21B1">
        <w:t xml:space="preserve"> in FY07 and FY20. </w:t>
      </w:r>
      <w:r w:rsidR="30D84ECF" w:rsidRPr="00BA6E9E">
        <w:t xml:space="preserve">In </w:t>
      </w:r>
      <w:r w:rsidR="000F277A">
        <w:t>FY</w:t>
      </w:r>
      <w:r w:rsidR="30D84ECF" w:rsidRPr="00BA6E9E">
        <w:t xml:space="preserve">07, there were </w:t>
      </w:r>
      <w:r w:rsidR="00E45BC0" w:rsidRPr="00CF16E8">
        <w:t xml:space="preserve">223 communities above </w:t>
      </w:r>
      <w:r w:rsidR="13709082">
        <w:t xml:space="preserve">their </w:t>
      </w:r>
      <w:r w:rsidR="30D84ECF" w:rsidRPr="00BA6E9E">
        <w:t xml:space="preserve">target </w:t>
      </w:r>
      <w:r w:rsidR="64A1E70F">
        <w:t xml:space="preserve">contribution level </w:t>
      </w:r>
      <w:r w:rsidR="30D84ECF" w:rsidRPr="00BA6E9E">
        <w:t xml:space="preserve">and </w:t>
      </w:r>
      <w:r w:rsidR="00E45BC0" w:rsidRPr="00CF16E8">
        <w:t xml:space="preserve">118 below </w:t>
      </w:r>
      <w:r w:rsidR="30D84ECF" w:rsidRPr="00BA6E9E">
        <w:t>target</w:t>
      </w:r>
      <w:r w:rsidR="003B76F8" w:rsidRPr="00BA6E9E">
        <w:t>.</w:t>
      </w:r>
      <w:r w:rsidR="30D84ECF" w:rsidRPr="00BA6E9E">
        <w:t xml:space="preserve"> </w:t>
      </w:r>
      <w:r w:rsidR="00FA21B1">
        <w:t xml:space="preserve">In FY20, all above effort communities were brought </w:t>
      </w:r>
      <w:r w:rsidR="00587C3F">
        <w:t xml:space="preserve">fully </w:t>
      </w:r>
      <w:r w:rsidR="00FA21B1">
        <w:t xml:space="preserve">down to their target </w:t>
      </w:r>
      <w:r w:rsidR="00587C3F">
        <w:t>contribution</w:t>
      </w:r>
      <w:r w:rsidR="00FA21B1">
        <w:t xml:space="preserve"> share, and considerable progress has been made in bringing below effort communities closer to their target. </w:t>
      </w:r>
    </w:p>
    <w:p w14:paraId="6A2EC78C" w14:textId="36C86DD3" w:rsidR="002E2EF6" w:rsidRPr="00E14D06" w:rsidRDefault="002E2EF6" w:rsidP="002E2EF6">
      <w:pPr>
        <w:pStyle w:val="Heading4"/>
        <w:jc w:val="center"/>
        <w:rPr>
          <w:rFonts w:asciiTheme="minorHAnsi" w:hAnsiTheme="minorHAnsi" w:cstheme="minorHAnsi"/>
        </w:rPr>
      </w:pPr>
      <w:r w:rsidRPr="00E14D06">
        <w:rPr>
          <w:rStyle w:val="normaltextrun"/>
          <w:rFonts w:asciiTheme="minorHAnsi" w:hAnsiTheme="minorHAnsi" w:cstheme="minorHAnsi"/>
        </w:rPr>
        <w:lastRenderedPageBreak/>
        <w:t xml:space="preserve">Figure 1: Target and required local </w:t>
      </w:r>
      <w:r w:rsidR="00293F3E">
        <w:rPr>
          <w:rStyle w:val="normaltextrun"/>
          <w:rFonts w:asciiTheme="minorHAnsi" w:hAnsiTheme="minorHAnsi" w:cstheme="minorHAnsi"/>
        </w:rPr>
        <w:t>contributions</w:t>
      </w:r>
      <w:r w:rsidRPr="00E14D06">
        <w:rPr>
          <w:rStyle w:val="normaltextrun"/>
          <w:rFonts w:asciiTheme="minorHAnsi" w:hAnsiTheme="minorHAnsi" w:cstheme="minorHAnsi"/>
        </w:rPr>
        <w:t xml:space="preserve"> as a </w:t>
      </w:r>
      <w:r w:rsidR="00171879">
        <w:rPr>
          <w:rStyle w:val="normaltextrun"/>
          <w:rFonts w:asciiTheme="minorHAnsi" w:hAnsiTheme="minorHAnsi" w:cstheme="minorHAnsi"/>
        </w:rPr>
        <w:t>percent</w:t>
      </w:r>
      <w:r w:rsidRPr="00E14D06">
        <w:rPr>
          <w:rStyle w:val="normaltextrun"/>
          <w:rFonts w:asciiTheme="minorHAnsi" w:hAnsiTheme="minorHAnsi" w:cstheme="minorHAnsi"/>
        </w:rPr>
        <w:t xml:space="preserve"> of foundation</w:t>
      </w:r>
    </w:p>
    <w:p w14:paraId="3EBE3495" w14:textId="422A10BE" w:rsidR="25AE97EE" w:rsidRPr="00BA6E9E" w:rsidRDefault="45E407A2" w:rsidP="00356EA4">
      <w:pPr>
        <w:jc w:val="center"/>
      </w:pPr>
      <w:r>
        <w:rPr>
          <w:noProof/>
        </w:rPr>
        <w:drawing>
          <wp:inline distT="0" distB="0" distL="0" distR="0" wp14:anchorId="0D94717A" wp14:editId="47978B74">
            <wp:extent cx="3956685" cy="3145790"/>
            <wp:effectExtent l="0" t="0" r="5715" b="0"/>
            <wp:docPr id="4" name="Picture 4" descr="Figure 1: target versus required contributions as a percent of foundation, fiscal year 2007&#10;&#10;Top chart: In fiscal year 2007, there were 223 communities above their target contribution level and 118 below targ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3956685" cy="3145790"/>
                    </a:xfrm>
                    <a:prstGeom prst="rect">
                      <a:avLst/>
                    </a:prstGeom>
                  </pic:spPr>
                </pic:pic>
              </a:graphicData>
            </a:graphic>
          </wp:inline>
        </w:drawing>
      </w:r>
    </w:p>
    <w:p w14:paraId="66CCBAC2" w14:textId="62D121BD" w:rsidR="00723F0F" w:rsidRDefault="7C12FC86" w:rsidP="00356EA4">
      <w:pPr>
        <w:jc w:val="center"/>
      </w:pPr>
      <w:r>
        <w:rPr>
          <w:noProof/>
        </w:rPr>
        <w:drawing>
          <wp:inline distT="0" distB="0" distL="0" distR="0" wp14:anchorId="0826DDB3" wp14:editId="204C967C">
            <wp:extent cx="3932555" cy="3072765"/>
            <wp:effectExtent l="0" t="0" r="0" b="0"/>
            <wp:docPr id="5" name="Picture 5" descr="Figure 1: target versus required contributions as a percent of foundation, fiscal year 2020&#10;&#10;Bottom chart: In fiscal year 2020, all above effort communities were brought fully down to their target contribution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3932555" cy="3072765"/>
                    </a:xfrm>
                    <a:prstGeom prst="rect">
                      <a:avLst/>
                    </a:prstGeom>
                  </pic:spPr>
                </pic:pic>
              </a:graphicData>
            </a:graphic>
          </wp:inline>
        </w:drawing>
      </w:r>
    </w:p>
    <w:p w14:paraId="44E8AC87" w14:textId="77777777" w:rsidR="00CB05E5" w:rsidRDefault="00CB05E5" w:rsidP="00356EA4">
      <w:pPr>
        <w:jc w:val="center"/>
      </w:pPr>
    </w:p>
    <w:p w14:paraId="18C5CA2C" w14:textId="20BEC87C" w:rsidR="007C63D7" w:rsidRPr="00CF16E8" w:rsidRDefault="000256C8" w:rsidP="00CF16E8">
      <w:r w:rsidRPr="00CF16E8">
        <w:t>Note that nowhere in the calculation do</w:t>
      </w:r>
      <w:r w:rsidR="007C63D7">
        <w:t xml:space="preserve">es the formula </w:t>
      </w:r>
      <w:r w:rsidR="00684E60" w:rsidRPr="00CF16E8">
        <w:t>consider</w:t>
      </w:r>
      <w:r w:rsidRPr="00CF16E8">
        <w:t xml:space="preserve"> how much </w:t>
      </w:r>
      <w:r w:rsidR="00234DF1" w:rsidRPr="00CF16E8">
        <w:t xml:space="preserve">the municipality </w:t>
      </w:r>
      <w:r w:rsidR="00234DF1" w:rsidRPr="00CF16E8">
        <w:rPr>
          <w:i/>
          <w:iCs/>
        </w:rPr>
        <w:t>actually</w:t>
      </w:r>
      <w:r w:rsidR="00234DF1" w:rsidRPr="00CF16E8">
        <w:t xml:space="preserve"> spends on its public schools. </w:t>
      </w:r>
      <w:r w:rsidR="00043B2B" w:rsidRPr="00CF16E8">
        <w:t>The required contribution is a minimum, but cities and towns are free to spend more than the minimum</w:t>
      </w:r>
      <w:r w:rsidR="002E70B7">
        <w:t>.</w:t>
      </w:r>
      <w:r w:rsidR="000127BD" w:rsidRPr="00CF16E8">
        <w:t xml:space="preserve"> </w:t>
      </w:r>
      <w:r w:rsidR="002E70B7" w:rsidRPr="00BB0B70">
        <w:t>In fact, almost every municipality spends more than required, with communities with the highest requirements (as a percentage of foundation budgets) spending well above those requirements</w:t>
      </w:r>
      <w:r w:rsidR="00D81FFE">
        <w:t xml:space="preserve">, see </w:t>
      </w:r>
      <w:r w:rsidR="007C7215">
        <w:t>F</w:t>
      </w:r>
      <w:r w:rsidR="002E70B7" w:rsidRPr="00BB0B70">
        <w:t>igure</w:t>
      </w:r>
      <w:r w:rsidR="002D4764">
        <w:t xml:space="preserve"> 2</w:t>
      </w:r>
      <w:r w:rsidR="002E70B7" w:rsidRPr="00BB0B70">
        <w:t>.</w:t>
      </w:r>
      <w:r w:rsidR="002E70B7">
        <w:t xml:space="preserve"> </w:t>
      </w:r>
      <w:r w:rsidR="0013122A" w:rsidRPr="00CF16E8">
        <w:t xml:space="preserve">A municipality does not receive less Chapter 70 aid if it chooses to spend more than the </w:t>
      </w:r>
      <w:r w:rsidR="00842993" w:rsidRPr="00CF16E8">
        <w:t xml:space="preserve">required local amount; </w:t>
      </w:r>
      <w:r w:rsidR="00F832DE" w:rsidRPr="00CF16E8">
        <w:t>the formula’s drafters did not want to create a disincentive for voluntary spending above the requirement.</w:t>
      </w:r>
    </w:p>
    <w:p w14:paraId="6F4FBE51" w14:textId="10CC1198" w:rsidR="004B1C55" w:rsidRPr="00356EA4" w:rsidRDefault="004B1C55" w:rsidP="00356EA4">
      <w:pPr>
        <w:pStyle w:val="Heading4"/>
        <w:jc w:val="center"/>
        <w:rPr>
          <w:rFonts w:asciiTheme="minorHAnsi" w:hAnsiTheme="minorHAnsi" w:cstheme="minorHAnsi"/>
          <w:noProof/>
        </w:rPr>
      </w:pPr>
      <w:r w:rsidRPr="00356EA4">
        <w:rPr>
          <w:rFonts w:asciiTheme="minorHAnsi" w:hAnsiTheme="minorHAnsi" w:cstheme="minorHAnsi"/>
          <w:noProof/>
        </w:rPr>
        <w:lastRenderedPageBreak/>
        <w:t>Figure</w:t>
      </w:r>
      <w:r w:rsidR="00FA21B1" w:rsidRPr="00356EA4">
        <w:rPr>
          <w:rFonts w:asciiTheme="minorHAnsi" w:hAnsiTheme="minorHAnsi" w:cstheme="minorHAnsi"/>
          <w:noProof/>
        </w:rPr>
        <w:t xml:space="preserve"> </w:t>
      </w:r>
      <w:r w:rsidR="002D4764" w:rsidRPr="00356EA4">
        <w:rPr>
          <w:rFonts w:asciiTheme="minorHAnsi" w:hAnsiTheme="minorHAnsi" w:cstheme="minorHAnsi"/>
          <w:noProof/>
        </w:rPr>
        <w:t>2</w:t>
      </w:r>
      <w:r w:rsidRPr="00356EA4">
        <w:rPr>
          <w:rFonts w:asciiTheme="minorHAnsi" w:hAnsiTheme="minorHAnsi" w:cstheme="minorHAnsi"/>
          <w:noProof/>
        </w:rPr>
        <w:t>: F</w:t>
      </w:r>
      <w:r w:rsidR="00F9641F">
        <w:rPr>
          <w:rFonts w:asciiTheme="minorHAnsi" w:hAnsiTheme="minorHAnsi" w:cstheme="minorHAnsi"/>
          <w:noProof/>
        </w:rPr>
        <w:t>Y19</w:t>
      </w:r>
      <w:r w:rsidRPr="00356EA4">
        <w:rPr>
          <w:rFonts w:asciiTheme="minorHAnsi" w:hAnsiTheme="minorHAnsi" w:cstheme="minorHAnsi"/>
          <w:noProof/>
        </w:rPr>
        <w:t xml:space="preserve"> </w:t>
      </w:r>
      <w:r w:rsidR="00F9641F">
        <w:rPr>
          <w:rFonts w:asciiTheme="minorHAnsi" w:hAnsiTheme="minorHAnsi" w:cstheme="minorHAnsi"/>
          <w:noProof/>
        </w:rPr>
        <w:t>municipal r</w:t>
      </w:r>
      <w:r w:rsidRPr="00356EA4">
        <w:rPr>
          <w:rFonts w:asciiTheme="minorHAnsi" w:hAnsiTheme="minorHAnsi" w:cstheme="minorHAnsi"/>
          <w:noProof/>
        </w:rPr>
        <w:t xml:space="preserve">equired </w:t>
      </w:r>
      <w:r w:rsidR="0063235D">
        <w:rPr>
          <w:rFonts w:asciiTheme="minorHAnsi" w:hAnsiTheme="minorHAnsi" w:cstheme="minorHAnsi"/>
          <w:noProof/>
        </w:rPr>
        <w:t>versus</w:t>
      </w:r>
      <w:r w:rsidRPr="00356EA4">
        <w:rPr>
          <w:rFonts w:asciiTheme="minorHAnsi" w:hAnsiTheme="minorHAnsi" w:cstheme="minorHAnsi"/>
          <w:noProof/>
        </w:rPr>
        <w:t xml:space="preserve"> </w:t>
      </w:r>
      <w:r w:rsidR="004860FC">
        <w:rPr>
          <w:rFonts w:asciiTheme="minorHAnsi" w:hAnsiTheme="minorHAnsi" w:cstheme="minorHAnsi"/>
          <w:noProof/>
        </w:rPr>
        <w:t>a</w:t>
      </w:r>
      <w:r w:rsidRPr="00356EA4">
        <w:rPr>
          <w:rFonts w:asciiTheme="minorHAnsi" w:hAnsiTheme="minorHAnsi" w:cstheme="minorHAnsi"/>
          <w:noProof/>
        </w:rPr>
        <w:t xml:space="preserve">ctual </w:t>
      </w:r>
      <w:r w:rsidR="004860FC">
        <w:rPr>
          <w:rFonts w:asciiTheme="minorHAnsi" w:hAnsiTheme="minorHAnsi" w:cstheme="minorHAnsi"/>
          <w:noProof/>
        </w:rPr>
        <w:t>local contributions</w:t>
      </w:r>
      <w:r w:rsidRPr="00356EA4">
        <w:rPr>
          <w:rFonts w:asciiTheme="minorHAnsi" w:hAnsiTheme="minorHAnsi" w:cstheme="minorHAnsi"/>
          <w:noProof/>
        </w:rPr>
        <w:t xml:space="preserve"> as </w:t>
      </w:r>
      <w:r w:rsidR="008337F3">
        <w:rPr>
          <w:rFonts w:asciiTheme="minorHAnsi" w:hAnsiTheme="minorHAnsi" w:cstheme="minorHAnsi"/>
          <w:noProof/>
        </w:rPr>
        <w:t>percent of</w:t>
      </w:r>
      <w:r w:rsidRPr="00356EA4">
        <w:rPr>
          <w:rFonts w:asciiTheme="minorHAnsi" w:hAnsiTheme="minorHAnsi" w:cstheme="minorHAnsi"/>
          <w:noProof/>
        </w:rPr>
        <w:t xml:space="preserve"> </w:t>
      </w:r>
      <w:r w:rsidR="008337F3">
        <w:rPr>
          <w:rFonts w:asciiTheme="minorHAnsi" w:hAnsiTheme="minorHAnsi" w:cstheme="minorHAnsi"/>
          <w:noProof/>
        </w:rPr>
        <w:t>f</w:t>
      </w:r>
      <w:r w:rsidRPr="00356EA4">
        <w:rPr>
          <w:rFonts w:asciiTheme="minorHAnsi" w:hAnsiTheme="minorHAnsi" w:cstheme="minorHAnsi"/>
          <w:noProof/>
        </w:rPr>
        <w:t>oundation</w:t>
      </w:r>
    </w:p>
    <w:p w14:paraId="61450BCE" w14:textId="43E1423D" w:rsidR="004B1C55" w:rsidRDefault="00292869">
      <w:pPr>
        <w:jc w:val="center"/>
      </w:pPr>
      <w:r>
        <w:rPr>
          <w:noProof/>
        </w:rPr>
        <w:drawing>
          <wp:inline distT="0" distB="0" distL="0" distR="0" wp14:anchorId="763AB4AE" wp14:editId="1E67740A">
            <wp:extent cx="5651500" cy="2621280"/>
            <wp:effectExtent l="0" t="0" r="6350" b="7620"/>
            <wp:docPr id="12" name="Picture 12" descr="Figure 2: municipal required contributions versus actual contributions as percent of foundation, fiscal year 2019&#10;&#10;Almost every municipality spends more than required, with communities with the highest requirements (as a percentage of foundation budgets) spending well above those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5651500" cy="2621280"/>
                    </a:xfrm>
                    <a:prstGeom prst="rect">
                      <a:avLst/>
                    </a:prstGeom>
                  </pic:spPr>
                </pic:pic>
              </a:graphicData>
            </a:graphic>
          </wp:inline>
        </w:drawing>
      </w:r>
    </w:p>
    <w:p w14:paraId="1D151EA5" w14:textId="333F2B74" w:rsidR="00EC1295" w:rsidRPr="00C61CA1" w:rsidRDefault="00EC1295" w:rsidP="00EC1295">
      <w:pPr>
        <w:pStyle w:val="NormalWeb"/>
        <w:spacing w:before="0" w:beforeAutospacing="0" w:after="0" w:afterAutospacing="0"/>
        <w:rPr>
          <w:color w:val="000000"/>
        </w:rPr>
      </w:pPr>
      <w:r w:rsidRPr="4910F8A3">
        <w:rPr>
          <w:color w:val="000000" w:themeColor="text1"/>
        </w:rPr>
        <w:t xml:space="preserve">In terms of the reasonableness of the </w:t>
      </w:r>
      <w:r w:rsidR="006D613D">
        <w:rPr>
          <w:color w:val="000000" w:themeColor="text1"/>
        </w:rPr>
        <w:t xml:space="preserve">local contribution </w:t>
      </w:r>
      <w:r w:rsidRPr="4910F8A3">
        <w:rPr>
          <w:color w:val="000000" w:themeColor="text1"/>
        </w:rPr>
        <w:t xml:space="preserve">targets, the data indicates that almost all </w:t>
      </w:r>
      <w:r w:rsidR="005F2FAB">
        <w:rPr>
          <w:color w:val="000000" w:themeColor="text1"/>
        </w:rPr>
        <w:t>cities and towns</w:t>
      </w:r>
      <w:r w:rsidRPr="4910F8A3">
        <w:rPr>
          <w:color w:val="000000" w:themeColor="text1"/>
        </w:rPr>
        <w:t xml:space="preserve"> </w:t>
      </w:r>
      <w:r w:rsidR="00B26B8C">
        <w:rPr>
          <w:color w:val="000000" w:themeColor="text1"/>
        </w:rPr>
        <w:t>consistently meet their</w:t>
      </w:r>
      <w:r w:rsidRPr="4910F8A3">
        <w:rPr>
          <w:color w:val="000000" w:themeColor="text1"/>
        </w:rPr>
        <w:t xml:space="preserve"> </w:t>
      </w:r>
      <w:r w:rsidR="002D3178">
        <w:rPr>
          <w:color w:val="000000" w:themeColor="text1"/>
        </w:rPr>
        <w:t xml:space="preserve">target </w:t>
      </w:r>
      <w:r w:rsidRPr="4910F8A3">
        <w:rPr>
          <w:color w:val="000000" w:themeColor="text1"/>
        </w:rPr>
        <w:t>and most typically exceed it</w:t>
      </w:r>
      <w:r w:rsidR="002D3178">
        <w:rPr>
          <w:color w:val="000000" w:themeColor="text1"/>
        </w:rPr>
        <w:t xml:space="preserve">, see </w:t>
      </w:r>
      <w:r w:rsidR="006D613D">
        <w:rPr>
          <w:color w:val="000000" w:themeColor="text1"/>
        </w:rPr>
        <w:t xml:space="preserve">Figure 3. </w:t>
      </w:r>
      <w:r w:rsidR="00EA121A">
        <w:rPr>
          <w:color w:val="000000" w:themeColor="text1"/>
        </w:rPr>
        <w:t>In recent years,</w:t>
      </w:r>
      <w:r w:rsidR="00EA121A" w:rsidRPr="4910F8A3">
        <w:rPr>
          <w:color w:val="000000" w:themeColor="text1"/>
        </w:rPr>
        <w:t xml:space="preserve"> </w:t>
      </w:r>
      <w:r w:rsidR="00EA121A">
        <w:rPr>
          <w:color w:val="000000" w:themeColor="text1"/>
        </w:rPr>
        <w:t>only about a dozen school</w:t>
      </w:r>
      <w:r w:rsidR="00464948">
        <w:rPr>
          <w:color w:val="000000" w:themeColor="text1"/>
        </w:rPr>
        <w:t xml:space="preserve"> districts</w:t>
      </w:r>
      <w:r w:rsidRPr="4910F8A3">
        <w:rPr>
          <w:color w:val="000000" w:themeColor="text1"/>
        </w:rPr>
        <w:t xml:space="preserve">, predominantly </w:t>
      </w:r>
      <w:r w:rsidR="00990A51">
        <w:rPr>
          <w:color w:val="000000" w:themeColor="text1"/>
        </w:rPr>
        <w:t xml:space="preserve">school districts serving </w:t>
      </w:r>
      <w:r w:rsidR="006D613D">
        <w:rPr>
          <w:color w:val="000000" w:themeColor="text1"/>
        </w:rPr>
        <w:t>Gateway Cities</w:t>
      </w:r>
      <w:r w:rsidRPr="4910F8A3">
        <w:rPr>
          <w:color w:val="000000" w:themeColor="text1"/>
        </w:rPr>
        <w:t>, fall short</w:t>
      </w:r>
      <w:r w:rsidR="008417AE">
        <w:rPr>
          <w:color w:val="000000" w:themeColor="text1"/>
        </w:rPr>
        <w:t xml:space="preserve"> of meeting their </w:t>
      </w:r>
      <w:r w:rsidR="00976F6D">
        <w:rPr>
          <w:color w:val="000000" w:themeColor="text1"/>
        </w:rPr>
        <w:t>target contribution</w:t>
      </w:r>
      <w:r w:rsidR="005822D8">
        <w:rPr>
          <w:color w:val="000000" w:themeColor="text1"/>
        </w:rPr>
        <w:t xml:space="preserve"> (combined effort yield capped at 82.5%)</w:t>
      </w:r>
      <w:r w:rsidRPr="4910F8A3">
        <w:rPr>
          <w:color w:val="000000" w:themeColor="text1"/>
        </w:rPr>
        <w:t xml:space="preserve">. This indicates that at the current levels, the targets are reasonable and achievable for most municipalities, and in fact may understate their actual fiscal capacity. </w:t>
      </w:r>
    </w:p>
    <w:p w14:paraId="2AE952AA" w14:textId="412CBD83" w:rsidR="00EC1295" w:rsidRPr="00C9371D" w:rsidRDefault="00EC1295" w:rsidP="00356EA4">
      <w:pPr>
        <w:pStyle w:val="Heading4"/>
        <w:jc w:val="center"/>
        <w:rPr>
          <w:rFonts w:asciiTheme="minorHAnsi" w:eastAsiaTheme="minorHAnsi" w:hAnsiTheme="minorHAnsi" w:cstheme="minorHAnsi"/>
        </w:rPr>
      </w:pPr>
      <w:r w:rsidRPr="00356EA4">
        <w:rPr>
          <w:rFonts w:asciiTheme="minorHAnsi" w:hAnsiTheme="minorHAnsi" w:cstheme="minorHAnsi"/>
        </w:rPr>
        <w:t xml:space="preserve">Figure </w:t>
      </w:r>
      <w:r w:rsidR="00775990" w:rsidRPr="00356EA4">
        <w:rPr>
          <w:rFonts w:asciiTheme="minorHAnsi" w:hAnsiTheme="minorHAnsi" w:cstheme="minorHAnsi"/>
        </w:rPr>
        <w:t>3</w:t>
      </w:r>
      <w:r w:rsidRPr="00356EA4">
        <w:rPr>
          <w:rFonts w:asciiTheme="minorHAnsi" w:hAnsiTheme="minorHAnsi" w:cstheme="minorHAnsi"/>
        </w:rPr>
        <w:t xml:space="preserve">: </w:t>
      </w:r>
      <w:r w:rsidR="00464948">
        <w:rPr>
          <w:rFonts w:asciiTheme="minorHAnsi" w:hAnsiTheme="minorHAnsi" w:cstheme="minorHAnsi"/>
        </w:rPr>
        <w:t>FY19 municipal</w:t>
      </w:r>
      <w:r w:rsidRPr="00356EA4">
        <w:rPr>
          <w:rFonts w:asciiTheme="minorHAnsi" w:hAnsiTheme="minorHAnsi" w:cstheme="minorHAnsi"/>
        </w:rPr>
        <w:t xml:space="preserve"> target local contributions v</w:t>
      </w:r>
      <w:r w:rsidR="0063235D">
        <w:rPr>
          <w:rFonts w:asciiTheme="minorHAnsi" w:hAnsiTheme="minorHAnsi" w:cstheme="minorHAnsi"/>
        </w:rPr>
        <w:t>ersus</w:t>
      </w:r>
      <w:r w:rsidRPr="00356EA4">
        <w:rPr>
          <w:rFonts w:asciiTheme="minorHAnsi" w:hAnsiTheme="minorHAnsi" w:cstheme="minorHAnsi"/>
        </w:rPr>
        <w:t xml:space="preserve"> actual contributions </w:t>
      </w:r>
      <w:r w:rsidR="00292869">
        <w:rPr>
          <w:rFonts w:asciiTheme="minorHAnsi" w:hAnsiTheme="minorHAnsi" w:cstheme="minorHAnsi"/>
        </w:rPr>
        <w:br/>
      </w:r>
      <w:r w:rsidRPr="00356EA4">
        <w:rPr>
          <w:rFonts w:asciiTheme="minorHAnsi" w:hAnsiTheme="minorHAnsi" w:cstheme="minorHAnsi"/>
        </w:rPr>
        <w:t xml:space="preserve">as </w:t>
      </w:r>
      <w:r w:rsidR="00714014">
        <w:rPr>
          <w:rFonts w:asciiTheme="minorHAnsi" w:hAnsiTheme="minorHAnsi" w:cstheme="minorHAnsi"/>
        </w:rPr>
        <w:t xml:space="preserve">percent of </w:t>
      </w:r>
      <w:r w:rsidRPr="00356EA4">
        <w:rPr>
          <w:rFonts w:asciiTheme="minorHAnsi" w:hAnsiTheme="minorHAnsi" w:cstheme="minorHAnsi"/>
        </w:rPr>
        <w:t>foundatio</w:t>
      </w:r>
      <w:r w:rsidR="00AE5E9E">
        <w:rPr>
          <w:rFonts w:asciiTheme="minorHAnsi" w:hAnsiTheme="minorHAnsi" w:cstheme="minorHAnsi"/>
        </w:rPr>
        <w:t>n</w:t>
      </w:r>
    </w:p>
    <w:p w14:paraId="2358E387" w14:textId="77777777" w:rsidR="00F45BBB" w:rsidRDefault="00292869" w:rsidP="00356EA4">
      <w:pPr>
        <w:pStyle w:val="NormalWeb"/>
        <w:spacing w:before="0" w:beforeAutospacing="0" w:after="0" w:afterAutospacing="0"/>
        <w:jc w:val="center"/>
        <w:rPr>
          <w:rFonts w:asciiTheme="minorHAnsi" w:hAnsiTheme="minorHAnsi" w:cstheme="minorBidi"/>
          <w:sz w:val="22"/>
          <w:szCs w:val="22"/>
        </w:rPr>
      </w:pPr>
      <w:r>
        <w:rPr>
          <w:noProof/>
        </w:rPr>
        <w:drawing>
          <wp:inline distT="0" distB="0" distL="0" distR="0" wp14:anchorId="5E0CEC01" wp14:editId="3FFDB54C">
            <wp:extent cx="5543550" cy="3058693"/>
            <wp:effectExtent l="0" t="0" r="0" b="8890"/>
            <wp:docPr id="17" name="Picture 17" descr="Figure 3: municipal target local contributions versus actual contributions &#10;as percent of foundation, fiscal year 2019&#10;&#10;Almost all cities and towns consistently meet their target and most typically excee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5543550" cy="3058693"/>
                    </a:xfrm>
                    <a:prstGeom prst="rect">
                      <a:avLst/>
                    </a:prstGeom>
                  </pic:spPr>
                </pic:pic>
              </a:graphicData>
            </a:graphic>
          </wp:inline>
        </w:drawing>
      </w:r>
    </w:p>
    <w:p w14:paraId="468DE5BD" w14:textId="5B71445F" w:rsidR="00EC1295" w:rsidRPr="00356EA4" w:rsidRDefault="00EC1295" w:rsidP="00356EA4">
      <w:pPr>
        <w:pStyle w:val="NormalWeb"/>
        <w:spacing w:before="0" w:beforeAutospacing="0" w:after="0" w:afterAutospacing="0"/>
        <w:jc w:val="center"/>
        <w:rPr>
          <w:rFonts w:asciiTheme="minorHAnsi" w:hAnsiTheme="minorHAnsi" w:cstheme="minorHAnsi"/>
          <w:sz w:val="22"/>
          <w:szCs w:val="22"/>
        </w:rPr>
      </w:pPr>
      <w:r w:rsidRPr="322F2839">
        <w:rPr>
          <w:rFonts w:asciiTheme="minorHAnsi" w:hAnsiTheme="minorHAnsi" w:cstheme="minorBidi"/>
          <w:sz w:val="22"/>
          <w:szCs w:val="22"/>
        </w:rPr>
        <w:t>Note: N = 3</w:t>
      </w:r>
      <w:r w:rsidR="005B13CD" w:rsidRPr="322F2839">
        <w:rPr>
          <w:rFonts w:asciiTheme="minorHAnsi" w:hAnsiTheme="minorHAnsi" w:cstheme="minorBidi"/>
          <w:sz w:val="22"/>
          <w:szCs w:val="22"/>
        </w:rPr>
        <w:t>37</w:t>
      </w:r>
      <w:r w:rsidRPr="322F2839">
        <w:rPr>
          <w:rFonts w:asciiTheme="minorHAnsi" w:hAnsiTheme="minorHAnsi" w:cstheme="minorBidi"/>
          <w:sz w:val="22"/>
          <w:szCs w:val="22"/>
        </w:rPr>
        <w:t xml:space="preserve"> </w:t>
      </w:r>
      <w:r w:rsidR="005B13CD" w:rsidRPr="322F2839">
        <w:rPr>
          <w:rFonts w:asciiTheme="minorHAnsi" w:hAnsiTheme="minorHAnsi" w:cstheme="minorBidi"/>
          <w:sz w:val="22"/>
          <w:szCs w:val="22"/>
        </w:rPr>
        <w:t>municipalities</w:t>
      </w:r>
      <w:r w:rsidRPr="322F2839">
        <w:rPr>
          <w:rFonts w:asciiTheme="minorHAnsi" w:hAnsiTheme="minorHAnsi" w:cstheme="minorBidi"/>
          <w:sz w:val="22"/>
          <w:szCs w:val="22"/>
        </w:rPr>
        <w:t xml:space="preserve"> with CEY</w:t>
      </w:r>
      <w:r w:rsidR="005B13CD" w:rsidRPr="322F2839">
        <w:rPr>
          <w:rFonts w:asciiTheme="minorHAnsi" w:hAnsiTheme="minorHAnsi" w:cstheme="minorBidi"/>
          <w:sz w:val="22"/>
          <w:szCs w:val="22"/>
        </w:rPr>
        <w:t>s as a percent of</w:t>
      </w:r>
      <w:r w:rsidRPr="322F2839">
        <w:rPr>
          <w:rFonts w:asciiTheme="minorHAnsi" w:hAnsiTheme="minorHAnsi" w:cstheme="minorBidi"/>
          <w:sz w:val="22"/>
          <w:szCs w:val="22"/>
        </w:rPr>
        <w:t xml:space="preserve"> foundation &lt; 300%.</w:t>
      </w:r>
    </w:p>
    <w:p w14:paraId="05ED68B0" w14:textId="77777777" w:rsidR="00474ABB" w:rsidRDefault="00474ABB" w:rsidP="00EC1295">
      <w:pPr>
        <w:pStyle w:val="NormalWeb"/>
        <w:spacing w:before="0" w:beforeAutospacing="0" w:after="0" w:afterAutospacing="0"/>
        <w:rPr>
          <w:color w:val="000000" w:themeColor="text1"/>
        </w:rPr>
      </w:pPr>
    </w:p>
    <w:p w14:paraId="1AD9E95C" w14:textId="1D66A5A5" w:rsidR="00EC1295" w:rsidRPr="00C61CA1" w:rsidRDefault="00EC1295" w:rsidP="00EC1295">
      <w:pPr>
        <w:pStyle w:val="NormalWeb"/>
        <w:spacing w:before="0" w:beforeAutospacing="0" w:after="0" w:afterAutospacing="0"/>
        <w:rPr>
          <w:color w:val="000000"/>
        </w:rPr>
      </w:pPr>
      <w:r w:rsidRPr="4910F8A3">
        <w:rPr>
          <w:color w:val="000000" w:themeColor="text1"/>
        </w:rPr>
        <w:lastRenderedPageBreak/>
        <w:t xml:space="preserve">It is important to recognize that </w:t>
      </w:r>
      <w:r w:rsidR="00F41276">
        <w:rPr>
          <w:color w:val="000000" w:themeColor="text1"/>
        </w:rPr>
        <w:t xml:space="preserve">the formula’s determination </w:t>
      </w:r>
      <w:r w:rsidRPr="4910F8A3">
        <w:rPr>
          <w:color w:val="000000" w:themeColor="text1"/>
        </w:rPr>
        <w:t xml:space="preserve">of fiscal capacity does not directly answer the question </w:t>
      </w:r>
      <w:r w:rsidR="00CA57D0">
        <w:rPr>
          <w:color w:val="000000" w:themeColor="text1"/>
        </w:rPr>
        <w:t xml:space="preserve">of </w:t>
      </w:r>
      <w:r w:rsidR="00081B01">
        <w:rPr>
          <w:color w:val="000000" w:themeColor="text1"/>
        </w:rPr>
        <w:t>how much revenue an</w:t>
      </w:r>
      <w:r w:rsidRPr="4910F8A3">
        <w:rPr>
          <w:color w:val="000000" w:themeColor="text1"/>
        </w:rPr>
        <w:t xml:space="preserve"> individual municipality can </w:t>
      </w:r>
      <w:r w:rsidR="61ED4C9A" w:rsidRPr="4910F8A3">
        <w:rPr>
          <w:color w:val="000000" w:themeColor="text1"/>
        </w:rPr>
        <w:t>make available</w:t>
      </w:r>
      <w:r w:rsidRPr="4910F8A3">
        <w:rPr>
          <w:color w:val="000000" w:themeColor="text1"/>
        </w:rPr>
        <w:t xml:space="preserve"> </w:t>
      </w:r>
      <w:r w:rsidR="66CC9F9E" w:rsidRPr="4910F8A3">
        <w:rPr>
          <w:color w:val="000000" w:themeColor="text1"/>
        </w:rPr>
        <w:t>for expenditure by</w:t>
      </w:r>
      <w:r w:rsidRPr="4910F8A3">
        <w:rPr>
          <w:color w:val="000000" w:themeColor="text1"/>
        </w:rPr>
        <w:t xml:space="preserve"> its public schools. That is a question that cannot be objectively answered because it depends not only on the unique fiscal circumstances of each community, but </w:t>
      </w:r>
      <w:r w:rsidR="001E11CB">
        <w:rPr>
          <w:color w:val="000000" w:themeColor="text1"/>
        </w:rPr>
        <w:t>also on</w:t>
      </w:r>
      <w:r w:rsidRPr="4910F8A3">
        <w:rPr>
          <w:color w:val="000000" w:themeColor="text1"/>
        </w:rPr>
        <w:t xml:space="preserve"> its expectations and values with respect to education weighed against other budgetary needs as well as its tolerance for raising local revenues. </w:t>
      </w:r>
    </w:p>
    <w:p w14:paraId="33115A7B" w14:textId="77777777" w:rsidR="00D10AF0" w:rsidRDefault="00D10AF0" w:rsidP="001411F0">
      <w:pPr>
        <w:pStyle w:val="NormalWeb"/>
        <w:spacing w:before="0" w:beforeAutospacing="0" w:after="0" w:afterAutospacing="0"/>
        <w:rPr>
          <w:color w:val="000000" w:themeColor="text1"/>
        </w:rPr>
      </w:pPr>
    </w:p>
    <w:p w14:paraId="64313E15" w14:textId="0E12F606" w:rsidR="001411F0" w:rsidRDefault="006B6638" w:rsidP="001411F0">
      <w:pPr>
        <w:pStyle w:val="NormalWeb"/>
        <w:spacing w:before="0" w:beforeAutospacing="0" w:after="0" w:afterAutospacing="0"/>
      </w:pPr>
      <w:r w:rsidRPr="4910F8A3">
        <w:rPr>
          <w:color w:val="000000" w:themeColor="text1"/>
        </w:rPr>
        <w:t xml:space="preserve">In </w:t>
      </w:r>
      <w:r w:rsidR="000B3512" w:rsidRPr="4910F8A3">
        <w:rPr>
          <w:color w:val="000000" w:themeColor="text1"/>
        </w:rPr>
        <w:t xml:space="preserve">the </w:t>
      </w:r>
      <w:r w:rsidR="004405D0" w:rsidRPr="4910F8A3">
        <w:rPr>
          <w:color w:val="000000" w:themeColor="text1"/>
        </w:rPr>
        <w:t xml:space="preserve">next </w:t>
      </w:r>
      <w:r w:rsidRPr="4910F8A3">
        <w:rPr>
          <w:color w:val="000000" w:themeColor="text1"/>
        </w:rPr>
        <w:t>section</w:t>
      </w:r>
      <w:r w:rsidR="004405D0" w:rsidRPr="4910F8A3">
        <w:rPr>
          <w:color w:val="000000" w:themeColor="text1"/>
        </w:rPr>
        <w:t>s</w:t>
      </w:r>
      <w:r w:rsidR="000B3512" w:rsidRPr="4910F8A3">
        <w:rPr>
          <w:color w:val="000000" w:themeColor="text1"/>
        </w:rPr>
        <w:t>,</w:t>
      </w:r>
      <w:r w:rsidRPr="4910F8A3">
        <w:rPr>
          <w:color w:val="000000" w:themeColor="text1"/>
        </w:rPr>
        <w:t xml:space="preserve"> </w:t>
      </w:r>
      <w:r w:rsidR="000B3512" w:rsidRPr="4910F8A3">
        <w:rPr>
          <w:color w:val="000000" w:themeColor="text1"/>
        </w:rPr>
        <w:t>the report addresses</w:t>
      </w:r>
      <w:r w:rsidRPr="4910F8A3">
        <w:rPr>
          <w:color w:val="000000" w:themeColor="text1"/>
        </w:rPr>
        <w:t xml:space="preserve"> issues and concerns that have been raised </w:t>
      </w:r>
      <w:r w:rsidR="00EB3637" w:rsidRPr="4910F8A3">
        <w:rPr>
          <w:color w:val="000000" w:themeColor="text1"/>
        </w:rPr>
        <w:t xml:space="preserve">since the </w:t>
      </w:r>
      <w:r w:rsidR="154014E0" w:rsidRPr="4910F8A3">
        <w:rPr>
          <w:color w:val="000000" w:themeColor="text1"/>
        </w:rPr>
        <w:t xml:space="preserve">current </w:t>
      </w:r>
      <w:r w:rsidR="00EB3637" w:rsidRPr="4910F8A3">
        <w:rPr>
          <w:color w:val="000000" w:themeColor="text1"/>
        </w:rPr>
        <w:t xml:space="preserve">local contribution formula was adopted in </w:t>
      </w:r>
      <w:r w:rsidR="000278A4">
        <w:rPr>
          <w:color w:val="000000" w:themeColor="text1"/>
        </w:rPr>
        <w:t>FY</w:t>
      </w:r>
      <w:r w:rsidR="007C7215" w:rsidRPr="4910F8A3">
        <w:rPr>
          <w:color w:val="000000" w:themeColor="text1"/>
        </w:rPr>
        <w:t>07</w:t>
      </w:r>
      <w:r w:rsidR="00B8451E" w:rsidRPr="4910F8A3">
        <w:rPr>
          <w:color w:val="000000" w:themeColor="text1"/>
        </w:rPr>
        <w:t>, many of which were echoed in the public comment</w:t>
      </w:r>
      <w:r w:rsidR="6870F389" w:rsidRPr="4910F8A3">
        <w:rPr>
          <w:color w:val="000000" w:themeColor="text1"/>
        </w:rPr>
        <w:t>s</w:t>
      </w:r>
      <w:r w:rsidR="00B8451E" w:rsidRPr="4910F8A3">
        <w:rPr>
          <w:color w:val="000000" w:themeColor="text1"/>
        </w:rPr>
        <w:t xml:space="preserve"> solicited for this report.</w:t>
      </w:r>
      <w:r w:rsidR="001411F0" w:rsidRPr="001411F0">
        <w:t xml:space="preserve"> </w:t>
      </w:r>
      <w:r w:rsidR="001411F0" w:rsidRPr="00650AFF">
        <w:t xml:space="preserve">The legislative charge asks us to consider the equity, predictability, and accuracy of the method of determining each municipality’s ability to contribute toward education funding. </w:t>
      </w:r>
    </w:p>
    <w:p w14:paraId="321E9583" w14:textId="2782C9B5" w:rsidR="008245B9" w:rsidRPr="00CF16E8" w:rsidRDefault="008979B6" w:rsidP="00CF16E8">
      <w:pPr>
        <w:pStyle w:val="Heading1"/>
      </w:pPr>
      <w:bookmarkStart w:id="9" w:name="_Toc55558699"/>
      <w:bookmarkStart w:id="10" w:name="_Toc57725123"/>
      <w:r w:rsidRPr="005D19B8">
        <w:t xml:space="preserve">Determining </w:t>
      </w:r>
      <w:r w:rsidR="008245B9" w:rsidRPr="00CF16E8">
        <w:t>municipal fiscal capacity</w:t>
      </w:r>
      <w:bookmarkEnd w:id="9"/>
      <w:bookmarkEnd w:id="10"/>
    </w:p>
    <w:p w14:paraId="242F6A90" w14:textId="16E30DB9" w:rsidR="00E44690" w:rsidRPr="00385350" w:rsidRDefault="00424A4D" w:rsidP="00E44690">
      <w:pPr>
        <w:pStyle w:val="Heading3"/>
      </w:pPr>
      <w:bookmarkStart w:id="11" w:name="_Toc55558700"/>
      <w:bookmarkStart w:id="12" w:name="_Toc57725124"/>
      <w:r>
        <w:t>Measures of fiscal capacity</w:t>
      </w:r>
      <w:r w:rsidR="00FC536F">
        <w:t>: EQVs and</w:t>
      </w:r>
      <w:r w:rsidR="00F20468">
        <w:t xml:space="preserve"> aggregate income</w:t>
      </w:r>
      <w:bookmarkEnd w:id="11"/>
      <w:bookmarkEnd w:id="12"/>
    </w:p>
    <w:p w14:paraId="1CD7C55E" w14:textId="090F0584" w:rsidR="00F6783A" w:rsidRDefault="006A317D" w:rsidP="00BA6E9E">
      <w:pPr>
        <w:pStyle w:val="NormalWeb"/>
        <w:spacing w:before="0" w:beforeAutospacing="0" w:after="0" w:afterAutospacing="0"/>
      </w:pPr>
      <w:r w:rsidRPr="00CF16E8">
        <w:t xml:space="preserve">The two </w:t>
      </w:r>
      <w:r w:rsidR="00526E2A" w:rsidRPr="00CF16E8">
        <w:t>measures used in setting the target local contribution r</w:t>
      </w:r>
      <w:r w:rsidR="005E7BB3" w:rsidRPr="00CF16E8">
        <w:t xml:space="preserve">equirement are property values </w:t>
      </w:r>
      <w:r w:rsidR="00C54189" w:rsidRPr="00CF16E8">
        <w:t>(EQVs)</w:t>
      </w:r>
      <w:r w:rsidR="00F64ED3" w:rsidRPr="00CF16E8">
        <w:t xml:space="preserve"> and personal income. </w:t>
      </w:r>
      <w:r w:rsidR="00902FBA" w:rsidRPr="00CF16E8">
        <w:t xml:space="preserve">Property values </w:t>
      </w:r>
      <w:r w:rsidR="00F6783A">
        <w:t xml:space="preserve">obviously </w:t>
      </w:r>
      <w:r w:rsidR="00902FBA" w:rsidRPr="00CF16E8">
        <w:t xml:space="preserve">have a direct connection to </w:t>
      </w:r>
      <w:r w:rsidR="009B65C3" w:rsidRPr="00CF16E8">
        <w:t xml:space="preserve">the property taxes </w:t>
      </w:r>
      <w:r w:rsidR="00A57F19" w:rsidRPr="00CF16E8">
        <w:t xml:space="preserve">that are the largest component of </w:t>
      </w:r>
      <w:r w:rsidR="00BF22A2" w:rsidRPr="00BF22A2">
        <w:t>locally raised</w:t>
      </w:r>
      <w:r w:rsidR="00A57F19" w:rsidRPr="00CF16E8">
        <w:t xml:space="preserve"> revenues</w:t>
      </w:r>
      <w:r w:rsidR="00F6783A">
        <w:t>. P</w:t>
      </w:r>
      <w:r w:rsidR="00FA0353">
        <w:t>e</w:t>
      </w:r>
      <w:r w:rsidR="00950EAD" w:rsidRPr="00CF16E8">
        <w:t xml:space="preserve">rsonal income is </w:t>
      </w:r>
      <w:r w:rsidR="00A928F1" w:rsidRPr="00CF16E8">
        <w:t xml:space="preserve">a commonly used </w:t>
      </w:r>
      <w:r w:rsidR="00B6044C" w:rsidRPr="00CF16E8">
        <w:t xml:space="preserve">measure of a community’s wealth. </w:t>
      </w:r>
      <w:r w:rsidR="00F6783A">
        <w:t>Although cities and towns cannot directly tax income, it serves as a useful proxy for their residents’ ability to afford their property taxes.</w:t>
      </w:r>
    </w:p>
    <w:p w14:paraId="5B7F1310" w14:textId="77777777" w:rsidR="00F6783A" w:rsidRDefault="00F6783A" w:rsidP="00BA6E9E">
      <w:pPr>
        <w:pStyle w:val="NormalWeb"/>
        <w:spacing w:before="0" w:beforeAutospacing="0" w:after="0" w:afterAutospacing="0"/>
      </w:pPr>
    </w:p>
    <w:p w14:paraId="11F11723" w14:textId="1DDA6DFA" w:rsidR="00D534F4" w:rsidRDefault="00671BAE" w:rsidP="00BA6E9E">
      <w:pPr>
        <w:pStyle w:val="NormalWeb"/>
        <w:spacing w:before="0" w:beforeAutospacing="0" w:after="0" w:afterAutospacing="0"/>
      </w:pPr>
      <w:r>
        <w:t xml:space="preserve">Since its adoption in 2006, </w:t>
      </w:r>
      <w:r w:rsidR="002D06D0">
        <w:t xml:space="preserve">DESE has heard </w:t>
      </w:r>
      <w:r>
        <w:t>concerns about</w:t>
      </w:r>
      <w:r w:rsidR="002D06D0">
        <w:t xml:space="preserve"> the </w:t>
      </w:r>
      <w:r w:rsidR="00054D60">
        <w:t>method for measuring local fiscal capacity</w:t>
      </w:r>
      <w:r>
        <w:t>. However, t</w:t>
      </w:r>
      <w:r w:rsidR="00054D60">
        <w:t>here</w:t>
      </w:r>
      <w:r>
        <w:t xml:space="preserve"> is</w:t>
      </w:r>
      <w:r w:rsidR="00054D60">
        <w:t xml:space="preserve"> no general </w:t>
      </w:r>
      <w:r>
        <w:t>consensus</w:t>
      </w:r>
      <w:r w:rsidR="00054D60">
        <w:t xml:space="preserve"> in the municipal finance community on an alternative approach.</w:t>
      </w:r>
    </w:p>
    <w:p w14:paraId="514AE45C" w14:textId="77777777" w:rsidR="00FC536F" w:rsidRDefault="00FC536F">
      <w:pPr>
        <w:pStyle w:val="NormalWeb"/>
        <w:spacing w:before="0" w:beforeAutospacing="0" w:after="0" w:afterAutospacing="0"/>
      </w:pPr>
    </w:p>
    <w:p w14:paraId="3750264F" w14:textId="0A4DD0B6" w:rsidR="00526351" w:rsidRDefault="00526351">
      <w:pPr>
        <w:pStyle w:val="NormalWeb"/>
        <w:spacing w:before="0" w:beforeAutospacing="0" w:after="0" w:afterAutospacing="0"/>
      </w:pPr>
      <w:r>
        <w:t xml:space="preserve">For property values, the formula uses EQVs rather than the actual assessments used for property tax bills. The reason is that each community is required to reassess property values every </w:t>
      </w:r>
      <w:r w:rsidR="00671BAE">
        <w:t>five</w:t>
      </w:r>
      <w:r w:rsidR="009E209D">
        <w:t xml:space="preserve"> </w:t>
      </w:r>
      <w:r>
        <w:t>years, but the reassessments are not all done in the same year. DOR</w:t>
      </w:r>
      <w:r w:rsidR="00594AB0">
        <w:t>/DLS</w:t>
      </w:r>
      <w:r>
        <w:t>’s EQV calculation accounts for these timing differences,</w:t>
      </w:r>
      <w:r w:rsidR="00FB308D">
        <w:t xml:space="preserve"> providing a more accurate basis for comparing municipalities. The EQV calculations are done every two years.</w:t>
      </w:r>
    </w:p>
    <w:p w14:paraId="0DC3ED34" w14:textId="306FAA8D" w:rsidR="00FB308D" w:rsidRDefault="00FB308D">
      <w:pPr>
        <w:pStyle w:val="NormalWeb"/>
        <w:spacing w:before="0" w:beforeAutospacing="0" w:after="0" w:afterAutospacing="0"/>
      </w:pPr>
    </w:p>
    <w:p w14:paraId="46EEA1B6" w14:textId="6BC1686A" w:rsidR="00FB308D" w:rsidRDefault="00FB308D">
      <w:pPr>
        <w:pStyle w:val="NormalWeb"/>
        <w:spacing w:before="0" w:beforeAutospacing="0" w:after="0" w:afterAutospacing="0"/>
      </w:pPr>
      <w:r>
        <w:t>It should also be noted that EQVs include all taxable property, commercial as well as residential. A town that has little or no commercial property is not disadvantaged, as it will have a lower EQV (and therefore a lower target contribution) than a town with a similar residential base but a larger commercial base.</w:t>
      </w:r>
    </w:p>
    <w:p w14:paraId="75CFAB62" w14:textId="77777777" w:rsidR="00FB308D" w:rsidRDefault="00FB308D">
      <w:pPr>
        <w:pStyle w:val="NormalWeb"/>
        <w:spacing w:before="0" w:beforeAutospacing="0" w:after="0" w:afterAutospacing="0"/>
      </w:pPr>
    </w:p>
    <w:p w14:paraId="4A53654D" w14:textId="14FB451B" w:rsidR="008B2CC2" w:rsidRDefault="006848CF">
      <w:pPr>
        <w:pStyle w:val="NormalWeb"/>
        <w:spacing w:before="0" w:beforeAutospacing="0" w:after="0" w:afterAutospacing="0"/>
        <w:rPr>
          <w:color w:val="000000"/>
        </w:rPr>
      </w:pPr>
      <w:r w:rsidRPr="00CF16E8">
        <w:rPr>
          <w:color w:val="000000"/>
        </w:rPr>
        <w:t>For most cities or towns</w:t>
      </w:r>
      <w:r w:rsidR="00CB2946" w:rsidRPr="00CF16E8">
        <w:rPr>
          <w:color w:val="000000"/>
        </w:rPr>
        <w:t xml:space="preserve">, </w:t>
      </w:r>
      <w:r w:rsidR="00CA260C">
        <w:rPr>
          <w:color w:val="000000"/>
        </w:rPr>
        <w:t>using</w:t>
      </w:r>
      <w:r w:rsidRPr="00CF16E8">
        <w:rPr>
          <w:color w:val="000000"/>
        </w:rPr>
        <w:t xml:space="preserve"> </w:t>
      </w:r>
      <w:r w:rsidR="00F96082" w:rsidRPr="00CF16E8">
        <w:rPr>
          <w:color w:val="000000"/>
        </w:rPr>
        <w:t>EQV</w:t>
      </w:r>
      <w:r w:rsidRPr="00CF16E8">
        <w:rPr>
          <w:color w:val="000000"/>
        </w:rPr>
        <w:t xml:space="preserve"> relative to</w:t>
      </w:r>
      <w:r w:rsidR="00F96082" w:rsidRPr="00CF16E8">
        <w:rPr>
          <w:color w:val="000000"/>
        </w:rPr>
        <w:t xml:space="preserve"> </w:t>
      </w:r>
      <w:r w:rsidR="00CB2946" w:rsidRPr="00CF16E8">
        <w:rPr>
          <w:color w:val="000000"/>
        </w:rPr>
        <w:t xml:space="preserve">assessed </w:t>
      </w:r>
      <w:r w:rsidR="00657C84">
        <w:rPr>
          <w:color w:val="000000"/>
        </w:rPr>
        <w:t xml:space="preserve">values </w:t>
      </w:r>
      <w:r w:rsidR="00723F0F">
        <w:rPr>
          <w:color w:val="000000"/>
        </w:rPr>
        <w:t>has</w:t>
      </w:r>
      <w:r w:rsidRPr="00CF16E8">
        <w:rPr>
          <w:color w:val="000000"/>
        </w:rPr>
        <w:t xml:space="preserve"> little impact on the property </w:t>
      </w:r>
      <w:r w:rsidR="00861213" w:rsidRPr="0042083F">
        <w:rPr>
          <w:color w:val="000000"/>
        </w:rPr>
        <w:t>value</w:t>
      </w:r>
      <w:r w:rsidRPr="00CF16E8">
        <w:rPr>
          <w:color w:val="000000"/>
        </w:rPr>
        <w:t xml:space="preserve"> used in the local contribution calculations. For around </w:t>
      </w:r>
      <w:r w:rsidR="00861213">
        <w:rPr>
          <w:color w:val="000000"/>
        </w:rPr>
        <w:t>9</w:t>
      </w:r>
      <w:r w:rsidRPr="00CF16E8">
        <w:rPr>
          <w:color w:val="000000"/>
        </w:rPr>
        <w:t>0</w:t>
      </w:r>
      <w:r w:rsidR="00A76EA4">
        <w:rPr>
          <w:color w:val="000000"/>
        </w:rPr>
        <w:t>%</w:t>
      </w:r>
      <w:r w:rsidRPr="00CF16E8">
        <w:rPr>
          <w:color w:val="000000"/>
        </w:rPr>
        <w:t xml:space="preserve"> of </w:t>
      </w:r>
      <w:r w:rsidR="004E7F74" w:rsidRPr="00CF16E8">
        <w:rPr>
          <w:color w:val="000000"/>
        </w:rPr>
        <w:t>municipalities</w:t>
      </w:r>
      <w:r w:rsidRPr="00CF16E8">
        <w:rPr>
          <w:color w:val="000000"/>
        </w:rPr>
        <w:t xml:space="preserve">, </w:t>
      </w:r>
      <w:r w:rsidR="00455430">
        <w:rPr>
          <w:color w:val="000000"/>
        </w:rPr>
        <w:t>EQVs and assessed values</w:t>
      </w:r>
      <w:r w:rsidRPr="00CF16E8">
        <w:rPr>
          <w:color w:val="000000"/>
        </w:rPr>
        <w:t xml:space="preserve"> differ by </w:t>
      </w:r>
      <w:r w:rsidR="00861213">
        <w:rPr>
          <w:color w:val="000000"/>
        </w:rPr>
        <w:t>less</w:t>
      </w:r>
      <w:r w:rsidRPr="00CF16E8">
        <w:rPr>
          <w:color w:val="000000"/>
        </w:rPr>
        <w:t xml:space="preserve"> than 5</w:t>
      </w:r>
      <w:r w:rsidR="00455430">
        <w:rPr>
          <w:color w:val="000000"/>
        </w:rPr>
        <w:t>%</w:t>
      </w:r>
      <w:r w:rsidR="008A0471">
        <w:rPr>
          <w:color w:val="000000"/>
        </w:rPr>
        <w:t xml:space="preserve">, see </w:t>
      </w:r>
      <w:r w:rsidR="00837B35">
        <w:rPr>
          <w:color w:val="000000"/>
        </w:rPr>
        <w:t xml:space="preserve">Figure </w:t>
      </w:r>
      <w:r w:rsidR="00781DC5">
        <w:rPr>
          <w:color w:val="000000"/>
        </w:rPr>
        <w:t>4</w:t>
      </w:r>
      <w:r w:rsidR="00861213">
        <w:rPr>
          <w:color w:val="000000"/>
        </w:rPr>
        <w:t>.</w:t>
      </w:r>
    </w:p>
    <w:p w14:paraId="38771120" w14:textId="77777777" w:rsidR="000C369F" w:rsidRPr="00CF16E8" w:rsidRDefault="000C369F" w:rsidP="00CF16E8">
      <w:pPr>
        <w:pStyle w:val="NormalWeb"/>
        <w:spacing w:before="0" w:beforeAutospacing="0" w:after="0" w:afterAutospacing="0"/>
        <w:rPr>
          <w:color w:val="000000"/>
        </w:rPr>
      </w:pPr>
    </w:p>
    <w:p w14:paraId="1459BC41" w14:textId="77777777" w:rsidR="003F207A" w:rsidRDefault="003F207A">
      <w:pPr>
        <w:spacing w:after="160" w:line="259" w:lineRule="auto"/>
        <w:rPr>
          <w:color w:val="000000"/>
        </w:rPr>
      </w:pPr>
      <w:r>
        <w:rPr>
          <w:color w:val="000000"/>
        </w:rPr>
        <w:br w:type="page"/>
      </w:r>
    </w:p>
    <w:p w14:paraId="3F812B54" w14:textId="51830D1D" w:rsidR="00B76678" w:rsidRPr="00BF34F6" w:rsidRDefault="00B76678" w:rsidP="00BF34F6">
      <w:pPr>
        <w:pStyle w:val="NormalWeb"/>
        <w:spacing w:before="0" w:beforeAutospacing="0" w:after="0" w:afterAutospacing="0"/>
        <w:jc w:val="center"/>
        <w:rPr>
          <w:rFonts w:asciiTheme="minorHAnsi" w:hAnsiTheme="minorHAnsi" w:cstheme="minorHAnsi"/>
          <w:color w:val="000000"/>
        </w:rPr>
      </w:pPr>
      <w:r w:rsidRPr="00BF34F6">
        <w:rPr>
          <w:rFonts w:asciiTheme="minorHAnsi" w:hAnsiTheme="minorHAnsi" w:cstheme="minorHAnsi"/>
          <w:color w:val="000000"/>
        </w:rPr>
        <w:lastRenderedPageBreak/>
        <w:t>Figure</w:t>
      </w:r>
      <w:r w:rsidR="00D606E9" w:rsidRPr="00BF34F6">
        <w:rPr>
          <w:rFonts w:asciiTheme="minorHAnsi" w:hAnsiTheme="minorHAnsi" w:cstheme="minorHAnsi"/>
          <w:color w:val="000000"/>
        </w:rPr>
        <w:t xml:space="preserve"> </w:t>
      </w:r>
      <w:r w:rsidR="00775990" w:rsidRPr="00BF34F6">
        <w:rPr>
          <w:rFonts w:asciiTheme="minorHAnsi" w:hAnsiTheme="minorHAnsi" w:cstheme="minorHAnsi"/>
          <w:color w:val="000000"/>
        </w:rPr>
        <w:t>4</w:t>
      </w:r>
      <w:r w:rsidRPr="00BF34F6">
        <w:rPr>
          <w:rFonts w:asciiTheme="minorHAnsi" w:hAnsiTheme="minorHAnsi" w:cstheme="minorHAnsi"/>
          <w:color w:val="000000"/>
        </w:rPr>
        <w:t xml:space="preserve">: </w:t>
      </w:r>
      <w:r w:rsidR="00B1160E">
        <w:rPr>
          <w:rFonts w:asciiTheme="minorHAnsi" w:hAnsiTheme="minorHAnsi" w:cstheme="minorHAnsi"/>
          <w:color w:val="000000"/>
        </w:rPr>
        <w:t xml:space="preserve">2018 </w:t>
      </w:r>
      <w:r w:rsidRPr="00BF34F6">
        <w:rPr>
          <w:rFonts w:asciiTheme="minorHAnsi" w:hAnsiTheme="minorHAnsi" w:cstheme="minorHAnsi"/>
          <w:color w:val="000000"/>
        </w:rPr>
        <w:t>EQV</w:t>
      </w:r>
      <w:r w:rsidR="00B1160E">
        <w:rPr>
          <w:rFonts w:asciiTheme="minorHAnsi" w:hAnsiTheme="minorHAnsi" w:cstheme="minorHAnsi"/>
          <w:color w:val="000000"/>
        </w:rPr>
        <w:t>s</w:t>
      </w:r>
      <w:r w:rsidRPr="00BF34F6">
        <w:rPr>
          <w:rFonts w:asciiTheme="minorHAnsi" w:hAnsiTheme="minorHAnsi" w:cstheme="minorHAnsi"/>
          <w:color w:val="000000"/>
        </w:rPr>
        <w:t xml:space="preserve"> as </w:t>
      </w:r>
      <w:r w:rsidR="00F90336">
        <w:rPr>
          <w:rFonts w:asciiTheme="minorHAnsi" w:hAnsiTheme="minorHAnsi" w:cstheme="minorHAnsi"/>
          <w:color w:val="000000"/>
        </w:rPr>
        <w:t xml:space="preserve">a percent </w:t>
      </w:r>
      <w:r w:rsidRPr="00BF34F6">
        <w:rPr>
          <w:rFonts w:asciiTheme="minorHAnsi" w:hAnsiTheme="minorHAnsi" w:cstheme="minorHAnsi"/>
          <w:color w:val="000000"/>
        </w:rPr>
        <w:t xml:space="preserve">of </w:t>
      </w:r>
      <w:r w:rsidR="00B1160E">
        <w:rPr>
          <w:rFonts w:asciiTheme="minorHAnsi" w:hAnsiTheme="minorHAnsi" w:cstheme="minorHAnsi"/>
          <w:color w:val="000000"/>
        </w:rPr>
        <w:t xml:space="preserve">2019 </w:t>
      </w:r>
      <w:r w:rsidR="0063235D">
        <w:rPr>
          <w:rFonts w:asciiTheme="minorHAnsi" w:hAnsiTheme="minorHAnsi" w:cstheme="minorHAnsi"/>
          <w:color w:val="000000"/>
        </w:rPr>
        <w:t>a</w:t>
      </w:r>
      <w:r w:rsidRPr="00BF34F6">
        <w:rPr>
          <w:rFonts w:asciiTheme="minorHAnsi" w:hAnsiTheme="minorHAnsi" w:cstheme="minorHAnsi"/>
          <w:color w:val="000000"/>
        </w:rPr>
        <w:t xml:space="preserve">ssessed </w:t>
      </w:r>
      <w:r w:rsidR="0063235D">
        <w:rPr>
          <w:rFonts w:asciiTheme="minorHAnsi" w:hAnsiTheme="minorHAnsi" w:cstheme="minorHAnsi"/>
          <w:color w:val="000000"/>
        </w:rPr>
        <w:t>v</w:t>
      </w:r>
      <w:r w:rsidRPr="00BF34F6">
        <w:rPr>
          <w:rFonts w:asciiTheme="minorHAnsi" w:hAnsiTheme="minorHAnsi" w:cstheme="minorHAnsi"/>
          <w:color w:val="000000"/>
        </w:rPr>
        <w:t>alue</w:t>
      </w:r>
      <w:r w:rsidR="0063235D">
        <w:rPr>
          <w:rFonts w:asciiTheme="minorHAnsi" w:hAnsiTheme="minorHAnsi" w:cstheme="minorHAnsi"/>
          <w:color w:val="000000"/>
        </w:rPr>
        <w:t>s</w:t>
      </w:r>
    </w:p>
    <w:p w14:paraId="19D7C08E" w14:textId="2B9AE23C" w:rsidR="001E0046" w:rsidRPr="00C61457" w:rsidRDefault="00C6CBDD" w:rsidP="00BF34F6">
      <w:pPr>
        <w:pStyle w:val="NormalWeb"/>
        <w:spacing w:before="0" w:beforeAutospacing="0" w:after="0" w:afterAutospacing="0"/>
        <w:jc w:val="center"/>
        <w:rPr>
          <w:rFonts w:asciiTheme="minorHAnsi" w:hAnsiTheme="minorHAnsi" w:cstheme="minorHAnsi"/>
          <w:color w:val="000000"/>
          <w:sz w:val="22"/>
          <w:szCs w:val="22"/>
        </w:rPr>
      </w:pPr>
      <w:r>
        <w:rPr>
          <w:noProof/>
        </w:rPr>
        <w:drawing>
          <wp:inline distT="0" distB="0" distL="0" distR="0" wp14:anchorId="5CD7C6AE" wp14:editId="3177E8C0">
            <wp:extent cx="5944236" cy="2292350"/>
            <wp:effectExtent l="0" t="0" r="0" b="0"/>
            <wp:docPr id="11" name="Picture 11" descr="Figure 4: 2018 EQVs as a percent of 2019 assessed values &#10;&#10;For around 90 percent of municipalities, EQVs and assessed values differ by less than 5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9">
                      <a:extLst>
                        <a:ext uri="{28A0092B-C50C-407E-A947-70E740481C1C}">
                          <a14:useLocalDpi xmlns:a14="http://schemas.microsoft.com/office/drawing/2010/main" val="0"/>
                        </a:ext>
                      </a:extLst>
                    </a:blip>
                    <a:stretch>
                      <a:fillRect/>
                    </a:stretch>
                  </pic:blipFill>
                  <pic:spPr>
                    <a:xfrm>
                      <a:off x="0" y="0"/>
                      <a:ext cx="5944236" cy="2292350"/>
                    </a:xfrm>
                    <a:prstGeom prst="rect">
                      <a:avLst/>
                    </a:prstGeom>
                  </pic:spPr>
                </pic:pic>
              </a:graphicData>
            </a:graphic>
          </wp:inline>
        </w:drawing>
      </w:r>
      <w:r w:rsidR="00CD1789">
        <w:br/>
      </w:r>
      <w:r w:rsidR="001E0046" w:rsidRPr="6C377C5F">
        <w:rPr>
          <w:rFonts w:asciiTheme="minorHAnsi" w:hAnsiTheme="minorHAnsi" w:cstheme="minorBidi"/>
          <w:color w:val="000000" w:themeColor="text1"/>
          <w:sz w:val="22"/>
          <w:szCs w:val="22"/>
        </w:rPr>
        <w:t xml:space="preserve">Note: For display purposes, graph shows 334 out of 351 </w:t>
      </w:r>
      <w:r w:rsidR="003163AF" w:rsidRPr="6C377C5F">
        <w:rPr>
          <w:rFonts w:asciiTheme="minorHAnsi" w:hAnsiTheme="minorHAnsi" w:cstheme="minorBidi"/>
          <w:color w:val="000000" w:themeColor="text1"/>
          <w:sz w:val="22"/>
          <w:szCs w:val="22"/>
        </w:rPr>
        <w:t>municipalities</w:t>
      </w:r>
      <w:r w:rsidR="00484672" w:rsidRPr="6C377C5F">
        <w:rPr>
          <w:rFonts w:asciiTheme="minorHAnsi" w:hAnsiTheme="minorHAnsi" w:cstheme="minorBidi"/>
          <w:color w:val="000000" w:themeColor="text1"/>
          <w:sz w:val="22"/>
          <w:szCs w:val="22"/>
        </w:rPr>
        <w:t>.</w:t>
      </w:r>
    </w:p>
    <w:p w14:paraId="4FD7A64C" w14:textId="0E8C0A02" w:rsidR="005F44A1" w:rsidRPr="00CF16E8" w:rsidRDefault="005F44A1" w:rsidP="00CF16E8">
      <w:pPr>
        <w:pStyle w:val="NormalWeb"/>
        <w:spacing w:before="0" w:beforeAutospacing="0" w:after="0" w:afterAutospacing="0"/>
        <w:rPr>
          <w:color w:val="000000"/>
        </w:rPr>
      </w:pPr>
    </w:p>
    <w:p w14:paraId="5E17ACF6" w14:textId="6561F3ED" w:rsidR="00062DF3" w:rsidRDefault="00FD4428">
      <w:pPr>
        <w:pStyle w:val="NormalWeb"/>
        <w:spacing w:before="0" w:beforeAutospacing="0" w:after="0" w:afterAutospacing="0"/>
        <w:rPr>
          <w:color w:val="000000"/>
        </w:rPr>
      </w:pPr>
      <w:r w:rsidRPr="00CF16E8">
        <w:rPr>
          <w:color w:val="000000"/>
        </w:rPr>
        <w:t>DOR</w:t>
      </w:r>
      <w:r w:rsidR="00594AB0">
        <w:rPr>
          <w:color w:val="000000"/>
        </w:rPr>
        <w:t>/DLS</w:t>
      </w:r>
      <w:r w:rsidRPr="00CF16E8">
        <w:rPr>
          <w:color w:val="000000"/>
        </w:rPr>
        <w:t xml:space="preserve"> </w:t>
      </w:r>
      <w:r w:rsidR="00BC6462">
        <w:rPr>
          <w:color w:val="000000"/>
        </w:rPr>
        <w:t xml:space="preserve">uses </w:t>
      </w:r>
      <w:r w:rsidR="0010627D" w:rsidRPr="00CF16E8">
        <w:rPr>
          <w:color w:val="000000"/>
        </w:rPr>
        <w:t xml:space="preserve">Massachusetts </w:t>
      </w:r>
      <w:r w:rsidRPr="00CF16E8">
        <w:rPr>
          <w:color w:val="000000"/>
        </w:rPr>
        <w:t>personal income tax returns</w:t>
      </w:r>
      <w:r w:rsidR="00BC6462">
        <w:rPr>
          <w:color w:val="000000"/>
        </w:rPr>
        <w:t xml:space="preserve"> </w:t>
      </w:r>
      <w:r w:rsidR="0097406E">
        <w:rPr>
          <w:color w:val="000000"/>
        </w:rPr>
        <w:t xml:space="preserve">to calculate </w:t>
      </w:r>
      <w:r w:rsidR="00FB308D">
        <w:rPr>
          <w:color w:val="000000"/>
        </w:rPr>
        <w:t xml:space="preserve">the </w:t>
      </w:r>
      <w:r w:rsidR="0097406E">
        <w:rPr>
          <w:color w:val="000000"/>
        </w:rPr>
        <w:t xml:space="preserve">aggregate </w:t>
      </w:r>
      <w:r w:rsidR="00FB308D">
        <w:rPr>
          <w:color w:val="000000"/>
        </w:rPr>
        <w:t xml:space="preserve">personal </w:t>
      </w:r>
      <w:r w:rsidR="0097406E">
        <w:rPr>
          <w:color w:val="000000"/>
        </w:rPr>
        <w:t>income for each city and town</w:t>
      </w:r>
      <w:r w:rsidR="003C7AAF" w:rsidRPr="00CF16E8">
        <w:rPr>
          <w:color w:val="000000"/>
        </w:rPr>
        <w:t xml:space="preserve">. </w:t>
      </w:r>
      <w:r w:rsidR="008439E5" w:rsidRPr="00CF16E8">
        <w:rPr>
          <w:color w:val="000000"/>
        </w:rPr>
        <w:t xml:space="preserve">There is a timing lag in the availability of the data; for example, </w:t>
      </w:r>
      <w:r w:rsidR="000278A4">
        <w:rPr>
          <w:color w:val="000000"/>
        </w:rPr>
        <w:t>FY</w:t>
      </w:r>
      <w:r w:rsidR="003225F1">
        <w:rPr>
          <w:color w:val="000000"/>
        </w:rPr>
        <w:t>21</w:t>
      </w:r>
      <w:r w:rsidR="00224C7B" w:rsidRPr="00CF16E8">
        <w:rPr>
          <w:color w:val="000000"/>
        </w:rPr>
        <w:t xml:space="preserve"> Chapter 70 calculations use calendar year 2017 income data. </w:t>
      </w:r>
      <w:r w:rsidR="00573C96" w:rsidRPr="00CF16E8">
        <w:rPr>
          <w:color w:val="000000"/>
        </w:rPr>
        <w:t>Not all residents file income tax returns, but it is presumed that most non-filers have little or no income, so the</w:t>
      </w:r>
      <w:r w:rsidR="00731CD6" w:rsidRPr="00CF16E8">
        <w:rPr>
          <w:color w:val="000000"/>
        </w:rPr>
        <w:t>ir absence should not significantly affect the community’s aggregate income.</w:t>
      </w:r>
      <w:r w:rsidR="00E8100B" w:rsidRPr="00CF16E8">
        <w:rPr>
          <w:color w:val="000000"/>
        </w:rPr>
        <w:t xml:space="preserve"> There are </w:t>
      </w:r>
      <w:r w:rsidR="001C2D8A">
        <w:rPr>
          <w:color w:val="000000"/>
        </w:rPr>
        <w:t xml:space="preserve">also </w:t>
      </w:r>
      <w:r w:rsidR="00E8100B" w:rsidRPr="00CF16E8">
        <w:rPr>
          <w:color w:val="000000"/>
        </w:rPr>
        <w:t xml:space="preserve">isolated situations around the state where mailing addresses </w:t>
      </w:r>
      <w:r w:rsidR="00526BF5" w:rsidRPr="00CF16E8">
        <w:rPr>
          <w:color w:val="000000"/>
        </w:rPr>
        <w:t xml:space="preserve">on income tax forms do not match the town of residence; DESE staff are aware of these </w:t>
      </w:r>
      <w:r w:rsidR="00196879" w:rsidRPr="00CF16E8">
        <w:rPr>
          <w:color w:val="000000"/>
        </w:rPr>
        <w:t xml:space="preserve">instances </w:t>
      </w:r>
      <w:r w:rsidR="00196879" w:rsidRPr="00FB308D">
        <w:rPr>
          <w:color w:val="000000"/>
        </w:rPr>
        <w:t xml:space="preserve">and </w:t>
      </w:r>
      <w:r w:rsidR="00A42857" w:rsidRPr="00FB308D">
        <w:rPr>
          <w:color w:val="000000"/>
        </w:rPr>
        <w:t xml:space="preserve">adjust the </w:t>
      </w:r>
      <w:r w:rsidR="00611D8F" w:rsidRPr="00FB308D">
        <w:rPr>
          <w:color w:val="000000"/>
        </w:rPr>
        <w:t xml:space="preserve">aggregate </w:t>
      </w:r>
      <w:r w:rsidR="00A42857" w:rsidRPr="00FB308D">
        <w:rPr>
          <w:color w:val="000000"/>
        </w:rPr>
        <w:t xml:space="preserve">income data </w:t>
      </w:r>
      <w:r w:rsidR="00454E1F" w:rsidRPr="00FB308D">
        <w:rPr>
          <w:color w:val="000000"/>
        </w:rPr>
        <w:t>based on</w:t>
      </w:r>
      <w:r w:rsidR="00804E3D" w:rsidRPr="00FB308D">
        <w:rPr>
          <w:color w:val="000000"/>
        </w:rPr>
        <w:t xml:space="preserve"> </w:t>
      </w:r>
      <w:r w:rsidR="00CA15A3" w:rsidRPr="00FB308D">
        <w:rPr>
          <w:color w:val="000000"/>
        </w:rPr>
        <w:t xml:space="preserve">the most recent </w:t>
      </w:r>
      <w:r w:rsidR="00113E29" w:rsidRPr="00FB308D">
        <w:rPr>
          <w:color w:val="000000"/>
        </w:rPr>
        <w:t xml:space="preserve">U.S. Census </w:t>
      </w:r>
      <w:r w:rsidR="00611D8F" w:rsidRPr="00FB308D">
        <w:rPr>
          <w:color w:val="000000"/>
        </w:rPr>
        <w:t xml:space="preserve">population </w:t>
      </w:r>
      <w:r w:rsidR="00804E3D" w:rsidRPr="00FB308D">
        <w:rPr>
          <w:color w:val="000000"/>
        </w:rPr>
        <w:t>estimates</w:t>
      </w:r>
      <w:r w:rsidR="00062DF3" w:rsidRPr="00C035F8">
        <w:rPr>
          <w:color w:val="000000"/>
        </w:rPr>
        <w:t>.</w:t>
      </w:r>
    </w:p>
    <w:p w14:paraId="61580C6D" w14:textId="77777777" w:rsidR="008B16B9" w:rsidRPr="00CF16E8" w:rsidRDefault="008B16B9" w:rsidP="00CF16E8">
      <w:pPr>
        <w:pStyle w:val="NormalWeb"/>
        <w:spacing w:before="0" w:beforeAutospacing="0" w:after="0" w:afterAutospacing="0"/>
        <w:rPr>
          <w:color w:val="000000"/>
        </w:rPr>
      </w:pPr>
    </w:p>
    <w:p w14:paraId="777D4AA8" w14:textId="433EC84D" w:rsidR="00B90EA1" w:rsidRDefault="00196879">
      <w:pPr>
        <w:pStyle w:val="NormalWeb"/>
        <w:spacing w:before="0" w:beforeAutospacing="0" w:after="0" w:afterAutospacing="0"/>
        <w:rPr>
          <w:color w:val="000000"/>
        </w:rPr>
      </w:pPr>
      <w:r w:rsidRPr="4910F8A3">
        <w:rPr>
          <w:color w:val="000000" w:themeColor="text1"/>
        </w:rPr>
        <w:t xml:space="preserve">Although the personal income data is </w:t>
      </w:r>
      <w:r w:rsidR="00F719B5" w:rsidRPr="4910F8A3">
        <w:rPr>
          <w:color w:val="000000" w:themeColor="text1"/>
        </w:rPr>
        <w:t xml:space="preserve">updated every year and the </w:t>
      </w:r>
      <w:r w:rsidR="00C677E3" w:rsidRPr="4910F8A3">
        <w:rPr>
          <w:color w:val="000000" w:themeColor="text1"/>
        </w:rPr>
        <w:t>EQVs are update</w:t>
      </w:r>
      <w:r w:rsidR="002D5834" w:rsidRPr="4910F8A3">
        <w:rPr>
          <w:color w:val="000000" w:themeColor="text1"/>
        </w:rPr>
        <w:t>d</w:t>
      </w:r>
      <w:r w:rsidR="00C677E3" w:rsidRPr="4910F8A3">
        <w:rPr>
          <w:color w:val="000000" w:themeColor="text1"/>
        </w:rPr>
        <w:t xml:space="preserve"> every two years,</w:t>
      </w:r>
      <w:r w:rsidR="003B1DCC" w:rsidRPr="4910F8A3">
        <w:rPr>
          <w:color w:val="000000" w:themeColor="text1"/>
        </w:rPr>
        <w:t xml:space="preserve"> significant changes in the data</w:t>
      </w:r>
      <w:r w:rsidR="004E36C7" w:rsidRPr="4910F8A3">
        <w:rPr>
          <w:color w:val="000000" w:themeColor="text1"/>
        </w:rPr>
        <w:t xml:space="preserve">, and therefore in the </w:t>
      </w:r>
      <w:r w:rsidR="00791F00" w:rsidRPr="4910F8A3">
        <w:rPr>
          <w:color w:val="000000" w:themeColor="text1"/>
        </w:rPr>
        <w:t>contribution targets,</w:t>
      </w:r>
      <w:r w:rsidR="003B1DCC" w:rsidRPr="4910F8A3">
        <w:rPr>
          <w:color w:val="000000" w:themeColor="text1"/>
        </w:rPr>
        <w:t xml:space="preserve"> tend to happen slowly over time, as </w:t>
      </w:r>
      <w:r w:rsidR="004E36C7" w:rsidRPr="4910F8A3">
        <w:rPr>
          <w:color w:val="000000" w:themeColor="text1"/>
        </w:rPr>
        <w:t xml:space="preserve">community demographics change. </w:t>
      </w:r>
      <w:r w:rsidR="00234D9C">
        <w:rPr>
          <w:color w:val="000000" w:themeColor="text1"/>
        </w:rPr>
        <w:t>School</w:t>
      </w:r>
      <w:r w:rsidR="00791F00" w:rsidRPr="00356EA4">
        <w:rPr>
          <w:color w:val="000000" w:themeColor="text1"/>
        </w:rPr>
        <w:t xml:space="preserve"> finance officials familiar with the formula should </w:t>
      </w:r>
      <w:r w:rsidR="00BA6EB4" w:rsidRPr="00356EA4">
        <w:rPr>
          <w:color w:val="000000" w:themeColor="text1"/>
        </w:rPr>
        <w:t xml:space="preserve">have no difficulty in estimating their targets well in advance of </w:t>
      </w:r>
      <w:r w:rsidR="00DF44A6" w:rsidRPr="00356EA4">
        <w:rPr>
          <w:color w:val="000000" w:themeColor="text1"/>
        </w:rPr>
        <w:t>the Commissioner’s annual notification in January</w:t>
      </w:r>
      <w:r w:rsidR="7452A869" w:rsidRPr="00356EA4">
        <w:rPr>
          <w:color w:val="000000" w:themeColor="text1"/>
        </w:rPr>
        <w:t xml:space="preserve"> for the following fiscal year</w:t>
      </w:r>
      <w:r w:rsidR="00DF44A6" w:rsidRPr="00356EA4">
        <w:rPr>
          <w:color w:val="000000" w:themeColor="text1"/>
        </w:rPr>
        <w:t>.</w:t>
      </w:r>
    </w:p>
    <w:p w14:paraId="44193B47" w14:textId="4561F62E" w:rsidR="00671BAE" w:rsidRDefault="0097520B" w:rsidP="001308FC">
      <w:pPr>
        <w:pStyle w:val="Heading3"/>
      </w:pPr>
      <w:bookmarkStart w:id="13" w:name="_Toc57725125"/>
      <w:r>
        <w:t xml:space="preserve">Local revenue growth: </w:t>
      </w:r>
      <w:r w:rsidR="00671BAE">
        <w:t>Proposition 2 ½</w:t>
      </w:r>
      <w:bookmarkEnd w:id="13"/>
    </w:p>
    <w:p w14:paraId="46C6495E" w14:textId="193A274D" w:rsidR="00D1786A" w:rsidRDefault="00D1786A" w:rsidP="00D1786A">
      <w:r>
        <w:t>In 1980, Massachusetts voters approved the Proposition 2 ½ ballot initiative, commonly known as Prop 2 ½</w:t>
      </w:r>
      <w:r w:rsidR="00E25D31">
        <w:t>.</w:t>
      </w:r>
      <w:r>
        <w:t xml:space="preserve"> In its most basic terms, Prop</w:t>
      </w:r>
      <w:r w:rsidR="00A451CB">
        <w:t>osition</w:t>
      </w:r>
      <w:r>
        <w:t xml:space="preserve"> 2 ½ (1) limits communities to imposing property taxes no greater than 2.5% of the “full and fair cash value of real property</w:t>
      </w:r>
      <w:r w:rsidR="00B71A0B">
        <w:t>,</w:t>
      </w:r>
      <w:r>
        <w:t>” also known as assessed value (AV), and (2) caps the annual increase in the tax levy to 2.5%. The property tax levy can increase by more than 2.5% in any fiscal year by virtue of any of the following:</w:t>
      </w:r>
    </w:p>
    <w:p w14:paraId="3FF9889E" w14:textId="77777777" w:rsidR="00D1786A" w:rsidRDefault="00D1786A" w:rsidP="00D1786A"/>
    <w:p w14:paraId="62FAFDB2" w14:textId="652E236B" w:rsidR="00D1786A" w:rsidRDefault="00D1786A" w:rsidP="0042083F">
      <w:pPr>
        <w:pStyle w:val="ListParagraph"/>
        <w:numPr>
          <w:ilvl w:val="0"/>
          <w:numId w:val="66"/>
        </w:numPr>
        <w:tabs>
          <w:tab w:val="left" w:pos="720"/>
        </w:tabs>
        <w:ind w:left="720" w:hanging="360"/>
      </w:pPr>
      <w:r w:rsidRPr="00BF34F6">
        <w:rPr>
          <w:i/>
          <w:iCs/>
        </w:rPr>
        <w:t>New Growth</w:t>
      </w:r>
      <w:r w:rsidR="00F313E6">
        <w:t xml:space="preserve">: </w:t>
      </w:r>
      <w:r>
        <w:t>the additional tax revenue generated by new construction, renovations</w:t>
      </w:r>
      <w:r w:rsidR="00F77181">
        <w:t>,</w:t>
      </w:r>
      <w:r>
        <w:t xml:space="preserve"> and other increases in the property tax base during a calendar year. It does not include value increases caused by normal market forces or revaluations.</w:t>
      </w:r>
    </w:p>
    <w:p w14:paraId="5778F8EE" w14:textId="77777777" w:rsidR="00DF1314" w:rsidRDefault="00DF1314" w:rsidP="00C534B6">
      <w:pPr>
        <w:pStyle w:val="ListParagraph"/>
        <w:tabs>
          <w:tab w:val="left" w:pos="720"/>
        </w:tabs>
      </w:pPr>
    </w:p>
    <w:p w14:paraId="51E38FDF" w14:textId="5F62521C" w:rsidR="00D1786A" w:rsidRDefault="00D1786A" w:rsidP="0042083F">
      <w:pPr>
        <w:pStyle w:val="ListParagraph"/>
        <w:numPr>
          <w:ilvl w:val="0"/>
          <w:numId w:val="66"/>
        </w:numPr>
        <w:tabs>
          <w:tab w:val="left" w:pos="720"/>
        </w:tabs>
        <w:ind w:left="720" w:hanging="360"/>
      </w:pPr>
      <w:r w:rsidRPr="00BF34F6">
        <w:rPr>
          <w:i/>
          <w:iCs/>
        </w:rPr>
        <w:t>Override</w:t>
      </w:r>
      <w:r w:rsidR="00F313E6" w:rsidRPr="00F313E6">
        <w:t>:</w:t>
      </w:r>
      <w:r>
        <w:t xml:space="preserve"> a vote by a community at an election to permanently increase the property tax levy limit.</w:t>
      </w:r>
      <w:r w:rsidR="00C86CEA">
        <w:t xml:space="preserve"> An override cannot raise the </w:t>
      </w:r>
      <w:r w:rsidR="00667950">
        <w:t>levy limit beyond the levy ceiling.</w:t>
      </w:r>
    </w:p>
    <w:p w14:paraId="1AD41257" w14:textId="77777777" w:rsidR="00DF1314" w:rsidRDefault="00DF1314" w:rsidP="00C534B6">
      <w:pPr>
        <w:tabs>
          <w:tab w:val="left" w:pos="720"/>
        </w:tabs>
      </w:pPr>
    </w:p>
    <w:p w14:paraId="221341AB" w14:textId="6FE5E352" w:rsidR="00D1786A" w:rsidRDefault="00D1786A" w:rsidP="0042083F">
      <w:pPr>
        <w:pStyle w:val="ListParagraph"/>
        <w:numPr>
          <w:ilvl w:val="0"/>
          <w:numId w:val="66"/>
        </w:numPr>
        <w:tabs>
          <w:tab w:val="left" w:pos="720"/>
        </w:tabs>
        <w:ind w:left="720" w:hanging="360"/>
      </w:pPr>
      <w:r w:rsidRPr="00BF34F6">
        <w:rPr>
          <w:i/>
          <w:iCs/>
        </w:rPr>
        <w:lastRenderedPageBreak/>
        <w:t>Debt Exclusion</w:t>
      </w:r>
      <w:r w:rsidR="00720DA3">
        <w:t>:</w:t>
      </w:r>
      <w:r>
        <w:t xml:space="preserve"> a vote taken by a community at an election to raise the funds necessary to pay debt service costs for a particular project from the property tax levy but outside of the limits under Prop</w:t>
      </w:r>
      <w:r w:rsidR="00B66A03">
        <w:t>osition</w:t>
      </w:r>
      <w:r>
        <w:t xml:space="preserve"> 2½. By approving a debt exclusion, a community calculates its annual levy limit under Prop</w:t>
      </w:r>
      <w:r w:rsidR="00B66A03">
        <w:t>o</w:t>
      </w:r>
      <w:r w:rsidR="0026618D">
        <w:t>sition</w:t>
      </w:r>
      <w:r>
        <w:t xml:space="preserve"> 2½, then adds the excluded debt service cost. The amount is added to the levy limit for the life of the debt only and may increase the levy above the levy ceiling.</w:t>
      </w:r>
    </w:p>
    <w:p w14:paraId="0A4FCBBD" w14:textId="77777777" w:rsidR="00F201FD" w:rsidRDefault="00F201FD" w:rsidP="00C534B6">
      <w:pPr>
        <w:tabs>
          <w:tab w:val="left" w:pos="720"/>
        </w:tabs>
      </w:pPr>
    </w:p>
    <w:p w14:paraId="57CB06ED" w14:textId="5181627F" w:rsidR="00D1786A" w:rsidRDefault="00D1786A" w:rsidP="0042083F">
      <w:pPr>
        <w:pStyle w:val="ListParagraph"/>
        <w:numPr>
          <w:ilvl w:val="0"/>
          <w:numId w:val="66"/>
        </w:numPr>
        <w:tabs>
          <w:tab w:val="left" w:pos="720"/>
        </w:tabs>
        <w:ind w:left="720" w:hanging="360"/>
      </w:pPr>
      <w:r w:rsidRPr="00BF34F6">
        <w:rPr>
          <w:i/>
          <w:iCs/>
        </w:rPr>
        <w:t>Capital Exclusion</w:t>
      </w:r>
      <w:r w:rsidR="007B6C24">
        <w:t>:</w:t>
      </w:r>
      <w:r>
        <w:t xml:space="preserve"> a vote taken by a community at an election to temporarily increase the tax levy to fund a capital project or to make a capital acquisition. The exclusion is added to the tax levy only during the year in which the project is being funded.</w:t>
      </w:r>
    </w:p>
    <w:p w14:paraId="22D588B8" w14:textId="77777777" w:rsidR="00D1786A" w:rsidRDefault="00D1786A" w:rsidP="00D1786A"/>
    <w:p w14:paraId="74EAAD6B" w14:textId="7DB6148F" w:rsidR="00D1786A" w:rsidRDefault="00D1786A" w:rsidP="00D1786A">
      <w:r>
        <w:t>By its very nature, Prop</w:t>
      </w:r>
      <w:r w:rsidR="0026618D">
        <w:t>o</w:t>
      </w:r>
      <w:r w:rsidR="00AD1764">
        <w:t>sition</w:t>
      </w:r>
      <w:r>
        <w:t xml:space="preserve"> 2 ½ limits growth in property taxes. While we take seriously the many comments we received regarding the fiscal pressures faced by many cities and towns, there are other factors that impact municipal budget</w:t>
      </w:r>
      <w:r w:rsidR="003003EC">
        <w:t>s</w:t>
      </w:r>
      <w:r>
        <w:t xml:space="preserve"> in Massachusetts. There is no single component of that dynamic that can be pointed to as the </w:t>
      </w:r>
      <w:r w:rsidR="00D556BB">
        <w:t xml:space="preserve">sole </w:t>
      </w:r>
      <w:r>
        <w:t xml:space="preserve">factor in </w:t>
      </w:r>
      <w:r w:rsidR="00F60152">
        <w:t xml:space="preserve">determining </w:t>
      </w:r>
      <w:r>
        <w:t>a municipality’s ability to, in the words of the legislation requiring this study, “make their required local contributions in the short-term and long-term.”</w:t>
      </w:r>
    </w:p>
    <w:p w14:paraId="6A0BD303" w14:textId="77777777" w:rsidR="00D1786A" w:rsidRDefault="00D1786A" w:rsidP="00D1786A"/>
    <w:p w14:paraId="62AAFEB7" w14:textId="20E165A3" w:rsidR="00D1786A" w:rsidRDefault="00D1786A" w:rsidP="00D1786A">
      <w:r>
        <w:t>On the spending side, the required local contribution is only one of many statutory and contractual obligations that municipal governments must fund. For example, debt service, mandatory pension system contributions, health insurance</w:t>
      </w:r>
      <w:r w:rsidR="006C7677">
        <w:t>,</w:t>
      </w:r>
      <w:r>
        <w:t xml:space="preserve"> and other contractually negotiated employee benefits all add to challenges faced by municipal budget writers.</w:t>
      </w:r>
    </w:p>
    <w:p w14:paraId="54FAB082" w14:textId="77777777" w:rsidR="00D1786A" w:rsidRDefault="00D1786A" w:rsidP="00D1786A"/>
    <w:p w14:paraId="305258FF" w14:textId="711FFC8D" w:rsidR="00D1786A" w:rsidRDefault="00D1786A" w:rsidP="00D1786A">
      <w:r>
        <w:t>On the revenue side, similar to property taxes, various revenue sources have limitations. For example, the motor vehicle excise (MVE) formula is set by state statute; local option meals and lodging tax</w:t>
      </w:r>
      <w:r w:rsidR="1543AC06">
        <w:t xml:space="preserve"> rates </w:t>
      </w:r>
      <w:r>
        <w:t>are capped by state statute; state aid is greatly impacted by the economy; and local fees cannot exceed the cost of providing the service associated with the fee.</w:t>
      </w:r>
    </w:p>
    <w:p w14:paraId="622D0C72" w14:textId="77777777" w:rsidR="00D1786A" w:rsidRDefault="00D1786A" w:rsidP="00D1786A"/>
    <w:p w14:paraId="0AD1D38B" w14:textId="1FB5BCEB" w:rsidR="007A69FE" w:rsidRDefault="00E90BC8">
      <w:pPr>
        <w:spacing w:after="160" w:line="259" w:lineRule="auto"/>
      </w:pPr>
      <w:r>
        <w:t>Given the complex fiscal environment that Massachusetts cities and towns operate in, it is</w:t>
      </w:r>
      <w:r w:rsidR="00D1786A">
        <w:t xml:space="preserve"> difficult to pinpoint one </w:t>
      </w:r>
      <w:r w:rsidR="00923254">
        <w:t xml:space="preserve">particular </w:t>
      </w:r>
      <w:r w:rsidR="00AF37E3">
        <w:t xml:space="preserve">factor that </w:t>
      </w:r>
      <w:r w:rsidR="00D1786A">
        <w:t>constrain</w:t>
      </w:r>
      <w:r w:rsidR="00AF37E3">
        <w:t>s</w:t>
      </w:r>
      <w:r w:rsidR="00D1786A">
        <w:t xml:space="preserve"> the ability </w:t>
      </w:r>
      <w:r w:rsidR="00AF37E3">
        <w:t>o</w:t>
      </w:r>
      <w:r w:rsidR="00FF42F1">
        <w:t xml:space="preserve">f </w:t>
      </w:r>
      <w:r w:rsidR="00AF37E3">
        <w:t xml:space="preserve">school districts </w:t>
      </w:r>
      <w:r w:rsidR="00D1786A">
        <w:t xml:space="preserve">to meet </w:t>
      </w:r>
      <w:r w:rsidR="00AF37E3">
        <w:t>their</w:t>
      </w:r>
      <w:r w:rsidR="00D1786A">
        <w:t xml:space="preserve"> net school spending requirement</w:t>
      </w:r>
      <w:r w:rsidR="00DD0417">
        <w:t xml:space="preserve">s, but </w:t>
      </w:r>
      <w:r w:rsidR="000D54FC">
        <w:t xml:space="preserve">very few </w:t>
      </w:r>
      <w:r w:rsidR="005D4E43">
        <w:t xml:space="preserve">districts are </w:t>
      </w:r>
      <w:r w:rsidR="000D54FC">
        <w:t>not</w:t>
      </w:r>
      <w:r w:rsidR="005D4E43">
        <w:t xml:space="preserve"> meet</w:t>
      </w:r>
      <w:r w:rsidR="000D54FC">
        <w:t>ing</w:t>
      </w:r>
      <w:r w:rsidR="00307AF7">
        <w:t xml:space="preserve"> their spending </w:t>
      </w:r>
      <w:r w:rsidR="00A923A6">
        <w:t>requirements</w:t>
      </w:r>
      <w:r w:rsidR="00307AF7">
        <w:t xml:space="preserve">. </w:t>
      </w:r>
      <w:r w:rsidR="00927A4E">
        <w:t>I</w:t>
      </w:r>
      <w:r w:rsidR="006F6FA3" w:rsidRPr="003E5741">
        <w:t>n</w:t>
      </w:r>
      <w:r w:rsidR="00D1786A" w:rsidRPr="003E5741">
        <w:t xml:space="preserve"> FY19</w:t>
      </w:r>
      <w:r w:rsidR="00927A4E">
        <w:t>,</w:t>
      </w:r>
      <w:r w:rsidR="007C5477" w:rsidRPr="003E5741">
        <w:t xml:space="preserve"> </w:t>
      </w:r>
      <w:r w:rsidR="00D1786A" w:rsidRPr="003E5741">
        <w:t xml:space="preserve">8 school districts </w:t>
      </w:r>
      <w:r w:rsidR="00A6387A" w:rsidRPr="003E5741">
        <w:t xml:space="preserve">or </w:t>
      </w:r>
      <w:r w:rsidR="00D1786A" w:rsidRPr="003E5741">
        <w:t xml:space="preserve">less than 3% of all districts did not meet </w:t>
      </w:r>
      <w:r w:rsidR="00A350C6" w:rsidRPr="003E5741">
        <w:t>net school spending</w:t>
      </w:r>
      <w:r w:rsidR="00072DB4" w:rsidRPr="003E5741">
        <w:t>;</w:t>
      </w:r>
      <w:r w:rsidR="007C5477" w:rsidRPr="003E5741">
        <w:t xml:space="preserve"> </w:t>
      </w:r>
      <w:r w:rsidR="0097129A" w:rsidRPr="003E5741">
        <w:t xml:space="preserve">54 </w:t>
      </w:r>
      <w:r w:rsidR="00402730" w:rsidRPr="003E5741">
        <w:t>spent between</w:t>
      </w:r>
      <w:r w:rsidR="00D1786A" w:rsidRPr="003E5741">
        <w:t xml:space="preserve"> 100% </w:t>
      </w:r>
      <w:r w:rsidR="007C5477" w:rsidRPr="003E5741">
        <w:t>and 1</w:t>
      </w:r>
      <w:r w:rsidR="00D1786A" w:rsidRPr="003E5741">
        <w:t xml:space="preserve">10% of </w:t>
      </w:r>
      <w:r w:rsidR="00402730" w:rsidRPr="003E5741">
        <w:t>their requirements</w:t>
      </w:r>
      <w:r w:rsidR="007C5477" w:rsidRPr="003E5741">
        <w:t>; and</w:t>
      </w:r>
      <w:r w:rsidR="00C937A1" w:rsidRPr="003E5741">
        <w:t xml:space="preserve"> </w:t>
      </w:r>
      <w:r w:rsidR="00D1786A" w:rsidRPr="003E5741">
        <w:t xml:space="preserve">192 districts </w:t>
      </w:r>
      <w:r w:rsidR="009E346B" w:rsidRPr="003E5741">
        <w:t xml:space="preserve">or </w:t>
      </w:r>
      <w:r w:rsidR="00D1786A" w:rsidRPr="003E5741">
        <w:t>60% spent at least 25% more than required</w:t>
      </w:r>
      <w:r w:rsidR="00C8568F">
        <w:t>, see Table 2</w:t>
      </w:r>
      <w:r w:rsidR="00992B8A" w:rsidRPr="003E5741">
        <w:t xml:space="preserve">. </w:t>
      </w:r>
      <w:r w:rsidR="00234595" w:rsidRPr="003E5741">
        <w:t>Since FY15</w:t>
      </w:r>
      <w:r w:rsidR="00AA516A">
        <w:t>,</w:t>
      </w:r>
      <w:r w:rsidR="00D1786A" w:rsidRPr="003E5741" w:rsidDel="001F6ECF">
        <w:t xml:space="preserve"> the number </w:t>
      </w:r>
      <w:r w:rsidR="00234595" w:rsidRPr="003E5741">
        <w:t>of districts not meeting net school spending</w:t>
      </w:r>
      <w:r w:rsidR="00D1786A" w:rsidRPr="003E5741" w:rsidDel="001F6ECF">
        <w:t xml:space="preserve"> has decreased</w:t>
      </w:r>
      <w:r w:rsidR="00C352EB">
        <w:t>,</w:t>
      </w:r>
      <w:r w:rsidR="00D1786A" w:rsidRPr="003E5741" w:rsidDel="001F6ECF">
        <w:t xml:space="preserve"> while </w:t>
      </w:r>
      <w:r w:rsidR="00C352EB">
        <w:t xml:space="preserve">the </w:t>
      </w:r>
      <w:r w:rsidR="00D1786A" w:rsidRPr="003E5741" w:rsidDel="001F6ECF">
        <w:t>number</w:t>
      </w:r>
      <w:r w:rsidR="008A6FDF" w:rsidRPr="003E5741">
        <w:t xml:space="preserve"> of districts spending in excess of their requirements</w:t>
      </w:r>
      <w:r w:rsidR="00D1786A" w:rsidRPr="003E5741" w:rsidDel="001F6ECF">
        <w:t xml:space="preserve"> </w:t>
      </w:r>
      <w:r w:rsidR="008A6FDF" w:rsidRPr="003E5741">
        <w:t>has</w:t>
      </w:r>
      <w:r w:rsidR="00D1786A" w:rsidRPr="003E5741" w:rsidDel="001F6ECF">
        <w:t xml:space="preserve"> increased. This implies </w:t>
      </w:r>
      <w:r w:rsidR="00BA30CC" w:rsidRPr="003E5741">
        <w:t>that Proposition 2 ½ has a</w:t>
      </w:r>
      <w:r w:rsidR="00D1786A" w:rsidRPr="003E5741" w:rsidDel="001F6ECF">
        <w:t xml:space="preserve"> limited impact on municipalities’ ability to make their required local contributions.</w:t>
      </w:r>
      <w:r w:rsidR="007A69FE">
        <w:br w:type="page"/>
      </w:r>
    </w:p>
    <w:tbl>
      <w:tblPr>
        <w:tblStyle w:val="ESETablesGridStyle"/>
        <w:tblW w:w="5000" w:type="pct"/>
        <w:tblLook w:val="04A0" w:firstRow="1" w:lastRow="0" w:firstColumn="1" w:lastColumn="0" w:noHBand="0" w:noVBand="1"/>
      </w:tblPr>
      <w:tblGrid>
        <w:gridCol w:w="2399"/>
        <w:gridCol w:w="565"/>
        <w:gridCol w:w="778"/>
        <w:gridCol w:w="572"/>
        <w:gridCol w:w="778"/>
        <w:gridCol w:w="649"/>
        <w:gridCol w:w="778"/>
        <w:gridCol w:w="701"/>
        <w:gridCol w:w="778"/>
        <w:gridCol w:w="572"/>
        <w:gridCol w:w="780"/>
      </w:tblGrid>
      <w:tr w:rsidR="00BF1877" w:rsidRPr="00EA48A4" w14:paraId="1BFBE8E2" w14:textId="77777777" w:rsidTr="00A84D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Pr>
          <w:p w14:paraId="31B23083" w14:textId="0D70A20A" w:rsidR="00BF1877" w:rsidRPr="00C534B6" w:rsidRDefault="00BF1877" w:rsidP="00D1786A">
            <w:pPr>
              <w:rPr>
                <w:rFonts w:asciiTheme="minorHAnsi" w:hAnsiTheme="minorHAnsi" w:cstheme="minorHAnsi"/>
              </w:rPr>
            </w:pPr>
            <w:r w:rsidRPr="00C534B6">
              <w:rPr>
                <w:rFonts w:asciiTheme="minorHAnsi" w:hAnsiTheme="minorHAnsi" w:cstheme="minorHAnsi"/>
              </w:rPr>
              <w:lastRenderedPageBreak/>
              <w:t xml:space="preserve">Table 2: </w:t>
            </w:r>
            <w:r w:rsidR="006A48EB">
              <w:rPr>
                <w:rFonts w:asciiTheme="minorHAnsi" w:hAnsiTheme="minorHAnsi" w:cstheme="minorHAnsi"/>
              </w:rPr>
              <w:t>Actual</w:t>
            </w:r>
            <w:r w:rsidR="0020162B" w:rsidRPr="00C534B6">
              <w:rPr>
                <w:rFonts w:asciiTheme="minorHAnsi" w:hAnsiTheme="minorHAnsi" w:cstheme="minorHAnsi"/>
              </w:rPr>
              <w:t xml:space="preserve"> </w:t>
            </w:r>
            <w:r w:rsidR="0002668B">
              <w:rPr>
                <w:rFonts w:asciiTheme="minorHAnsi" w:hAnsiTheme="minorHAnsi" w:cstheme="minorHAnsi"/>
              </w:rPr>
              <w:t>net school spending</w:t>
            </w:r>
            <w:r w:rsidR="00B10B19" w:rsidRPr="00C534B6">
              <w:rPr>
                <w:rFonts w:asciiTheme="minorHAnsi" w:hAnsiTheme="minorHAnsi" w:cstheme="minorHAnsi"/>
              </w:rPr>
              <w:t xml:space="preserve"> as a </w:t>
            </w:r>
            <w:r w:rsidR="00D96470">
              <w:rPr>
                <w:rFonts w:asciiTheme="minorHAnsi" w:hAnsiTheme="minorHAnsi" w:cstheme="minorHAnsi"/>
              </w:rPr>
              <w:t>p</w:t>
            </w:r>
            <w:r w:rsidR="00D96470">
              <w:t>ercent</w:t>
            </w:r>
            <w:r w:rsidR="00B10B19" w:rsidRPr="00C534B6">
              <w:rPr>
                <w:rFonts w:asciiTheme="minorHAnsi" w:hAnsiTheme="minorHAnsi" w:cstheme="minorHAnsi"/>
              </w:rPr>
              <w:t xml:space="preserve"> of require</w:t>
            </w:r>
            <w:r w:rsidR="005C762F">
              <w:rPr>
                <w:rFonts w:asciiTheme="minorHAnsi" w:hAnsiTheme="minorHAnsi" w:cstheme="minorHAnsi"/>
              </w:rPr>
              <w:t>d</w:t>
            </w:r>
          </w:p>
        </w:tc>
      </w:tr>
      <w:tr w:rsidR="00A84D5B" w:rsidRPr="00EA48A4" w14:paraId="70AB245E" w14:textId="6C7B0215" w:rsidTr="00A84D5B">
        <w:tc>
          <w:tcPr>
            <w:cnfStyle w:val="001000000000" w:firstRow="0" w:lastRow="0" w:firstColumn="1" w:lastColumn="0" w:oddVBand="0" w:evenVBand="0" w:oddHBand="0" w:evenHBand="0" w:firstRowFirstColumn="0" w:firstRowLastColumn="0" w:lastRowFirstColumn="0" w:lastRowLastColumn="0"/>
            <w:tcW w:w="1283" w:type="pct"/>
            <w:vMerge w:val="restart"/>
          </w:tcPr>
          <w:p w14:paraId="04B370B6" w14:textId="77777777" w:rsidR="00A84D5B" w:rsidRPr="00643127" w:rsidRDefault="00A84D5B" w:rsidP="00D1786A">
            <w:pPr>
              <w:rPr>
                <w:rFonts w:asciiTheme="minorHAnsi" w:hAnsiTheme="minorHAnsi" w:cstheme="minorHAnsi"/>
                <w:sz w:val="22"/>
                <w:szCs w:val="22"/>
              </w:rPr>
            </w:pPr>
          </w:p>
        </w:tc>
        <w:tc>
          <w:tcPr>
            <w:tcW w:w="718" w:type="pct"/>
            <w:gridSpan w:val="2"/>
          </w:tcPr>
          <w:p w14:paraId="20B3AF18" w14:textId="79001D62"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43127">
              <w:rPr>
                <w:rFonts w:asciiTheme="minorHAnsi" w:hAnsiTheme="minorHAnsi" w:cstheme="minorHAnsi"/>
                <w:b/>
                <w:sz w:val="22"/>
                <w:szCs w:val="22"/>
              </w:rPr>
              <w:t>FY15</w:t>
            </w:r>
          </w:p>
        </w:tc>
        <w:tc>
          <w:tcPr>
            <w:tcW w:w="722" w:type="pct"/>
            <w:gridSpan w:val="2"/>
          </w:tcPr>
          <w:p w14:paraId="43278079" w14:textId="43DBA3C0"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43127">
              <w:rPr>
                <w:rFonts w:asciiTheme="minorHAnsi" w:hAnsiTheme="minorHAnsi" w:cstheme="minorHAnsi"/>
                <w:b/>
                <w:sz w:val="22"/>
                <w:szCs w:val="22"/>
              </w:rPr>
              <w:t>FY16</w:t>
            </w:r>
          </w:p>
        </w:tc>
        <w:tc>
          <w:tcPr>
            <w:tcW w:w="763" w:type="pct"/>
            <w:gridSpan w:val="2"/>
          </w:tcPr>
          <w:p w14:paraId="460BC96D" w14:textId="083BFF0E"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43127">
              <w:rPr>
                <w:rFonts w:asciiTheme="minorHAnsi" w:hAnsiTheme="minorHAnsi" w:cstheme="minorHAnsi"/>
                <w:b/>
                <w:sz w:val="22"/>
                <w:szCs w:val="22"/>
              </w:rPr>
              <w:t>FY17</w:t>
            </w:r>
          </w:p>
        </w:tc>
        <w:tc>
          <w:tcPr>
            <w:tcW w:w="791" w:type="pct"/>
            <w:gridSpan w:val="2"/>
          </w:tcPr>
          <w:p w14:paraId="7614DECD" w14:textId="08F76007"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43127">
              <w:rPr>
                <w:rFonts w:asciiTheme="minorHAnsi" w:hAnsiTheme="minorHAnsi" w:cstheme="minorHAnsi"/>
                <w:b/>
                <w:sz w:val="22"/>
                <w:szCs w:val="22"/>
              </w:rPr>
              <w:t>FY18</w:t>
            </w:r>
          </w:p>
        </w:tc>
        <w:tc>
          <w:tcPr>
            <w:tcW w:w="722" w:type="pct"/>
            <w:gridSpan w:val="2"/>
          </w:tcPr>
          <w:p w14:paraId="36593357" w14:textId="6126FA5E"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643127">
              <w:rPr>
                <w:rFonts w:asciiTheme="minorHAnsi" w:hAnsiTheme="minorHAnsi" w:cstheme="minorHAnsi"/>
                <w:b/>
                <w:sz w:val="22"/>
                <w:szCs w:val="22"/>
              </w:rPr>
              <w:t>FY19</w:t>
            </w:r>
          </w:p>
        </w:tc>
      </w:tr>
      <w:tr w:rsidR="00A84D5B" w:rsidRPr="00EA48A4" w14:paraId="5890B9B2" w14:textId="22799D13" w:rsidTr="00A84D5B">
        <w:tc>
          <w:tcPr>
            <w:cnfStyle w:val="001000000000" w:firstRow="0" w:lastRow="0" w:firstColumn="1" w:lastColumn="0" w:oddVBand="0" w:evenVBand="0" w:oddHBand="0" w:evenHBand="0" w:firstRowFirstColumn="0" w:firstRowLastColumn="0" w:lastRowFirstColumn="0" w:lastRowLastColumn="0"/>
            <w:tcW w:w="1283" w:type="pct"/>
            <w:vMerge/>
          </w:tcPr>
          <w:p w14:paraId="6390EA01" w14:textId="77777777" w:rsidR="00A84D5B" w:rsidRPr="00643127" w:rsidRDefault="00A84D5B" w:rsidP="00D1786A">
            <w:pPr>
              <w:rPr>
                <w:rFonts w:asciiTheme="minorHAnsi" w:hAnsiTheme="minorHAnsi" w:cstheme="minorHAnsi"/>
                <w:sz w:val="22"/>
                <w:szCs w:val="22"/>
              </w:rPr>
            </w:pPr>
          </w:p>
        </w:tc>
        <w:tc>
          <w:tcPr>
            <w:tcW w:w="302" w:type="pct"/>
          </w:tcPr>
          <w:p w14:paraId="496E1F59" w14:textId="781142E3"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416" w:type="pct"/>
          </w:tcPr>
          <w:p w14:paraId="20B58442" w14:textId="493FECD6"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306" w:type="pct"/>
          </w:tcPr>
          <w:p w14:paraId="6E9F932B" w14:textId="346D96A6"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416" w:type="pct"/>
          </w:tcPr>
          <w:p w14:paraId="7ADDC57D" w14:textId="6B392E07"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347" w:type="pct"/>
          </w:tcPr>
          <w:p w14:paraId="28EE49C4" w14:textId="0BA7A693"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416" w:type="pct"/>
          </w:tcPr>
          <w:p w14:paraId="2E8BB333" w14:textId="39AE1BC3"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375" w:type="pct"/>
          </w:tcPr>
          <w:p w14:paraId="40668870" w14:textId="15939529"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416" w:type="pct"/>
          </w:tcPr>
          <w:p w14:paraId="388D1385" w14:textId="59CE04C2"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306" w:type="pct"/>
          </w:tcPr>
          <w:p w14:paraId="17329F33" w14:textId="4A3517D1"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c>
          <w:tcPr>
            <w:tcW w:w="416" w:type="pct"/>
          </w:tcPr>
          <w:p w14:paraId="0C121EC1" w14:textId="71DF77DA" w:rsidR="00A84D5B" w:rsidRPr="00643127" w:rsidRDefault="00A84D5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w:t>
            </w:r>
          </w:p>
        </w:tc>
      </w:tr>
      <w:tr w:rsidR="000C54E8" w:rsidRPr="00EA48A4" w14:paraId="638E5479" w14:textId="2A5B34C2" w:rsidTr="00A84D5B">
        <w:tc>
          <w:tcPr>
            <w:cnfStyle w:val="001000000000" w:firstRow="0" w:lastRow="0" w:firstColumn="1" w:lastColumn="0" w:oddVBand="0" w:evenVBand="0" w:oddHBand="0" w:evenHBand="0" w:firstRowFirstColumn="0" w:firstRowLastColumn="0" w:lastRowFirstColumn="0" w:lastRowLastColumn="0"/>
            <w:tcW w:w="1283" w:type="pct"/>
          </w:tcPr>
          <w:p w14:paraId="0D405E0F" w14:textId="350503D2" w:rsidR="00B815FE" w:rsidRPr="00643127" w:rsidRDefault="00B815FE" w:rsidP="00D1786A">
            <w:pPr>
              <w:rPr>
                <w:rFonts w:asciiTheme="minorHAnsi" w:hAnsiTheme="minorHAnsi" w:cstheme="minorHAnsi"/>
                <w:sz w:val="22"/>
                <w:szCs w:val="22"/>
              </w:rPr>
            </w:pPr>
            <w:r w:rsidRPr="00643127">
              <w:rPr>
                <w:rFonts w:asciiTheme="minorHAnsi" w:hAnsiTheme="minorHAnsi" w:cstheme="minorHAnsi"/>
                <w:sz w:val="22"/>
                <w:szCs w:val="22"/>
              </w:rPr>
              <w:t xml:space="preserve">Below </w:t>
            </w:r>
            <w:r w:rsidR="006C4D02">
              <w:rPr>
                <w:rFonts w:asciiTheme="minorHAnsi" w:hAnsiTheme="minorHAnsi" w:cstheme="minorHAnsi"/>
                <w:sz w:val="22"/>
                <w:szCs w:val="22"/>
              </w:rPr>
              <w:t>r</w:t>
            </w:r>
            <w:r w:rsidRPr="00643127">
              <w:rPr>
                <w:rFonts w:asciiTheme="minorHAnsi" w:hAnsiTheme="minorHAnsi" w:cstheme="minorHAnsi"/>
                <w:sz w:val="22"/>
                <w:szCs w:val="22"/>
              </w:rPr>
              <w:t>equired NSS</w:t>
            </w:r>
          </w:p>
        </w:tc>
        <w:tc>
          <w:tcPr>
            <w:tcW w:w="302" w:type="pct"/>
          </w:tcPr>
          <w:p w14:paraId="79651746" w14:textId="6B2F1177" w:rsidR="00B815FE" w:rsidRPr="00643127" w:rsidRDefault="0091557A"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18</w:t>
            </w:r>
          </w:p>
        </w:tc>
        <w:tc>
          <w:tcPr>
            <w:tcW w:w="416" w:type="pct"/>
          </w:tcPr>
          <w:p w14:paraId="363AD09E" w14:textId="1643E2EE" w:rsidR="00B815FE" w:rsidRPr="00643127" w:rsidRDefault="00545841"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5.</w:t>
            </w:r>
            <w:r w:rsidR="00CC1FF1" w:rsidRPr="00643127">
              <w:rPr>
                <w:rFonts w:asciiTheme="minorHAnsi" w:hAnsiTheme="minorHAnsi" w:cstheme="minorHAnsi"/>
                <w:sz w:val="22"/>
                <w:szCs w:val="22"/>
              </w:rPr>
              <w:t>6</w:t>
            </w:r>
            <w:r w:rsidRPr="00643127">
              <w:rPr>
                <w:rFonts w:asciiTheme="minorHAnsi" w:hAnsiTheme="minorHAnsi" w:cstheme="minorHAnsi"/>
                <w:sz w:val="22"/>
                <w:szCs w:val="22"/>
              </w:rPr>
              <w:t>%</w:t>
            </w:r>
          </w:p>
        </w:tc>
        <w:tc>
          <w:tcPr>
            <w:tcW w:w="306" w:type="pct"/>
          </w:tcPr>
          <w:p w14:paraId="0961FE5D" w14:textId="4EFDD835" w:rsidR="00B815FE" w:rsidRPr="00643127" w:rsidRDefault="00F12A7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20</w:t>
            </w:r>
          </w:p>
        </w:tc>
        <w:tc>
          <w:tcPr>
            <w:tcW w:w="416" w:type="pct"/>
          </w:tcPr>
          <w:p w14:paraId="0F67FBC5" w14:textId="33E7CA06" w:rsidR="00B815FE" w:rsidRPr="00643127" w:rsidRDefault="003B1F92"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6.2%</w:t>
            </w:r>
          </w:p>
        </w:tc>
        <w:tc>
          <w:tcPr>
            <w:tcW w:w="347" w:type="pct"/>
          </w:tcPr>
          <w:p w14:paraId="23328112" w14:textId="2D40C17E" w:rsidR="00B815FE" w:rsidRPr="00643127" w:rsidRDefault="0033552F"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8</w:t>
            </w:r>
          </w:p>
        </w:tc>
        <w:tc>
          <w:tcPr>
            <w:tcW w:w="416" w:type="pct"/>
          </w:tcPr>
          <w:p w14:paraId="0803D1F8" w14:textId="7A0E9993" w:rsidR="00B815FE" w:rsidRPr="00643127" w:rsidRDefault="00FB3FA8"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2.5%</w:t>
            </w:r>
          </w:p>
        </w:tc>
        <w:tc>
          <w:tcPr>
            <w:tcW w:w="375" w:type="pct"/>
          </w:tcPr>
          <w:p w14:paraId="159AC241" w14:textId="10192675" w:rsidR="00B815FE" w:rsidRPr="00643127" w:rsidRDefault="00C0777C"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6</w:t>
            </w:r>
          </w:p>
        </w:tc>
        <w:tc>
          <w:tcPr>
            <w:tcW w:w="416" w:type="pct"/>
          </w:tcPr>
          <w:p w14:paraId="6D1B0310" w14:textId="61EFAD34" w:rsidR="00B815FE" w:rsidRPr="00643127" w:rsidRDefault="001C7FFD"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1.9%</w:t>
            </w:r>
          </w:p>
        </w:tc>
        <w:tc>
          <w:tcPr>
            <w:tcW w:w="306" w:type="pct"/>
          </w:tcPr>
          <w:p w14:paraId="405179A5" w14:textId="4565917D" w:rsidR="00B815FE" w:rsidRPr="00643127" w:rsidRDefault="00237305"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8</w:t>
            </w:r>
          </w:p>
        </w:tc>
        <w:tc>
          <w:tcPr>
            <w:tcW w:w="416" w:type="pct"/>
          </w:tcPr>
          <w:p w14:paraId="10B47A19" w14:textId="7CF77EB5" w:rsidR="00B815FE" w:rsidRPr="00643127" w:rsidRDefault="009D0549"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2.5%</w:t>
            </w:r>
          </w:p>
        </w:tc>
      </w:tr>
      <w:tr w:rsidR="000C54E8" w:rsidRPr="00EA48A4" w14:paraId="24481512" w14:textId="4AFABFD7" w:rsidTr="00A84D5B">
        <w:tc>
          <w:tcPr>
            <w:cnfStyle w:val="001000000000" w:firstRow="0" w:lastRow="0" w:firstColumn="1" w:lastColumn="0" w:oddVBand="0" w:evenVBand="0" w:oddHBand="0" w:evenHBand="0" w:firstRowFirstColumn="0" w:firstRowLastColumn="0" w:lastRowFirstColumn="0" w:lastRowLastColumn="0"/>
            <w:tcW w:w="1283" w:type="pct"/>
          </w:tcPr>
          <w:p w14:paraId="5910A9EC" w14:textId="1C704CE2" w:rsidR="00B815FE" w:rsidRPr="00643127" w:rsidRDefault="0033552F" w:rsidP="00D1786A">
            <w:pPr>
              <w:rPr>
                <w:rFonts w:asciiTheme="minorHAnsi" w:hAnsiTheme="minorHAnsi" w:cstheme="minorHAnsi"/>
                <w:sz w:val="22"/>
                <w:szCs w:val="22"/>
              </w:rPr>
            </w:pPr>
            <w:r w:rsidRPr="00643127">
              <w:rPr>
                <w:rFonts w:asciiTheme="minorHAnsi" w:hAnsiTheme="minorHAnsi" w:cstheme="minorHAnsi"/>
                <w:sz w:val="22"/>
                <w:szCs w:val="22"/>
              </w:rPr>
              <w:t xml:space="preserve">Up to 110% of </w:t>
            </w:r>
            <w:r w:rsidR="006C4D02">
              <w:rPr>
                <w:rFonts w:asciiTheme="minorHAnsi" w:hAnsiTheme="minorHAnsi" w:cstheme="minorHAnsi"/>
                <w:sz w:val="22"/>
                <w:szCs w:val="22"/>
              </w:rPr>
              <w:t>r</w:t>
            </w:r>
            <w:r w:rsidRPr="00643127">
              <w:rPr>
                <w:rFonts w:asciiTheme="minorHAnsi" w:hAnsiTheme="minorHAnsi" w:cstheme="minorHAnsi"/>
                <w:sz w:val="22"/>
                <w:szCs w:val="22"/>
              </w:rPr>
              <w:t>equired NSS</w:t>
            </w:r>
          </w:p>
        </w:tc>
        <w:tc>
          <w:tcPr>
            <w:tcW w:w="302" w:type="pct"/>
          </w:tcPr>
          <w:p w14:paraId="6F53A603" w14:textId="2ACF656E" w:rsidR="00B815FE" w:rsidRPr="00643127" w:rsidRDefault="00CC3FDC"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71</w:t>
            </w:r>
          </w:p>
        </w:tc>
        <w:tc>
          <w:tcPr>
            <w:tcW w:w="416" w:type="pct"/>
          </w:tcPr>
          <w:p w14:paraId="7714B4C7" w14:textId="26D63CF6" w:rsidR="00B815FE" w:rsidRPr="00643127" w:rsidRDefault="00DF6C55"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22.0%</w:t>
            </w:r>
          </w:p>
        </w:tc>
        <w:tc>
          <w:tcPr>
            <w:tcW w:w="306" w:type="pct"/>
          </w:tcPr>
          <w:p w14:paraId="70682183" w14:textId="1F558C92" w:rsidR="00B815FE" w:rsidRPr="00643127" w:rsidRDefault="00F12A7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65</w:t>
            </w:r>
          </w:p>
        </w:tc>
        <w:tc>
          <w:tcPr>
            <w:tcW w:w="416" w:type="pct"/>
          </w:tcPr>
          <w:p w14:paraId="65DA9C18" w14:textId="6F4C211A" w:rsidR="00B815FE" w:rsidRPr="00643127" w:rsidRDefault="000442E9"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20.2%</w:t>
            </w:r>
          </w:p>
        </w:tc>
        <w:tc>
          <w:tcPr>
            <w:tcW w:w="347" w:type="pct"/>
          </w:tcPr>
          <w:p w14:paraId="0EA32827" w14:textId="7BE248D5" w:rsidR="00B815FE" w:rsidRPr="00643127" w:rsidRDefault="0033552F"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67</w:t>
            </w:r>
          </w:p>
        </w:tc>
        <w:tc>
          <w:tcPr>
            <w:tcW w:w="416" w:type="pct"/>
          </w:tcPr>
          <w:p w14:paraId="109E6D88" w14:textId="59C9F5C8" w:rsidR="00B815FE" w:rsidRPr="00643127" w:rsidRDefault="009436F4"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20.8%</w:t>
            </w:r>
          </w:p>
        </w:tc>
        <w:tc>
          <w:tcPr>
            <w:tcW w:w="375" w:type="pct"/>
          </w:tcPr>
          <w:p w14:paraId="28DCA664" w14:textId="031E1871" w:rsidR="00B815FE" w:rsidRPr="00643127" w:rsidRDefault="00C0777C"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63</w:t>
            </w:r>
          </w:p>
        </w:tc>
        <w:tc>
          <w:tcPr>
            <w:tcW w:w="416" w:type="pct"/>
          </w:tcPr>
          <w:p w14:paraId="33E815B5" w14:textId="7A10B165" w:rsidR="00B815FE" w:rsidRPr="00643127" w:rsidRDefault="001C7FFD"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19.6%</w:t>
            </w:r>
          </w:p>
        </w:tc>
        <w:tc>
          <w:tcPr>
            <w:tcW w:w="306" w:type="pct"/>
          </w:tcPr>
          <w:p w14:paraId="69959040" w14:textId="648B37C2" w:rsidR="00B815FE" w:rsidRPr="00643127" w:rsidRDefault="00E114B8"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54</w:t>
            </w:r>
          </w:p>
        </w:tc>
        <w:tc>
          <w:tcPr>
            <w:tcW w:w="416" w:type="pct"/>
          </w:tcPr>
          <w:p w14:paraId="29CBDCBD" w14:textId="6D14AC75" w:rsidR="00B815FE" w:rsidRPr="00643127" w:rsidRDefault="00B754B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16.9%</w:t>
            </w:r>
          </w:p>
        </w:tc>
      </w:tr>
      <w:tr w:rsidR="000C54E8" w:rsidRPr="00EA48A4" w14:paraId="30269DAA" w14:textId="50F693DF" w:rsidTr="00A84D5B">
        <w:tc>
          <w:tcPr>
            <w:cnfStyle w:val="001000000000" w:firstRow="0" w:lastRow="0" w:firstColumn="1" w:lastColumn="0" w:oddVBand="0" w:evenVBand="0" w:oddHBand="0" w:evenHBand="0" w:firstRowFirstColumn="0" w:firstRowLastColumn="0" w:lastRowFirstColumn="0" w:lastRowLastColumn="0"/>
            <w:tcW w:w="1283" w:type="pct"/>
          </w:tcPr>
          <w:p w14:paraId="069779AE" w14:textId="1B42396B" w:rsidR="00B815FE" w:rsidRPr="00643127" w:rsidRDefault="00022868" w:rsidP="00D1786A">
            <w:pPr>
              <w:rPr>
                <w:rFonts w:asciiTheme="minorHAnsi" w:hAnsiTheme="minorHAnsi" w:cstheme="minorHAnsi"/>
                <w:sz w:val="22"/>
                <w:szCs w:val="22"/>
              </w:rPr>
            </w:pPr>
            <w:r w:rsidRPr="00643127">
              <w:rPr>
                <w:rFonts w:asciiTheme="minorHAnsi" w:hAnsiTheme="minorHAnsi" w:cstheme="minorHAnsi"/>
                <w:sz w:val="22"/>
                <w:szCs w:val="22"/>
              </w:rPr>
              <w:t xml:space="preserve">Greater than 125% of </w:t>
            </w:r>
            <w:r w:rsidR="006C4D02">
              <w:rPr>
                <w:rFonts w:asciiTheme="minorHAnsi" w:hAnsiTheme="minorHAnsi" w:cstheme="minorHAnsi"/>
                <w:sz w:val="22"/>
                <w:szCs w:val="22"/>
              </w:rPr>
              <w:t>r</w:t>
            </w:r>
            <w:r w:rsidRPr="00643127">
              <w:rPr>
                <w:rFonts w:asciiTheme="minorHAnsi" w:hAnsiTheme="minorHAnsi" w:cstheme="minorHAnsi"/>
                <w:sz w:val="22"/>
                <w:szCs w:val="22"/>
              </w:rPr>
              <w:t>equired NSS</w:t>
            </w:r>
          </w:p>
        </w:tc>
        <w:tc>
          <w:tcPr>
            <w:tcW w:w="302" w:type="pct"/>
          </w:tcPr>
          <w:p w14:paraId="7C23B76A" w14:textId="2D57B3DC" w:rsidR="00B815FE" w:rsidRPr="00643127" w:rsidRDefault="00214235"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14</w:t>
            </w:r>
            <w:r w:rsidR="00CC3FDC" w:rsidRPr="00643127">
              <w:rPr>
                <w:rFonts w:asciiTheme="minorHAnsi" w:hAnsiTheme="minorHAnsi" w:cstheme="minorHAnsi"/>
                <w:sz w:val="22"/>
                <w:szCs w:val="22"/>
              </w:rPr>
              <w:t>1</w:t>
            </w:r>
          </w:p>
        </w:tc>
        <w:tc>
          <w:tcPr>
            <w:tcW w:w="416" w:type="pct"/>
          </w:tcPr>
          <w:p w14:paraId="014047FC" w14:textId="138F5B94" w:rsidR="00B815FE" w:rsidRPr="00643127" w:rsidRDefault="00DF6C55"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4</w:t>
            </w:r>
            <w:r w:rsidR="00D017D4" w:rsidRPr="00643127">
              <w:rPr>
                <w:rFonts w:asciiTheme="minorHAnsi" w:hAnsiTheme="minorHAnsi" w:cstheme="minorHAnsi"/>
                <w:sz w:val="22"/>
                <w:szCs w:val="22"/>
              </w:rPr>
              <w:t>3.8%</w:t>
            </w:r>
          </w:p>
        </w:tc>
        <w:tc>
          <w:tcPr>
            <w:tcW w:w="306" w:type="pct"/>
          </w:tcPr>
          <w:p w14:paraId="1A16465F" w14:textId="3E139997" w:rsidR="00B815FE" w:rsidRPr="00643127" w:rsidRDefault="00F12A7B"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163</w:t>
            </w:r>
          </w:p>
        </w:tc>
        <w:tc>
          <w:tcPr>
            <w:tcW w:w="416" w:type="pct"/>
          </w:tcPr>
          <w:p w14:paraId="63966A5A" w14:textId="269029A8" w:rsidR="00B815FE" w:rsidRPr="00643127" w:rsidRDefault="003D1097"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50.6%</w:t>
            </w:r>
          </w:p>
        </w:tc>
        <w:tc>
          <w:tcPr>
            <w:tcW w:w="347" w:type="pct"/>
          </w:tcPr>
          <w:p w14:paraId="1C7ADABF" w14:textId="67DD1399" w:rsidR="00B815FE" w:rsidRPr="00643127" w:rsidRDefault="0033552F"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180</w:t>
            </w:r>
          </w:p>
        </w:tc>
        <w:tc>
          <w:tcPr>
            <w:tcW w:w="416" w:type="pct"/>
          </w:tcPr>
          <w:p w14:paraId="1E93A2A3" w14:textId="04A1EA7B" w:rsidR="00B815FE" w:rsidRPr="00643127" w:rsidRDefault="009436F4"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55.9</w:t>
            </w:r>
            <w:r w:rsidR="000C54E8" w:rsidRPr="00643127">
              <w:rPr>
                <w:rFonts w:asciiTheme="minorHAnsi" w:hAnsiTheme="minorHAnsi" w:cstheme="minorHAnsi"/>
                <w:sz w:val="22"/>
                <w:szCs w:val="22"/>
              </w:rPr>
              <w:t>%</w:t>
            </w:r>
          </w:p>
        </w:tc>
        <w:tc>
          <w:tcPr>
            <w:tcW w:w="375" w:type="pct"/>
          </w:tcPr>
          <w:p w14:paraId="20D30BC7" w14:textId="2367E2D9" w:rsidR="00B815FE" w:rsidRPr="00643127" w:rsidRDefault="00C0777C"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192</w:t>
            </w:r>
          </w:p>
        </w:tc>
        <w:tc>
          <w:tcPr>
            <w:tcW w:w="416" w:type="pct"/>
          </w:tcPr>
          <w:p w14:paraId="5B778C7C" w14:textId="30D143F3" w:rsidR="00B815FE" w:rsidRPr="00643127" w:rsidRDefault="001C7FFD"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59.6%</w:t>
            </w:r>
          </w:p>
        </w:tc>
        <w:tc>
          <w:tcPr>
            <w:tcW w:w="306" w:type="pct"/>
          </w:tcPr>
          <w:p w14:paraId="14555DEC" w14:textId="2C6C01EE" w:rsidR="00B815FE" w:rsidRPr="00643127" w:rsidRDefault="00B815FE"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192</w:t>
            </w:r>
          </w:p>
        </w:tc>
        <w:tc>
          <w:tcPr>
            <w:tcW w:w="416" w:type="pct"/>
          </w:tcPr>
          <w:p w14:paraId="2A00D74A" w14:textId="2CE52C1A" w:rsidR="00B815FE" w:rsidRPr="00643127" w:rsidRDefault="00F16AB7" w:rsidP="00D17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43127">
              <w:rPr>
                <w:rFonts w:asciiTheme="minorHAnsi" w:hAnsiTheme="minorHAnsi" w:cstheme="minorHAnsi"/>
                <w:sz w:val="22"/>
                <w:szCs w:val="22"/>
              </w:rPr>
              <w:t>60.0%</w:t>
            </w:r>
          </w:p>
        </w:tc>
      </w:tr>
    </w:tbl>
    <w:p w14:paraId="10BB1471" w14:textId="77777777" w:rsidR="0097520B" w:rsidRDefault="0097520B" w:rsidP="0042083F">
      <w:pPr>
        <w:pStyle w:val="Heading3"/>
      </w:pPr>
      <w:bookmarkStart w:id="14" w:name="_Toc57725126"/>
      <w:r>
        <w:t>Local revenue growth: Municipal Revenue Growth Factors (MRGFs)</w:t>
      </w:r>
      <w:bookmarkEnd w:id="14"/>
    </w:p>
    <w:p w14:paraId="66D9A20D" w14:textId="0C4C6D50" w:rsidR="00DF02A0" w:rsidRDefault="00DF02A0" w:rsidP="0042083F">
      <w:pPr>
        <w:pStyle w:val="NormalWeb"/>
        <w:spacing w:before="0" w:beforeAutospacing="0" w:after="0" w:afterAutospacing="0"/>
        <w:rPr>
          <w:color w:val="000000"/>
        </w:rPr>
      </w:pPr>
      <w:r>
        <w:rPr>
          <w:color w:val="000000"/>
        </w:rPr>
        <w:t>As discussed earlier, increases in the required local contribution for below effort municipalities is constrained by the MRGF to ensure that any increases are reasonable in the context of the municipality’s actual</w:t>
      </w:r>
      <w:r w:rsidR="00977624">
        <w:rPr>
          <w:color w:val="000000"/>
        </w:rPr>
        <w:t>, marginal</w:t>
      </w:r>
      <w:r>
        <w:rPr>
          <w:color w:val="000000"/>
        </w:rPr>
        <w:t xml:space="preserve"> revenue situation.</w:t>
      </w:r>
    </w:p>
    <w:p w14:paraId="65B563A6" w14:textId="04E4E29C" w:rsidR="00DF02A0" w:rsidRDefault="00885C88">
      <w:pPr>
        <w:pStyle w:val="NormalWeb"/>
        <w:rPr>
          <w:color w:val="000000"/>
        </w:rPr>
      </w:pPr>
      <w:r>
        <w:rPr>
          <w:color w:val="000000"/>
        </w:rPr>
        <w:t>To calculate the MRGF</w:t>
      </w:r>
      <w:r w:rsidR="00C035F8">
        <w:rPr>
          <w:color w:val="000000"/>
        </w:rPr>
        <w:t>,</w:t>
      </w:r>
      <w:r>
        <w:rPr>
          <w:color w:val="000000"/>
        </w:rPr>
        <w:t xml:space="preserve"> </w:t>
      </w:r>
      <w:r w:rsidR="00DF02A0">
        <w:rPr>
          <w:color w:val="000000"/>
        </w:rPr>
        <w:t>DOR</w:t>
      </w:r>
      <w:r w:rsidR="00594AB0">
        <w:rPr>
          <w:color w:val="000000"/>
        </w:rPr>
        <w:t>/DLS</w:t>
      </w:r>
      <w:r>
        <w:rPr>
          <w:color w:val="000000"/>
        </w:rPr>
        <w:t xml:space="preserve"> determines revenue changes in select</w:t>
      </w:r>
      <w:r w:rsidR="00225FB1">
        <w:rPr>
          <w:color w:val="000000"/>
        </w:rPr>
        <w:t>,</w:t>
      </w:r>
      <w:r>
        <w:rPr>
          <w:color w:val="000000"/>
        </w:rPr>
        <w:t xml:space="preserve"> recurring revenue streams. </w:t>
      </w:r>
      <w:r w:rsidR="00DF02A0">
        <w:rPr>
          <w:color w:val="000000"/>
        </w:rPr>
        <w:t xml:space="preserve">The property tax levy in most cases is assumed to increase over the prior year’s levy by </w:t>
      </w:r>
      <w:r>
        <w:rPr>
          <w:color w:val="000000"/>
        </w:rPr>
        <w:t>2</w:t>
      </w:r>
      <w:r w:rsidR="00AC1D6F">
        <w:rPr>
          <w:color w:val="000000"/>
        </w:rPr>
        <w:t>.5</w:t>
      </w:r>
      <w:r>
        <w:rPr>
          <w:color w:val="000000"/>
        </w:rPr>
        <w:t xml:space="preserve">% </w:t>
      </w:r>
      <w:r w:rsidR="00DF02A0">
        <w:rPr>
          <w:color w:val="000000"/>
        </w:rPr>
        <w:t>plus</w:t>
      </w:r>
      <w:r>
        <w:rPr>
          <w:color w:val="000000"/>
        </w:rPr>
        <w:t xml:space="preserve"> an estimate of new growth based on an average </w:t>
      </w:r>
      <w:r w:rsidR="00DF02A0" w:rsidDel="00610BE9">
        <w:rPr>
          <w:color w:val="000000"/>
        </w:rPr>
        <w:t>of</w:t>
      </w:r>
      <w:r>
        <w:rPr>
          <w:color w:val="000000"/>
        </w:rPr>
        <w:t xml:space="preserve"> the last 3 years.</w:t>
      </w:r>
      <w:r w:rsidR="00EE30BC">
        <w:rPr>
          <w:rStyle w:val="FootnoteReference"/>
        </w:rPr>
        <w:footnoteReference w:id="16"/>
      </w:r>
      <w:r w:rsidR="005757DC">
        <w:rPr>
          <w:color w:val="000000"/>
        </w:rPr>
        <w:t xml:space="preserve"> For communities at </w:t>
      </w:r>
      <w:r w:rsidR="005757DC" w:rsidRPr="031086E5">
        <w:rPr>
          <w:color w:val="000000" w:themeColor="text1"/>
        </w:rPr>
        <w:t xml:space="preserve">or near </w:t>
      </w:r>
      <w:r w:rsidR="005757DC">
        <w:rPr>
          <w:color w:val="000000"/>
        </w:rPr>
        <w:t>their levy ceiling, the estimated increase is reduced</w:t>
      </w:r>
      <w:r w:rsidR="00526E72">
        <w:rPr>
          <w:color w:val="000000"/>
        </w:rPr>
        <w:t xml:space="preserve"> to keep it within the </w:t>
      </w:r>
      <w:r w:rsidR="00463664">
        <w:rPr>
          <w:color w:val="000000"/>
        </w:rPr>
        <w:t>ceiling</w:t>
      </w:r>
      <w:r w:rsidR="00526E72">
        <w:rPr>
          <w:color w:val="000000"/>
        </w:rPr>
        <w:t xml:space="preserve"> limits</w:t>
      </w:r>
      <w:r w:rsidR="005757DC">
        <w:rPr>
          <w:color w:val="000000"/>
        </w:rPr>
        <w:t>.</w:t>
      </w:r>
      <w:r w:rsidR="00610BE9">
        <w:rPr>
          <w:rStyle w:val="FootnoteReference"/>
          <w:color w:val="000000"/>
        </w:rPr>
        <w:footnoteReference w:id="17"/>
      </w:r>
    </w:p>
    <w:p w14:paraId="18FDB595" w14:textId="69FCE46D" w:rsidR="00885C88" w:rsidRDefault="00DF02A0">
      <w:pPr>
        <w:pStyle w:val="NormalWeb"/>
        <w:rPr>
          <w:color w:val="000000"/>
        </w:rPr>
      </w:pPr>
      <w:r w:rsidRPr="2F9D10C2">
        <w:rPr>
          <w:color w:val="000000" w:themeColor="text1"/>
        </w:rPr>
        <w:t>The MRGF also reflects anticipated changes in two categories of g</w:t>
      </w:r>
      <w:r w:rsidR="00885C88" w:rsidRPr="2F9D10C2">
        <w:rPr>
          <w:color w:val="000000" w:themeColor="text1"/>
        </w:rPr>
        <w:t>eneral state revenue aid</w:t>
      </w:r>
      <w:r w:rsidRPr="2F9D10C2">
        <w:rPr>
          <w:color w:val="000000" w:themeColor="text1"/>
        </w:rPr>
        <w:t xml:space="preserve">: </w:t>
      </w:r>
      <w:r w:rsidR="005757DC" w:rsidRPr="2F9D10C2">
        <w:rPr>
          <w:color w:val="000000" w:themeColor="text1"/>
        </w:rPr>
        <w:t>u</w:t>
      </w:r>
      <w:r w:rsidR="00885C88" w:rsidRPr="2F9D10C2">
        <w:rPr>
          <w:color w:val="000000" w:themeColor="text1"/>
        </w:rPr>
        <w:t xml:space="preserve">nrestricted </w:t>
      </w:r>
      <w:r w:rsidR="005757DC" w:rsidRPr="2F9D10C2">
        <w:rPr>
          <w:color w:val="000000" w:themeColor="text1"/>
        </w:rPr>
        <w:t>g</w:t>
      </w:r>
      <w:r w:rsidR="00885C88" w:rsidRPr="2F9D10C2">
        <w:rPr>
          <w:color w:val="000000" w:themeColor="text1"/>
        </w:rPr>
        <w:t xml:space="preserve">eneral </w:t>
      </w:r>
      <w:r w:rsidR="005757DC" w:rsidRPr="2F9D10C2">
        <w:rPr>
          <w:color w:val="000000" w:themeColor="text1"/>
        </w:rPr>
        <w:t>g</w:t>
      </w:r>
      <w:r w:rsidR="00885C88" w:rsidRPr="2F9D10C2">
        <w:rPr>
          <w:color w:val="000000" w:themeColor="text1"/>
        </w:rPr>
        <w:t xml:space="preserve">overnment </w:t>
      </w:r>
      <w:r w:rsidR="005757DC" w:rsidRPr="2F9D10C2">
        <w:rPr>
          <w:color w:val="000000" w:themeColor="text1"/>
        </w:rPr>
        <w:t>a</w:t>
      </w:r>
      <w:r w:rsidR="00885C88" w:rsidRPr="2F9D10C2">
        <w:rPr>
          <w:color w:val="000000" w:themeColor="text1"/>
        </w:rPr>
        <w:t xml:space="preserve">id </w:t>
      </w:r>
      <w:r w:rsidR="00677C78" w:rsidRPr="2F9D10C2">
        <w:rPr>
          <w:color w:val="000000" w:themeColor="text1"/>
        </w:rPr>
        <w:t>(UGGA)</w:t>
      </w:r>
      <w:r w:rsidR="00885C88" w:rsidRPr="2F9D10C2">
        <w:rPr>
          <w:color w:val="000000" w:themeColor="text1"/>
        </w:rPr>
        <w:t xml:space="preserve"> and </w:t>
      </w:r>
      <w:r w:rsidR="005757DC" w:rsidRPr="2F9D10C2">
        <w:rPr>
          <w:color w:val="000000" w:themeColor="text1"/>
        </w:rPr>
        <w:t>s</w:t>
      </w:r>
      <w:r w:rsidR="00885C88" w:rsidRPr="2F9D10C2">
        <w:rPr>
          <w:color w:val="000000" w:themeColor="text1"/>
        </w:rPr>
        <w:t>tate</w:t>
      </w:r>
      <w:r w:rsidR="00DE3AF3" w:rsidRPr="2F9D10C2">
        <w:rPr>
          <w:color w:val="000000" w:themeColor="text1"/>
        </w:rPr>
        <w:t>-owned</w:t>
      </w:r>
      <w:r w:rsidR="00885C88" w:rsidRPr="2F9D10C2">
        <w:rPr>
          <w:color w:val="000000" w:themeColor="text1"/>
        </w:rPr>
        <w:t xml:space="preserve"> </w:t>
      </w:r>
      <w:r w:rsidR="005757DC" w:rsidRPr="2F9D10C2">
        <w:rPr>
          <w:color w:val="000000" w:themeColor="text1"/>
        </w:rPr>
        <w:t>l</w:t>
      </w:r>
      <w:r w:rsidR="00885C88" w:rsidRPr="2F9D10C2">
        <w:rPr>
          <w:color w:val="000000" w:themeColor="text1"/>
        </w:rPr>
        <w:t>and</w:t>
      </w:r>
      <w:r w:rsidR="00677C78" w:rsidRPr="2F9D10C2">
        <w:rPr>
          <w:color w:val="000000" w:themeColor="text1"/>
        </w:rPr>
        <w:t xml:space="preserve"> (SOL)</w:t>
      </w:r>
      <w:r w:rsidR="005757DC" w:rsidRPr="2F9D10C2">
        <w:rPr>
          <w:color w:val="000000" w:themeColor="text1"/>
        </w:rPr>
        <w:t xml:space="preserve">. The anticipated changes are based on the amounts proposed in the Governor’s budget for the </w:t>
      </w:r>
      <w:r w:rsidR="00243338" w:rsidRPr="2F9D10C2">
        <w:rPr>
          <w:color w:val="000000" w:themeColor="text1"/>
        </w:rPr>
        <w:t>upcoming</w:t>
      </w:r>
      <w:r w:rsidR="005757DC" w:rsidRPr="2F9D10C2">
        <w:rPr>
          <w:color w:val="000000" w:themeColor="text1"/>
        </w:rPr>
        <w:t xml:space="preserve"> fiscal yea</w:t>
      </w:r>
      <w:r w:rsidR="00FB1C31" w:rsidRPr="2F9D10C2">
        <w:rPr>
          <w:color w:val="000000" w:themeColor="text1"/>
        </w:rPr>
        <w:t>r</w:t>
      </w:r>
      <w:r w:rsidR="00546FCB" w:rsidRPr="2F9D10C2">
        <w:rPr>
          <w:color w:val="000000" w:themeColor="text1"/>
        </w:rPr>
        <w:t xml:space="preserve"> so </w:t>
      </w:r>
      <w:r w:rsidR="00885C88" w:rsidRPr="2F9D10C2">
        <w:rPr>
          <w:color w:val="000000" w:themeColor="text1"/>
        </w:rPr>
        <w:t xml:space="preserve">community </w:t>
      </w:r>
      <w:r w:rsidR="00977624" w:rsidRPr="2F9D10C2">
        <w:rPr>
          <w:color w:val="000000" w:themeColor="text1"/>
        </w:rPr>
        <w:t xml:space="preserve">action </w:t>
      </w:r>
      <w:r w:rsidR="00885C88" w:rsidRPr="2F9D10C2">
        <w:rPr>
          <w:color w:val="000000" w:themeColor="text1"/>
        </w:rPr>
        <w:t xml:space="preserve">is not </w:t>
      </w:r>
      <w:r w:rsidR="00977624" w:rsidRPr="2F9D10C2">
        <w:rPr>
          <w:color w:val="000000" w:themeColor="text1"/>
        </w:rPr>
        <w:t xml:space="preserve">determining </w:t>
      </w:r>
      <w:r w:rsidR="00885C88" w:rsidRPr="2F9D10C2">
        <w:rPr>
          <w:color w:val="000000" w:themeColor="text1"/>
        </w:rPr>
        <w:t xml:space="preserve">the </w:t>
      </w:r>
      <w:r w:rsidR="00977624" w:rsidRPr="2F9D10C2">
        <w:rPr>
          <w:color w:val="000000" w:themeColor="text1"/>
        </w:rPr>
        <w:t xml:space="preserve">assumed </w:t>
      </w:r>
      <w:r w:rsidR="00131676" w:rsidRPr="2F9D10C2">
        <w:rPr>
          <w:color w:val="000000" w:themeColor="text1"/>
        </w:rPr>
        <w:t xml:space="preserve">revenue </w:t>
      </w:r>
      <w:r w:rsidR="00885C88" w:rsidRPr="2F9D10C2">
        <w:rPr>
          <w:color w:val="000000" w:themeColor="text1"/>
        </w:rPr>
        <w:t xml:space="preserve">growth or loss in these two elements. </w:t>
      </w:r>
      <w:r w:rsidR="005757DC" w:rsidRPr="2F9D10C2">
        <w:rPr>
          <w:color w:val="000000" w:themeColor="text1"/>
        </w:rPr>
        <w:t>Finally, DOR</w:t>
      </w:r>
      <w:r w:rsidR="00594AB0" w:rsidRPr="2F9D10C2">
        <w:rPr>
          <w:color w:val="000000" w:themeColor="text1"/>
        </w:rPr>
        <w:t>/DLS</w:t>
      </w:r>
      <w:r w:rsidR="005757DC" w:rsidRPr="2F9D10C2">
        <w:rPr>
          <w:color w:val="000000" w:themeColor="text1"/>
        </w:rPr>
        <w:t xml:space="preserve"> estimates the change in other local receipts by comparing</w:t>
      </w:r>
      <w:r w:rsidR="00885C88" w:rsidRPr="2F9D10C2">
        <w:rPr>
          <w:color w:val="000000" w:themeColor="text1"/>
        </w:rPr>
        <w:t xml:space="preserve"> the current year to the prior year</w:t>
      </w:r>
      <w:r w:rsidR="004949F8" w:rsidRPr="2F9D10C2">
        <w:rPr>
          <w:color w:val="000000" w:themeColor="text1"/>
        </w:rPr>
        <w:t>, including</w:t>
      </w:r>
      <w:r w:rsidR="00706F6B" w:rsidRPr="2F9D10C2">
        <w:rPr>
          <w:color w:val="000000" w:themeColor="text1"/>
        </w:rPr>
        <w:t>:</w:t>
      </w:r>
    </w:p>
    <w:p w14:paraId="0843F91B" w14:textId="77777777" w:rsidR="00706F6B" w:rsidRDefault="00706F6B" w:rsidP="00BF34F6">
      <w:pPr>
        <w:pStyle w:val="CommentText"/>
        <w:numPr>
          <w:ilvl w:val="0"/>
          <w:numId w:val="64"/>
        </w:numPr>
        <w:spacing w:line="259" w:lineRule="auto"/>
        <w:ind w:left="720"/>
      </w:pPr>
      <w:r>
        <w:t>Motor Vehicle Excise</w:t>
      </w:r>
    </w:p>
    <w:p w14:paraId="32B84179" w14:textId="4DC976EE" w:rsidR="00706F6B" w:rsidRDefault="00706F6B" w:rsidP="00BF34F6">
      <w:pPr>
        <w:pStyle w:val="CommentText"/>
        <w:numPr>
          <w:ilvl w:val="0"/>
          <w:numId w:val="64"/>
        </w:numPr>
        <w:spacing w:line="259" w:lineRule="auto"/>
        <w:ind w:left="720"/>
      </w:pPr>
      <w:r>
        <w:t xml:space="preserve">Local </w:t>
      </w:r>
      <w:r w:rsidR="00AC713B">
        <w:t>o</w:t>
      </w:r>
      <w:r>
        <w:t xml:space="preserve">ption </w:t>
      </w:r>
      <w:r w:rsidR="00AC713B">
        <w:t>t</w:t>
      </w:r>
      <w:r>
        <w:t>ax/</w:t>
      </w:r>
      <w:r w:rsidR="00AC713B">
        <w:t>e</w:t>
      </w:r>
      <w:r>
        <w:t xml:space="preserve">xcise: Room </w:t>
      </w:r>
      <w:r w:rsidR="00AC713B">
        <w:t>o</w:t>
      </w:r>
      <w:r>
        <w:t xml:space="preserve">ccupancy, </w:t>
      </w:r>
      <w:r w:rsidR="00AC713B">
        <w:t>m</w:t>
      </w:r>
      <w:r>
        <w:t xml:space="preserve">eals, </w:t>
      </w:r>
      <w:r w:rsidR="00AC713B">
        <w:t>c</w:t>
      </w:r>
      <w:r>
        <w:t xml:space="preserve">annabis and other </w:t>
      </w:r>
      <w:r w:rsidR="00AC713B">
        <w:t>e</w:t>
      </w:r>
      <w:r>
        <w:t>xcises</w:t>
      </w:r>
    </w:p>
    <w:p w14:paraId="61B48F6E" w14:textId="71A0EF0E" w:rsidR="00706F6B" w:rsidRDefault="00706F6B" w:rsidP="00BF34F6">
      <w:pPr>
        <w:pStyle w:val="CommentText"/>
        <w:numPr>
          <w:ilvl w:val="0"/>
          <w:numId w:val="64"/>
        </w:numPr>
        <w:spacing w:line="259" w:lineRule="auto"/>
        <w:ind w:left="720"/>
      </w:pPr>
      <w:r>
        <w:t xml:space="preserve">Penalties and </w:t>
      </w:r>
      <w:r w:rsidR="00AC713B">
        <w:t>i</w:t>
      </w:r>
      <w:r>
        <w:t xml:space="preserve">nterest on </w:t>
      </w:r>
      <w:r w:rsidR="00AC713B">
        <w:t>t</w:t>
      </w:r>
      <w:r>
        <w:t xml:space="preserve">axes and </w:t>
      </w:r>
      <w:r w:rsidR="00AC713B">
        <w:t>e</w:t>
      </w:r>
      <w:r>
        <w:t>xcises</w:t>
      </w:r>
    </w:p>
    <w:p w14:paraId="66EF4BF2" w14:textId="01BA7704" w:rsidR="00706F6B" w:rsidRDefault="00706F6B" w:rsidP="00BF34F6">
      <w:pPr>
        <w:pStyle w:val="CommentText"/>
        <w:numPr>
          <w:ilvl w:val="0"/>
          <w:numId w:val="64"/>
        </w:numPr>
        <w:spacing w:line="259" w:lineRule="auto"/>
        <w:ind w:left="720"/>
      </w:pPr>
      <w:r>
        <w:t xml:space="preserve">Payments in </w:t>
      </w:r>
      <w:r w:rsidR="00AC713B">
        <w:t>l</w:t>
      </w:r>
      <w:r>
        <w:t xml:space="preserve">ieu of </w:t>
      </w:r>
      <w:r w:rsidR="00AC713B">
        <w:t>t</w:t>
      </w:r>
      <w:r>
        <w:t>axes</w:t>
      </w:r>
    </w:p>
    <w:p w14:paraId="05416CB7" w14:textId="69748D3F" w:rsidR="00706F6B" w:rsidRDefault="00706F6B" w:rsidP="00BF34F6">
      <w:pPr>
        <w:pStyle w:val="CommentText"/>
        <w:numPr>
          <w:ilvl w:val="0"/>
          <w:numId w:val="64"/>
        </w:numPr>
        <w:spacing w:line="259" w:lineRule="auto"/>
        <w:ind w:left="720"/>
      </w:pPr>
      <w:r>
        <w:t xml:space="preserve">Fines and </w:t>
      </w:r>
      <w:r w:rsidR="00AC713B">
        <w:t>f</w:t>
      </w:r>
      <w:r>
        <w:t>orfeits</w:t>
      </w:r>
    </w:p>
    <w:p w14:paraId="39F46E3D" w14:textId="375B9DF4" w:rsidR="00706F6B" w:rsidRDefault="00706F6B" w:rsidP="00BF34F6">
      <w:pPr>
        <w:pStyle w:val="CommentText"/>
        <w:numPr>
          <w:ilvl w:val="0"/>
          <w:numId w:val="64"/>
        </w:numPr>
        <w:spacing w:line="259" w:lineRule="auto"/>
        <w:ind w:left="720"/>
      </w:pPr>
      <w:r>
        <w:t xml:space="preserve">Investment </w:t>
      </w:r>
      <w:r w:rsidR="00AC713B">
        <w:t>i</w:t>
      </w:r>
      <w:r>
        <w:t>ncome</w:t>
      </w:r>
    </w:p>
    <w:p w14:paraId="3D991C5A" w14:textId="50C771FB" w:rsidR="00706F6B" w:rsidRDefault="00706F6B" w:rsidP="00BF34F6">
      <w:pPr>
        <w:pStyle w:val="CommentText"/>
        <w:numPr>
          <w:ilvl w:val="0"/>
          <w:numId w:val="64"/>
        </w:numPr>
        <w:spacing w:line="259" w:lineRule="auto"/>
        <w:ind w:left="720"/>
      </w:pPr>
      <w:r>
        <w:t xml:space="preserve">Municipal Medicaid </w:t>
      </w:r>
      <w:r w:rsidR="00A92603">
        <w:t>r</w:t>
      </w:r>
      <w:r>
        <w:t>eimbursement</w:t>
      </w:r>
    </w:p>
    <w:p w14:paraId="3162816A" w14:textId="74F4C1A2" w:rsidR="00706F6B" w:rsidRDefault="00706F6B" w:rsidP="00BF34F6">
      <w:pPr>
        <w:pStyle w:val="CommentText"/>
        <w:numPr>
          <w:ilvl w:val="0"/>
          <w:numId w:val="64"/>
        </w:numPr>
        <w:spacing w:line="259" w:lineRule="auto"/>
        <w:ind w:left="720"/>
      </w:pPr>
      <w:r>
        <w:t xml:space="preserve">Miscellaneous </w:t>
      </w:r>
      <w:r w:rsidR="00A92603">
        <w:t>r</w:t>
      </w:r>
      <w:r>
        <w:t xml:space="preserve">ecurring </w:t>
      </w:r>
      <w:r w:rsidR="00A92603">
        <w:t>r</w:t>
      </w:r>
      <w:r>
        <w:t>evenues</w:t>
      </w:r>
    </w:p>
    <w:p w14:paraId="3E0A349D" w14:textId="77777777" w:rsidR="005E2292" w:rsidRPr="00054D60" w:rsidRDefault="005E2292" w:rsidP="003E5741">
      <w:pPr>
        <w:pStyle w:val="CommentText"/>
        <w:spacing w:line="259" w:lineRule="auto"/>
      </w:pPr>
    </w:p>
    <w:p w14:paraId="37775414" w14:textId="431980F5" w:rsidR="00BB08DA" w:rsidRDefault="005757DC" w:rsidP="00BB08DA">
      <w:pPr>
        <w:pStyle w:val="FootnoteText"/>
        <w:rPr>
          <w:color w:val="000000" w:themeColor="text1"/>
        </w:rPr>
      </w:pPr>
      <w:r>
        <w:lastRenderedPageBreak/>
        <w:t>The MRGF</w:t>
      </w:r>
      <w:r w:rsidDel="004949F8">
        <w:t xml:space="preserve"> </w:t>
      </w:r>
      <w:r w:rsidR="004949F8">
        <w:t>determination</w:t>
      </w:r>
      <w:r>
        <w:t xml:space="preserve"> also includes a waiver process, whereby municipalities can request DOR</w:t>
      </w:r>
      <w:r w:rsidR="00594AB0">
        <w:t>/DLS</w:t>
      </w:r>
      <w:r>
        <w:t xml:space="preserve"> to reduce their local contribution requirement in cases of extraordinary declines in local revenues or extraordinary one-time</w:t>
      </w:r>
      <w:r w:rsidR="00732EAB">
        <w:t>, non-school related expenses</w:t>
      </w:r>
      <w:r>
        <w:t xml:space="preserve"> </w:t>
      </w:r>
      <w:r w:rsidR="0058429A">
        <w:t>revenue</w:t>
      </w:r>
      <w:r>
        <w:t>.</w:t>
      </w:r>
    </w:p>
    <w:p w14:paraId="18F4C68E" w14:textId="77777777" w:rsidR="00BB08DA" w:rsidRDefault="00BB08DA" w:rsidP="00BB08DA">
      <w:pPr>
        <w:pStyle w:val="FootnoteText"/>
        <w:rPr>
          <w:color w:val="000000" w:themeColor="text1"/>
        </w:rPr>
      </w:pPr>
    </w:p>
    <w:p w14:paraId="66A7727E" w14:textId="1CF31093" w:rsidR="00E649AD" w:rsidRPr="00CF16E8" w:rsidRDefault="00B34E5D" w:rsidP="00930042">
      <w:pPr>
        <w:pStyle w:val="NormalWeb"/>
        <w:spacing w:before="0" w:beforeAutospacing="0" w:after="0" w:afterAutospacing="0"/>
        <w:rPr>
          <w:color w:val="000000"/>
        </w:rPr>
      </w:pPr>
      <w:r>
        <w:rPr>
          <w:color w:val="000000" w:themeColor="text1"/>
        </w:rPr>
        <w:t>A</w:t>
      </w:r>
      <w:r w:rsidR="00370B0B" w:rsidRPr="4910F8A3">
        <w:rPr>
          <w:color w:val="000000" w:themeColor="text1"/>
        </w:rPr>
        <w:t>lthough</w:t>
      </w:r>
      <w:r w:rsidR="00370B0B">
        <w:rPr>
          <w:color w:val="000000"/>
        </w:rPr>
        <w:t xml:space="preserve"> </w:t>
      </w:r>
      <w:r w:rsidR="00370B0B" w:rsidRPr="4910F8A3">
        <w:t xml:space="preserve">the </w:t>
      </w:r>
      <w:r w:rsidR="00E644C9">
        <w:t>centrality</w:t>
      </w:r>
      <w:r w:rsidR="002979F7">
        <w:t xml:space="preserve"> </w:t>
      </w:r>
      <w:r w:rsidR="00E644C9">
        <w:t xml:space="preserve">of Proposition 2½ </w:t>
      </w:r>
      <w:r w:rsidR="0027574A">
        <w:t>i</w:t>
      </w:r>
      <w:r w:rsidR="00902546">
        <w:t>n</w:t>
      </w:r>
      <w:r w:rsidR="002979F7">
        <w:t xml:space="preserve"> the </w:t>
      </w:r>
      <w:r w:rsidR="00B65D81" w:rsidRPr="4910F8A3">
        <w:t xml:space="preserve">MRGF </w:t>
      </w:r>
      <w:r w:rsidR="00902546">
        <w:t>adjustment</w:t>
      </w:r>
      <w:r w:rsidR="00E644C9">
        <w:t xml:space="preserve"> </w:t>
      </w:r>
      <w:r w:rsidR="64D7037C" w:rsidRPr="4910F8A3">
        <w:t xml:space="preserve">can </w:t>
      </w:r>
      <w:r w:rsidR="00E558BA" w:rsidRPr="4910F8A3">
        <w:t xml:space="preserve">reduce </w:t>
      </w:r>
      <w:r w:rsidR="00307177">
        <w:t xml:space="preserve">or delay movement towards </w:t>
      </w:r>
      <w:r w:rsidR="00E56632">
        <w:t>local contribution targets</w:t>
      </w:r>
      <w:r w:rsidR="00BB42B9">
        <w:t xml:space="preserve"> </w:t>
      </w:r>
      <w:r w:rsidR="0074488A">
        <w:t>among</w:t>
      </w:r>
      <w:r w:rsidR="00307177">
        <w:t xml:space="preserve"> </w:t>
      </w:r>
      <w:r w:rsidR="0074488A">
        <w:t>low</w:t>
      </w:r>
      <w:r w:rsidR="00307177">
        <w:t xml:space="preserve"> contribution districts</w:t>
      </w:r>
      <w:r w:rsidR="00E558BA" w:rsidRPr="4910F8A3">
        <w:t xml:space="preserve"> </w:t>
      </w:r>
      <w:r w:rsidR="00203095">
        <w:t>they are</w:t>
      </w:r>
      <w:r w:rsidR="00E558BA" w:rsidRPr="4910F8A3">
        <w:t xml:space="preserve"> necessary to reflect </w:t>
      </w:r>
      <w:r w:rsidR="008A390F" w:rsidRPr="4910F8A3">
        <w:t xml:space="preserve">the </w:t>
      </w:r>
      <w:r w:rsidR="00445B0E" w:rsidRPr="4910F8A3">
        <w:t>non-uniform</w:t>
      </w:r>
      <w:r w:rsidR="002A7C6F">
        <w:t xml:space="preserve"> ways</w:t>
      </w:r>
      <w:r w:rsidR="008A390F" w:rsidRPr="4910F8A3">
        <w:t xml:space="preserve"> that </w:t>
      </w:r>
      <w:r w:rsidR="00F83F45">
        <w:t xml:space="preserve">the limits imposed by </w:t>
      </w:r>
      <w:r w:rsidR="00445B0E" w:rsidRPr="4910F8A3">
        <w:t>Prop</w:t>
      </w:r>
      <w:r w:rsidR="00C61EA8">
        <w:t>osition</w:t>
      </w:r>
      <w:r w:rsidR="00445B0E" w:rsidRPr="4910F8A3">
        <w:t xml:space="preserve"> 2½ </w:t>
      </w:r>
      <w:r w:rsidR="003A7C5D">
        <w:t xml:space="preserve"> impact</w:t>
      </w:r>
      <w:r w:rsidR="00445B0E" w:rsidRPr="4910F8A3">
        <w:t xml:space="preserve"> individual municipalities.</w:t>
      </w:r>
      <w:r w:rsidR="0008062B">
        <w:rPr>
          <w:color w:val="000000" w:themeColor="text1"/>
        </w:rPr>
        <w:t xml:space="preserve"> </w:t>
      </w:r>
      <w:r w:rsidR="0074488A">
        <w:rPr>
          <w:color w:val="000000" w:themeColor="text1"/>
        </w:rPr>
        <w:t>A</w:t>
      </w:r>
      <w:r w:rsidR="007B7D35" w:rsidRPr="4910F8A3">
        <w:rPr>
          <w:color w:val="000000" w:themeColor="text1"/>
        </w:rPr>
        <w:t xml:space="preserve">t the same time, </w:t>
      </w:r>
      <w:r w:rsidR="0074488A">
        <w:rPr>
          <w:color w:val="000000" w:themeColor="text1"/>
        </w:rPr>
        <w:t>however,</w:t>
      </w:r>
      <w:r w:rsidR="007B7D35" w:rsidRPr="4910F8A3">
        <w:rPr>
          <w:color w:val="000000" w:themeColor="text1"/>
        </w:rPr>
        <w:t xml:space="preserve"> </w:t>
      </w:r>
      <w:r w:rsidR="0038126D" w:rsidRPr="4910F8A3">
        <w:rPr>
          <w:color w:val="000000" w:themeColor="text1"/>
        </w:rPr>
        <w:t>it should be recognized that of the municipalities whose required contribution</w:t>
      </w:r>
      <w:r w:rsidR="00C16F78">
        <w:rPr>
          <w:color w:val="000000" w:themeColor="text1"/>
        </w:rPr>
        <w:t>s</w:t>
      </w:r>
      <w:r w:rsidR="0038126D" w:rsidRPr="4910F8A3">
        <w:rPr>
          <w:color w:val="000000" w:themeColor="text1"/>
        </w:rPr>
        <w:t xml:space="preserve"> </w:t>
      </w:r>
      <w:r w:rsidR="00C16F78">
        <w:rPr>
          <w:color w:val="000000" w:themeColor="text1"/>
        </w:rPr>
        <w:t>are</w:t>
      </w:r>
      <w:r w:rsidR="0038126D" w:rsidRPr="4910F8A3">
        <w:rPr>
          <w:color w:val="000000" w:themeColor="text1"/>
        </w:rPr>
        <w:t xml:space="preserve"> below their </w:t>
      </w:r>
      <w:r w:rsidR="00717651" w:rsidRPr="4910F8A3">
        <w:rPr>
          <w:color w:val="000000" w:themeColor="text1"/>
        </w:rPr>
        <w:t>target</w:t>
      </w:r>
      <w:r w:rsidR="00C16F78">
        <w:rPr>
          <w:color w:val="000000" w:themeColor="text1"/>
        </w:rPr>
        <w:t>s</w:t>
      </w:r>
      <w:r w:rsidR="00717651" w:rsidRPr="4910F8A3">
        <w:rPr>
          <w:color w:val="000000" w:themeColor="text1"/>
        </w:rPr>
        <w:t xml:space="preserve"> </w:t>
      </w:r>
      <w:r w:rsidR="00C16F78">
        <w:rPr>
          <w:color w:val="000000" w:themeColor="text1"/>
        </w:rPr>
        <w:t xml:space="preserve">even after </w:t>
      </w:r>
      <w:r w:rsidR="00717651" w:rsidRPr="4910F8A3">
        <w:rPr>
          <w:color w:val="000000" w:themeColor="text1"/>
        </w:rPr>
        <w:t xml:space="preserve">application of the MRGF, many </w:t>
      </w:r>
      <w:r w:rsidR="007F1C1F" w:rsidRPr="4910F8A3">
        <w:rPr>
          <w:color w:val="000000" w:themeColor="text1"/>
        </w:rPr>
        <w:t xml:space="preserve">are actually </w:t>
      </w:r>
      <w:r>
        <w:rPr>
          <w:color w:val="000000" w:themeColor="text1"/>
        </w:rPr>
        <w:t>contributing</w:t>
      </w:r>
      <w:r w:rsidR="007F1C1F" w:rsidRPr="4910F8A3">
        <w:rPr>
          <w:color w:val="000000" w:themeColor="text1"/>
        </w:rPr>
        <w:t xml:space="preserve"> at or above their target</w:t>
      </w:r>
      <w:r w:rsidR="00B410EB" w:rsidRPr="4910F8A3">
        <w:rPr>
          <w:color w:val="000000" w:themeColor="text1"/>
        </w:rPr>
        <w:t>s</w:t>
      </w:r>
      <w:r w:rsidR="007F1C1F" w:rsidRPr="4910F8A3">
        <w:rPr>
          <w:color w:val="000000" w:themeColor="text1"/>
        </w:rPr>
        <w:t>.</w:t>
      </w:r>
    </w:p>
    <w:p w14:paraId="4FAFFEF4" w14:textId="77777777" w:rsidR="00723F0F" w:rsidRDefault="00723F0F" w:rsidP="00BA6E9E">
      <w:pPr>
        <w:pStyle w:val="NormalWeb"/>
        <w:spacing w:before="0" w:beforeAutospacing="0" w:after="0" w:afterAutospacing="0"/>
        <w:rPr>
          <w:color w:val="000000"/>
        </w:rPr>
      </w:pPr>
    </w:p>
    <w:p w14:paraId="4FCEDA4F" w14:textId="7B3002FF" w:rsidR="00537834" w:rsidRDefault="002F63CE" w:rsidP="00CF16E8">
      <w:pPr>
        <w:pStyle w:val="NormalWeb"/>
        <w:spacing w:before="0" w:beforeAutospacing="0" w:after="0" w:afterAutospacing="0"/>
        <w:rPr>
          <w:color w:val="000000"/>
        </w:rPr>
      </w:pPr>
      <w:r w:rsidRPr="00CF16E8">
        <w:rPr>
          <w:color w:val="000000"/>
        </w:rPr>
        <w:t>Even with</w:t>
      </w:r>
      <w:r w:rsidR="00DC2FDF" w:rsidRPr="00CF16E8">
        <w:rPr>
          <w:color w:val="000000"/>
        </w:rPr>
        <w:t xml:space="preserve"> the inclusion of the MRGF factor</w:t>
      </w:r>
      <w:r w:rsidRPr="00CF16E8">
        <w:rPr>
          <w:color w:val="000000"/>
        </w:rPr>
        <w:t xml:space="preserve">, </w:t>
      </w:r>
      <w:r w:rsidR="00632886" w:rsidRPr="00CF16E8">
        <w:rPr>
          <w:color w:val="000000"/>
        </w:rPr>
        <w:t xml:space="preserve">school funding </w:t>
      </w:r>
      <w:r w:rsidR="00F00D2B" w:rsidRPr="00CF16E8">
        <w:rPr>
          <w:color w:val="000000"/>
        </w:rPr>
        <w:t xml:space="preserve">at the municipal level is often perceived as </w:t>
      </w:r>
      <w:r w:rsidR="00717A47" w:rsidRPr="00CF16E8">
        <w:rPr>
          <w:color w:val="000000"/>
        </w:rPr>
        <w:t xml:space="preserve">coming at the expense of other essential </w:t>
      </w:r>
      <w:r w:rsidR="007D2928" w:rsidRPr="00CF16E8">
        <w:rPr>
          <w:color w:val="000000"/>
        </w:rPr>
        <w:t xml:space="preserve">municipal functions. </w:t>
      </w:r>
      <w:r w:rsidR="0094607B" w:rsidRPr="00CF16E8">
        <w:rPr>
          <w:color w:val="000000"/>
        </w:rPr>
        <w:t xml:space="preserve">Given the </w:t>
      </w:r>
      <w:r w:rsidR="006264E3" w:rsidRPr="00CF16E8">
        <w:rPr>
          <w:color w:val="000000"/>
        </w:rPr>
        <w:t>revenue constraints of Prop</w:t>
      </w:r>
      <w:r w:rsidR="002B61AE">
        <w:rPr>
          <w:color w:val="000000"/>
        </w:rPr>
        <w:t>osition</w:t>
      </w:r>
      <w:r w:rsidR="006264E3" w:rsidRPr="00CF16E8">
        <w:rPr>
          <w:color w:val="000000"/>
        </w:rPr>
        <w:t xml:space="preserve"> 2½, </w:t>
      </w:r>
      <w:r w:rsidR="00200E06" w:rsidRPr="00CF16E8">
        <w:rPr>
          <w:color w:val="000000"/>
        </w:rPr>
        <w:t xml:space="preserve">there are undoubtedly instances where </w:t>
      </w:r>
      <w:r w:rsidR="00DE160E" w:rsidRPr="00CF16E8">
        <w:rPr>
          <w:color w:val="000000"/>
        </w:rPr>
        <w:t xml:space="preserve">other municipal services, whose funding levels are not mandated </w:t>
      </w:r>
      <w:r w:rsidR="00073D55" w:rsidRPr="00CF16E8">
        <w:rPr>
          <w:color w:val="000000"/>
        </w:rPr>
        <w:t xml:space="preserve">are disproportionately impacted. </w:t>
      </w:r>
      <w:r w:rsidR="00F22F85">
        <w:rPr>
          <w:color w:val="000000"/>
        </w:rPr>
        <w:t>At the state level</w:t>
      </w:r>
      <w:r w:rsidR="0090166A">
        <w:rPr>
          <w:color w:val="000000"/>
        </w:rPr>
        <w:t>, however, total municipal general fund spending on education services</w:t>
      </w:r>
      <w:r w:rsidR="008A6C3B">
        <w:rPr>
          <w:color w:val="000000"/>
        </w:rPr>
        <w:t xml:space="preserve"> for Chapter 70 net school spending purposes</w:t>
      </w:r>
      <w:r w:rsidR="00CD699C">
        <w:rPr>
          <w:color w:val="000000"/>
        </w:rPr>
        <w:t xml:space="preserve"> </w:t>
      </w:r>
      <w:r w:rsidR="0090166A">
        <w:rPr>
          <w:color w:val="000000"/>
        </w:rPr>
        <w:t xml:space="preserve">as a share of total municipal spending </w:t>
      </w:r>
      <w:r w:rsidR="00613765">
        <w:rPr>
          <w:color w:val="000000"/>
        </w:rPr>
        <w:t xml:space="preserve">has remained fairly consistent </w:t>
      </w:r>
      <w:r w:rsidR="009B0828" w:rsidRPr="00C61457">
        <w:rPr>
          <w:color w:val="000000"/>
        </w:rPr>
        <w:t xml:space="preserve">between </w:t>
      </w:r>
      <w:r w:rsidR="00D127AE">
        <w:rPr>
          <w:color w:val="000000"/>
        </w:rPr>
        <w:t>51</w:t>
      </w:r>
      <w:r w:rsidR="00DB1C9A">
        <w:rPr>
          <w:color w:val="000000"/>
        </w:rPr>
        <w:t>%</w:t>
      </w:r>
      <w:r w:rsidR="009B0828" w:rsidRPr="00C61457">
        <w:rPr>
          <w:color w:val="000000"/>
        </w:rPr>
        <w:t xml:space="preserve"> and </w:t>
      </w:r>
      <w:r w:rsidR="00F93350" w:rsidRPr="00C61457">
        <w:rPr>
          <w:color w:val="000000"/>
        </w:rPr>
        <w:t>5</w:t>
      </w:r>
      <w:r w:rsidR="00D127AE">
        <w:rPr>
          <w:color w:val="000000"/>
        </w:rPr>
        <w:t>2</w:t>
      </w:r>
      <w:r w:rsidR="00DB1C9A">
        <w:rPr>
          <w:color w:val="000000"/>
        </w:rPr>
        <w:t>%</w:t>
      </w:r>
      <w:r w:rsidR="009B0828" w:rsidRPr="00C61457">
        <w:rPr>
          <w:color w:val="000000"/>
        </w:rPr>
        <w:t xml:space="preserve"> </w:t>
      </w:r>
      <w:r w:rsidR="00014BDD" w:rsidRPr="005051D7">
        <w:rPr>
          <w:color w:val="000000"/>
        </w:rPr>
        <w:t xml:space="preserve">since </w:t>
      </w:r>
      <w:r w:rsidR="000278A4">
        <w:rPr>
          <w:color w:val="000000"/>
        </w:rPr>
        <w:t>FY</w:t>
      </w:r>
      <w:r w:rsidR="00014BDD" w:rsidRPr="005051D7">
        <w:rPr>
          <w:color w:val="000000"/>
        </w:rPr>
        <w:t>0</w:t>
      </w:r>
      <w:r w:rsidR="007814E5">
        <w:rPr>
          <w:color w:val="000000"/>
        </w:rPr>
        <w:t>7</w:t>
      </w:r>
      <w:r w:rsidR="00072417" w:rsidRPr="00C61457">
        <w:rPr>
          <w:color w:val="000000"/>
        </w:rPr>
        <w:t>.</w:t>
      </w:r>
      <w:r w:rsidR="007814E5">
        <w:rPr>
          <w:rStyle w:val="FootnoteReference"/>
          <w:color w:val="000000"/>
        </w:rPr>
        <w:footnoteReference w:id="18"/>
      </w:r>
      <w:r w:rsidR="00FA7387">
        <w:rPr>
          <w:color w:val="000000"/>
        </w:rPr>
        <w:t xml:space="preserve"> </w:t>
      </w:r>
      <w:r w:rsidR="00D721DA" w:rsidRPr="00C534B6">
        <w:rPr>
          <w:color w:val="000000"/>
        </w:rPr>
        <w:t xml:space="preserve">Spending on </w:t>
      </w:r>
      <w:r w:rsidR="00D63457" w:rsidRPr="00C534B6">
        <w:rPr>
          <w:color w:val="000000"/>
        </w:rPr>
        <w:t xml:space="preserve">education </w:t>
      </w:r>
      <w:r w:rsidR="00D721DA" w:rsidRPr="00C534B6">
        <w:rPr>
          <w:color w:val="000000"/>
        </w:rPr>
        <w:t xml:space="preserve">and municipal services </w:t>
      </w:r>
      <w:r w:rsidR="00CD75AF" w:rsidRPr="00C534B6">
        <w:rPr>
          <w:color w:val="000000"/>
        </w:rPr>
        <w:t xml:space="preserve">has grown between 1.1% and </w:t>
      </w:r>
      <w:r w:rsidR="008D2835" w:rsidRPr="00C534B6">
        <w:rPr>
          <w:color w:val="000000"/>
        </w:rPr>
        <w:t>5.2</w:t>
      </w:r>
      <w:r w:rsidR="00CD75AF" w:rsidRPr="00C534B6">
        <w:rPr>
          <w:color w:val="000000"/>
        </w:rPr>
        <w:t>% year over year since FY</w:t>
      </w:r>
      <w:r w:rsidR="008D2835" w:rsidRPr="00C534B6">
        <w:rPr>
          <w:color w:val="000000"/>
        </w:rPr>
        <w:t>07</w:t>
      </w:r>
      <w:r w:rsidR="00D63457">
        <w:rPr>
          <w:color w:val="000000"/>
        </w:rPr>
        <w:t xml:space="preserve">, </w:t>
      </w:r>
      <w:r w:rsidR="008C13CA">
        <w:rPr>
          <w:color w:val="000000"/>
        </w:rPr>
        <w:t>with growth in education spending outpacing municipal spending in some years and vice versa</w:t>
      </w:r>
      <w:r w:rsidR="00834164">
        <w:rPr>
          <w:color w:val="000000"/>
        </w:rPr>
        <w:t xml:space="preserve">, see </w:t>
      </w:r>
      <w:r w:rsidR="008C13CA">
        <w:rPr>
          <w:color w:val="000000"/>
        </w:rPr>
        <w:t>Table 3.</w:t>
      </w:r>
    </w:p>
    <w:p w14:paraId="24D7D5CB" w14:textId="77777777" w:rsidR="00537834" w:rsidRDefault="00537834">
      <w:pPr>
        <w:spacing w:after="160" w:line="259" w:lineRule="auto"/>
        <w:rPr>
          <w:color w:val="000000"/>
        </w:rPr>
      </w:pPr>
      <w:r>
        <w:rPr>
          <w:color w:val="000000"/>
        </w:rPr>
        <w:br w:type="page"/>
      </w:r>
    </w:p>
    <w:tbl>
      <w:tblPr>
        <w:tblStyle w:val="ESETablesGridStyle"/>
        <w:tblW w:w="9121" w:type="dxa"/>
        <w:tblLook w:val="04A0" w:firstRow="1" w:lastRow="0" w:firstColumn="1" w:lastColumn="0" w:noHBand="0" w:noVBand="1"/>
      </w:tblPr>
      <w:tblGrid>
        <w:gridCol w:w="1054"/>
        <w:gridCol w:w="1651"/>
        <w:gridCol w:w="1557"/>
        <w:gridCol w:w="1651"/>
        <w:gridCol w:w="1651"/>
        <w:gridCol w:w="1557"/>
      </w:tblGrid>
      <w:tr w:rsidR="004C53CF" w:rsidRPr="00882482" w14:paraId="2C61B473" w14:textId="77777777" w:rsidTr="003E5741">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dxa"/>
            <w:gridSpan w:val="6"/>
          </w:tcPr>
          <w:p w14:paraId="1BF54B98" w14:textId="0533CFF5" w:rsidR="004C53CF" w:rsidRPr="00C534B6" w:rsidRDefault="004C53CF" w:rsidP="00C534B6">
            <w:pPr>
              <w:pStyle w:val="NormalWeb"/>
              <w:spacing w:before="0" w:beforeAutospacing="0" w:after="0" w:afterAutospacing="0"/>
              <w:rPr>
                <w:rFonts w:asciiTheme="minorHAnsi" w:hAnsiTheme="minorHAnsi" w:cstheme="minorHAnsi"/>
                <w:b w:val="0"/>
                <w:bCs/>
                <w:color w:val="000000"/>
              </w:rPr>
            </w:pPr>
            <w:r w:rsidRPr="00C534B6">
              <w:rPr>
                <w:rFonts w:asciiTheme="minorHAnsi" w:hAnsiTheme="minorHAnsi" w:cstheme="minorHAnsi"/>
                <w:bCs/>
                <w:color w:val="000000"/>
              </w:rPr>
              <w:lastRenderedPageBreak/>
              <w:t>Table 3: Municipal general fund spending on education compared to total municipal general fund spending ($</w:t>
            </w:r>
            <w:r w:rsidR="00BC00FA">
              <w:rPr>
                <w:rFonts w:asciiTheme="minorHAnsi" w:hAnsiTheme="minorHAnsi" w:cstheme="minorHAnsi"/>
                <w:bCs/>
                <w:color w:val="000000"/>
              </w:rPr>
              <w:t>’s in</w:t>
            </w:r>
            <w:r w:rsidRPr="00C534B6">
              <w:rPr>
                <w:rFonts w:asciiTheme="minorHAnsi" w:hAnsiTheme="minorHAnsi" w:cstheme="minorHAnsi"/>
                <w:bCs/>
                <w:color w:val="000000"/>
              </w:rPr>
              <w:t xml:space="preserve"> billions)</w:t>
            </w:r>
          </w:p>
        </w:tc>
      </w:tr>
      <w:tr w:rsidR="00882482" w:rsidRPr="00882482" w14:paraId="1A729555" w14:textId="77777777" w:rsidTr="003E5741">
        <w:trPr>
          <w:trHeight w:val="873"/>
        </w:trPr>
        <w:tc>
          <w:tcPr>
            <w:cnfStyle w:val="001000000000" w:firstRow="0" w:lastRow="0" w:firstColumn="1" w:lastColumn="0" w:oddVBand="0" w:evenVBand="0" w:oddHBand="0" w:evenHBand="0" w:firstRowFirstColumn="0" w:firstRowLastColumn="0" w:lastRowFirstColumn="0" w:lastRowLastColumn="0"/>
            <w:tcW w:w="0" w:type="dxa"/>
          </w:tcPr>
          <w:p w14:paraId="1756ED40" w14:textId="77777777" w:rsidR="00E42E74" w:rsidRPr="00C534B6" w:rsidRDefault="00E42E74" w:rsidP="008D0212">
            <w:pPr>
              <w:rPr>
                <w:rFonts w:asciiTheme="minorHAnsi" w:hAnsiTheme="minorHAnsi" w:cstheme="minorHAnsi"/>
                <w:b/>
                <w:bCs/>
                <w:color w:val="000000"/>
                <w:sz w:val="22"/>
                <w:szCs w:val="22"/>
              </w:rPr>
            </w:pPr>
            <w:r w:rsidRPr="00C534B6">
              <w:rPr>
                <w:rFonts w:asciiTheme="minorHAnsi" w:hAnsiTheme="minorHAnsi" w:cstheme="minorHAnsi"/>
                <w:b/>
                <w:bCs/>
                <w:color w:val="000000"/>
                <w:sz w:val="22"/>
                <w:szCs w:val="22"/>
              </w:rPr>
              <w:t>Fiscal year</w:t>
            </w:r>
          </w:p>
        </w:tc>
        <w:tc>
          <w:tcPr>
            <w:tcW w:w="0" w:type="dxa"/>
            <w:noWrap/>
            <w:hideMark/>
          </w:tcPr>
          <w:p w14:paraId="7CD87F12" w14:textId="5C4CD5FB" w:rsidR="00E42E74" w:rsidRPr="00C534B6" w:rsidRDefault="00E42E74" w:rsidP="008D0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C534B6">
              <w:rPr>
                <w:rFonts w:asciiTheme="minorHAnsi" w:hAnsiTheme="minorHAnsi" w:cstheme="minorHAnsi"/>
                <w:b/>
                <w:bCs/>
                <w:color w:val="000000"/>
                <w:sz w:val="22"/>
                <w:szCs w:val="22"/>
              </w:rPr>
              <w:t>Education</w:t>
            </w:r>
            <w:r w:rsidR="00103A87" w:rsidRPr="00C534B6">
              <w:rPr>
                <w:rFonts w:asciiTheme="minorHAnsi" w:hAnsiTheme="minorHAnsi" w:cstheme="minorHAnsi"/>
                <w:b/>
                <w:bCs/>
                <w:color w:val="000000"/>
                <w:sz w:val="22"/>
                <w:szCs w:val="22"/>
              </w:rPr>
              <w:br/>
              <w:t>Spending</w:t>
            </w:r>
            <w:r w:rsidR="00594925" w:rsidRPr="00C534B6">
              <w:rPr>
                <w:rFonts w:asciiTheme="minorHAnsi" w:hAnsiTheme="minorHAnsi" w:cstheme="minorHAnsi"/>
                <w:b/>
                <w:bCs/>
                <w:color w:val="000000"/>
                <w:sz w:val="22"/>
                <w:szCs w:val="22"/>
              </w:rPr>
              <w:br/>
              <w:t>($ billions)</w:t>
            </w:r>
          </w:p>
        </w:tc>
        <w:tc>
          <w:tcPr>
            <w:tcW w:w="0" w:type="dxa"/>
            <w:noWrap/>
            <w:hideMark/>
          </w:tcPr>
          <w:p w14:paraId="188FD90A" w14:textId="0A9BC4F2" w:rsidR="00E42E74" w:rsidRPr="00C534B6" w:rsidRDefault="00E42E74" w:rsidP="008D0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C534B6">
              <w:rPr>
                <w:rFonts w:asciiTheme="minorHAnsi" w:hAnsiTheme="minorHAnsi" w:cstheme="minorHAnsi"/>
                <w:b/>
                <w:bCs/>
                <w:color w:val="000000"/>
                <w:sz w:val="22"/>
                <w:szCs w:val="22"/>
              </w:rPr>
              <w:t>Total G</w:t>
            </w:r>
            <w:r w:rsidR="001B660E" w:rsidRPr="00C534B6">
              <w:rPr>
                <w:rFonts w:asciiTheme="minorHAnsi" w:hAnsiTheme="minorHAnsi" w:cstheme="minorHAnsi"/>
                <w:b/>
                <w:bCs/>
                <w:color w:val="000000"/>
                <w:sz w:val="22"/>
                <w:szCs w:val="22"/>
              </w:rPr>
              <w:t>eneral Fund</w:t>
            </w:r>
            <w:r w:rsidR="00C65847" w:rsidRPr="00C534B6">
              <w:rPr>
                <w:rFonts w:asciiTheme="minorHAnsi" w:hAnsiTheme="minorHAnsi" w:cstheme="minorHAnsi"/>
                <w:b/>
                <w:bCs/>
                <w:color w:val="000000"/>
                <w:sz w:val="22"/>
                <w:szCs w:val="22"/>
              </w:rPr>
              <w:t xml:space="preserve"> </w:t>
            </w:r>
            <w:r w:rsidR="00103A87" w:rsidRPr="00C534B6">
              <w:rPr>
                <w:rFonts w:asciiTheme="minorHAnsi" w:hAnsiTheme="minorHAnsi" w:cstheme="minorHAnsi"/>
                <w:b/>
                <w:bCs/>
                <w:color w:val="000000"/>
                <w:sz w:val="22"/>
                <w:szCs w:val="22"/>
              </w:rPr>
              <w:t>Spending</w:t>
            </w:r>
            <w:r w:rsidR="00594925" w:rsidRPr="00C534B6">
              <w:rPr>
                <w:rFonts w:asciiTheme="minorHAnsi" w:hAnsiTheme="minorHAnsi" w:cstheme="minorHAnsi"/>
                <w:b/>
                <w:bCs/>
                <w:color w:val="000000"/>
                <w:sz w:val="22"/>
                <w:szCs w:val="22"/>
              </w:rPr>
              <w:br/>
              <w:t>($ billions)</w:t>
            </w:r>
          </w:p>
        </w:tc>
        <w:tc>
          <w:tcPr>
            <w:tcW w:w="0" w:type="dxa"/>
            <w:noWrap/>
            <w:hideMark/>
          </w:tcPr>
          <w:p w14:paraId="61862614" w14:textId="707E1F55" w:rsidR="00E42E74" w:rsidRPr="00C534B6" w:rsidRDefault="00E42E74" w:rsidP="008D0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C534B6">
              <w:rPr>
                <w:rFonts w:asciiTheme="minorHAnsi" w:hAnsiTheme="minorHAnsi" w:cstheme="minorHAnsi"/>
                <w:b/>
                <w:bCs/>
                <w:color w:val="000000"/>
                <w:sz w:val="22"/>
                <w:szCs w:val="22"/>
              </w:rPr>
              <w:t xml:space="preserve">Education </w:t>
            </w:r>
            <w:r w:rsidR="00594925" w:rsidRPr="00C534B6">
              <w:rPr>
                <w:rFonts w:asciiTheme="minorHAnsi" w:hAnsiTheme="minorHAnsi" w:cstheme="minorHAnsi"/>
                <w:b/>
                <w:bCs/>
                <w:color w:val="000000"/>
                <w:sz w:val="22"/>
                <w:szCs w:val="22"/>
              </w:rPr>
              <w:br/>
            </w:r>
            <w:r w:rsidRPr="00C534B6">
              <w:rPr>
                <w:rFonts w:asciiTheme="minorHAnsi" w:hAnsiTheme="minorHAnsi" w:cstheme="minorHAnsi"/>
                <w:b/>
                <w:bCs/>
                <w:color w:val="000000"/>
                <w:sz w:val="22"/>
                <w:szCs w:val="22"/>
              </w:rPr>
              <w:t>% G</w:t>
            </w:r>
            <w:r w:rsidR="00594925" w:rsidRPr="00C534B6">
              <w:rPr>
                <w:rFonts w:asciiTheme="minorHAnsi" w:hAnsiTheme="minorHAnsi" w:cstheme="minorHAnsi"/>
                <w:b/>
                <w:bCs/>
                <w:color w:val="000000"/>
                <w:sz w:val="22"/>
                <w:szCs w:val="22"/>
              </w:rPr>
              <w:t>eneral Fund</w:t>
            </w:r>
          </w:p>
        </w:tc>
        <w:tc>
          <w:tcPr>
            <w:tcW w:w="0" w:type="dxa"/>
            <w:noWrap/>
            <w:hideMark/>
          </w:tcPr>
          <w:p w14:paraId="726FB81C" w14:textId="49B8FF78" w:rsidR="00E42E74" w:rsidRPr="00C534B6" w:rsidRDefault="00E42E74" w:rsidP="008D0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C534B6">
              <w:rPr>
                <w:rFonts w:asciiTheme="minorHAnsi" w:hAnsiTheme="minorHAnsi" w:cstheme="minorHAnsi"/>
                <w:b/>
                <w:bCs/>
                <w:color w:val="000000"/>
                <w:sz w:val="22"/>
                <w:szCs w:val="22"/>
              </w:rPr>
              <w:t>% Change Education</w:t>
            </w:r>
            <w:r w:rsidR="00046BB4" w:rsidRPr="00C534B6">
              <w:rPr>
                <w:rFonts w:asciiTheme="minorHAnsi" w:hAnsiTheme="minorHAnsi" w:cstheme="minorHAnsi"/>
                <w:b/>
                <w:bCs/>
                <w:color w:val="000000"/>
                <w:sz w:val="22"/>
                <w:szCs w:val="22"/>
              </w:rPr>
              <w:t xml:space="preserve"> Spending</w:t>
            </w:r>
            <w:r w:rsidR="00D074D7" w:rsidRPr="00C534B6">
              <w:rPr>
                <w:rFonts w:asciiTheme="minorHAnsi" w:hAnsiTheme="minorHAnsi" w:cstheme="minorHAnsi"/>
                <w:b/>
                <w:bCs/>
                <w:color w:val="000000"/>
                <w:sz w:val="22"/>
                <w:szCs w:val="22"/>
              </w:rPr>
              <w:t xml:space="preserve"> year-over-year</w:t>
            </w:r>
          </w:p>
        </w:tc>
        <w:tc>
          <w:tcPr>
            <w:tcW w:w="0" w:type="dxa"/>
            <w:noWrap/>
            <w:hideMark/>
          </w:tcPr>
          <w:p w14:paraId="42F70B20" w14:textId="4B991285" w:rsidR="00E42E74" w:rsidRPr="00C534B6" w:rsidRDefault="00E42E74" w:rsidP="008D02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C534B6">
              <w:rPr>
                <w:rFonts w:asciiTheme="minorHAnsi" w:hAnsiTheme="minorHAnsi" w:cstheme="minorHAnsi"/>
                <w:b/>
                <w:bCs/>
                <w:color w:val="000000"/>
                <w:sz w:val="22"/>
                <w:szCs w:val="22"/>
              </w:rPr>
              <w:t>% Change G</w:t>
            </w:r>
            <w:r w:rsidR="00594925" w:rsidRPr="00C534B6">
              <w:rPr>
                <w:rFonts w:asciiTheme="minorHAnsi" w:hAnsiTheme="minorHAnsi" w:cstheme="minorHAnsi"/>
                <w:b/>
                <w:bCs/>
                <w:color w:val="000000"/>
                <w:sz w:val="22"/>
                <w:szCs w:val="22"/>
              </w:rPr>
              <w:t>eneral Fund</w:t>
            </w:r>
            <w:r w:rsidR="00D074D7" w:rsidRPr="00C534B6">
              <w:rPr>
                <w:rFonts w:asciiTheme="minorHAnsi" w:hAnsiTheme="minorHAnsi" w:cstheme="minorHAnsi"/>
                <w:b/>
                <w:bCs/>
                <w:color w:val="000000"/>
                <w:sz w:val="22"/>
                <w:szCs w:val="22"/>
              </w:rPr>
              <w:t xml:space="preserve"> </w:t>
            </w:r>
            <w:r w:rsidR="00046BB4" w:rsidRPr="00C534B6">
              <w:rPr>
                <w:rFonts w:asciiTheme="minorHAnsi" w:hAnsiTheme="minorHAnsi" w:cstheme="minorHAnsi"/>
                <w:b/>
                <w:bCs/>
                <w:color w:val="000000"/>
                <w:sz w:val="22"/>
                <w:szCs w:val="22"/>
              </w:rPr>
              <w:t xml:space="preserve">Spending </w:t>
            </w:r>
            <w:r w:rsidR="00D074D7" w:rsidRPr="00C534B6">
              <w:rPr>
                <w:rFonts w:asciiTheme="minorHAnsi" w:hAnsiTheme="minorHAnsi" w:cstheme="minorHAnsi"/>
                <w:b/>
                <w:bCs/>
                <w:color w:val="000000"/>
                <w:sz w:val="22"/>
                <w:szCs w:val="22"/>
              </w:rPr>
              <w:t>year-over-year</w:t>
            </w:r>
          </w:p>
        </w:tc>
      </w:tr>
      <w:tr w:rsidR="004C53CF" w:rsidRPr="00882482" w14:paraId="4B9D2A3E"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08216FB7" w14:textId="5996F5C8" w:rsidR="00D127AE" w:rsidRPr="00C61457" w:rsidRDefault="00D127AE" w:rsidP="00D127AE">
            <w:pPr>
              <w:jc w:val="right"/>
              <w:rPr>
                <w:rFonts w:asciiTheme="minorHAnsi" w:hAnsiTheme="minorHAnsi" w:cstheme="minorHAnsi"/>
                <w:color w:val="000000"/>
                <w:sz w:val="22"/>
                <w:szCs w:val="22"/>
              </w:rPr>
            </w:pPr>
            <w:r>
              <w:rPr>
                <w:rFonts w:asciiTheme="minorHAnsi" w:hAnsiTheme="minorHAnsi" w:cstheme="minorHAnsi"/>
                <w:color w:val="000000"/>
                <w:sz w:val="22"/>
                <w:szCs w:val="22"/>
              </w:rPr>
              <w:t>2007</w:t>
            </w:r>
          </w:p>
        </w:tc>
        <w:tc>
          <w:tcPr>
            <w:tcW w:w="0" w:type="dxa"/>
            <w:noWrap/>
          </w:tcPr>
          <w:p w14:paraId="05C785D8" w14:textId="3A37A72C" w:rsidR="00D127AE"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 xml:space="preserve">$10.41 </w:t>
            </w:r>
          </w:p>
        </w:tc>
        <w:tc>
          <w:tcPr>
            <w:tcW w:w="0" w:type="dxa"/>
            <w:noWrap/>
          </w:tcPr>
          <w:p w14:paraId="52665216" w14:textId="04150633" w:rsidR="00D127AE"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 xml:space="preserve">$20.21 </w:t>
            </w:r>
          </w:p>
        </w:tc>
        <w:tc>
          <w:tcPr>
            <w:tcW w:w="0" w:type="dxa"/>
            <w:noWrap/>
          </w:tcPr>
          <w:p w14:paraId="3A67ECAF" w14:textId="359B8362" w:rsidR="00D127AE"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51.5%</w:t>
            </w:r>
          </w:p>
        </w:tc>
        <w:tc>
          <w:tcPr>
            <w:tcW w:w="0" w:type="dxa"/>
            <w:noWrap/>
          </w:tcPr>
          <w:p w14:paraId="3FEFD57C" w14:textId="77777777" w:rsidR="00D127AE" w:rsidRPr="00BF34F6" w:rsidDel="002C784A"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0" w:type="dxa"/>
            <w:noWrap/>
          </w:tcPr>
          <w:p w14:paraId="6EDDBCB4" w14:textId="77777777" w:rsidR="00D127AE" w:rsidDel="002C784A"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27AE" w:rsidRPr="00882482" w14:paraId="57DF78BF"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2B46984F"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2008</w:t>
            </w:r>
          </w:p>
        </w:tc>
        <w:tc>
          <w:tcPr>
            <w:tcW w:w="0" w:type="dxa"/>
            <w:noWrap/>
          </w:tcPr>
          <w:p w14:paraId="4E4DCA1E" w14:textId="3A422F74" w:rsidR="00D127AE" w:rsidRPr="00BF34F6"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 xml:space="preserve">$10.92 </w:t>
            </w:r>
          </w:p>
        </w:tc>
        <w:tc>
          <w:tcPr>
            <w:tcW w:w="0" w:type="dxa"/>
            <w:noWrap/>
          </w:tcPr>
          <w:p w14:paraId="194FBC50" w14:textId="18233F9F" w:rsidR="00D127AE" w:rsidRPr="00BF34F6"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 xml:space="preserve">$21.26 </w:t>
            </w:r>
          </w:p>
        </w:tc>
        <w:tc>
          <w:tcPr>
            <w:tcW w:w="0" w:type="dxa"/>
            <w:noWrap/>
          </w:tcPr>
          <w:p w14:paraId="22F8139E" w14:textId="1B4C7F5F" w:rsidR="00D127AE" w:rsidRPr="00BF34F6"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51.4%</w:t>
            </w:r>
          </w:p>
        </w:tc>
        <w:tc>
          <w:tcPr>
            <w:tcW w:w="0" w:type="dxa"/>
            <w:noWrap/>
          </w:tcPr>
          <w:p w14:paraId="221563F9" w14:textId="2467D62E" w:rsidR="00D127AE" w:rsidRPr="00BF34F6"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4.8%</w:t>
            </w:r>
          </w:p>
        </w:tc>
        <w:tc>
          <w:tcPr>
            <w:tcW w:w="0" w:type="dxa"/>
            <w:noWrap/>
          </w:tcPr>
          <w:p w14:paraId="29A91D8D" w14:textId="3E907821" w:rsidR="00D127AE" w:rsidRPr="00BF34F6" w:rsidRDefault="007416C7" w:rsidP="00D127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F34F6">
              <w:rPr>
                <w:rFonts w:ascii="Calibri" w:hAnsi="Calibri" w:cs="Calibri"/>
                <w:color w:val="000000"/>
                <w:sz w:val="22"/>
                <w:szCs w:val="22"/>
              </w:rPr>
              <w:t>5.2%</w:t>
            </w:r>
          </w:p>
        </w:tc>
      </w:tr>
      <w:tr w:rsidR="00D127AE" w:rsidRPr="00882482" w14:paraId="5ACAD346"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33281F03"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2009</w:t>
            </w:r>
          </w:p>
        </w:tc>
        <w:tc>
          <w:tcPr>
            <w:tcW w:w="0" w:type="dxa"/>
            <w:noWrap/>
          </w:tcPr>
          <w:p w14:paraId="253A97F3" w14:textId="67C22F4B"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$11.04 </w:t>
            </w:r>
          </w:p>
        </w:tc>
        <w:tc>
          <w:tcPr>
            <w:tcW w:w="0" w:type="dxa"/>
            <w:noWrap/>
          </w:tcPr>
          <w:p w14:paraId="53E4014B" w14:textId="1F9D410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$21.61 </w:t>
            </w:r>
          </w:p>
        </w:tc>
        <w:tc>
          <w:tcPr>
            <w:tcW w:w="0" w:type="dxa"/>
            <w:noWrap/>
          </w:tcPr>
          <w:p w14:paraId="6D12870A" w14:textId="6ED3F816"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51.1%</w:t>
            </w:r>
          </w:p>
        </w:tc>
        <w:tc>
          <w:tcPr>
            <w:tcW w:w="0" w:type="dxa"/>
            <w:noWrap/>
          </w:tcPr>
          <w:p w14:paraId="7AD380F1" w14:textId="54E168B0"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1.1%</w:t>
            </w:r>
          </w:p>
        </w:tc>
        <w:tc>
          <w:tcPr>
            <w:tcW w:w="0" w:type="dxa"/>
            <w:noWrap/>
          </w:tcPr>
          <w:p w14:paraId="1F069690" w14:textId="667A1C26"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1.6%</w:t>
            </w:r>
          </w:p>
        </w:tc>
      </w:tr>
      <w:tr w:rsidR="00D127AE" w:rsidRPr="00882482" w14:paraId="65A15335"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321810C7"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2010</w:t>
            </w:r>
          </w:p>
        </w:tc>
        <w:tc>
          <w:tcPr>
            <w:tcW w:w="0" w:type="dxa"/>
            <w:noWrap/>
          </w:tcPr>
          <w:p w14:paraId="60486ECB" w14:textId="0CC22732"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$11.39 </w:t>
            </w:r>
          </w:p>
        </w:tc>
        <w:tc>
          <w:tcPr>
            <w:tcW w:w="0" w:type="dxa"/>
            <w:noWrap/>
          </w:tcPr>
          <w:p w14:paraId="55CF4D0B" w14:textId="0F666B41"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$21.85 </w:t>
            </w:r>
          </w:p>
        </w:tc>
        <w:tc>
          <w:tcPr>
            <w:tcW w:w="0" w:type="dxa"/>
            <w:noWrap/>
          </w:tcPr>
          <w:p w14:paraId="0CCB7D09" w14:textId="672D5808"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52.1%</w:t>
            </w:r>
          </w:p>
        </w:tc>
        <w:tc>
          <w:tcPr>
            <w:tcW w:w="0" w:type="dxa"/>
            <w:noWrap/>
          </w:tcPr>
          <w:p w14:paraId="7588742B" w14:textId="51970651"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3.2%</w:t>
            </w:r>
          </w:p>
        </w:tc>
        <w:tc>
          <w:tcPr>
            <w:tcW w:w="0" w:type="dxa"/>
            <w:noWrap/>
          </w:tcPr>
          <w:p w14:paraId="0EDD94C7" w14:textId="29DA4258"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1.1%</w:t>
            </w:r>
          </w:p>
        </w:tc>
      </w:tr>
      <w:tr w:rsidR="00D127AE" w:rsidRPr="00882482" w14:paraId="3A53CD07"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79020BF1"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2011</w:t>
            </w:r>
          </w:p>
        </w:tc>
        <w:tc>
          <w:tcPr>
            <w:tcW w:w="0" w:type="dxa"/>
            <w:noWrap/>
          </w:tcPr>
          <w:p w14:paraId="5E9107C6" w14:textId="0C851F98"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$11.60 </w:t>
            </w:r>
          </w:p>
        </w:tc>
        <w:tc>
          <w:tcPr>
            <w:tcW w:w="0" w:type="dxa"/>
            <w:noWrap/>
          </w:tcPr>
          <w:p w14:paraId="7CE40E11" w14:textId="6A19B261"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$22.51 </w:t>
            </w:r>
          </w:p>
        </w:tc>
        <w:tc>
          <w:tcPr>
            <w:tcW w:w="0" w:type="dxa"/>
            <w:noWrap/>
          </w:tcPr>
          <w:p w14:paraId="53FCABE5" w14:textId="76DD1ADC"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51.5%</w:t>
            </w:r>
          </w:p>
        </w:tc>
        <w:tc>
          <w:tcPr>
            <w:tcW w:w="0" w:type="dxa"/>
            <w:noWrap/>
          </w:tcPr>
          <w:p w14:paraId="1F5B44A3" w14:textId="1B5C7225"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1.9%</w:t>
            </w:r>
          </w:p>
        </w:tc>
        <w:tc>
          <w:tcPr>
            <w:tcW w:w="0" w:type="dxa"/>
            <w:noWrap/>
          </w:tcPr>
          <w:p w14:paraId="0B64EFE5" w14:textId="4493B19C"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3.0%</w:t>
            </w:r>
          </w:p>
        </w:tc>
      </w:tr>
      <w:tr w:rsidR="00D127AE" w:rsidRPr="00882482" w14:paraId="0673223F"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3BED5F28"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2012</w:t>
            </w:r>
          </w:p>
        </w:tc>
        <w:tc>
          <w:tcPr>
            <w:tcW w:w="0" w:type="dxa"/>
            <w:noWrap/>
          </w:tcPr>
          <w:p w14:paraId="1C6864AA" w14:textId="7111820A"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$11.95 </w:t>
            </w:r>
          </w:p>
        </w:tc>
        <w:tc>
          <w:tcPr>
            <w:tcW w:w="0" w:type="dxa"/>
            <w:noWrap/>
          </w:tcPr>
          <w:p w14:paraId="6BEA8D25" w14:textId="47B6A7B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$22.96 </w:t>
            </w:r>
          </w:p>
        </w:tc>
        <w:tc>
          <w:tcPr>
            <w:tcW w:w="0" w:type="dxa"/>
            <w:noWrap/>
          </w:tcPr>
          <w:p w14:paraId="2035B7E8" w14:textId="454C77C9"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52.0%</w:t>
            </w:r>
          </w:p>
        </w:tc>
        <w:tc>
          <w:tcPr>
            <w:tcW w:w="0" w:type="dxa"/>
            <w:noWrap/>
          </w:tcPr>
          <w:p w14:paraId="47DD15AC" w14:textId="219C3A3B"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3.0%</w:t>
            </w:r>
          </w:p>
        </w:tc>
        <w:tc>
          <w:tcPr>
            <w:tcW w:w="0" w:type="dxa"/>
            <w:noWrap/>
          </w:tcPr>
          <w:p w14:paraId="079551E3" w14:textId="0172A59B"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2.0%</w:t>
            </w:r>
          </w:p>
        </w:tc>
      </w:tr>
      <w:tr w:rsidR="00D127AE" w:rsidRPr="00882482" w14:paraId="6D1A02AF"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09F587E2"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2013</w:t>
            </w:r>
          </w:p>
        </w:tc>
        <w:tc>
          <w:tcPr>
            <w:tcW w:w="0" w:type="dxa"/>
            <w:noWrap/>
          </w:tcPr>
          <w:p w14:paraId="2B6A9709" w14:textId="2647D951"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$12.41 </w:t>
            </w:r>
          </w:p>
        </w:tc>
        <w:tc>
          <w:tcPr>
            <w:tcW w:w="0" w:type="dxa"/>
            <w:noWrap/>
          </w:tcPr>
          <w:p w14:paraId="3330F502" w14:textId="2D68C023"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$23.94 </w:t>
            </w:r>
          </w:p>
        </w:tc>
        <w:tc>
          <w:tcPr>
            <w:tcW w:w="0" w:type="dxa"/>
            <w:noWrap/>
          </w:tcPr>
          <w:p w14:paraId="7834252A" w14:textId="269FB72D"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51.8%</w:t>
            </w:r>
          </w:p>
        </w:tc>
        <w:tc>
          <w:tcPr>
            <w:tcW w:w="0" w:type="dxa"/>
            <w:noWrap/>
          </w:tcPr>
          <w:p w14:paraId="0382BB7D" w14:textId="5842FADF"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3.9%</w:t>
            </w:r>
          </w:p>
        </w:tc>
        <w:tc>
          <w:tcPr>
            <w:tcW w:w="0" w:type="dxa"/>
            <w:noWrap/>
          </w:tcPr>
          <w:p w14:paraId="495F6E5F" w14:textId="1C9F241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4.3%</w:t>
            </w:r>
          </w:p>
        </w:tc>
      </w:tr>
      <w:tr w:rsidR="00D127AE" w:rsidRPr="00882482" w14:paraId="6368D65B"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19E5DB0E"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2014</w:t>
            </w:r>
          </w:p>
        </w:tc>
        <w:tc>
          <w:tcPr>
            <w:tcW w:w="0" w:type="dxa"/>
            <w:noWrap/>
          </w:tcPr>
          <w:p w14:paraId="221155B8" w14:textId="2037D402"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$12.87 </w:t>
            </w:r>
          </w:p>
        </w:tc>
        <w:tc>
          <w:tcPr>
            <w:tcW w:w="0" w:type="dxa"/>
            <w:noWrap/>
          </w:tcPr>
          <w:p w14:paraId="0E123F13" w14:textId="18CD01CF"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$24.92 </w:t>
            </w:r>
          </w:p>
        </w:tc>
        <w:tc>
          <w:tcPr>
            <w:tcW w:w="0" w:type="dxa"/>
            <w:noWrap/>
          </w:tcPr>
          <w:p w14:paraId="6D0A7D76" w14:textId="0BCB14B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51.7%</w:t>
            </w:r>
          </w:p>
        </w:tc>
        <w:tc>
          <w:tcPr>
            <w:tcW w:w="0" w:type="dxa"/>
            <w:noWrap/>
          </w:tcPr>
          <w:p w14:paraId="467C1599" w14:textId="08E6013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3.7%</w:t>
            </w:r>
          </w:p>
        </w:tc>
        <w:tc>
          <w:tcPr>
            <w:tcW w:w="0" w:type="dxa"/>
            <w:noWrap/>
          </w:tcPr>
          <w:p w14:paraId="215560A1" w14:textId="7AC8EA20"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4.1%</w:t>
            </w:r>
          </w:p>
        </w:tc>
      </w:tr>
      <w:tr w:rsidR="00D127AE" w:rsidRPr="00882482" w14:paraId="58C63E62"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47F4410B"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2015</w:t>
            </w:r>
          </w:p>
        </w:tc>
        <w:tc>
          <w:tcPr>
            <w:tcW w:w="0" w:type="dxa"/>
            <w:noWrap/>
          </w:tcPr>
          <w:p w14:paraId="007010A0" w14:textId="08CABD59"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$13.43 </w:t>
            </w:r>
          </w:p>
        </w:tc>
        <w:tc>
          <w:tcPr>
            <w:tcW w:w="0" w:type="dxa"/>
            <w:noWrap/>
          </w:tcPr>
          <w:p w14:paraId="663A847E" w14:textId="64CEAC36"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$26.04 </w:t>
            </w:r>
          </w:p>
        </w:tc>
        <w:tc>
          <w:tcPr>
            <w:tcW w:w="0" w:type="dxa"/>
            <w:noWrap/>
          </w:tcPr>
          <w:p w14:paraId="6DF9C2B8" w14:textId="67B18C40"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51.6%</w:t>
            </w:r>
          </w:p>
        </w:tc>
        <w:tc>
          <w:tcPr>
            <w:tcW w:w="0" w:type="dxa"/>
            <w:noWrap/>
          </w:tcPr>
          <w:p w14:paraId="21AFF632" w14:textId="215E5E06"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4.3%</w:t>
            </w:r>
          </w:p>
        </w:tc>
        <w:tc>
          <w:tcPr>
            <w:tcW w:w="0" w:type="dxa"/>
            <w:noWrap/>
          </w:tcPr>
          <w:p w14:paraId="76849E9F" w14:textId="3C49DFCD"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4.5%</w:t>
            </w:r>
          </w:p>
        </w:tc>
      </w:tr>
      <w:tr w:rsidR="00D127AE" w:rsidRPr="00882482" w14:paraId="1B5C8298"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485422EC"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2016</w:t>
            </w:r>
          </w:p>
        </w:tc>
        <w:tc>
          <w:tcPr>
            <w:tcW w:w="0" w:type="dxa"/>
            <w:noWrap/>
          </w:tcPr>
          <w:p w14:paraId="5ECC9219" w14:textId="791B8A38"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$13.92 </w:t>
            </w:r>
          </w:p>
        </w:tc>
        <w:tc>
          <w:tcPr>
            <w:tcW w:w="0" w:type="dxa"/>
            <w:noWrap/>
          </w:tcPr>
          <w:p w14:paraId="690DA52B" w14:textId="309282E0"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$26.82 </w:t>
            </w:r>
          </w:p>
        </w:tc>
        <w:tc>
          <w:tcPr>
            <w:tcW w:w="0" w:type="dxa"/>
            <w:noWrap/>
          </w:tcPr>
          <w:p w14:paraId="4B864587" w14:textId="7FB3A10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51.9%</w:t>
            </w:r>
          </w:p>
        </w:tc>
        <w:tc>
          <w:tcPr>
            <w:tcW w:w="0" w:type="dxa"/>
            <w:noWrap/>
          </w:tcPr>
          <w:p w14:paraId="79261CE3" w14:textId="293507E5"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3.7%</w:t>
            </w:r>
          </w:p>
        </w:tc>
        <w:tc>
          <w:tcPr>
            <w:tcW w:w="0" w:type="dxa"/>
            <w:noWrap/>
          </w:tcPr>
          <w:p w14:paraId="462F304B" w14:textId="727CB654"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3.0%</w:t>
            </w:r>
          </w:p>
        </w:tc>
      </w:tr>
      <w:tr w:rsidR="00D127AE" w:rsidRPr="00882482" w14:paraId="5459EFD5"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470AB06C"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2017</w:t>
            </w:r>
          </w:p>
        </w:tc>
        <w:tc>
          <w:tcPr>
            <w:tcW w:w="0" w:type="dxa"/>
            <w:noWrap/>
          </w:tcPr>
          <w:p w14:paraId="001F09B6" w14:textId="356BA210"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$14.38 </w:t>
            </w:r>
          </w:p>
        </w:tc>
        <w:tc>
          <w:tcPr>
            <w:tcW w:w="0" w:type="dxa"/>
            <w:noWrap/>
          </w:tcPr>
          <w:p w14:paraId="41C442DD" w14:textId="7D3508DD"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$27.92 </w:t>
            </w:r>
          </w:p>
        </w:tc>
        <w:tc>
          <w:tcPr>
            <w:tcW w:w="0" w:type="dxa"/>
            <w:noWrap/>
          </w:tcPr>
          <w:p w14:paraId="2145F786" w14:textId="76A20A4E"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51.5%</w:t>
            </w:r>
          </w:p>
        </w:tc>
        <w:tc>
          <w:tcPr>
            <w:tcW w:w="0" w:type="dxa"/>
            <w:noWrap/>
          </w:tcPr>
          <w:p w14:paraId="14358C60" w14:textId="417254A3"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3.3%</w:t>
            </w:r>
          </w:p>
        </w:tc>
        <w:tc>
          <w:tcPr>
            <w:tcW w:w="0" w:type="dxa"/>
            <w:noWrap/>
          </w:tcPr>
          <w:p w14:paraId="6556F74B" w14:textId="5A25C642"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4.1%</w:t>
            </w:r>
          </w:p>
        </w:tc>
      </w:tr>
      <w:tr w:rsidR="00D127AE" w:rsidRPr="00882482" w14:paraId="75725DAE"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19529453"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2018</w:t>
            </w:r>
          </w:p>
        </w:tc>
        <w:tc>
          <w:tcPr>
            <w:tcW w:w="0" w:type="dxa"/>
            <w:noWrap/>
          </w:tcPr>
          <w:p w14:paraId="1010F4BE" w14:textId="7633B208"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$14.93 </w:t>
            </w:r>
          </w:p>
        </w:tc>
        <w:tc>
          <w:tcPr>
            <w:tcW w:w="0" w:type="dxa"/>
            <w:noWrap/>
          </w:tcPr>
          <w:p w14:paraId="7589E686" w14:textId="3841D7DD"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$29.06 </w:t>
            </w:r>
          </w:p>
        </w:tc>
        <w:tc>
          <w:tcPr>
            <w:tcW w:w="0" w:type="dxa"/>
            <w:noWrap/>
          </w:tcPr>
          <w:p w14:paraId="465DAA26" w14:textId="510315F9"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51.4%</w:t>
            </w:r>
          </w:p>
        </w:tc>
        <w:tc>
          <w:tcPr>
            <w:tcW w:w="0" w:type="dxa"/>
            <w:noWrap/>
          </w:tcPr>
          <w:p w14:paraId="12555D3B" w14:textId="7E6EBF61"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3.8%</w:t>
            </w:r>
          </w:p>
        </w:tc>
        <w:tc>
          <w:tcPr>
            <w:tcW w:w="0" w:type="dxa"/>
            <w:noWrap/>
          </w:tcPr>
          <w:p w14:paraId="6FE669B6" w14:textId="79B0E8D7"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4.1%</w:t>
            </w:r>
          </w:p>
        </w:tc>
      </w:tr>
      <w:tr w:rsidR="00D127AE" w:rsidRPr="00882482" w14:paraId="7CC75C43" w14:textId="77777777" w:rsidTr="003E5741">
        <w:trPr>
          <w:trHeight w:val="290"/>
        </w:trPr>
        <w:tc>
          <w:tcPr>
            <w:cnfStyle w:val="001000000000" w:firstRow="0" w:lastRow="0" w:firstColumn="1" w:lastColumn="0" w:oddVBand="0" w:evenVBand="0" w:oddHBand="0" w:evenHBand="0" w:firstRowFirstColumn="0" w:firstRowLastColumn="0" w:lastRowFirstColumn="0" w:lastRowLastColumn="0"/>
            <w:tcW w:w="0" w:type="dxa"/>
          </w:tcPr>
          <w:p w14:paraId="3F80D213" w14:textId="77777777" w:rsidR="00D127AE" w:rsidRPr="00C61457" w:rsidRDefault="00D127AE" w:rsidP="00D127AE">
            <w:pPr>
              <w:jc w:val="right"/>
              <w:rPr>
                <w:rFonts w:asciiTheme="minorHAnsi" w:hAnsiTheme="minorHAnsi" w:cstheme="minorHAnsi"/>
                <w:color w:val="000000"/>
                <w:sz w:val="22"/>
                <w:szCs w:val="22"/>
              </w:rPr>
            </w:pPr>
            <w:r w:rsidRPr="00C61457">
              <w:rPr>
                <w:rFonts w:asciiTheme="minorHAnsi" w:hAnsiTheme="minorHAnsi" w:cstheme="minorHAnsi"/>
                <w:color w:val="000000"/>
                <w:sz w:val="22"/>
                <w:szCs w:val="22"/>
              </w:rPr>
              <w:t>2019</w:t>
            </w:r>
          </w:p>
        </w:tc>
        <w:tc>
          <w:tcPr>
            <w:tcW w:w="0" w:type="dxa"/>
            <w:noWrap/>
          </w:tcPr>
          <w:p w14:paraId="4C07F21A" w14:textId="706BA3CA"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$15.57 </w:t>
            </w:r>
          </w:p>
        </w:tc>
        <w:tc>
          <w:tcPr>
            <w:tcW w:w="0" w:type="dxa"/>
            <w:noWrap/>
          </w:tcPr>
          <w:p w14:paraId="67DFA90F" w14:textId="6C7761D5"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 xml:space="preserve">$30.41 </w:t>
            </w:r>
          </w:p>
        </w:tc>
        <w:tc>
          <w:tcPr>
            <w:tcW w:w="0" w:type="dxa"/>
            <w:noWrap/>
          </w:tcPr>
          <w:p w14:paraId="0A658795" w14:textId="3AF1267C"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51.2%</w:t>
            </w:r>
          </w:p>
        </w:tc>
        <w:tc>
          <w:tcPr>
            <w:tcW w:w="0" w:type="dxa"/>
            <w:noWrap/>
          </w:tcPr>
          <w:p w14:paraId="740F1E84" w14:textId="505E317F"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4.2%</w:t>
            </w:r>
          </w:p>
        </w:tc>
        <w:tc>
          <w:tcPr>
            <w:tcW w:w="0" w:type="dxa"/>
            <w:noWrap/>
          </w:tcPr>
          <w:p w14:paraId="0312A16C" w14:textId="489DB5CB" w:rsidR="00D127AE" w:rsidRPr="00C61457" w:rsidRDefault="00D127AE" w:rsidP="00D127AE">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rPr>
              <w:t>4.6%</w:t>
            </w:r>
          </w:p>
        </w:tc>
      </w:tr>
    </w:tbl>
    <w:p w14:paraId="072B60BF" w14:textId="77777777" w:rsidR="00E42E74" w:rsidRDefault="00E42E74" w:rsidP="00E42E74">
      <w:pPr>
        <w:pStyle w:val="NormalWeb"/>
        <w:spacing w:before="0" w:beforeAutospacing="0" w:after="0" w:afterAutospacing="0"/>
        <w:rPr>
          <w:color w:val="000000"/>
        </w:rPr>
      </w:pPr>
    </w:p>
    <w:p w14:paraId="42EA375E" w14:textId="1D56A4F0" w:rsidR="00DF2D43" w:rsidRDefault="00DC6C06" w:rsidP="00C61457">
      <w:pPr>
        <w:rPr>
          <w:color w:val="000000"/>
        </w:rPr>
      </w:pPr>
      <w:r>
        <w:rPr>
          <w:color w:val="000000"/>
        </w:rPr>
        <w:t>I</w:t>
      </w:r>
      <w:r w:rsidR="00A87788" w:rsidRPr="00CF16E8">
        <w:rPr>
          <w:color w:val="000000"/>
        </w:rPr>
        <w:t>n the vast majority of</w:t>
      </w:r>
      <w:r w:rsidR="00DF2D43" w:rsidRPr="00CF16E8">
        <w:rPr>
          <w:color w:val="000000"/>
        </w:rPr>
        <w:t xml:space="preserve"> municipalities </w:t>
      </w:r>
      <w:r w:rsidR="005B45D6">
        <w:rPr>
          <w:color w:val="000000"/>
        </w:rPr>
        <w:t>that</w:t>
      </w:r>
      <w:r w:rsidR="00A87788" w:rsidRPr="00CF16E8">
        <w:rPr>
          <w:color w:val="000000"/>
        </w:rPr>
        <w:t xml:space="preserve"> fund their schools above the required level, it is clear that </w:t>
      </w:r>
      <w:r w:rsidR="00B1094B" w:rsidRPr="00CF16E8">
        <w:rPr>
          <w:color w:val="000000"/>
        </w:rPr>
        <w:t xml:space="preserve">these budget tradeoffs are being driven by local values and </w:t>
      </w:r>
      <w:r w:rsidR="006B5AD4" w:rsidRPr="00CF16E8">
        <w:rPr>
          <w:color w:val="000000"/>
        </w:rPr>
        <w:t>decision-making</w:t>
      </w:r>
      <w:r w:rsidR="00B1094B" w:rsidRPr="00CF16E8">
        <w:rPr>
          <w:color w:val="000000"/>
        </w:rPr>
        <w:t xml:space="preserve"> </w:t>
      </w:r>
      <w:r w:rsidR="006B5AD4" w:rsidRPr="00CF16E8">
        <w:rPr>
          <w:color w:val="000000"/>
        </w:rPr>
        <w:t xml:space="preserve">rather than </w:t>
      </w:r>
      <w:r w:rsidR="00426809">
        <w:rPr>
          <w:color w:val="000000"/>
        </w:rPr>
        <w:t xml:space="preserve">by </w:t>
      </w:r>
      <w:r w:rsidR="006B5AD4" w:rsidRPr="00CF16E8">
        <w:rPr>
          <w:color w:val="000000"/>
        </w:rPr>
        <w:t>state mandate</w:t>
      </w:r>
      <w:r w:rsidR="00426809">
        <w:rPr>
          <w:color w:val="000000"/>
        </w:rPr>
        <w:t>s</w:t>
      </w:r>
      <w:r w:rsidR="006B5AD4" w:rsidRPr="00CF16E8">
        <w:rPr>
          <w:color w:val="000000"/>
        </w:rPr>
        <w:t>.</w:t>
      </w:r>
    </w:p>
    <w:p w14:paraId="5D3DE872" w14:textId="79E1544A" w:rsidR="004224E7" w:rsidRPr="00CF16E8" w:rsidRDefault="00FE6FE7" w:rsidP="004224E7">
      <w:pPr>
        <w:pStyle w:val="Heading1"/>
      </w:pPr>
      <w:bookmarkStart w:id="15" w:name="_Toc55558702"/>
      <w:bookmarkStart w:id="16" w:name="_Toc57725127"/>
      <w:r>
        <w:t>W</w:t>
      </w:r>
      <w:r w:rsidR="004224E7" w:rsidRPr="00CF16E8">
        <w:t xml:space="preserve">age </w:t>
      </w:r>
      <w:r w:rsidR="00F13E46">
        <w:t>a</w:t>
      </w:r>
      <w:r w:rsidR="00F13E46" w:rsidRPr="00CF16E8">
        <w:t xml:space="preserve">djustment </w:t>
      </w:r>
      <w:r w:rsidR="00F13E46">
        <w:t>f</w:t>
      </w:r>
      <w:r w:rsidR="00F13E46" w:rsidRPr="00CF16E8">
        <w:t>actor</w:t>
      </w:r>
      <w:bookmarkEnd w:id="15"/>
      <w:bookmarkEnd w:id="16"/>
    </w:p>
    <w:p w14:paraId="2B0B4677" w14:textId="4A518565" w:rsidR="004224E7" w:rsidRDefault="006E63E6" w:rsidP="004224E7">
      <w:pPr>
        <w:pStyle w:val="paragraph"/>
        <w:spacing w:before="0" w:beforeAutospacing="0" w:after="0" w:afterAutospacing="0"/>
        <w:textAlignment w:val="baseline"/>
        <w:rPr>
          <w:rStyle w:val="normaltextrun"/>
        </w:rPr>
      </w:pPr>
      <w:r>
        <w:rPr>
          <w:rStyle w:val="normaltextrun"/>
        </w:rPr>
        <w:t xml:space="preserve">For most school districts, salaries for teachers and other staff are the largest component of the budget. Recognizing that wages in general are higher in some geographic areas of the Commonwealth and lower in other areas, the Chapter 70 formula includes a wage adjustment factor (WAF) applied to the salary assumptions in the foundation </w:t>
      </w:r>
      <w:r w:rsidR="002B2A62">
        <w:rPr>
          <w:rStyle w:val="normaltextrun"/>
        </w:rPr>
        <w:t>budget</w:t>
      </w:r>
      <w:r>
        <w:rPr>
          <w:rStyle w:val="normaltextrun"/>
        </w:rPr>
        <w:t>.</w:t>
      </w:r>
      <w:r>
        <w:rPr>
          <w:rStyle w:val="FootnoteReference"/>
        </w:rPr>
        <w:footnoteReference w:id="19"/>
      </w:r>
      <w:r>
        <w:rPr>
          <w:rStyle w:val="normaltextrun"/>
        </w:rPr>
        <w:t xml:space="preserve"> </w:t>
      </w:r>
      <w:r w:rsidR="004224E7" w:rsidRPr="00BA6E9E">
        <w:rPr>
          <w:rStyle w:val="normaltextrun"/>
        </w:rPr>
        <w:t xml:space="preserve">The factor compares the local labor market to the state as a whole, using the formula below. </w:t>
      </w:r>
    </w:p>
    <w:p w14:paraId="6A9B1008" w14:textId="77777777" w:rsidR="004224E7" w:rsidRPr="00BA6E9E" w:rsidRDefault="004224E7" w:rsidP="004224E7">
      <w:pPr>
        <w:pStyle w:val="paragraph"/>
        <w:spacing w:before="0" w:beforeAutospacing="0" w:after="0" w:afterAutospacing="0"/>
        <w:textAlignment w:val="baseline"/>
      </w:pPr>
    </w:p>
    <w:p w14:paraId="5B1BE6EA" w14:textId="67ED616D" w:rsidR="00D856E2" w:rsidRPr="00BF34F6" w:rsidRDefault="004224E7" w:rsidP="004224E7">
      <w:pPr>
        <w:pStyle w:val="paragraph"/>
        <w:spacing w:before="0" w:beforeAutospacing="0" w:after="0" w:afterAutospacing="0"/>
        <w:textAlignment w:val="baseline"/>
        <w:rPr>
          <w:rFonts w:asciiTheme="minorHAnsi" w:hAnsiTheme="minorHAnsi" w:cstheme="minorHAnsi"/>
          <w:sz w:val="22"/>
          <w:szCs w:val="22"/>
        </w:rPr>
      </w:pPr>
      <m:oMathPara>
        <m:oMath>
          <m:r>
            <w:rPr>
              <w:rFonts w:ascii="Cambria Math" w:hAnsi="Cambria Math" w:cstheme="minorHAnsi"/>
              <w:sz w:val="22"/>
              <w:szCs w:val="22"/>
            </w:rPr>
            <m:t xml:space="preserve">WAF=1+ </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3</m:t>
              </m:r>
            </m:den>
          </m:f>
          <m:r>
            <w:rPr>
              <w:rFonts w:ascii="Cambria Math" w:hAnsi="Cambria Math" w:cstheme="minorHAnsi"/>
              <w:sz w:val="22"/>
              <w:szCs w:val="22"/>
            </w:rPr>
            <m:t>*</m:t>
          </m:r>
          <m:d>
            <m:dPr>
              <m:ctrlPr>
                <w:rPr>
                  <w:rFonts w:ascii="Cambria Math" w:hAnsi="Cambria Math" w:cstheme="minorHAnsi"/>
                  <w:i/>
                  <w:sz w:val="22"/>
                  <w:szCs w:val="22"/>
                </w:rPr>
              </m:ctrlPr>
            </m:dPr>
            <m:e>
              <m:r>
                <w:rPr>
                  <w:rFonts w:ascii="Cambria Math" w:hAnsi="Cambria Math" w:cstheme="minorHAnsi"/>
                  <w:sz w:val="22"/>
                  <w:szCs w:val="22"/>
                </w:rPr>
                <m:t>80%*LMA average salary+20%*local average salary-state average salary</m:t>
              </m:r>
            </m:e>
          </m:d>
          <m:r>
            <w:rPr>
              <w:rFonts w:ascii="Cambria Math" w:hAnsi="Cambria Math" w:cstheme="minorHAnsi"/>
              <w:sz w:val="22"/>
              <w:szCs w:val="22"/>
            </w:rPr>
            <m:t>*state average salary</m:t>
          </m:r>
        </m:oMath>
      </m:oMathPara>
    </w:p>
    <w:p w14:paraId="18BF88FD" w14:textId="77777777" w:rsidR="00774D36" w:rsidRPr="00CF16E8" w:rsidRDefault="00774D36" w:rsidP="004224E7">
      <w:pPr>
        <w:pStyle w:val="paragraph"/>
        <w:spacing w:before="0" w:beforeAutospacing="0" w:after="0" w:afterAutospacing="0"/>
        <w:textAlignment w:val="baseline"/>
        <w:rPr>
          <w:sz w:val="22"/>
          <w:szCs w:val="22"/>
        </w:rPr>
      </w:pPr>
    </w:p>
    <w:p w14:paraId="53E99530" w14:textId="3BC4E3E4" w:rsidR="00774D36" w:rsidRDefault="00774D36" w:rsidP="00774D36">
      <w:pPr>
        <w:pStyle w:val="paragraph"/>
        <w:spacing w:before="0" w:beforeAutospacing="0" w:after="0" w:afterAutospacing="0"/>
        <w:textAlignment w:val="baseline"/>
        <w:rPr>
          <w:rStyle w:val="normaltextrun"/>
        </w:rPr>
      </w:pPr>
      <w:r w:rsidRPr="00BA6E9E">
        <w:rPr>
          <w:rStyle w:val="eop"/>
        </w:rPr>
        <w:lastRenderedPageBreak/>
        <w:t>S</w:t>
      </w:r>
      <w:r w:rsidRPr="00BA6E9E">
        <w:rPr>
          <w:rStyle w:val="normaltextrun"/>
        </w:rPr>
        <w:t xml:space="preserve">ince FY04, the formula has set a 1.0 floor on WAFs, meaning that the factor can only </w:t>
      </w:r>
      <w:r w:rsidR="00DC6C06">
        <w:rPr>
          <w:rStyle w:val="normaltextrun"/>
        </w:rPr>
        <w:t>reflect higher than average labor costs</w:t>
      </w:r>
      <w:r w:rsidRPr="00BA6E9E">
        <w:rPr>
          <w:rStyle w:val="normaltextrun"/>
        </w:rPr>
        <w:t xml:space="preserve"> </w:t>
      </w:r>
      <w:r w:rsidR="00DC6C06">
        <w:rPr>
          <w:rStyle w:val="normaltextrun"/>
        </w:rPr>
        <w:t>in calculating</w:t>
      </w:r>
      <w:r w:rsidRPr="00BA6E9E">
        <w:rPr>
          <w:rStyle w:val="normaltextrun"/>
        </w:rPr>
        <w:t xml:space="preserve"> foundation budgets</w:t>
      </w:r>
      <w:r w:rsidR="00DC6C06">
        <w:rPr>
          <w:rStyle w:val="normaltextrun"/>
        </w:rPr>
        <w:t xml:space="preserve">, and </w:t>
      </w:r>
      <w:r w:rsidR="005C4D87">
        <w:rPr>
          <w:rStyle w:val="normaltextrun"/>
        </w:rPr>
        <w:t>do not reflect lower than average costs in those calculations</w:t>
      </w:r>
      <w:r w:rsidRPr="00BA6E9E">
        <w:rPr>
          <w:rStyle w:val="normaltextrun"/>
        </w:rPr>
        <w:t xml:space="preserve">. </w:t>
      </w:r>
    </w:p>
    <w:p w14:paraId="71219BF8" w14:textId="77777777" w:rsidR="00774D36" w:rsidRDefault="00774D36" w:rsidP="00774D36">
      <w:pPr>
        <w:pStyle w:val="paragraph"/>
        <w:spacing w:before="0" w:beforeAutospacing="0" w:after="0" w:afterAutospacing="0"/>
        <w:textAlignment w:val="baseline"/>
        <w:rPr>
          <w:rStyle w:val="normaltextrun"/>
        </w:rPr>
      </w:pPr>
    </w:p>
    <w:p w14:paraId="17099CF3" w14:textId="3BF3EDFC" w:rsidR="004224E7" w:rsidRPr="00BA6E9E" w:rsidRDefault="004224E7" w:rsidP="004224E7">
      <w:pPr>
        <w:pStyle w:val="paragraph"/>
        <w:spacing w:before="0" w:beforeAutospacing="0" w:after="0" w:afterAutospacing="0"/>
        <w:textAlignment w:val="baseline"/>
        <w:rPr>
          <w:rStyle w:val="normaltextrun"/>
        </w:rPr>
      </w:pPr>
      <w:r w:rsidRPr="00BA6E9E">
        <w:rPr>
          <w:rStyle w:val="normaltextrun"/>
        </w:rPr>
        <w:t xml:space="preserve">For the purposes of calculating </w:t>
      </w:r>
      <w:r w:rsidR="006F7D1D">
        <w:rPr>
          <w:rStyle w:val="normaltextrun"/>
        </w:rPr>
        <w:t>the WAF</w:t>
      </w:r>
      <w:r w:rsidRPr="00BA6E9E">
        <w:rPr>
          <w:rStyle w:val="normaltextrun"/>
        </w:rPr>
        <w:t>, Chapter 70 uses the U.S. Census NECTAs (New England City and Town Areas) as proxies for labor markets wherever possible. In cases where municipalities are not part of a NECTA, the formula assigns them to the nearest labor market. For example, Provincetown is not part of a NECTA and is instead assigned to the Barnstable NECTA. The formula includes 21 NECTAs and three non-NECTA markets</w:t>
      </w:r>
      <w:r w:rsidR="009844FE">
        <w:rPr>
          <w:rStyle w:val="normaltextrun"/>
        </w:rPr>
        <w:t xml:space="preserve">, see </w:t>
      </w:r>
      <w:r w:rsidR="00774D36">
        <w:rPr>
          <w:rStyle w:val="normaltextrun"/>
        </w:rPr>
        <w:t xml:space="preserve">Table </w:t>
      </w:r>
      <w:r w:rsidR="00250D01">
        <w:rPr>
          <w:rStyle w:val="normaltextrun"/>
        </w:rPr>
        <w:t>4</w:t>
      </w:r>
      <w:r w:rsidR="00774D36">
        <w:rPr>
          <w:rStyle w:val="normaltextrun"/>
        </w:rPr>
        <w:t>.</w:t>
      </w:r>
    </w:p>
    <w:p w14:paraId="04FF3BBF" w14:textId="10C07723" w:rsidR="004224E7" w:rsidRPr="00BA6E9E" w:rsidRDefault="004224E7" w:rsidP="004224E7">
      <w:pPr>
        <w:pStyle w:val="paragraph"/>
        <w:spacing w:before="0" w:beforeAutospacing="0" w:after="0" w:afterAutospacing="0"/>
        <w:textAlignment w:val="baseline"/>
      </w:pPr>
    </w:p>
    <w:tbl>
      <w:tblPr>
        <w:tblStyle w:val="ESETablesGridStyle"/>
        <w:tblW w:w="0" w:type="auto"/>
        <w:tblLook w:val="04A0" w:firstRow="1" w:lastRow="0" w:firstColumn="1" w:lastColumn="0" w:noHBand="0" w:noVBand="1"/>
      </w:tblPr>
      <w:tblGrid>
        <w:gridCol w:w="3531"/>
        <w:gridCol w:w="1330"/>
        <w:gridCol w:w="3159"/>
        <w:gridCol w:w="1330"/>
      </w:tblGrid>
      <w:tr w:rsidR="0032084C" w:rsidRPr="001669F9" w14:paraId="5C3E87B1" w14:textId="77777777" w:rsidTr="00A84D5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4"/>
          </w:tcPr>
          <w:p w14:paraId="5847F994" w14:textId="2AE30F2A" w:rsidR="0032084C" w:rsidRPr="00CF16E8" w:rsidRDefault="0032084C" w:rsidP="004534B1">
            <w:pPr>
              <w:pStyle w:val="paragraph"/>
              <w:spacing w:before="0" w:beforeAutospacing="0" w:after="0" w:afterAutospacing="0"/>
              <w:textAlignment w:val="baseline"/>
              <w:rPr>
                <w:rStyle w:val="normaltextrun"/>
                <w:rFonts w:ascii="Calibri" w:hAnsi="Calibri" w:cs="Calibri"/>
                <w:sz w:val="22"/>
                <w:szCs w:val="22"/>
              </w:rPr>
            </w:pPr>
            <w:r w:rsidRPr="00E7243C">
              <w:rPr>
                <w:rStyle w:val="normaltextrun"/>
                <w:rFonts w:ascii="Calibri" w:hAnsi="Calibri" w:cs="Calibri"/>
              </w:rPr>
              <w:t>T</w:t>
            </w:r>
            <w:r w:rsidRPr="00C9371D">
              <w:rPr>
                <w:rStyle w:val="normaltextrun"/>
                <w:rFonts w:ascii="Calibri" w:hAnsi="Calibri" w:cs="Calibri"/>
              </w:rPr>
              <w:t xml:space="preserve">able </w:t>
            </w:r>
            <w:r w:rsidR="00991F76">
              <w:rPr>
                <w:rStyle w:val="normaltextrun"/>
                <w:rFonts w:ascii="Calibri" w:hAnsi="Calibri" w:cs="Calibri"/>
              </w:rPr>
              <w:t>4</w:t>
            </w:r>
            <w:r w:rsidRPr="00C9371D">
              <w:rPr>
                <w:rStyle w:val="normaltextrun"/>
                <w:rFonts w:ascii="Calibri" w:hAnsi="Calibri" w:cs="Calibri"/>
              </w:rPr>
              <w:t xml:space="preserve">: </w:t>
            </w:r>
            <w:r w:rsidR="00991F76">
              <w:rPr>
                <w:rStyle w:val="normaltextrun"/>
                <w:rFonts w:ascii="Calibri" w:hAnsi="Calibri" w:cs="Calibri"/>
              </w:rPr>
              <w:t>Average</w:t>
            </w:r>
            <w:r w:rsidRPr="00C9371D">
              <w:rPr>
                <w:rStyle w:val="normaltextrun"/>
                <w:rFonts w:ascii="Calibri" w:hAnsi="Calibri" w:cs="Calibri"/>
              </w:rPr>
              <w:t xml:space="preserve"> wages by Chapter 70 labor market area, sorted by wage level</w:t>
            </w:r>
            <w:r w:rsidR="00991F76">
              <w:rPr>
                <w:rStyle w:val="normaltextrun"/>
                <w:rFonts w:ascii="Calibri" w:hAnsi="Calibri" w:cs="Calibri"/>
              </w:rPr>
              <w:t xml:space="preserve"> (2017)</w:t>
            </w:r>
          </w:p>
        </w:tc>
      </w:tr>
      <w:tr w:rsidR="00267705" w:rsidRPr="001669F9" w14:paraId="77FD60D9"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6BF343EE" w14:textId="547A327F" w:rsidR="004534B1" w:rsidRPr="00CF16E8" w:rsidRDefault="0032084C" w:rsidP="004534B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L</w:t>
            </w:r>
            <w:r>
              <w:rPr>
                <w:rStyle w:val="normaltextrun"/>
                <w:rFonts w:ascii="Calibri" w:hAnsi="Calibri" w:cs="Calibri"/>
                <w:b/>
                <w:bCs/>
              </w:rPr>
              <w:t>abor market area</w:t>
            </w:r>
          </w:p>
        </w:tc>
        <w:tc>
          <w:tcPr>
            <w:tcW w:w="0" w:type="auto"/>
          </w:tcPr>
          <w:p w14:paraId="6E81EB2F" w14:textId="1000D318" w:rsidR="004534B1" w:rsidRPr="00CF16E8" w:rsidRDefault="0032084C" w:rsidP="004534B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Pr>
                <w:rStyle w:val="normaltextrun"/>
                <w:rFonts w:ascii="Calibri" w:hAnsi="Calibri" w:cs="Calibri"/>
                <w:b/>
                <w:bCs/>
                <w:sz w:val="22"/>
                <w:szCs w:val="22"/>
              </w:rPr>
              <w:t>A</w:t>
            </w:r>
            <w:r>
              <w:rPr>
                <w:rStyle w:val="normaltextrun"/>
                <w:rFonts w:ascii="Calibri" w:hAnsi="Calibri" w:cs="Calibri"/>
                <w:b/>
                <w:bCs/>
              </w:rPr>
              <w:t>verage wages</w:t>
            </w:r>
          </w:p>
        </w:tc>
        <w:tc>
          <w:tcPr>
            <w:tcW w:w="0" w:type="auto"/>
          </w:tcPr>
          <w:p w14:paraId="09284F4E" w14:textId="5B962D61" w:rsidR="004534B1" w:rsidRPr="00CF16E8" w:rsidRDefault="0032084C"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Pr>
                <w:rStyle w:val="normaltextrun"/>
                <w:rFonts w:ascii="Calibri" w:hAnsi="Calibri" w:cs="Calibri"/>
                <w:b/>
                <w:bCs/>
                <w:sz w:val="22"/>
                <w:szCs w:val="22"/>
              </w:rPr>
              <w:t>L</w:t>
            </w:r>
            <w:r>
              <w:rPr>
                <w:rStyle w:val="normaltextrun"/>
                <w:rFonts w:ascii="Calibri" w:hAnsi="Calibri" w:cs="Calibri"/>
                <w:b/>
                <w:bCs/>
              </w:rPr>
              <w:t>abor market area</w:t>
            </w:r>
          </w:p>
        </w:tc>
        <w:tc>
          <w:tcPr>
            <w:tcW w:w="0" w:type="auto"/>
          </w:tcPr>
          <w:p w14:paraId="6A772618" w14:textId="4D49579B" w:rsidR="004534B1" w:rsidRPr="0042083F" w:rsidRDefault="0032084C" w:rsidP="004534B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b/>
                <w:sz w:val="22"/>
                <w:szCs w:val="22"/>
              </w:rPr>
            </w:pPr>
            <w:r w:rsidRPr="0042083F">
              <w:rPr>
                <w:rStyle w:val="normaltextrun"/>
                <w:rFonts w:ascii="Calibri" w:hAnsi="Calibri" w:cs="Calibri"/>
                <w:b/>
                <w:sz w:val="22"/>
                <w:szCs w:val="22"/>
              </w:rPr>
              <w:t>A</w:t>
            </w:r>
            <w:r w:rsidRPr="0042083F">
              <w:rPr>
                <w:rStyle w:val="normaltextrun"/>
                <w:rFonts w:ascii="Calibri" w:hAnsi="Calibri" w:cs="Calibri"/>
                <w:b/>
              </w:rPr>
              <w:t>verage wages</w:t>
            </w:r>
          </w:p>
        </w:tc>
      </w:tr>
      <w:tr w:rsidR="00267705" w:rsidRPr="001669F9" w14:paraId="3251F3B5"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E540127"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Boston-Cambridge-Newton MA NECTA Division</w:t>
            </w:r>
            <w:r w:rsidRPr="00CF16E8">
              <w:rPr>
                <w:rStyle w:val="eop"/>
                <w:rFonts w:ascii="Calibri" w:hAnsi="Calibri" w:cs="Calibri"/>
                <w:sz w:val="22"/>
                <w:szCs w:val="22"/>
              </w:rPr>
              <w:t> </w:t>
            </w:r>
          </w:p>
        </w:tc>
        <w:tc>
          <w:tcPr>
            <w:tcW w:w="0" w:type="auto"/>
            <w:hideMark/>
          </w:tcPr>
          <w:p w14:paraId="17BCF05D"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$83,528</w:t>
            </w:r>
          </w:p>
        </w:tc>
        <w:tc>
          <w:tcPr>
            <w:tcW w:w="0" w:type="auto"/>
          </w:tcPr>
          <w:p w14:paraId="465DE64B"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Springfield MA-CT Metropolitan NECTA</w:t>
            </w:r>
            <w:r w:rsidRPr="00CF16E8">
              <w:rPr>
                <w:rStyle w:val="eop"/>
                <w:rFonts w:ascii="Calibri" w:hAnsi="Calibri" w:cs="Calibri"/>
                <w:sz w:val="22"/>
                <w:szCs w:val="22"/>
              </w:rPr>
              <w:t> </w:t>
            </w:r>
          </w:p>
        </w:tc>
        <w:tc>
          <w:tcPr>
            <w:tcW w:w="0" w:type="auto"/>
          </w:tcPr>
          <w:p w14:paraId="1B58A22A"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$48,295</w:t>
            </w:r>
          </w:p>
        </w:tc>
      </w:tr>
      <w:tr w:rsidR="00267705" w:rsidRPr="001669F9" w14:paraId="69E1C15E"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CFF476A"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Framingham MA NECTA Division</w:t>
            </w:r>
            <w:r w:rsidRPr="00CF16E8">
              <w:rPr>
                <w:rStyle w:val="eop"/>
                <w:rFonts w:ascii="Calibri" w:hAnsi="Calibri" w:cs="Calibri"/>
                <w:sz w:val="22"/>
                <w:szCs w:val="22"/>
              </w:rPr>
              <w:t> </w:t>
            </w:r>
          </w:p>
        </w:tc>
        <w:tc>
          <w:tcPr>
            <w:tcW w:w="0" w:type="auto"/>
            <w:hideMark/>
          </w:tcPr>
          <w:p w14:paraId="38636D1F"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$76,292</w:t>
            </w:r>
          </w:p>
        </w:tc>
        <w:tc>
          <w:tcPr>
            <w:tcW w:w="0" w:type="auto"/>
          </w:tcPr>
          <w:p w14:paraId="595E2044"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Lynn-Saugus-Marblehead MA NECTA Division</w:t>
            </w:r>
            <w:r w:rsidRPr="00CF16E8">
              <w:rPr>
                <w:rStyle w:val="eop"/>
                <w:rFonts w:ascii="Calibri" w:hAnsi="Calibri" w:cs="Calibri"/>
                <w:sz w:val="22"/>
                <w:szCs w:val="22"/>
              </w:rPr>
              <w:t> </w:t>
            </w:r>
          </w:p>
        </w:tc>
        <w:tc>
          <w:tcPr>
            <w:tcW w:w="0" w:type="auto"/>
          </w:tcPr>
          <w:p w14:paraId="0B08C106"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$48,132</w:t>
            </w:r>
          </w:p>
        </w:tc>
      </w:tr>
      <w:tr w:rsidR="00267705" w:rsidRPr="001669F9" w14:paraId="64C4CE28"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4C42A36"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Lowell-Billerica-Chelmsford MA-NH NECTA Division</w:t>
            </w:r>
            <w:r w:rsidRPr="00CF16E8">
              <w:rPr>
                <w:rStyle w:val="eop"/>
                <w:rFonts w:ascii="Calibri" w:hAnsi="Calibri" w:cs="Calibri"/>
                <w:sz w:val="22"/>
                <w:szCs w:val="22"/>
              </w:rPr>
              <w:t> </w:t>
            </w:r>
          </w:p>
        </w:tc>
        <w:tc>
          <w:tcPr>
            <w:tcW w:w="0" w:type="auto"/>
            <w:hideMark/>
          </w:tcPr>
          <w:p w14:paraId="44942525"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$70,049</w:t>
            </w:r>
          </w:p>
        </w:tc>
        <w:tc>
          <w:tcPr>
            <w:tcW w:w="0" w:type="auto"/>
          </w:tcPr>
          <w:p w14:paraId="0261D9E2"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Pittsfield MA Metropolitan NECTA</w:t>
            </w:r>
            <w:r w:rsidRPr="00CF16E8">
              <w:rPr>
                <w:rStyle w:val="eop"/>
                <w:rFonts w:ascii="Calibri" w:hAnsi="Calibri" w:cs="Calibri"/>
                <w:sz w:val="22"/>
                <w:szCs w:val="22"/>
              </w:rPr>
              <w:t> </w:t>
            </w:r>
          </w:p>
        </w:tc>
        <w:tc>
          <w:tcPr>
            <w:tcW w:w="0" w:type="auto"/>
          </w:tcPr>
          <w:p w14:paraId="7EF0539E"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$46,987</w:t>
            </w:r>
          </w:p>
        </w:tc>
      </w:tr>
      <w:tr w:rsidR="00267705" w:rsidRPr="001669F9" w14:paraId="4B767FAF"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D25CBBD"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Peabody-Salem-Beverly MA NECTA Division</w:t>
            </w:r>
            <w:r w:rsidRPr="00CF16E8">
              <w:rPr>
                <w:rStyle w:val="eop"/>
                <w:rFonts w:ascii="Calibri" w:hAnsi="Calibri" w:cs="Calibri"/>
                <w:sz w:val="22"/>
                <w:szCs w:val="22"/>
              </w:rPr>
              <w:t> </w:t>
            </w:r>
          </w:p>
        </w:tc>
        <w:tc>
          <w:tcPr>
            <w:tcW w:w="0" w:type="auto"/>
            <w:hideMark/>
          </w:tcPr>
          <w:p w14:paraId="5E06117C"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$56,714</w:t>
            </w:r>
          </w:p>
        </w:tc>
        <w:tc>
          <w:tcPr>
            <w:tcW w:w="0" w:type="auto"/>
          </w:tcPr>
          <w:p w14:paraId="29D9BDC1"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Barnstable Town MA Metropolitan NECTA</w:t>
            </w:r>
            <w:r w:rsidRPr="00CF16E8">
              <w:rPr>
                <w:rStyle w:val="eop"/>
                <w:rFonts w:ascii="Calibri" w:hAnsi="Calibri" w:cs="Calibri"/>
                <w:sz w:val="22"/>
                <w:szCs w:val="22"/>
              </w:rPr>
              <w:t> </w:t>
            </w:r>
          </w:p>
        </w:tc>
        <w:tc>
          <w:tcPr>
            <w:tcW w:w="0" w:type="auto"/>
          </w:tcPr>
          <w:p w14:paraId="21516AAF"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$46,176</w:t>
            </w:r>
          </w:p>
        </w:tc>
      </w:tr>
      <w:tr w:rsidR="00267705" w:rsidRPr="001669F9" w14:paraId="44125545"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1C0D3AB0"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Nantucket County/Town MA (non-NECTA)</w:t>
            </w:r>
            <w:r w:rsidRPr="00CF16E8">
              <w:rPr>
                <w:rStyle w:val="eop"/>
                <w:rFonts w:ascii="Calibri" w:hAnsi="Calibri" w:cs="Calibri"/>
                <w:sz w:val="22"/>
                <w:szCs w:val="22"/>
              </w:rPr>
              <w:t> </w:t>
            </w:r>
          </w:p>
        </w:tc>
        <w:tc>
          <w:tcPr>
            <w:tcW w:w="0" w:type="auto"/>
            <w:hideMark/>
          </w:tcPr>
          <w:p w14:paraId="42912ACF"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$56,249</w:t>
            </w:r>
          </w:p>
        </w:tc>
        <w:tc>
          <w:tcPr>
            <w:tcW w:w="0" w:type="auto"/>
          </w:tcPr>
          <w:p w14:paraId="56241BDE"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Nashua NH-MA NECTA Division</w:t>
            </w:r>
            <w:r w:rsidRPr="00CF16E8">
              <w:rPr>
                <w:rStyle w:val="eop"/>
                <w:rFonts w:ascii="Calibri" w:hAnsi="Calibri" w:cs="Calibri"/>
                <w:sz w:val="22"/>
                <w:szCs w:val="22"/>
              </w:rPr>
              <w:t> </w:t>
            </w:r>
          </w:p>
        </w:tc>
        <w:tc>
          <w:tcPr>
            <w:tcW w:w="0" w:type="auto"/>
          </w:tcPr>
          <w:p w14:paraId="424DF73A"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$45,559</w:t>
            </w:r>
          </w:p>
        </w:tc>
      </w:tr>
      <w:tr w:rsidR="00267705" w:rsidRPr="001669F9" w14:paraId="74DF5D87"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0E5E12CF"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Worcester MA-CT Metropolitan NECTA</w:t>
            </w:r>
            <w:r w:rsidRPr="00CF16E8">
              <w:rPr>
                <w:rStyle w:val="eop"/>
                <w:rFonts w:ascii="Calibri" w:hAnsi="Calibri" w:cs="Calibri"/>
                <w:sz w:val="22"/>
                <w:szCs w:val="22"/>
              </w:rPr>
              <w:t> </w:t>
            </w:r>
          </w:p>
        </w:tc>
        <w:tc>
          <w:tcPr>
            <w:tcW w:w="0" w:type="auto"/>
            <w:hideMark/>
          </w:tcPr>
          <w:p w14:paraId="4A044167"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$54,513</w:t>
            </w:r>
          </w:p>
        </w:tc>
        <w:tc>
          <w:tcPr>
            <w:tcW w:w="0" w:type="auto"/>
          </w:tcPr>
          <w:p w14:paraId="204DDAB8"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North Adams MA-VT Micropolitan NECTA</w:t>
            </w:r>
            <w:r w:rsidRPr="00CF16E8">
              <w:rPr>
                <w:rStyle w:val="eop"/>
                <w:rFonts w:ascii="Calibri" w:hAnsi="Calibri" w:cs="Calibri"/>
                <w:sz w:val="22"/>
                <w:szCs w:val="22"/>
              </w:rPr>
              <w:t> </w:t>
            </w:r>
          </w:p>
        </w:tc>
        <w:tc>
          <w:tcPr>
            <w:tcW w:w="0" w:type="auto"/>
          </w:tcPr>
          <w:p w14:paraId="65CC9790"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$44,950</w:t>
            </w:r>
          </w:p>
        </w:tc>
      </w:tr>
      <w:tr w:rsidR="00267705" w:rsidRPr="001669F9" w14:paraId="1C92C8D0"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8140BAA"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Taunton-Middleborough-Norton MA NECTA Division</w:t>
            </w:r>
            <w:r w:rsidRPr="00CF16E8">
              <w:rPr>
                <w:rStyle w:val="eop"/>
                <w:rFonts w:ascii="Calibri" w:hAnsi="Calibri" w:cs="Calibri"/>
                <w:sz w:val="22"/>
                <w:szCs w:val="22"/>
              </w:rPr>
              <w:t> </w:t>
            </w:r>
          </w:p>
        </w:tc>
        <w:tc>
          <w:tcPr>
            <w:tcW w:w="0" w:type="auto"/>
            <w:hideMark/>
          </w:tcPr>
          <w:p w14:paraId="741049E7"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$54,021</w:t>
            </w:r>
          </w:p>
        </w:tc>
        <w:tc>
          <w:tcPr>
            <w:tcW w:w="0" w:type="auto"/>
          </w:tcPr>
          <w:p w14:paraId="2FF01842"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Leominster-Gardner MA Metropolitan NECTA</w:t>
            </w:r>
            <w:r w:rsidRPr="00CF16E8">
              <w:rPr>
                <w:rStyle w:val="eop"/>
                <w:rFonts w:ascii="Calibri" w:hAnsi="Calibri" w:cs="Calibri"/>
                <w:sz w:val="22"/>
                <w:szCs w:val="22"/>
              </w:rPr>
              <w:t> </w:t>
            </w:r>
          </w:p>
        </w:tc>
        <w:tc>
          <w:tcPr>
            <w:tcW w:w="0" w:type="auto"/>
          </w:tcPr>
          <w:p w14:paraId="28DF60D6"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$44,163</w:t>
            </w:r>
          </w:p>
        </w:tc>
      </w:tr>
      <w:tr w:rsidR="00267705" w:rsidRPr="001669F9" w14:paraId="5C424569"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462E8996"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Vineyard Haven MA Micropolitan NECTA</w:t>
            </w:r>
            <w:r w:rsidRPr="00CF16E8">
              <w:rPr>
                <w:rStyle w:val="eop"/>
                <w:rFonts w:ascii="Calibri" w:hAnsi="Calibri" w:cs="Calibri"/>
                <w:sz w:val="22"/>
                <w:szCs w:val="22"/>
              </w:rPr>
              <w:t> </w:t>
            </w:r>
          </w:p>
        </w:tc>
        <w:tc>
          <w:tcPr>
            <w:tcW w:w="0" w:type="auto"/>
            <w:hideMark/>
          </w:tcPr>
          <w:p w14:paraId="026117E9"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$50,749</w:t>
            </w:r>
          </w:p>
        </w:tc>
        <w:tc>
          <w:tcPr>
            <w:tcW w:w="0" w:type="auto"/>
          </w:tcPr>
          <w:p w14:paraId="61DF0602"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Providence-Warwick RI-MA Metropolitan NECTA</w:t>
            </w:r>
            <w:r w:rsidRPr="00CF16E8">
              <w:rPr>
                <w:rStyle w:val="eop"/>
                <w:rFonts w:ascii="Calibri" w:hAnsi="Calibri" w:cs="Calibri"/>
                <w:sz w:val="22"/>
                <w:szCs w:val="22"/>
              </w:rPr>
              <w:t> </w:t>
            </w:r>
          </w:p>
        </w:tc>
        <w:tc>
          <w:tcPr>
            <w:tcW w:w="0" w:type="auto"/>
          </w:tcPr>
          <w:p w14:paraId="43F655B1"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$43,496</w:t>
            </w:r>
          </w:p>
        </w:tc>
      </w:tr>
      <w:tr w:rsidR="00267705" w:rsidRPr="001669F9" w14:paraId="54526CC8"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56DAC60"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Lawrence-Methuen Town-Salem MA-NH NECTA Division</w:t>
            </w:r>
            <w:r w:rsidRPr="00CF16E8">
              <w:rPr>
                <w:rStyle w:val="eop"/>
                <w:rFonts w:ascii="Calibri" w:hAnsi="Calibri" w:cs="Calibri"/>
                <w:sz w:val="22"/>
                <w:szCs w:val="22"/>
              </w:rPr>
              <w:t> </w:t>
            </w:r>
          </w:p>
        </w:tc>
        <w:tc>
          <w:tcPr>
            <w:tcW w:w="0" w:type="auto"/>
            <w:hideMark/>
          </w:tcPr>
          <w:p w14:paraId="0B7AD9E9"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$50,595</w:t>
            </w:r>
          </w:p>
        </w:tc>
        <w:tc>
          <w:tcPr>
            <w:tcW w:w="0" w:type="auto"/>
          </w:tcPr>
          <w:p w14:paraId="03067D04"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Greenfield Town MA Micropolitan NECTA</w:t>
            </w:r>
            <w:r w:rsidRPr="00CF16E8">
              <w:rPr>
                <w:rStyle w:val="eop"/>
                <w:rFonts w:ascii="Calibri" w:hAnsi="Calibri" w:cs="Calibri"/>
                <w:sz w:val="22"/>
                <w:szCs w:val="22"/>
              </w:rPr>
              <w:t> </w:t>
            </w:r>
          </w:p>
        </w:tc>
        <w:tc>
          <w:tcPr>
            <w:tcW w:w="0" w:type="auto"/>
          </w:tcPr>
          <w:p w14:paraId="2AF6ACDD"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$41,790</w:t>
            </w:r>
          </w:p>
        </w:tc>
      </w:tr>
      <w:tr w:rsidR="00267705" w:rsidRPr="001669F9" w14:paraId="210553BC"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92424F8"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Brockton-Bridgewater-Easton MA NECTA Division</w:t>
            </w:r>
            <w:r w:rsidRPr="00CF16E8">
              <w:rPr>
                <w:rStyle w:val="eop"/>
                <w:rFonts w:ascii="Calibri" w:hAnsi="Calibri" w:cs="Calibri"/>
                <w:sz w:val="22"/>
                <w:szCs w:val="22"/>
              </w:rPr>
              <w:t> </w:t>
            </w:r>
          </w:p>
        </w:tc>
        <w:tc>
          <w:tcPr>
            <w:tcW w:w="0" w:type="auto"/>
            <w:hideMark/>
          </w:tcPr>
          <w:p w14:paraId="7AAB4902"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$50,283</w:t>
            </w:r>
          </w:p>
        </w:tc>
        <w:tc>
          <w:tcPr>
            <w:tcW w:w="0" w:type="auto"/>
          </w:tcPr>
          <w:p w14:paraId="181CC8F1" w14:textId="7CD1786E"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Great Barrington MA Labor Market Area (non-NECTA)</w:t>
            </w:r>
            <w:r w:rsidRPr="00CF16E8">
              <w:rPr>
                <w:rStyle w:val="eop"/>
                <w:rFonts w:ascii="Calibri" w:hAnsi="Calibri" w:cs="Calibri"/>
                <w:sz w:val="22"/>
                <w:szCs w:val="22"/>
              </w:rPr>
              <w:t> </w:t>
            </w:r>
          </w:p>
        </w:tc>
        <w:tc>
          <w:tcPr>
            <w:tcW w:w="0" w:type="auto"/>
          </w:tcPr>
          <w:p w14:paraId="235578BB"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$41,520</w:t>
            </w:r>
          </w:p>
        </w:tc>
      </w:tr>
      <w:tr w:rsidR="00267705" w:rsidRPr="001669F9" w14:paraId="19D18950"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46A16CE" w14:textId="77777777" w:rsidR="004224E7" w:rsidRPr="00CF16E8" w:rsidRDefault="004224E7" w:rsidP="00295A71">
            <w:pPr>
              <w:pStyle w:val="paragraph"/>
              <w:spacing w:before="0" w:beforeAutospacing="0" w:after="0" w:afterAutospacing="0"/>
              <w:textAlignment w:val="baseline"/>
              <w:rPr>
                <w:sz w:val="22"/>
                <w:szCs w:val="22"/>
              </w:rPr>
            </w:pPr>
            <w:r w:rsidRPr="00CF16E8">
              <w:rPr>
                <w:rStyle w:val="normaltextrun"/>
                <w:rFonts w:ascii="Calibri" w:hAnsi="Calibri" w:cs="Calibri"/>
                <w:sz w:val="22"/>
                <w:szCs w:val="22"/>
              </w:rPr>
              <w:t>New Bedford MA Metropolitan NECTA</w:t>
            </w:r>
            <w:r w:rsidRPr="00CF16E8">
              <w:rPr>
                <w:rStyle w:val="eop"/>
                <w:rFonts w:ascii="Calibri" w:hAnsi="Calibri" w:cs="Calibri"/>
                <w:sz w:val="22"/>
                <w:szCs w:val="22"/>
              </w:rPr>
              <w:t> </w:t>
            </w:r>
          </w:p>
        </w:tc>
        <w:tc>
          <w:tcPr>
            <w:tcW w:w="0" w:type="auto"/>
            <w:hideMark/>
          </w:tcPr>
          <w:p w14:paraId="54F9CFED" w14:textId="77777777" w:rsidR="004224E7" w:rsidRPr="00CF16E8" w:rsidRDefault="004224E7" w:rsidP="00295A7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CF16E8">
              <w:rPr>
                <w:rStyle w:val="normaltextrun"/>
                <w:rFonts w:ascii="Calibri" w:hAnsi="Calibri" w:cs="Calibri"/>
                <w:sz w:val="22"/>
                <w:szCs w:val="22"/>
              </w:rPr>
              <w:t>$49,270</w:t>
            </w:r>
          </w:p>
        </w:tc>
        <w:tc>
          <w:tcPr>
            <w:tcW w:w="0" w:type="auto"/>
          </w:tcPr>
          <w:p w14:paraId="0EAA90F1" w14:textId="77777777" w:rsidR="004224E7" w:rsidRPr="00CF16E8" w:rsidRDefault="004224E7" w:rsidP="00356EA4">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Athol MA Micropolitan NECTA</w:t>
            </w:r>
            <w:r w:rsidRPr="00CF16E8">
              <w:rPr>
                <w:rStyle w:val="eop"/>
                <w:rFonts w:ascii="Calibri" w:hAnsi="Calibri" w:cs="Calibri"/>
                <w:sz w:val="22"/>
                <w:szCs w:val="22"/>
              </w:rPr>
              <w:t> </w:t>
            </w:r>
          </w:p>
        </w:tc>
        <w:tc>
          <w:tcPr>
            <w:tcW w:w="0" w:type="auto"/>
          </w:tcPr>
          <w:p w14:paraId="408718DC" w14:textId="77777777" w:rsidR="004224E7" w:rsidRPr="00CF16E8" w:rsidRDefault="004224E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$37,026</w:t>
            </w:r>
          </w:p>
        </w:tc>
      </w:tr>
      <w:tr w:rsidR="00267705" w:rsidRPr="001669F9" w14:paraId="3DDA67A2"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2FD8DC74" w14:textId="4E50511B" w:rsidR="0032084C" w:rsidRPr="00CF16E8" w:rsidRDefault="0032084C" w:rsidP="0032084C">
            <w:pPr>
              <w:pStyle w:val="paragraph"/>
              <w:spacing w:before="0" w:beforeAutospacing="0" w:after="0" w:afterAutospacing="0"/>
              <w:textAlignment w:val="baseline"/>
              <w:rPr>
                <w:rStyle w:val="normaltextrun"/>
                <w:rFonts w:ascii="Calibri" w:hAnsi="Calibri" w:cs="Calibri"/>
                <w:sz w:val="22"/>
                <w:szCs w:val="22"/>
              </w:rPr>
            </w:pPr>
            <w:r w:rsidRPr="00CF16E8">
              <w:rPr>
                <w:rStyle w:val="normaltextrun"/>
                <w:rFonts w:ascii="Calibri" w:hAnsi="Calibri" w:cs="Calibri"/>
                <w:sz w:val="22"/>
                <w:szCs w:val="22"/>
              </w:rPr>
              <w:t>Haverhill-Newburyport-Amesbury Town MA-NH NECTA Division</w:t>
            </w:r>
            <w:r w:rsidRPr="00CF16E8">
              <w:rPr>
                <w:rStyle w:val="eop"/>
                <w:rFonts w:ascii="Calibri" w:hAnsi="Calibri" w:cs="Calibri"/>
                <w:sz w:val="22"/>
                <w:szCs w:val="22"/>
              </w:rPr>
              <w:t> </w:t>
            </w:r>
          </w:p>
        </w:tc>
        <w:tc>
          <w:tcPr>
            <w:tcW w:w="0" w:type="auto"/>
          </w:tcPr>
          <w:p w14:paraId="2D8E20A3" w14:textId="7A444C6D" w:rsidR="0032084C" w:rsidRPr="00CF16E8" w:rsidRDefault="0032084C" w:rsidP="0032084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$49,067</w:t>
            </w:r>
          </w:p>
        </w:tc>
        <w:tc>
          <w:tcPr>
            <w:tcW w:w="0" w:type="auto"/>
          </w:tcPr>
          <w:p w14:paraId="4086E688" w14:textId="2934E6B6" w:rsidR="0032084C" w:rsidRPr="00CF16E8" w:rsidRDefault="0032084C" w:rsidP="0042083F">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Buckland MA Labor Market Area</w:t>
            </w:r>
            <w:r w:rsidRPr="00CF16E8">
              <w:rPr>
                <w:rStyle w:val="eop"/>
                <w:rFonts w:ascii="Calibri" w:hAnsi="Calibri" w:cs="Calibri"/>
                <w:sz w:val="22"/>
                <w:szCs w:val="22"/>
              </w:rPr>
              <w:t> (non-NECTA)</w:t>
            </w:r>
          </w:p>
        </w:tc>
        <w:tc>
          <w:tcPr>
            <w:tcW w:w="0" w:type="auto"/>
          </w:tcPr>
          <w:p w14:paraId="1246B6AB" w14:textId="6D83AA5B" w:rsidR="0032084C" w:rsidRPr="00CF16E8" w:rsidRDefault="0032084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CF16E8">
              <w:rPr>
                <w:rStyle w:val="normaltextrun"/>
                <w:rFonts w:ascii="Calibri" w:hAnsi="Calibri" w:cs="Calibri"/>
                <w:sz w:val="22"/>
                <w:szCs w:val="22"/>
              </w:rPr>
              <w:t>$30,929</w:t>
            </w:r>
          </w:p>
        </w:tc>
      </w:tr>
      <w:tr w:rsidR="00267705" w:rsidRPr="001669F9" w14:paraId="195C6928" w14:textId="77777777" w:rsidTr="00A84D5B">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DE0B917" w14:textId="77777777" w:rsidR="0032084C" w:rsidRPr="00CF16E8" w:rsidRDefault="0032084C" w:rsidP="0032084C">
            <w:pPr>
              <w:pStyle w:val="paragraph"/>
              <w:spacing w:before="0" w:beforeAutospacing="0" w:after="0" w:afterAutospacing="0"/>
              <w:textAlignment w:val="baseline"/>
              <w:rPr>
                <w:rStyle w:val="normaltextrun"/>
                <w:rFonts w:ascii="Calibri" w:hAnsi="Calibri" w:cs="Calibri"/>
                <w:sz w:val="22"/>
                <w:szCs w:val="22"/>
              </w:rPr>
            </w:pPr>
          </w:p>
        </w:tc>
        <w:tc>
          <w:tcPr>
            <w:tcW w:w="0" w:type="auto"/>
          </w:tcPr>
          <w:p w14:paraId="31299BA5" w14:textId="77777777" w:rsidR="0032084C" w:rsidRPr="00CF16E8" w:rsidRDefault="0032084C" w:rsidP="0032084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p>
        </w:tc>
        <w:tc>
          <w:tcPr>
            <w:tcW w:w="0" w:type="auto"/>
          </w:tcPr>
          <w:p w14:paraId="2444DF30" w14:textId="6F2B67E1" w:rsidR="0032084C" w:rsidRPr="00CF16E8" w:rsidRDefault="0032084C" w:rsidP="0042083F">
            <w:pPr>
              <w:pStyle w:val="paragraph"/>
              <w:spacing w:before="0" w:beforeAutospacing="0" w:after="0" w:afterAutospacing="0"/>
              <w:ind w:left="165"/>
              <w:jc w:val="left"/>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B564CC">
              <w:rPr>
                <w:rStyle w:val="normaltextrun"/>
                <w:rFonts w:ascii="Calibri" w:hAnsi="Calibri" w:cs="Calibri"/>
                <w:b/>
                <w:bCs/>
                <w:sz w:val="22"/>
                <w:szCs w:val="22"/>
              </w:rPr>
              <w:t xml:space="preserve">State </w:t>
            </w:r>
            <w:r>
              <w:rPr>
                <w:rStyle w:val="normaltextrun"/>
                <w:rFonts w:ascii="Calibri" w:hAnsi="Calibri" w:cs="Calibri"/>
                <w:b/>
                <w:bCs/>
                <w:sz w:val="22"/>
                <w:szCs w:val="22"/>
              </w:rPr>
              <w:t>a</w:t>
            </w:r>
            <w:r w:rsidRPr="00B564CC">
              <w:rPr>
                <w:rStyle w:val="normaltextrun"/>
                <w:rFonts w:ascii="Calibri" w:hAnsi="Calibri" w:cs="Calibri"/>
                <w:b/>
                <w:bCs/>
                <w:sz w:val="22"/>
                <w:szCs w:val="22"/>
              </w:rPr>
              <w:t>verage</w:t>
            </w:r>
          </w:p>
        </w:tc>
        <w:tc>
          <w:tcPr>
            <w:tcW w:w="0" w:type="auto"/>
          </w:tcPr>
          <w:p w14:paraId="0132EA8A" w14:textId="6F3D28A2" w:rsidR="0032084C" w:rsidRPr="00CF16E8" w:rsidRDefault="0032084C" w:rsidP="0032084C">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2"/>
                <w:szCs w:val="22"/>
              </w:rPr>
            </w:pPr>
            <w:r w:rsidRPr="00B564CC">
              <w:rPr>
                <w:rStyle w:val="normaltextrun"/>
                <w:rFonts w:ascii="Calibri" w:hAnsi="Calibri" w:cs="Calibri"/>
                <w:b/>
                <w:bCs/>
                <w:sz w:val="22"/>
                <w:szCs w:val="22"/>
              </w:rPr>
              <w:t>$69,447</w:t>
            </w:r>
          </w:p>
        </w:tc>
      </w:tr>
    </w:tbl>
    <w:p w14:paraId="248964C4" w14:textId="77777777" w:rsidR="004224E7" w:rsidRPr="00BA6E9E" w:rsidRDefault="004224E7" w:rsidP="004224E7">
      <w:pPr>
        <w:pStyle w:val="paragraph"/>
        <w:spacing w:before="0" w:beforeAutospacing="0" w:after="0" w:afterAutospacing="0"/>
        <w:textAlignment w:val="baseline"/>
      </w:pPr>
      <w:r w:rsidRPr="00356EA4">
        <w:rPr>
          <w:rStyle w:val="normaltextrun"/>
          <w:rFonts w:asciiTheme="minorHAnsi" w:hAnsiTheme="minorHAnsi" w:cstheme="minorHAnsi"/>
          <w:sz w:val="22"/>
          <w:szCs w:val="22"/>
        </w:rPr>
        <w:t>Note: For the FY20 budget cycle, the latest available wage data was from 2017.</w:t>
      </w:r>
      <w:r w:rsidRPr="00BA6E9E">
        <w:rPr>
          <w:rStyle w:val="eop"/>
        </w:rPr>
        <w:t> </w:t>
      </w:r>
    </w:p>
    <w:p w14:paraId="4D7DCA62" w14:textId="77777777" w:rsidR="003800D7" w:rsidRDefault="003800D7" w:rsidP="00103B9F">
      <w:pPr>
        <w:pStyle w:val="paragraph"/>
        <w:spacing w:before="0" w:beforeAutospacing="0" w:after="0" w:afterAutospacing="0"/>
        <w:textAlignment w:val="baseline"/>
        <w:rPr>
          <w:rStyle w:val="normaltextrun"/>
        </w:rPr>
      </w:pPr>
    </w:p>
    <w:p w14:paraId="02FC024E" w14:textId="17FDC1C7" w:rsidR="00774D36" w:rsidRDefault="00F41957" w:rsidP="00103B9F">
      <w:pPr>
        <w:pStyle w:val="paragraph"/>
        <w:spacing w:before="0" w:beforeAutospacing="0" w:after="0" w:afterAutospacing="0"/>
        <w:textAlignment w:val="baseline"/>
        <w:rPr>
          <w:rStyle w:val="normaltextrun"/>
        </w:rPr>
      </w:pPr>
      <w:r>
        <w:rPr>
          <w:rStyle w:val="normaltextrun"/>
        </w:rPr>
        <w:t xml:space="preserve">Although </w:t>
      </w:r>
      <w:r w:rsidR="004605B3">
        <w:rPr>
          <w:rStyle w:val="normaltextrun"/>
        </w:rPr>
        <w:t xml:space="preserve">inclusion of </w:t>
      </w:r>
      <w:r>
        <w:rPr>
          <w:rStyle w:val="normaltextrun"/>
        </w:rPr>
        <w:t xml:space="preserve">a wage adjustment factor </w:t>
      </w:r>
      <w:r w:rsidR="004605B3">
        <w:rPr>
          <w:rStyle w:val="normaltextrun"/>
        </w:rPr>
        <w:t>in a formula so driven by labor costs is compelling as a general matter</w:t>
      </w:r>
      <w:r w:rsidR="00D369D5">
        <w:rPr>
          <w:rStyle w:val="normaltextrun"/>
        </w:rPr>
        <w:t xml:space="preserve"> of principle</w:t>
      </w:r>
      <w:r>
        <w:rPr>
          <w:rStyle w:val="normaltextrun"/>
        </w:rPr>
        <w:t xml:space="preserve">, its implementation </w:t>
      </w:r>
      <w:r w:rsidR="004605B3">
        <w:rPr>
          <w:rStyle w:val="normaltextrun"/>
        </w:rPr>
        <w:t xml:space="preserve">revealed many intrinsic </w:t>
      </w:r>
      <w:r w:rsidR="004605B3">
        <w:rPr>
          <w:rStyle w:val="normaltextrun"/>
        </w:rPr>
        <w:lastRenderedPageBreak/>
        <w:t xml:space="preserve">challenges and its use during the first decade after adoption of the Education Reform Act was very </w:t>
      </w:r>
      <w:r>
        <w:rPr>
          <w:rStyle w:val="normaltextrun"/>
        </w:rPr>
        <w:t>problematic</w:t>
      </w:r>
      <w:r w:rsidR="002D60BF">
        <w:rPr>
          <w:rStyle w:val="normaltextrun"/>
        </w:rPr>
        <w:t xml:space="preserve">. Those challenges and inherent problems likely </w:t>
      </w:r>
      <w:r w:rsidR="004605B3">
        <w:rPr>
          <w:rStyle w:val="normaltextrun"/>
        </w:rPr>
        <w:t>led to the suspension of downward adjustments after 20</w:t>
      </w:r>
      <w:r w:rsidR="002D60BF">
        <w:rPr>
          <w:rStyle w:val="normaltextrun"/>
        </w:rPr>
        <w:t>04</w:t>
      </w:r>
      <w:r w:rsidR="00D369D5">
        <w:rPr>
          <w:rStyle w:val="normaltextrun"/>
        </w:rPr>
        <w:t>. The historic and contemporary challenges related to the original and current WAF</w:t>
      </w:r>
      <w:r w:rsidR="002D60BF">
        <w:rPr>
          <w:rStyle w:val="normaltextrun"/>
        </w:rPr>
        <w:t xml:space="preserve"> include</w:t>
      </w:r>
      <w:r>
        <w:rPr>
          <w:rStyle w:val="normaltextrun"/>
        </w:rPr>
        <w:t>:</w:t>
      </w:r>
    </w:p>
    <w:p w14:paraId="540743CB" w14:textId="35C0A880" w:rsidR="00F41957" w:rsidRDefault="00F41957" w:rsidP="00103B9F">
      <w:pPr>
        <w:pStyle w:val="paragraph"/>
        <w:spacing w:before="0" w:beforeAutospacing="0" w:after="0" w:afterAutospacing="0"/>
        <w:textAlignment w:val="baseline"/>
        <w:rPr>
          <w:rStyle w:val="normaltextrun"/>
        </w:rPr>
      </w:pPr>
    </w:p>
    <w:p w14:paraId="3B0D039A" w14:textId="410943C2" w:rsidR="00F41957" w:rsidRDefault="00F41957" w:rsidP="00F41957">
      <w:pPr>
        <w:pStyle w:val="paragraph"/>
        <w:numPr>
          <w:ilvl w:val="0"/>
          <w:numId w:val="61"/>
        </w:numPr>
        <w:spacing w:before="0" w:beforeAutospacing="0" w:after="0" w:afterAutospacing="0"/>
        <w:textAlignment w:val="baseline"/>
      </w:pPr>
      <w:r>
        <w:t>There can be significant differences between the WAFs of adjoining towns if they are assigned to different NECTAs. For example, Easton is in the Brockton-Bridgewater-Easton NECTA (average wage $50,283) while neighboring Stoughton is in the Boston-Cambridge-Newton NECTA (average wage $83,528).</w:t>
      </w:r>
    </w:p>
    <w:p w14:paraId="1B794F4F" w14:textId="5DF2914B" w:rsidR="00F41957" w:rsidRDefault="00AB15AB" w:rsidP="00F41957">
      <w:pPr>
        <w:pStyle w:val="paragraph"/>
        <w:numPr>
          <w:ilvl w:val="0"/>
          <w:numId w:val="61"/>
        </w:numPr>
        <w:spacing w:before="0" w:beforeAutospacing="0" w:after="0" w:afterAutospacing="0"/>
        <w:textAlignment w:val="baseline"/>
      </w:pPr>
      <w:r>
        <w:t>Given the small geographic size of many of the NECTAs, it is likely that many school district employees live outside the NECTA in which the district is located.</w:t>
      </w:r>
    </w:p>
    <w:p w14:paraId="3DBCC369" w14:textId="65DFDBD9" w:rsidR="00AB15AB" w:rsidRDefault="00AB15AB" w:rsidP="00F41957">
      <w:pPr>
        <w:pStyle w:val="paragraph"/>
        <w:numPr>
          <w:ilvl w:val="0"/>
          <w:numId w:val="61"/>
        </w:numPr>
        <w:spacing w:before="0" w:beforeAutospacing="0" w:after="0" w:afterAutospacing="0"/>
        <w:textAlignment w:val="baseline"/>
      </w:pPr>
      <w:r>
        <w:t xml:space="preserve">It is not clear to what degree school district salaries are influenced by general labor market conditions, particularly in labor markets where a few high wage employers can affect the average wage. </w:t>
      </w:r>
    </w:p>
    <w:p w14:paraId="5801F2C4" w14:textId="7CFFB1FA" w:rsidR="00AB15AB" w:rsidRDefault="00D369D5" w:rsidP="00F41957">
      <w:pPr>
        <w:pStyle w:val="paragraph"/>
        <w:numPr>
          <w:ilvl w:val="0"/>
          <w:numId w:val="61"/>
        </w:numPr>
        <w:spacing w:before="0" w:beforeAutospacing="0" w:after="0" w:afterAutospacing="0"/>
        <w:textAlignment w:val="baseline"/>
      </w:pPr>
      <w:r>
        <w:t>While town by town differences may b</w:t>
      </w:r>
      <w:r w:rsidR="00CE030F">
        <w:t>e</w:t>
      </w:r>
      <w:r>
        <w:t xml:space="preserve"> overstated by the WAF, there is little doubt that at the broader, more regional level, t</w:t>
      </w:r>
      <w:r w:rsidR="00AB15AB">
        <w:t>he 1.0 floor on the WAF distorts the foundation budget salary assumptions in low wage areas.</w:t>
      </w:r>
    </w:p>
    <w:p w14:paraId="6FF4FD2E" w14:textId="24A1B81C" w:rsidR="00AB15AB" w:rsidRDefault="00AB15AB" w:rsidP="00AB15AB">
      <w:pPr>
        <w:pStyle w:val="paragraph"/>
        <w:spacing w:before="0" w:beforeAutospacing="0" w:after="0" w:afterAutospacing="0"/>
        <w:textAlignment w:val="baseline"/>
      </w:pPr>
    </w:p>
    <w:p w14:paraId="6B20E150" w14:textId="7187C26D" w:rsidR="00AB15AB" w:rsidRDefault="00F6783A" w:rsidP="00AB15AB">
      <w:pPr>
        <w:pStyle w:val="paragraph"/>
        <w:spacing w:before="0" w:beforeAutospacing="0" w:after="0" w:afterAutospacing="0"/>
        <w:textAlignment w:val="baseline"/>
      </w:pPr>
      <w:r>
        <w:t>These issues and the broader question of the accuracy of the salary assumptions in the foundation budget would require a more in-depth econometric study</w:t>
      </w:r>
      <w:r w:rsidR="00D369D5">
        <w:t>, than this general report is suited to address</w:t>
      </w:r>
      <w:r>
        <w:t>.</w:t>
      </w:r>
    </w:p>
    <w:p w14:paraId="0679D2EE" w14:textId="6EC81771" w:rsidR="003217CD" w:rsidRDefault="00E116AE" w:rsidP="003217CD">
      <w:pPr>
        <w:pStyle w:val="Heading1"/>
      </w:pPr>
      <w:bookmarkStart w:id="17" w:name="_Toc55558703"/>
      <w:bookmarkStart w:id="18" w:name="_Toc57725128"/>
      <w:r>
        <w:t>Setting contribution targets</w:t>
      </w:r>
      <w:bookmarkEnd w:id="17"/>
      <w:bookmarkEnd w:id="18"/>
    </w:p>
    <w:p w14:paraId="0D3838A6" w14:textId="003ACA8F" w:rsidR="00925DF6" w:rsidRPr="005D19B8" w:rsidRDefault="00C57665" w:rsidP="00CF16E8">
      <w:r>
        <w:t>Local contribution requirements are based on the fiscal capacity measures, described above, and by two key policy decisions: how the funding of the foundation budget should be shared between the state and local levels and what cap (if any) should be placed on the contribution of high-wealth communities.</w:t>
      </w:r>
    </w:p>
    <w:p w14:paraId="08AAF7B4" w14:textId="2EB1B659" w:rsidR="0019497B" w:rsidRPr="00385350" w:rsidRDefault="005F2238" w:rsidP="00CF16E8">
      <w:pPr>
        <w:pStyle w:val="Heading3"/>
      </w:pPr>
      <w:bookmarkStart w:id="19" w:name="_Toc55558704"/>
      <w:bookmarkStart w:id="20" w:name="_Toc57725129"/>
      <w:r>
        <w:t>L</w:t>
      </w:r>
      <w:r w:rsidR="0019497B">
        <w:t xml:space="preserve">ocal share </w:t>
      </w:r>
      <w:r w:rsidR="009511C5">
        <w:t xml:space="preserve">of </w:t>
      </w:r>
      <w:r>
        <w:t>foundation budget</w:t>
      </w:r>
      <w:bookmarkEnd w:id="19"/>
      <w:bookmarkEnd w:id="20"/>
    </w:p>
    <w:p w14:paraId="21ED5F8D" w14:textId="2528B2F9" w:rsidR="0019497B" w:rsidRDefault="0019497B" w:rsidP="0019497B">
      <w:pPr>
        <w:pStyle w:val="NormalWeb"/>
        <w:spacing w:before="0" w:beforeAutospacing="0" w:after="0" w:afterAutospacing="0"/>
        <w:rPr>
          <w:color w:val="000000"/>
        </w:rPr>
      </w:pPr>
      <w:r w:rsidRPr="4910F8A3">
        <w:rPr>
          <w:color w:val="000000" w:themeColor="text1"/>
        </w:rPr>
        <w:t xml:space="preserve">As noted earlier, the target local contributions are calculated to raise 59% of the statewide foundation budget, with the remaining 41% coming from Chapter 70 aid. </w:t>
      </w:r>
      <w:r w:rsidR="006620BC" w:rsidRPr="4910F8A3">
        <w:rPr>
          <w:color w:val="000000" w:themeColor="text1"/>
        </w:rPr>
        <w:t>Some have</w:t>
      </w:r>
      <w:r w:rsidRPr="4910F8A3">
        <w:rPr>
          <w:color w:val="000000" w:themeColor="text1"/>
        </w:rPr>
        <w:t xml:space="preserve"> suggested that the state should be contributing a higher </w:t>
      </w:r>
      <w:r w:rsidR="7619F3E3" w:rsidRPr="4910F8A3">
        <w:rPr>
          <w:color w:val="000000" w:themeColor="text1"/>
        </w:rPr>
        <w:t xml:space="preserve">statewide </w:t>
      </w:r>
      <w:r w:rsidRPr="4910F8A3">
        <w:rPr>
          <w:color w:val="000000" w:themeColor="text1"/>
        </w:rPr>
        <w:t>percentage as a matter of equity. Further discussion of this issue should consider the following:</w:t>
      </w:r>
    </w:p>
    <w:p w14:paraId="6F3D880B" w14:textId="77777777" w:rsidR="00B410EB" w:rsidRDefault="00B410EB" w:rsidP="0019497B">
      <w:pPr>
        <w:pStyle w:val="NormalWeb"/>
        <w:spacing w:before="0" w:beforeAutospacing="0" w:after="0" w:afterAutospacing="0"/>
        <w:rPr>
          <w:color w:val="000000"/>
        </w:rPr>
      </w:pPr>
    </w:p>
    <w:p w14:paraId="2A776FAD" w14:textId="55058411" w:rsidR="0019497B" w:rsidRPr="00385350" w:rsidRDefault="0019497B" w:rsidP="0019497B">
      <w:pPr>
        <w:pStyle w:val="NormalWeb"/>
        <w:numPr>
          <w:ilvl w:val="0"/>
          <w:numId w:val="5"/>
        </w:numPr>
        <w:spacing w:before="0" w:beforeAutospacing="0" w:after="0" w:afterAutospacing="0"/>
        <w:rPr>
          <w:color w:val="000000"/>
        </w:rPr>
      </w:pPr>
      <w:r w:rsidRPr="4910F8A3">
        <w:rPr>
          <w:color w:val="000000" w:themeColor="text1"/>
        </w:rPr>
        <w:t>A higher state percentage would mean a higher reliance on the state’s income and sales taxes, which tend to be much more volatile during recessionary periods than local property taxes.</w:t>
      </w:r>
    </w:p>
    <w:p w14:paraId="4D30AADA" w14:textId="33CF90E0" w:rsidR="6C2F7146" w:rsidRDefault="6C2F7146" w:rsidP="4910F8A3">
      <w:pPr>
        <w:pStyle w:val="NormalWeb"/>
        <w:numPr>
          <w:ilvl w:val="0"/>
          <w:numId w:val="5"/>
        </w:numPr>
        <w:spacing w:before="0" w:beforeAutospacing="0" w:after="0" w:afterAutospacing="0"/>
        <w:rPr>
          <w:color w:val="000000" w:themeColor="text1"/>
        </w:rPr>
      </w:pPr>
      <w:r w:rsidRPr="4910F8A3">
        <w:rPr>
          <w:color w:val="000000" w:themeColor="text1"/>
        </w:rPr>
        <w:t xml:space="preserve">Despite the implicit target state share of 41% </w:t>
      </w:r>
      <w:r w:rsidR="00162FDC">
        <w:rPr>
          <w:color w:val="000000" w:themeColor="text1"/>
        </w:rPr>
        <w:t xml:space="preserve">that </w:t>
      </w:r>
      <w:r w:rsidR="00503D8B">
        <w:rPr>
          <w:color w:val="000000" w:themeColor="text1"/>
        </w:rPr>
        <w:t xml:space="preserve">was implemented in </w:t>
      </w:r>
      <w:r w:rsidRPr="4910F8A3">
        <w:rPr>
          <w:color w:val="000000" w:themeColor="text1"/>
        </w:rPr>
        <w:t>FY07, the actual state shar</w:t>
      </w:r>
      <w:r w:rsidR="7D722F0A" w:rsidRPr="4910F8A3">
        <w:rPr>
          <w:color w:val="000000" w:themeColor="text1"/>
        </w:rPr>
        <w:t xml:space="preserve">e </w:t>
      </w:r>
      <w:r w:rsidR="00FF6625">
        <w:rPr>
          <w:color w:val="000000" w:themeColor="text1"/>
        </w:rPr>
        <w:t>remained constant</w:t>
      </w:r>
      <w:r w:rsidR="7D722F0A" w:rsidRPr="4910F8A3">
        <w:rPr>
          <w:color w:val="000000" w:themeColor="text1"/>
        </w:rPr>
        <w:t xml:space="preserve"> </w:t>
      </w:r>
      <w:r w:rsidR="00FF6625" w:rsidRPr="4D2D6F3C">
        <w:rPr>
          <w:color w:val="000000" w:themeColor="text1"/>
        </w:rPr>
        <w:t>at</w:t>
      </w:r>
      <w:r w:rsidR="0B398F26" w:rsidRPr="4D2D6F3C">
        <w:rPr>
          <w:color w:val="000000" w:themeColor="text1"/>
        </w:rPr>
        <w:t xml:space="preserve"> </w:t>
      </w:r>
      <w:r w:rsidR="7D722F0A" w:rsidRPr="4D2D6F3C">
        <w:rPr>
          <w:color w:val="000000" w:themeColor="text1"/>
        </w:rPr>
        <w:t>4</w:t>
      </w:r>
      <w:r w:rsidR="00BE3BCB" w:rsidRPr="4D2D6F3C">
        <w:rPr>
          <w:color w:val="000000" w:themeColor="text1"/>
        </w:rPr>
        <w:t>4</w:t>
      </w:r>
      <w:r w:rsidR="7D722F0A" w:rsidRPr="4910F8A3">
        <w:rPr>
          <w:color w:val="000000" w:themeColor="text1"/>
        </w:rPr>
        <w:t xml:space="preserve">% </w:t>
      </w:r>
      <w:r w:rsidR="00FF6625">
        <w:rPr>
          <w:color w:val="000000" w:themeColor="text1"/>
        </w:rPr>
        <w:t>from 2004 through 2014 before rising to 46%</w:t>
      </w:r>
      <w:r w:rsidR="003D0E64">
        <w:rPr>
          <w:color w:val="000000" w:themeColor="text1"/>
        </w:rPr>
        <w:t xml:space="preserve"> in FY20</w:t>
      </w:r>
      <w:r w:rsidR="00C57665">
        <w:rPr>
          <w:color w:val="000000" w:themeColor="text1"/>
        </w:rPr>
        <w:t xml:space="preserve"> due to hold harmless aid and additional aid </w:t>
      </w:r>
      <w:r w:rsidR="006C7FA0">
        <w:rPr>
          <w:color w:val="000000" w:themeColor="text1"/>
        </w:rPr>
        <w:t xml:space="preserve">directed </w:t>
      </w:r>
      <w:r w:rsidR="00C57665">
        <w:rPr>
          <w:color w:val="000000" w:themeColor="text1"/>
        </w:rPr>
        <w:t>to below effort communities</w:t>
      </w:r>
      <w:r w:rsidR="7D722F0A" w:rsidRPr="4910F8A3">
        <w:rPr>
          <w:color w:val="000000" w:themeColor="text1"/>
        </w:rPr>
        <w:t xml:space="preserve">. Given the state’s </w:t>
      </w:r>
      <w:r w:rsidR="4C9B3FA8" w:rsidRPr="4910F8A3">
        <w:rPr>
          <w:color w:val="000000" w:themeColor="text1"/>
        </w:rPr>
        <w:t xml:space="preserve">commitment to funding the </w:t>
      </w:r>
      <w:r w:rsidR="002B0864">
        <w:rPr>
          <w:color w:val="000000" w:themeColor="text1"/>
        </w:rPr>
        <w:t>SOA</w:t>
      </w:r>
      <w:r w:rsidR="4C9B3FA8" w:rsidRPr="4910F8A3">
        <w:rPr>
          <w:color w:val="000000" w:themeColor="text1"/>
        </w:rPr>
        <w:t>’s significant</w:t>
      </w:r>
      <w:r w:rsidR="5B1388F2" w:rsidRPr="4910F8A3">
        <w:rPr>
          <w:color w:val="000000" w:themeColor="text1"/>
        </w:rPr>
        <w:t xml:space="preserve"> expansion of</w:t>
      </w:r>
      <w:r w:rsidR="6FD13950" w:rsidRPr="4910F8A3">
        <w:rPr>
          <w:color w:val="000000" w:themeColor="text1"/>
        </w:rPr>
        <w:t xml:space="preserve"> foundation budgets</w:t>
      </w:r>
      <w:r w:rsidR="00C57665">
        <w:rPr>
          <w:color w:val="000000" w:themeColor="text1"/>
        </w:rPr>
        <w:t xml:space="preserve">, </w:t>
      </w:r>
      <w:r w:rsidR="6FD13950" w:rsidRPr="4910F8A3">
        <w:rPr>
          <w:color w:val="000000" w:themeColor="text1"/>
        </w:rPr>
        <w:t>th</w:t>
      </w:r>
      <w:r w:rsidR="463EBD95" w:rsidRPr="4910F8A3">
        <w:rPr>
          <w:color w:val="000000" w:themeColor="text1"/>
        </w:rPr>
        <w:t>e</w:t>
      </w:r>
      <w:r w:rsidR="6FD13950" w:rsidRPr="4910F8A3">
        <w:rPr>
          <w:color w:val="000000" w:themeColor="text1"/>
        </w:rPr>
        <w:t xml:space="preserve"> actual </w:t>
      </w:r>
      <w:r w:rsidR="3F2E2F6C" w:rsidRPr="4910F8A3">
        <w:rPr>
          <w:color w:val="000000" w:themeColor="text1"/>
        </w:rPr>
        <w:t xml:space="preserve">state </w:t>
      </w:r>
      <w:r w:rsidR="6FD13950" w:rsidRPr="4910F8A3">
        <w:rPr>
          <w:color w:val="000000" w:themeColor="text1"/>
        </w:rPr>
        <w:t>share</w:t>
      </w:r>
      <w:r w:rsidR="19BC7A54" w:rsidRPr="4910F8A3">
        <w:rPr>
          <w:color w:val="000000" w:themeColor="text1"/>
        </w:rPr>
        <w:t xml:space="preserve"> </w:t>
      </w:r>
      <w:r w:rsidR="00FF6625">
        <w:rPr>
          <w:color w:val="000000" w:themeColor="text1"/>
        </w:rPr>
        <w:t xml:space="preserve">of foundation budgets </w:t>
      </w:r>
      <w:r w:rsidR="19BC7A54" w:rsidRPr="4910F8A3">
        <w:rPr>
          <w:color w:val="000000" w:themeColor="text1"/>
        </w:rPr>
        <w:t xml:space="preserve">could </w:t>
      </w:r>
      <w:r w:rsidR="00C57665">
        <w:rPr>
          <w:color w:val="000000" w:themeColor="text1"/>
        </w:rPr>
        <w:t>rise even higher than</w:t>
      </w:r>
      <w:r w:rsidR="19BC7A54" w:rsidRPr="4910F8A3">
        <w:rPr>
          <w:color w:val="000000" w:themeColor="text1"/>
        </w:rPr>
        <w:t xml:space="preserve"> </w:t>
      </w:r>
      <w:r w:rsidR="00FF6625">
        <w:rPr>
          <w:color w:val="000000" w:themeColor="text1"/>
        </w:rPr>
        <w:t xml:space="preserve">the current </w:t>
      </w:r>
      <w:r w:rsidR="19BC7A54" w:rsidRPr="4910F8A3">
        <w:rPr>
          <w:color w:val="000000" w:themeColor="text1"/>
        </w:rPr>
        <w:t>4</w:t>
      </w:r>
      <w:r w:rsidR="00FF6625">
        <w:rPr>
          <w:color w:val="000000" w:themeColor="text1"/>
        </w:rPr>
        <w:t>6</w:t>
      </w:r>
      <w:r w:rsidR="19BC7A54" w:rsidRPr="4910F8A3">
        <w:rPr>
          <w:color w:val="000000" w:themeColor="text1"/>
        </w:rPr>
        <w:t xml:space="preserve">% level </w:t>
      </w:r>
      <w:r w:rsidR="00F45BBB" w:rsidRPr="00BF34F6">
        <w:rPr>
          <w:color w:val="000000" w:themeColor="text1"/>
        </w:rPr>
        <w:t xml:space="preserve"> if </w:t>
      </w:r>
      <w:r w:rsidR="00FF6625" w:rsidRPr="00F45BBB">
        <w:rPr>
          <w:color w:val="000000" w:themeColor="text1"/>
        </w:rPr>
        <w:t xml:space="preserve">required local contribution </w:t>
      </w:r>
      <w:r w:rsidR="19BC7A54" w:rsidRPr="00F45BBB">
        <w:rPr>
          <w:color w:val="000000" w:themeColor="text1"/>
        </w:rPr>
        <w:t xml:space="preserve">increases </w:t>
      </w:r>
      <w:r w:rsidR="01E38224" w:rsidRPr="00F45BBB">
        <w:rPr>
          <w:color w:val="000000" w:themeColor="text1"/>
        </w:rPr>
        <w:t xml:space="preserve">in </w:t>
      </w:r>
      <w:r w:rsidR="00C57665" w:rsidRPr="00F45BBB">
        <w:rPr>
          <w:color w:val="000000" w:themeColor="text1"/>
        </w:rPr>
        <w:t xml:space="preserve">some </w:t>
      </w:r>
      <w:r w:rsidR="01E38224" w:rsidRPr="00F45BBB">
        <w:rPr>
          <w:color w:val="000000" w:themeColor="text1"/>
        </w:rPr>
        <w:t xml:space="preserve">communities </w:t>
      </w:r>
      <w:r w:rsidR="00FF6625" w:rsidRPr="00F45BBB">
        <w:rPr>
          <w:color w:val="000000" w:themeColor="text1"/>
        </w:rPr>
        <w:t>are</w:t>
      </w:r>
      <w:r w:rsidR="19BC7A54" w:rsidRPr="00F45BBB">
        <w:rPr>
          <w:color w:val="000000" w:themeColor="text1"/>
        </w:rPr>
        <w:t xml:space="preserve"> not </w:t>
      </w:r>
      <w:r w:rsidR="003D0E64" w:rsidRPr="00F45BBB">
        <w:rPr>
          <w:color w:val="000000" w:themeColor="text1"/>
        </w:rPr>
        <w:t xml:space="preserve">sufficient to </w:t>
      </w:r>
      <w:r w:rsidR="19BC7A54" w:rsidRPr="00F45BBB">
        <w:rPr>
          <w:color w:val="000000" w:themeColor="text1"/>
        </w:rPr>
        <w:t xml:space="preserve">keep up with the </w:t>
      </w:r>
      <w:r w:rsidR="01AE82AC" w:rsidRPr="00F45BBB">
        <w:rPr>
          <w:color w:val="000000" w:themeColor="text1"/>
        </w:rPr>
        <w:t>foundation budget increases.</w:t>
      </w:r>
      <w:r w:rsidR="6FD13950" w:rsidRPr="4910F8A3">
        <w:rPr>
          <w:color w:val="000000" w:themeColor="text1"/>
        </w:rPr>
        <w:t xml:space="preserve"> </w:t>
      </w:r>
    </w:p>
    <w:p w14:paraId="43041651" w14:textId="37FC0202" w:rsidR="0019497B" w:rsidRPr="00385350" w:rsidRDefault="0019497B" w:rsidP="0019497B">
      <w:pPr>
        <w:pStyle w:val="NormalWeb"/>
        <w:numPr>
          <w:ilvl w:val="0"/>
          <w:numId w:val="5"/>
        </w:numPr>
        <w:spacing w:before="0" w:beforeAutospacing="0" w:after="0" w:afterAutospacing="0"/>
        <w:rPr>
          <w:color w:val="000000"/>
        </w:rPr>
      </w:pPr>
      <w:r w:rsidRPr="4910F8A3">
        <w:rPr>
          <w:color w:val="000000" w:themeColor="text1"/>
        </w:rPr>
        <w:lastRenderedPageBreak/>
        <w:t xml:space="preserve">Most municipalities appear capable of funding their current required contributions, and in fact most are exceeding their requirement. But as noted earlier, the required contributions will increase in the next several years </w:t>
      </w:r>
      <w:r w:rsidR="003D0E64">
        <w:rPr>
          <w:color w:val="000000" w:themeColor="text1"/>
        </w:rPr>
        <w:t>for many districts</w:t>
      </w:r>
      <w:r w:rsidRPr="4910F8A3">
        <w:rPr>
          <w:color w:val="000000" w:themeColor="text1"/>
        </w:rPr>
        <w:t xml:space="preserve"> as the </w:t>
      </w:r>
      <w:r w:rsidR="002B0864">
        <w:rPr>
          <w:color w:val="000000" w:themeColor="text1"/>
        </w:rPr>
        <w:t>SOA</w:t>
      </w:r>
      <w:r w:rsidRPr="4910F8A3">
        <w:rPr>
          <w:color w:val="000000" w:themeColor="text1"/>
        </w:rPr>
        <w:t>’s higher foundation budgets are phased in. We will need to monitor how well cities and towns are able to adjust to these higher requirements</w:t>
      </w:r>
      <w:r w:rsidR="6D174F26" w:rsidRPr="4910F8A3">
        <w:rPr>
          <w:color w:val="000000" w:themeColor="text1"/>
        </w:rPr>
        <w:t>.</w:t>
      </w:r>
    </w:p>
    <w:p w14:paraId="7FD7ECFB" w14:textId="0B054A07" w:rsidR="0019497B" w:rsidRPr="00385350" w:rsidRDefault="007951A6" w:rsidP="0019497B">
      <w:pPr>
        <w:pStyle w:val="Heading3"/>
      </w:pPr>
      <w:bookmarkStart w:id="21" w:name="_Toc55558705"/>
      <w:bookmarkStart w:id="22" w:name="_Toc57725130"/>
      <w:r>
        <w:t>Cap on r</w:t>
      </w:r>
      <w:r w:rsidR="0019497B">
        <w:t>equired contribution</w:t>
      </w:r>
      <w:r>
        <w:t>s</w:t>
      </w:r>
      <w:bookmarkEnd w:id="21"/>
      <w:bookmarkEnd w:id="22"/>
    </w:p>
    <w:p w14:paraId="6AB8F1A0" w14:textId="3CF5A111" w:rsidR="0019497B" w:rsidRPr="00385350" w:rsidRDefault="0019497B" w:rsidP="4910F8A3">
      <w:pPr>
        <w:pStyle w:val="NormalWeb"/>
        <w:spacing w:before="0" w:beforeAutospacing="0" w:after="0" w:afterAutospacing="0"/>
        <w:rPr>
          <w:color w:val="000000" w:themeColor="text1"/>
        </w:rPr>
      </w:pPr>
      <w:r w:rsidRPr="00385350">
        <w:rPr>
          <w:color w:val="000000"/>
        </w:rPr>
        <w:t>As noted earlier, the current formula</w:t>
      </w:r>
      <w:r w:rsidR="70D97806" w:rsidRPr="00385350">
        <w:rPr>
          <w:color w:val="000000"/>
        </w:rPr>
        <w:t xml:space="preserve"> </w:t>
      </w:r>
      <w:r w:rsidR="57E44485" w:rsidRPr="00385350">
        <w:rPr>
          <w:color w:val="000000"/>
        </w:rPr>
        <w:t xml:space="preserve">includes </w:t>
      </w:r>
      <w:r w:rsidRPr="00385350">
        <w:rPr>
          <w:color w:val="000000"/>
        </w:rPr>
        <w:t>a cap on local contribution requirement</w:t>
      </w:r>
      <w:r w:rsidR="00C10430">
        <w:rPr>
          <w:color w:val="000000"/>
        </w:rPr>
        <w:t>s</w:t>
      </w:r>
      <w:r w:rsidRPr="00385350">
        <w:rPr>
          <w:color w:val="000000"/>
        </w:rPr>
        <w:t xml:space="preserve"> equal to 82.5% of the community’s foundation budget. I</w:t>
      </w:r>
      <w:r w:rsidR="1B7C97B0" w:rsidRPr="00385350">
        <w:rPr>
          <w:color w:val="000000"/>
        </w:rPr>
        <w:t>n</w:t>
      </w:r>
      <w:r w:rsidRPr="00385350">
        <w:rPr>
          <w:color w:val="000000"/>
        </w:rPr>
        <w:t xml:space="preserve"> </w:t>
      </w:r>
      <w:r w:rsidR="580BD84C" w:rsidRPr="00385350">
        <w:rPr>
          <w:color w:val="000000"/>
        </w:rPr>
        <w:t>the first year of operation</w:t>
      </w:r>
      <w:r w:rsidR="00C51BEF">
        <w:rPr>
          <w:color w:val="000000"/>
        </w:rPr>
        <w:t>,</w:t>
      </w:r>
      <w:r w:rsidR="580BD84C" w:rsidRPr="00385350">
        <w:rPr>
          <w:color w:val="000000"/>
        </w:rPr>
        <w:t xml:space="preserve"> this cap </w:t>
      </w:r>
      <w:r w:rsidR="008E4F74">
        <w:rPr>
          <w:color w:val="000000"/>
        </w:rPr>
        <w:t>applied to</w:t>
      </w:r>
      <w:r w:rsidR="580BD84C" w:rsidRPr="00385350">
        <w:rPr>
          <w:color w:val="000000"/>
        </w:rPr>
        <w:t xml:space="preserve"> 112 municipalities</w:t>
      </w:r>
      <w:r w:rsidR="008E4F74">
        <w:rPr>
          <w:color w:val="000000"/>
        </w:rPr>
        <w:t>,</w:t>
      </w:r>
      <w:r w:rsidRPr="00385350">
        <w:rPr>
          <w:color w:val="000000"/>
        </w:rPr>
        <w:t xml:space="preserve"> ensur</w:t>
      </w:r>
      <w:r w:rsidR="008E4F74">
        <w:rPr>
          <w:color w:val="000000"/>
        </w:rPr>
        <w:t>ing</w:t>
      </w:r>
      <w:r w:rsidRPr="00385350">
        <w:rPr>
          <w:color w:val="000000"/>
        </w:rPr>
        <w:t xml:space="preserve"> that they received a</w:t>
      </w:r>
      <w:r w:rsidR="60790482" w:rsidRPr="00385350">
        <w:rPr>
          <w:color w:val="000000"/>
        </w:rPr>
        <w:t xml:space="preserve"> threshold level</w:t>
      </w:r>
      <w:r w:rsidRPr="00385350">
        <w:rPr>
          <w:color w:val="000000"/>
        </w:rPr>
        <w:t xml:space="preserve"> of Chapter 70 aid</w:t>
      </w:r>
      <w:r w:rsidR="536EBE1B" w:rsidRPr="00385350">
        <w:rPr>
          <w:color w:val="000000"/>
        </w:rPr>
        <w:t xml:space="preserve"> </w:t>
      </w:r>
      <w:r w:rsidR="00FF2597">
        <w:rPr>
          <w:color w:val="000000"/>
        </w:rPr>
        <w:t xml:space="preserve">once the new local contribution targets </w:t>
      </w:r>
      <w:r w:rsidR="0C85FD4F" w:rsidRPr="00385350">
        <w:rPr>
          <w:color w:val="000000"/>
        </w:rPr>
        <w:t xml:space="preserve">were </w:t>
      </w:r>
      <w:r w:rsidR="00FF2597">
        <w:rPr>
          <w:color w:val="000000"/>
        </w:rPr>
        <w:t xml:space="preserve">fully </w:t>
      </w:r>
      <w:r w:rsidR="0C85FD4F" w:rsidRPr="00385350">
        <w:rPr>
          <w:color w:val="000000"/>
        </w:rPr>
        <w:t>phased in</w:t>
      </w:r>
      <w:r w:rsidRPr="00385350">
        <w:rPr>
          <w:color w:val="000000"/>
        </w:rPr>
        <w:t>. Over time</w:t>
      </w:r>
      <w:r w:rsidR="0058573D">
        <w:rPr>
          <w:color w:val="000000"/>
        </w:rPr>
        <w:t>,</w:t>
      </w:r>
      <w:r w:rsidRPr="00385350">
        <w:rPr>
          <w:color w:val="000000"/>
        </w:rPr>
        <w:t xml:space="preserve"> the number of municipalities affected by the cap has increased significantly, reaching 148 </w:t>
      </w:r>
      <w:r>
        <w:rPr>
          <w:color w:val="000000"/>
        </w:rPr>
        <w:t xml:space="preserve">or </w:t>
      </w:r>
      <w:r w:rsidR="003A1BB2" w:rsidRPr="00356EA4">
        <w:rPr>
          <w:color w:val="000000"/>
        </w:rPr>
        <w:t>42</w:t>
      </w:r>
      <w:r>
        <w:rPr>
          <w:color w:val="000000"/>
        </w:rPr>
        <w:t xml:space="preserve">% </w:t>
      </w:r>
      <w:r w:rsidRPr="00385350">
        <w:rPr>
          <w:color w:val="000000"/>
        </w:rPr>
        <w:t xml:space="preserve">in </w:t>
      </w:r>
      <w:r w:rsidR="006346E3">
        <w:rPr>
          <w:color w:val="000000"/>
        </w:rPr>
        <w:t xml:space="preserve">fiscal </w:t>
      </w:r>
      <w:r w:rsidR="000278A4">
        <w:rPr>
          <w:color w:val="000000"/>
        </w:rPr>
        <w:t>FY</w:t>
      </w:r>
      <w:r w:rsidR="006346E3">
        <w:rPr>
          <w:color w:val="000000"/>
        </w:rPr>
        <w:t>20</w:t>
      </w:r>
      <w:r w:rsidRPr="00385350">
        <w:rPr>
          <w:color w:val="000000"/>
        </w:rPr>
        <w:t xml:space="preserve">. Without the 82.5% cap, the target contributions of these communities </w:t>
      </w:r>
      <w:r w:rsidR="00A75069">
        <w:rPr>
          <w:color w:val="000000"/>
        </w:rPr>
        <w:t>c</w:t>
      </w:r>
      <w:r w:rsidRPr="00385350">
        <w:rPr>
          <w:color w:val="000000"/>
        </w:rPr>
        <w:t>ould range from that level up to 100</w:t>
      </w:r>
      <w:r w:rsidR="00DE31E8">
        <w:rPr>
          <w:color w:val="000000"/>
        </w:rPr>
        <w:t>%</w:t>
      </w:r>
      <w:r w:rsidRPr="00385350">
        <w:rPr>
          <w:color w:val="000000"/>
        </w:rPr>
        <w:t>.</w:t>
      </w:r>
      <w:r w:rsidRPr="00385350">
        <w:rPr>
          <w:rStyle w:val="FootnoteReference"/>
          <w:color w:val="000000"/>
        </w:rPr>
        <w:footnoteReference w:id="20"/>
      </w:r>
      <w:r w:rsidRPr="00385350">
        <w:rPr>
          <w:color w:val="000000"/>
        </w:rPr>
        <w:t xml:space="preserve"> </w:t>
      </w:r>
    </w:p>
    <w:p w14:paraId="44F8CFE7" w14:textId="3F8E700D" w:rsidR="0019497B" w:rsidRPr="00385350" w:rsidRDefault="0019497B" w:rsidP="4910F8A3">
      <w:pPr>
        <w:pStyle w:val="NormalWeb"/>
        <w:spacing w:before="0" w:beforeAutospacing="0" w:after="0" w:afterAutospacing="0"/>
        <w:rPr>
          <w:color w:val="000000" w:themeColor="text1"/>
        </w:rPr>
      </w:pPr>
    </w:p>
    <w:p w14:paraId="19AB4934" w14:textId="454F7493" w:rsidR="0019497B" w:rsidRPr="00385350" w:rsidRDefault="0019497B" w:rsidP="0019497B">
      <w:pPr>
        <w:pStyle w:val="NormalWeb"/>
        <w:spacing w:before="0" w:beforeAutospacing="0" w:after="0" w:afterAutospacing="0"/>
        <w:rPr>
          <w:color w:val="000000"/>
        </w:rPr>
      </w:pPr>
      <w:r w:rsidRPr="00385350">
        <w:rPr>
          <w:color w:val="000000"/>
        </w:rPr>
        <w:t xml:space="preserve">This factor clearly reduces the equity and progressivity of the target </w:t>
      </w:r>
      <w:r w:rsidR="00D82C84">
        <w:rPr>
          <w:color w:val="000000"/>
        </w:rPr>
        <w:t>aid</w:t>
      </w:r>
      <w:r w:rsidR="0E0928BD" w:rsidRPr="00385350">
        <w:rPr>
          <w:color w:val="000000"/>
        </w:rPr>
        <w:t xml:space="preserve"> </w:t>
      </w:r>
      <w:r w:rsidRPr="00385350">
        <w:rPr>
          <w:color w:val="000000"/>
        </w:rPr>
        <w:t xml:space="preserve">calculation </w:t>
      </w:r>
      <w:r w:rsidR="0F1DBA54" w:rsidRPr="00385350">
        <w:rPr>
          <w:color w:val="000000"/>
        </w:rPr>
        <w:t>by</w:t>
      </w:r>
      <w:r w:rsidRPr="00385350">
        <w:rPr>
          <w:color w:val="000000"/>
        </w:rPr>
        <w:t xml:space="preserve"> </w:t>
      </w:r>
      <w:r w:rsidR="00823FD8">
        <w:rPr>
          <w:color w:val="000000"/>
        </w:rPr>
        <w:t>treating municipalities with different levels of fiscal capacity the same</w:t>
      </w:r>
      <w:r w:rsidR="00A63A5C">
        <w:rPr>
          <w:color w:val="000000"/>
        </w:rPr>
        <w:t xml:space="preserve"> </w:t>
      </w:r>
      <w:r w:rsidR="00C70120">
        <w:rPr>
          <w:color w:val="000000"/>
        </w:rPr>
        <w:t xml:space="preserve">by setting a floor on </w:t>
      </w:r>
      <w:r w:rsidR="00A63A5C">
        <w:rPr>
          <w:color w:val="000000"/>
        </w:rPr>
        <w:t>state aid of 17.5% of foundation budget</w:t>
      </w:r>
      <w:r w:rsidRPr="00385350">
        <w:rPr>
          <w:color w:val="000000"/>
        </w:rPr>
        <w:t xml:space="preserve">. </w:t>
      </w:r>
      <w:r w:rsidR="21A3B47A" w:rsidRPr="00385350">
        <w:rPr>
          <w:color w:val="000000"/>
        </w:rPr>
        <w:t xml:space="preserve">While all communities received some level of </w:t>
      </w:r>
      <w:r w:rsidR="00823FD8">
        <w:rPr>
          <w:color w:val="000000"/>
        </w:rPr>
        <w:t>C</w:t>
      </w:r>
      <w:r w:rsidR="21A3B47A" w:rsidRPr="00385350">
        <w:rPr>
          <w:color w:val="000000"/>
        </w:rPr>
        <w:t xml:space="preserve">hapter 70 aid prior to </w:t>
      </w:r>
      <w:r w:rsidR="000E7A90">
        <w:rPr>
          <w:color w:val="000000"/>
        </w:rPr>
        <w:t>implementation of the</w:t>
      </w:r>
      <w:r w:rsidR="4269559B" w:rsidRPr="00385350">
        <w:rPr>
          <w:color w:val="000000"/>
        </w:rPr>
        <w:t xml:space="preserve"> 82.5% cap, </w:t>
      </w:r>
      <w:r w:rsidR="009A31A2">
        <w:rPr>
          <w:color w:val="000000"/>
        </w:rPr>
        <w:t xml:space="preserve">establishing a 17.5% </w:t>
      </w:r>
      <w:r w:rsidR="5425EBD9" w:rsidRPr="00385350">
        <w:rPr>
          <w:color w:val="000000"/>
        </w:rPr>
        <w:t xml:space="preserve">target </w:t>
      </w:r>
      <w:r w:rsidR="4269559B" w:rsidRPr="00385350">
        <w:rPr>
          <w:color w:val="000000"/>
        </w:rPr>
        <w:t xml:space="preserve">aid level for over </w:t>
      </w:r>
      <w:r w:rsidR="0C3FEC20" w:rsidRPr="00385350">
        <w:rPr>
          <w:color w:val="000000"/>
        </w:rPr>
        <w:t xml:space="preserve">40% of </w:t>
      </w:r>
      <w:r w:rsidR="009A31A2">
        <w:rPr>
          <w:color w:val="000000"/>
        </w:rPr>
        <w:t xml:space="preserve">the </w:t>
      </w:r>
      <w:r w:rsidR="0C3FEC20" w:rsidRPr="00385350">
        <w:rPr>
          <w:color w:val="000000"/>
        </w:rPr>
        <w:t xml:space="preserve">communities in the Commonwealth has diminished the correlation </w:t>
      </w:r>
      <w:r w:rsidR="00AD34BB">
        <w:rPr>
          <w:color w:val="000000"/>
        </w:rPr>
        <w:t>between</w:t>
      </w:r>
      <w:r w:rsidR="0C3FEC20" w:rsidRPr="00385350">
        <w:rPr>
          <w:color w:val="000000"/>
        </w:rPr>
        <w:t xml:space="preserve"> aid and fiscal capacity, at least among the large number of communi</w:t>
      </w:r>
      <w:r w:rsidR="42501878" w:rsidRPr="00385350">
        <w:rPr>
          <w:color w:val="000000"/>
        </w:rPr>
        <w:t>ties that are impacted by the contribution cap.</w:t>
      </w:r>
      <w:r w:rsidRPr="00385350">
        <w:rPr>
          <w:color w:val="000000"/>
        </w:rPr>
        <w:t xml:space="preserve"> </w:t>
      </w:r>
      <w:r w:rsidR="006518D6">
        <w:rPr>
          <w:color w:val="000000"/>
        </w:rPr>
        <w:t>I</w:t>
      </w:r>
      <w:r w:rsidR="009C467B">
        <w:rPr>
          <w:color w:val="000000"/>
        </w:rPr>
        <w:t xml:space="preserve">t should be </w:t>
      </w:r>
      <w:r w:rsidR="006518D6">
        <w:rPr>
          <w:color w:val="000000"/>
        </w:rPr>
        <w:t>noted, however, that the</w:t>
      </w:r>
      <w:r w:rsidR="00220EBF">
        <w:rPr>
          <w:color w:val="000000"/>
        </w:rPr>
        <w:t xml:space="preserve"> establishment of the</w:t>
      </w:r>
      <w:r w:rsidR="006518D6">
        <w:rPr>
          <w:color w:val="000000"/>
        </w:rPr>
        <w:t xml:space="preserve"> </w:t>
      </w:r>
      <w:r w:rsidR="005843C9">
        <w:rPr>
          <w:color w:val="000000"/>
        </w:rPr>
        <w:t xml:space="preserve">17.5% </w:t>
      </w:r>
      <w:r w:rsidR="0077590D">
        <w:rPr>
          <w:color w:val="000000"/>
        </w:rPr>
        <w:t xml:space="preserve">aid </w:t>
      </w:r>
      <w:r w:rsidR="00195350">
        <w:rPr>
          <w:color w:val="000000"/>
        </w:rPr>
        <w:t>target</w:t>
      </w:r>
      <w:r w:rsidR="005843C9">
        <w:rPr>
          <w:color w:val="000000"/>
        </w:rPr>
        <w:t xml:space="preserve"> </w:t>
      </w:r>
      <w:r w:rsidR="00900D75">
        <w:rPr>
          <w:color w:val="000000"/>
        </w:rPr>
        <w:t>does have</w:t>
      </w:r>
      <w:r w:rsidR="007E48B4">
        <w:rPr>
          <w:color w:val="000000"/>
        </w:rPr>
        <w:t xml:space="preserve"> the benefit of promoting bro</w:t>
      </w:r>
      <w:r w:rsidR="00EF6CAC">
        <w:rPr>
          <w:color w:val="000000"/>
        </w:rPr>
        <w:t>ad</w:t>
      </w:r>
      <w:r w:rsidR="007E48B4">
        <w:rPr>
          <w:color w:val="000000"/>
        </w:rPr>
        <w:t xml:space="preserve"> interest and support for the Chapter 70 program</w:t>
      </w:r>
      <w:r w:rsidR="00220EBF">
        <w:rPr>
          <w:color w:val="000000"/>
        </w:rPr>
        <w:t>.</w:t>
      </w:r>
      <w:r w:rsidR="007E48B4">
        <w:rPr>
          <w:color w:val="000000"/>
        </w:rPr>
        <w:t xml:space="preserve"> </w:t>
      </w:r>
      <w:r w:rsidR="007F7243">
        <w:rPr>
          <w:color w:val="000000"/>
        </w:rPr>
        <w:t>It is also</w:t>
      </w:r>
      <w:r w:rsidR="007E48B4">
        <w:rPr>
          <w:color w:val="000000"/>
        </w:rPr>
        <w:t xml:space="preserve"> consistent with</w:t>
      </w:r>
      <w:r w:rsidR="00B55A9D">
        <w:rPr>
          <w:color w:val="000000"/>
        </w:rPr>
        <w:t xml:space="preserve"> the Commonwealth’s constitutional obligation </w:t>
      </w:r>
      <w:r w:rsidR="003627A0">
        <w:rPr>
          <w:color w:val="000000"/>
        </w:rPr>
        <w:t>to support the education of all students</w:t>
      </w:r>
      <w:r w:rsidR="009C467B">
        <w:rPr>
          <w:color w:val="000000"/>
        </w:rPr>
        <w:t>.</w:t>
      </w:r>
    </w:p>
    <w:p w14:paraId="5B2418A5" w14:textId="77777777" w:rsidR="0019497B" w:rsidRDefault="0019497B" w:rsidP="0019497B">
      <w:pPr>
        <w:pStyle w:val="NormalWeb"/>
        <w:spacing w:before="0" w:beforeAutospacing="0" w:after="0" w:afterAutospacing="0"/>
        <w:rPr>
          <w:color w:val="000000"/>
        </w:rPr>
      </w:pPr>
    </w:p>
    <w:p w14:paraId="69826BB0" w14:textId="0A56311A" w:rsidR="00401B51" w:rsidRDefault="005005D5" w:rsidP="5A6EA7CF">
      <w:pPr>
        <w:pStyle w:val="NormalWeb"/>
        <w:spacing w:before="0" w:beforeAutospacing="0" w:after="0" w:afterAutospacing="0"/>
        <w:rPr>
          <w:color w:val="000000" w:themeColor="text1"/>
        </w:rPr>
      </w:pPr>
      <w:r>
        <w:rPr>
          <w:color w:val="000000" w:themeColor="text1"/>
        </w:rPr>
        <w:t xml:space="preserve">It should </w:t>
      </w:r>
      <w:r w:rsidR="005069A0">
        <w:rPr>
          <w:color w:val="000000" w:themeColor="text1"/>
        </w:rPr>
        <w:t xml:space="preserve">be </w:t>
      </w:r>
      <w:r>
        <w:rPr>
          <w:color w:val="000000" w:themeColor="text1"/>
        </w:rPr>
        <w:t>further noted that</w:t>
      </w:r>
      <w:r w:rsidR="00DC1AD2">
        <w:rPr>
          <w:color w:val="000000" w:themeColor="text1"/>
        </w:rPr>
        <w:t xml:space="preserve"> </w:t>
      </w:r>
      <w:r w:rsidR="00442873">
        <w:rPr>
          <w:color w:val="000000" w:themeColor="text1"/>
        </w:rPr>
        <w:t xml:space="preserve">with </w:t>
      </w:r>
      <w:r w:rsidR="00576FFA">
        <w:rPr>
          <w:color w:val="000000" w:themeColor="text1"/>
        </w:rPr>
        <w:t xml:space="preserve">40% of communities </w:t>
      </w:r>
      <w:r w:rsidR="00442873">
        <w:rPr>
          <w:color w:val="000000" w:themeColor="text1"/>
        </w:rPr>
        <w:t xml:space="preserve">capped </w:t>
      </w:r>
      <w:r w:rsidR="00576FFA">
        <w:rPr>
          <w:color w:val="000000" w:themeColor="text1"/>
        </w:rPr>
        <w:t xml:space="preserve">at 82.5% </w:t>
      </w:r>
      <w:r w:rsidR="007D0CE7">
        <w:rPr>
          <w:color w:val="000000" w:themeColor="text1"/>
        </w:rPr>
        <w:t xml:space="preserve"> and</w:t>
      </w:r>
      <w:r w:rsidR="0019497B" w:rsidRPr="5A6EA7CF">
        <w:rPr>
          <w:color w:val="000000" w:themeColor="text1"/>
        </w:rPr>
        <w:t xml:space="preserve"> the </w:t>
      </w:r>
      <w:r w:rsidR="002B0864">
        <w:rPr>
          <w:color w:val="000000" w:themeColor="text1"/>
        </w:rPr>
        <w:t>SOA</w:t>
      </w:r>
      <w:r w:rsidR="0019497B" w:rsidRPr="5A6EA7CF">
        <w:rPr>
          <w:color w:val="000000" w:themeColor="text1"/>
        </w:rPr>
        <w:t xml:space="preserve"> </w:t>
      </w:r>
      <w:r w:rsidR="733A4CEE" w:rsidRPr="5A6EA7CF">
        <w:rPr>
          <w:color w:val="000000" w:themeColor="text1"/>
        </w:rPr>
        <w:t>significant</w:t>
      </w:r>
      <w:r w:rsidR="007D0CE7">
        <w:rPr>
          <w:color w:val="000000" w:themeColor="text1"/>
        </w:rPr>
        <w:t>ly</w:t>
      </w:r>
      <w:r w:rsidR="733A4CEE" w:rsidRPr="5A6EA7CF">
        <w:rPr>
          <w:color w:val="000000" w:themeColor="text1"/>
        </w:rPr>
        <w:t xml:space="preserve"> expan</w:t>
      </w:r>
      <w:r w:rsidR="007D0CE7">
        <w:rPr>
          <w:color w:val="000000" w:themeColor="text1"/>
        </w:rPr>
        <w:t>di</w:t>
      </w:r>
      <w:r w:rsidR="00E42EFD">
        <w:rPr>
          <w:color w:val="000000" w:themeColor="text1"/>
        </w:rPr>
        <w:t>ng</w:t>
      </w:r>
      <w:r w:rsidR="0019497B" w:rsidRPr="5A6EA7CF">
        <w:rPr>
          <w:color w:val="000000" w:themeColor="text1"/>
        </w:rPr>
        <w:t xml:space="preserve"> foundation budgets</w:t>
      </w:r>
      <w:r w:rsidR="00E42EFD">
        <w:rPr>
          <w:color w:val="000000" w:themeColor="text1"/>
        </w:rPr>
        <w:t>,</w:t>
      </w:r>
      <w:r w:rsidR="0019497B" w:rsidRPr="5A6EA7CF">
        <w:rPr>
          <w:color w:val="000000" w:themeColor="text1"/>
        </w:rPr>
        <w:t xml:space="preserve"> </w:t>
      </w:r>
      <w:r w:rsidR="00E42EFD">
        <w:rPr>
          <w:color w:val="000000" w:themeColor="text1"/>
        </w:rPr>
        <w:t xml:space="preserve">we </w:t>
      </w:r>
      <w:r w:rsidR="1CF01DB5" w:rsidRPr="5A6EA7CF">
        <w:rPr>
          <w:color w:val="000000" w:themeColor="text1"/>
        </w:rPr>
        <w:t xml:space="preserve">may </w:t>
      </w:r>
      <w:r w:rsidR="00E42EFD">
        <w:rPr>
          <w:color w:val="000000" w:themeColor="text1"/>
        </w:rPr>
        <w:t>see</w:t>
      </w:r>
      <w:r w:rsidR="1CF01DB5" w:rsidRPr="5A6EA7CF">
        <w:rPr>
          <w:color w:val="000000" w:themeColor="text1"/>
        </w:rPr>
        <w:t xml:space="preserve"> more communities falling under the 82</w:t>
      </w:r>
      <w:r w:rsidR="00F01601">
        <w:rPr>
          <w:color w:val="000000" w:themeColor="text1"/>
        </w:rPr>
        <w:t>.5</w:t>
      </w:r>
      <w:r w:rsidR="1CF01DB5" w:rsidRPr="5A6EA7CF">
        <w:rPr>
          <w:color w:val="000000" w:themeColor="text1"/>
        </w:rPr>
        <w:t xml:space="preserve">% cap and an </w:t>
      </w:r>
      <w:r w:rsidR="00DE31E8" w:rsidRPr="5A6EA7CF">
        <w:rPr>
          <w:color w:val="000000" w:themeColor="text1"/>
        </w:rPr>
        <w:t>accompan</w:t>
      </w:r>
      <w:r w:rsidR="00DE31E8">
        <w:rPr>
          <w:color w:val="000000" w:themeColor="text1"/>
        </w:rPr>
        <w:t>ying</w:t>
      </w:r>
      <w:r w:rsidR="00DE31E8" w:rsidRPr="5A6EA7CF">
        <w:rPr>
          <w:color w:val="000000" w:themeColor="text1"/>
        </w:rPr>
        <w:t xml:space="preserve"> </w:t>
      </w:r>
      <w:r w:rsidR="1CF01DB5" w:rsidRPr="5A6EA7CF">
        <w:rPr>
          <w:color w:val="000000" w:themeColor="text1"/>
        </w:rPr>
        <w:t>increase in target contribution</w:t>
      </w:r>
      <w:r w:rsidR="44CD0F7F" w:rsidRPr="5A6EA7CF">
        <w:rPr>
          <w:color w:val="000000" w:themeColor="text1"/>
        </w:rPr>
        <w:t>s levels for those</w:t>
      </w:r>
      <w:r w:rsidR="00366B61">
        <w:rPr>
          <w:color w:val="000000" w:themeColor="text1"/>
        </w:rPr>
        <w:t xml:space="preserve"> </w:t>
      </w:r>
      <w:r w:rsidR="44CD0F7F" w:rsidRPr="5A6EA7CF">
        <w:rPr>
          <w:color w:val="000000" w:themeColor="text1"/>
        </w:rPr>
        <w:t>not impacted by the cap itself.</w:t>
      </w:r>
      <w:r w:rsidR="0019497B" w:rsidRPr="5A6EA7CF">
        <w:rPr>
          <w:color w:val="000000" w:themeColor="text1"/>
        </w:rPr>
        <w:t xml:space="preserve"> </w:t>
      </w:r>
      <w:r w:rsidR="42D2FF12" w:rsidRPr="5A6EA7CF">
        <w:rPr>
          <w:color w:val="000000" w:themeColor="text1"/>
        </w:rPr>
        <w:t xml:space="preserve">As statewide </w:t>
      </w:r>
      <w:r w:rsidR="0019497B" w:rsidRPr="5A6EA7CF">
        <w:rPr>
          <w:color w:val="000000" w:themeColor="text1"/>
        </w:rPr>
        <w:t>foundation budget</w:t>
      </w:r>
      <w:r w:rsidR="2346B2E8" w:rsidRPr="5A6EA7CF">
        <w:rPr>
          <w:color w:val="000000" w:themeColor="text1"/>
        </w:rPr>
        <w:t>s</w:t>
      </w:r>
      <w:r w:rsidR="0019497B" w:rsidRPr="5A6EA7CF">
        <w:rPr>
          <w:color w:val="000000" w:themeColor="text1"/>
        </w:rPr>
        <w:t xml:space="preserve"> increase </w:t>
      </w:r>
      <w:r w:rsidR="1B506398" w:rsidRPr="5A6EA7CF">
        <w:rPr>
          <w:color w:val="000000" w:themeColor="text1"/>
        </w:rPr>
        <w:t>under the SOA</w:t>
      </w:r>
      <w:r w:rsidR="5F35E871" w:rsidRPr="5A6EA7CF">
        <w:rPr>
          <w:color w:val="000000" w:themeColor="text1"/>
        </w:rPr>
        <w:t>,</w:t>
      </w:r>
      <w:r w:rsidR="1B506398" w:rsidRPr="5A6EA7CF">
        <w:rPr>
          <w:color w:val="000000" w:themeColor="text1"/>
        </w:rPr>
        <w:t xml:space="preserve"> the formula </w:t>
      </w:r>
      <w:r w:rsidR="0019497B" w:rsidRPr="5A6EA7CF">
        <w:rPr>
          <w:color w:val="000000" w:themeColor="text1"/>
        </w:rPr>
        <w:t>will</w:t>
      </w:r>
      <w:r w:rsidR="00CA7980">
        <w:rPr>
          <w:color w:val="000000" w:themeColor="text1"/>
        </w:rPr>
        <w:t xml:space="preserve"> adjust to</w:t>
      </w:r>
      <w:r w:rsidR="000ED9C9" w:rsidRPr="5A6EA7CF">
        <w:rPr>
          <w:color w:val="000000" w:themeColor="text1"/>
        </w:rPr>
        <w:t xml:space="preserve"> distribute</w:t>
      </w:r>
      <w:r w:rsidR="0019497B" w:rsidRPr="5A6EA7CF">
        <w:rPr>
          <w:color w:val="000000" w:themeColor="text1"/>
        </w:rPr>
        <w:t xml:space="preserve"> </w:t>
      </w:r>
      <w:r w:rsidR="1A774C5E" w:rsidRPr="5A6EA7CF">
        <w:rPr>
          <w:color w:val="000000" w:themeColor="text1"/>
        </w:rPr>
        <w:t xml:space="preserve">the </w:t>
      </w:r>
      <w:r w:rsidR="0064271A">
        <w:rPr>
          <w:color w:val="000000" w:themeColor="text1"/>
        </w:rPr>
        <w:t xml:space="preserve">statewide </w:t>
      </w:r>
      <w:r w:rsidR="1A774C5E" w:rsidRPr="5A6EA7CF">
        <w:rPr>
          <w:color w:val="000000" w:themeColor="text1"/>
        </w:rPr>
        <w:t xml:space="preserve">target </w:t>
      </w:r>
      <w:r w:rsidR="68ED70E7" w:rsidRPr="5A6EA7CF">
        <w:rPr>
          <w:color w:val="000000" w:themeColor="text1"/>
        </w:rPr>
        <w:t xml:space="preserve">contribution </w:t>
      </w:r>
      <w:r w:rsidR="00594944">
        <w:rPr>
          <w:color w:val="000000" w:themeColor="text1"/>
        </w:rPr>
        <w:t>(</w:t>
      </w:r>
      <w:r w:rsidR="1A774C5E" w:rsidRPr="5A6EA7CF">
        <w:rPr>
          <w:color w:val="000000" w:themeColor="text1"/>
        </w:rPr>
        <w:t>59%</w:t>
      </w:r>
      <w:r w:rsidR="4A135569" w:rsidRPr="5A6EA7CF">
        <w:rPr>
          <w:color w:val="000000" w:themeColor="text1"/>
        </w:rPr>
        <w:t xml:space="preserve"> of </w:t>
      </w:r>
      <w:r w:rsidR="00594944">
        <w:rPr>
          <w:color w:val="000000" w:themeColor="text1"/>
        </w:rPr>
        <w:t xml:space="preserve">statewide </w:t>
      </w:r>
      <w:r w:rsidR="4A135569" w:rsidRPr="5A6EA7CF">
        <w:rPr>
          <w:color w:val="000000" w:themeColor="text1"/>
        </w:rPr>
        <w:t>foundation</w:t>
      </w:r>
      <w:r w:rsidR="00594944">
        <w:rPr>
          <w:color w:val="000000" w:themeColor="text1"/>
        </w:rPr>
        <w:t>)</w:t>
      </w:r>
      <w:r w:rsidR="1A774C5E" w:rsidRPr="5A6EA7CF">
        <w:rPr>
          <w:color w:val="000000" w:themeColor="text1"/>
        </w:rPr>
        <w:t xml:space="preserve"> </w:t>
      </w:r>
      <w:r w:rsidR="13648183" w:rsidRPr="5A6EA7CF">
        <w:rPr>
          <w:color w:val="000000" w:themeColor="text1"/>
        </w:rPr>
        <w:t xml:space="preserve">among </w:t>
      </w:r>
      <w:r w:rsidR="76C6A9D7" w:rsidRPr="5A6EA7CF">
        <w:rPr>
          <w:color w:val="000000" w:themeColor="text1"/>
        </w:rPr>
        <w:t>the target contributions of</w:t>
      </w:r>
      <w:r w:rsidR="13648183" w:rsidRPr="5A6EA7CF">
        <w:rPr>
          <w:color w:val="000000" w:themeColor="text1"/>
        </w:rPr>
        <w:t xml:space="preserve"> </w:t>
      </w:r>
      <w:r w:rsidR="0095268E">
        <w:rPr>
          <w:color w:val="000000" w:themeColor="text1"/>
        </w:rPr>
        <w:t xml:space="preserve">those </w:t>
      </w:r>
      <w:r w:rsidR="13648183" w:rsidRPr="5A6EA7CF">
        <w:rPr>
          <w:color w:val="000000" w:themeColor="text1"/>
        </w:rPr>
        <w:t>communit</w:t>
      </w:r>
      <w:r w:rsidR="12912F8F" w:rsidRPr="5A6EA7CF">
        <w:rPr>
          <w:color w:val="000000" w:themeColor="text1"/>
        </w:rPr>
        <w:t>i</w:t>
      </w:r>
      <w:r w:rsidR="13648183" w:rsidRPr="5A6EA7CF">
        <w:rPr>
          <w:color w:val="000000" w:themeColor="text1"/>
        </w:rPr>
        <w:t>es</w:t>
      </w:r>
      <w:r w:rsidR="1A774C5E" w:rsidRPr="5A6EA7CF">
        <w:rPr>
          <w:color w:val="000000" w:themeColor="text1"/>
        </w:rPr>
        <w:t xml:space="preserve"> </w:t>
      </w:r>
      <w:r w:rsidR="0095268E">
        <w:rPr>
          <w:color w:val="000000" w:themeColor="text1"/>
        </w:rPr>
        <w:t>with relatively high target</w:t>
      </w:r>
      <w:r w:rsidR="00BC439A">
        <w:rPr>
          <w:color w:val="000000" w:themeColor="text1"/>
        </w:rPr>
        <w:t>s</w:t>
      </w:r>
      <w:r w:rsidR="0095268E">
        <w:rPr>
          <w:color w:val="000000" w:themeColor="text1"/>
        </w:rPr>
        <w:t xml:space="preserve">, but </w:t>
      </w:r>
      <w:r w:rsidR="4849A8A9" w:rsidRPr="5A6EA7CF">
        <w:rPr>
          <w:color w:val="000000" w:themeColor="text1"/>
        </w:rPr>
        <w:t>not protected by the 82</w:t>
      </w:r>
      <w:r w:rsidR="003A1BB2">
        <w:rPr>
          <w:color w:val="000000" w:themeColor="text1"/>
        </w:rPr>
        <w:t>.5</w:t>
      </w:r>
      <w:r w:rsidR="4849A8A9" w:rsidRPr="5A6EA7CF">
        <w:rPr>
          <w:color w:val="000000" w:themeColor="text1"/>
        </w:rPr>
        <w:t>% cap.</w:t>
      </w:r>
      <w:r w:rsidR="00DE31E8">
        <w:rPr>
          <w:color w:val="000000" w:themeColor="text1"/>
        </w:rPr>
        <w:t xml:space="preserve"> </w:t>
      </w:r>
      <w:r w:rsidR="512DD661" w:rsidRPr="5A6EA7CF">
        <w:rPr>
          <w:color w:val="000000" w:themeColor="text1"/>
        </w:rPr>
        <w:t>Over time</w:t>
      </w:r>
      <w:r w:rsidR="00E6416D">
        <w:rPr>
          <w:color w:val="000000" w:themeColor="text1"/>
        </w:rPr>
        <w:t>,</w:t>
      </w:r>
      <w:r w:rsidR="512DD661" w:rsidRPr="5A6EA7CF">
        <w:rPr>
          <w:color w:val="000000" w:themeColor="text1"/>
        </w:rPr>
        <w:t xml:space="preserve"> the formula will move </w:t>
      </w:r>
      <w:r w:rsidR="3A14C1C2" w:rsidRPr="5A6EA7CF">
        <w:rPr>
          <w:color w:val="000000" w:themeColor="text1"/>
        </w:rPr>
        <w:t xml:space="preserve">the required contributions of </w:t>
      </w:r>
      <w:r w:rsidR="00C05BF4">
        <w:rPr>
          <w:color w:val="000000" w:themeColor="text1"/>
        </w:rPr>
        <w:t xml:space="preserve">these </w:t>
      </w:r>
      <w:r w:rsidR="512DD661" w:rsidRPr="5A6EA7CF">
        <w:rPr>
          <w:color w:val="000000" w:themeColor="text1"/>
        </w:rPr>
        <w:t>districts</w:t>
      </w:r>
      <w:r w:rsidR="21334A53" w:rsidRPr="5A6EA7CF">
        <w:rPr>
          <w:color w:val="000000" w:themeColor="text1"/>
        </w:rPr>
        <w:t xml:space="preserve"> </w:t>
      </w:r>
      <w:r w:rsidR="512DD661" w:rsidRPr="5A6EA7CF">
        <w:rPr>
          <w:color w:val="000000" w:themeColor="text1"/>
        </w:rPr>
        <w:t xml:space="preserve">toward their </w:t>
      </w:r>
      <w:r w:rsidR="15E31415" w:rsidRPr="5A6EA7CF">
        <w:rPr>
          <w:color w:val="000000" w:themeColor="text1"/>
        </w:rPr>
        <w:t>new</w:t>
      </w:r>
      <w:r w:rsidR="000201EA">
        <w:rPr>
          <w:color w:val="000000" w:themeColor="text1"/>
        </w:rPr>
        <w:t xml:space="preserve"> </w:t>
      </w:r>
      <w:r w:rsidR="0045664B">
        <w:rPr>
          <w:color w:val="000000" w:themeColor="text1"/>
        </w:rPr>
        <w:t xml:space="preserve">local contribution </w:t>
      </w:r>
      <w:r w:rsidR="0061369E">
        <w:rPr>
          <w:color w:val="000000" w:themeColor="text1"/>
        </w:rPr>
        <w:t xml:space="preserve">targets </w:t>
      </w:r>
      <w:r w:rsidR="0045664B">
        <w:rPr>
          <w:color w:val="000000" w:themeColor="text1"/>
        </w:rPr>
        <w:t xml:space="preserve">and </w:t>
      </w:r>
      <w:r w:rsidR="00100F44">
        <w:rPr>
          <w:color w:val="000000" w:themeColor="text1"/>
        </w:rPr>
        <w:t xml:space="preserve">lower </w:t>
      </w:r>
      <w:r w:rsidR="0045664B">
        <w:rPr>
          <w:color w:val="000000" w:themeColor="text1"/>
        </w:rPr>
        <w:t>aid targets</w:t>
      </w:r>
      <w:r w:rsidR="00DE31E8">
        <w:rPr>
          <w:color w:val="000000" w:themeColor="text1"/>
        </w:rPr>
        <w:t>.</w:t>
      </w:r>
    </w:p>
    <w:p w14:paraId="428FC195" w14:textId="77777777" w:rsidR="00401B51" w:rsidRDefault="00401B51" w:rsidP="5A6EA7CF">
      <w:pPr>
        <w:pStyle w:val="NormalWeb"/>
        <w:spacing w:before="0" w:beforeAutospacing="0" w:after="0" w:afterAutospacing="0"/>
        <w:rPr>
          <w:color w:val="000000" w:themeColor="text1"/>
        </w:rPr>
      </w:pPr>
    </w:p>
    <w:p w14:paraId="12D25A18" w14:textId="7D56CCA3" w:rsidR="0019497B" w:rsidRPr="003E5741" w:rsidRDefault="00856A6E" w:rsidP="5A6EA7CF">
      <w:pPr>
        <w:pStyle w:val="NormalWeb"/>
        <w:spacing w:before="0" w:beforeAutospacing="0" w:after="0" w:afterAutospacing="0"/>
        <w:rPr>
          <w:color w:val="000000" w:themeColor="text1"/>
        </w:rPr>
      </w:pPr>
      <w:r w:rsidRPr="003E5741">
        <w:rPr>
          <w:color w:val="000000" w:themeColor="text1"/>
        </w:rPr>
        <w:t>Figure 5</w:t>
      </w:r>
      <w:r w:rsidR="006C76E3" w:rsidRPr="003E5741">
        <w:rPr>
          <w:color w:val="000000" w:themeColor="text1"/>
        </w:rPr>
        <w:t xml:space="preserve"> shows </w:t>
      </w:r>
      <w:r w:rsidR="005308B4" w:rsidRPr="003E5741">
        <w:rPr>
          <w:color w:val="000000" w:themeColor="text1"/>
        </w:rPr>
        <w:t xml:space="preserve">how </w:t>
      </w:r>
      <w:r w:rsidR="00C428DD" w:rsidRPr="003E5741">
        <w:rPr>
          <w:color w:val="000000" w:themeColor="text1"/>
        </w:rPr>
        <w:t>implementing the</w:t>
      </w:r>
      <w:r w:rsidR="005308B4" w:rsidRPr="003E5741">
        <w:rPr>
          <w:color w:val="000000" w:themeColor="text1"/>
        </w:rPr>
        <w:t xml:space="preserve"> SOA </w:t>
      </w:r>
      <w:r w:rsidR="0062760F" w:rsidRPr="003E5741">
        <w:rPr>
          <w:color w:val="000000" w:themeColor="text1"/>
        </w:rPr>
        <w:t xml:space="preserve">may impact </w:t>
      </w:r>
      <w:r w:rsidR="008F335F" w:rsidRPr="003E5741">
        <w:rPr>
          <w:color w:val="000000" w:themeColor="text1"/>
        </w:rPr>
        <w:t xml:space="preserve">changes in local contribution targets for districts that are not subject to the 82.5% cap. </w:t>
      </w:r>
      <w:r w:rsidR="006F43BF" w:rsidRPr="003E5741">
        <w:rPr>
          <w:color w:val="000000" w:themeColor="text1"/>
        </w:rPr>
        <w:t>This analysis g</w:t>
      </w:r>
      <w:r w:rsidR="007262A3" w:rsidRPr="003E5741">
        <w:rPr>
          <w:color w:val="000000" w:themeColor="text1"/>
        </w:rPr>
        <w:t xml:space="preserve">roups districts into quintiles based on student poverty levels, with the lowest poverty districts in group 1 and the highest poverty districts in group 5. </w:t>
      </w:r>
      <w:r w:rsidR="00C721FC" w:rsidRPr="003E5741">
        <w:rPr>
          <w:color w:val="000000" w:themeColor="text1"/>
        </w:rPr>
        <w:t>S</w:t>
      </w:r>
      <w:r w:rsidR="00AF7921" w:rsidRPr="003E5741">
        <w:rPr>
          <w:color w:val="000000" w:themeColor="text1"/>
        </w:rPr>
        <w:t>chool districts in groups 2 and 3</w:t>
      </w:r>
      <w:r w:rsidR="002D7C01" w:rsidRPr="003E5741">
        <w:rPr>
          <w:color w:val="000000" w:themeColor="text1"/>
        </w:rPr>
        <w:t xml:space="preserve">, with student poverty percentages between 13% and 31%, </w:t>
      </w:r>
      <w:r w:rsidR="00F91DFA" w:rsidRPr="003E5741">
        <w:rPr>
          <w:color w:val="000000" w:themeColor="text1"/>
        </w:rPr>
        <w:t xml:space="preserve">are projected to see </w:t>
      </w:r>
      <w:r w:rsidR="00C7109E" w:rsidRPr="003E5741">
        <w:rPr>
          <w:color w:val="000000" w:themeColor="text1"/>
        </w:rPr>
        <w:t>the lowest percentage increases in state aid</w:t>
      </w:r>
      <w:r w:rsidR="00D843BA" w:rsidRPr="003E5741">
        <w:rPr>
          <w:color w:val="000000" w:themeColor="text1"/>
        </w:rPr>
        <w:t>, 10% and 14%</w:t>
      </w:r>
      <w:r w:rsidR="004442BB" w:rsidRPr="003E5741">
        <w:rPr>
          <w:color w:val="000000" w:themeColor="text1"/>
        </w:rPr>
        <w:t xml:space="preserve"> respectively</w:t>
      </w:r>
      <w:r w:rsidR="00D843BA" w:rsidRPr="003E5741">
        <w:rPr>
          <w:color w:val="000000" w:themeColor="text1"/>
        </w:rPr>
        <w:t>,</w:t>
      </w:r>
      <w:r w:rsidR="00151657" w:rsidRPr="003E5741">
        <w:rPr>
          <w:color w:val="000000" w:themeColor="text1"/>
        </w:rPr>
        <w:t xml:space="preserve"> </w:t>
      </w:r>
      <w:r w:rsidR="00D26542" w:rsidRPr="003E5741">
        <w:rPr>
          <w:color w:val="000000" w:themeColor="text1"/>
        </w:rPr>
        <w:t>while</w:t>
      </w:r>
      <w:r w:rsidR="00151657" w:rsidRPr="003E5741">
        <w:rPr>
          <w:color w:val="000000" w:themeColor="text1"/>
        </w:rPr>
        <w:t xml:space="preserve"> their local contribution requirements are projected to grow by 33% and 35%</w:t>
      </w:r>
      <w:r w:rsidR="006C76E3" w:rsidRPr="003E5741">
        <w:rPr>
          <w:color w:val="000000" w:themeColor="text1"/>
        </w:rPr>
        <w:t>.</w:t>
      </w:r>
      <w:r w:rsidR="005F1D4F" w:rsidRPr="000B68B4">
        <w:rPr>
          <w:color w:val="000000" w:themeColor="text1"/>
        </w:rPr>
        <w:t xml:space="preserve"> </w:t>
      </w:r>
      <w:r w:rsidR="009C54D3" w:rsidRPr="003E5741">
        <w:rPr>
          <w:color w:val="000000" w:themeColor="text1"/>
        </w:rPr>
        <w:t>At the same time, d</w:t>
      </w:r>
      <w:r w:rsidR="005031EA" w:rsidRPr="000B68B4">
        <w:rPr>
          <w:color w:val="000000" w:themeColor="text1"/>
        </w:rPr>
        <w:t xml:space="preserve">istricts in group 1 </w:t>
      </w:r>
      <w:r w:rsidR="00F63CD7" w:rsidRPr="003E5741">
        <w:rPr>
          <w:color w:val="000000" w:themeColor="text1"/>
        </w:rPr>
        <w:t>are projected to</w:t>
      </w:r>
      <w:r w:rsidR="005031EA" w:rsidRPr="000B68B4">
        <w:rPr>
          <w:color w:val="000000" w:themeColor="text1"/>
        </w:rPr>
        <w:t xml:space="preserve"> see their aid grow </w:t>
      </w:r>
      <w:r w:rsidR="004B2A80" w:rsidRPr="000B68B4">
        <w:rPr>
          <w:color w:val="000000" w:themeColor="text1"/>
        </w:rPr>
        <w:t>at a faster rate and their contributions grow at a slower rate</w:t>
      </w:r>
      <w:r w:rsidR="00F63CD7" w:rsidRPr="003E5741">
        <w:rPr>
          <w:color w:val="000000" w:themeColor="text1"/>
        </w:rPr>
        <w:t xml:space="preserve"> than gr</w:t>
      </w:r>
      <w:r w:rsidR="000F2AF9" w:rsidRPr="003E5741">
        <w:rPr>
          <w:color w:val="000000" w:themeColor="text1"/>
        </w:rPr>
        <w:t>oups 2 and 3</w:t>
      </w:r>
      <w:r w:rsidR="004B2A80" w:rsidRPr="000B68B4">
        <w:rPr>
          <w:color w:val="000000" w:themeColor="text1"/>
        </w:rPr>
        <w:t>.</w:t>
      </w:r>
      <w:r w:rsidR="00C90715" w:rsidRPr="003E5741">
        <w:rPr>
          <w:color w:val="000000" w:themeColor="text1"/>
        </w:rPr>
        <w:t xml:space="preserve"> About 80% of the districts in group 1 are capped at 82.5%, compared to </w:t>
      </w:r>
      <w:r w:rsidR="00002751" w:rsidRPr="003E5741">
        <w:rPr>
          <w:color w:val="000000" w:themeColor="text1"/>
        </w:rPr>
        <w:t>35% in group 2 and 29% in group 3.</w:t>
      </w:r>
    </w:p>
    <w:p w14:paraId="17A5B606" w14:textId="253AA1E9" w:rsidR="0019497B" w:rsidRPr="00356EA4" w:rsidRDefault="0019497B" w:rsidP="00356EA4">
      <w:pPr>
        <w:pStyle w:val="Heading4"/>
        <w:jc w:val="center"/>
        <w:rPr>
          <w:rFonts w:asciiTheme="minorHAnsi" w:hAnsiTheme="minorHAnsi" w:cstheme="minorHAnsi"/>
        </w:rPr>
      </w:pPr>
      <w:r w:rsidRPr="00356EA4">
        <w:rPr>
          <w:rFonts w:asciiTheme="minorHAnsi" w:hAnsiTheme="minorHAnsi" w:cstheme="minorHAnsi"/>
          <w:color w:val="000000"/>
          <w:szCs w:val="24"/>
        </w:rPr>
        <w:lastRenderedPageBreak/>
        <w:t>Figure</w:t>
      </w:r>
      <w:r w:rsidR="00856A6E" w:rsidRPr="00356EA4">
        <w:rPr>
          <w:rFonts w:asciiTheme="minorHAnsi" w:hAnsiTheme="minorHAnsi" w:cstheme="minorHAnsi"/>
          <w:color w:val="000000"/>
          <w:szCs w:val="24"/>
        </w:rPr>
        <w:t xml:space="preserve"> 5</w:t>
      </w:r>
      <w:r w:rsidRPr="00356EA4">
        <w:rPr>
          <w:rFonts w:asciiTheme="minorHAnsi" w:hAnsiTheme="minorHAnsi" w:cstheme="minorHAnsi"/>
          <w:color w:val="000000"/>
          <w:szCs w:val="24"/>
        </w:rPr>
        <w:t xml:space="preserve">: </w:t>
      </w:r>
      <w:r w:rsidR="00057582">
        <w:rPr>
          <w:rFonts w:asciiTheme="minorHAnsi" w:hAnsiTheme="minorHAnsi" w:cstheme="minorHAnsi"/>
          <w:color w:val="000000"/>
          <w:szCs w:val="24"/>
        </w:rPr>
        <w:t xml:space="preserve">Estimated </w:t>
      </w:r>
      <w:r w:rsidR="00057582">
        <w:rPr>
          <w:rStyle w:val="normaltextrun"/>
          <w:rFonts w:asciiTheme="minorHAnsi" w:hAnsiTheme="minorHAnsi" w:cstheme="minorHAnsi"/>
          <w:szCs w:val="24"/>
        </w:rPr>
        <w:t>i</w:t>
      </w:r>
      <w:r w:rsidRPr="00356EA4">
        <w:rPr>
          <w:rStyle w:val="normaltextrun"/>
          <w:rFonts w:asciiTheme="minorHAnsi" w:hAnsiTheme="minorHAnsi" w:cstheme="minorHAnsi"/>
          <w:szCs w:val="24"/>
        </w:rPr>
        <w:t>mpact of SOA rate increases on required local contributions and aid</w:t>
      </w:r>
      <w:r w:rsidRPr="00356EA4">
        <w:rPr>
          <w:rStyle w:val="scxw180240346"/>
          <w:rFonts w:asciiTheme="minorHAnsi" w:hAnsiTheme="minorHAnsi" w:cstheme="minorHAnsi"/>
          <w:szCs w:val="24"/>
        </w:rPr>
        <w:t> </w:t>
      </w:r>
      <w:r w:rsidRPr="00356EA4">
        <w:rPr>
          <w:rFonts w:asciiTheme="minorHAnsi" w:hAnsiTheme="minorHAnsi" w:cstheme="minorHAnsi"/>
          <w:szCs w:val="24"/>
        </w:rPr>
        <w:br/>
      </w:r>
      <w:r w:rsidRPr="00356EA4">
        <w:rPr>
          <w:rStyle w:val="normaltextrun"/>
          <w:rFonts w:asciiTheme="minorHAnsi" w:hAnsiTheme="minorHAnsi" w:cstheme="minorHAnsi"/>
          <w:szCs w:val="24"/>
        </w:rPr>
        <w:t xml:space="preserve">by concentration of poverty </w:t>
      </w:r>
      <w:r w:rsidR="002B27DF">
        <w:rPr>
          <w:rStyle w:val="normaltextrun"/>
          <w:rFonts w:asciiTheme="minorHAnsi" w:hAnsiTheme="minorHAnsi" w:cstheme="minorHAnsi"/>
          <w:szCs w:val="24"/>
        </w:rPr>
        <w:t xml:space="preserve">(in parentheses below) </w:t>
      </w:r>
      <w:r w:rsidRPr="00356EA4">
        <w:rPr>
          <w:rStyle w:val="normaltextrun"/>
          <w:rFonts w:asciiTheme="minorHAnsi" w:hAnsiTheme="minorHAnsi" w:cstheme="minorHAnsi"/>
          <w:szCs w:val="24"/>
        </w:rPr>
        <w:t>in school districts</w:t>
      </w:r>
    </w:p>
    <w:p w14:paraId="4B44CD3C" w14:textId="59D18001" w:rsidR="0019497B" w:rsidRPr="00BA6E9E" w:rsidRDefault="00EA48A4" w:rsidP="00356EA4">
      <w:pPr>
        <w:pStyle w:val="paragraph"/>
        <w:spacing w:before="0" w:beforeAutospacing="0" w:after="0" w:afterAutospacing="0"/>
        <w:jc w:val="center"/>
        <w:textAlignment w:val="baseline"/>
      </w:pPr>
      <w:r>
        <w:rPr>
          <w:noProof/>
        </w:rPr>
        <w:drawing>
          <wp:inline distT="0" distB="0" distL="0" distR="0" wp14:anchorId="022A8684" wp14:editId="057FA34C">
            <wp:extent cx="5730874" cy="2694940"/>
            <wp:effectExtent l="0" t="0" r="3175" b="0"/>
            <wp:docPr id="19" name="Picture 19" descr="Figure 5: Estimated impact of SOA rate increases on required contributions and aid, by concentration of poverty in school districts&#10;&#10;There are five groups, each with approximately 64 districts. Group 1 has student poverty percentages less than 13 percent. Group 2 has poverty percentages between 13 and 22. Group 3 has poverty percentages between 23 and 31 percent. Group 4 has poverty percentages between 32 and 43 percent. Group 5 has poverty percentages greater than 43 percent.&#10;&#10;Group 1: 26 percent change in foundation, 28 percent change in required contribution, 16 percent change in aid&#10;Group 2: 27 percent change in foundation, 33 percent change in required contribution, 10 percent change in aid&#10;Group 3: 30 percent change in foundation, 35 percent change in required contribution, 14 percent change in aid&#10;Group 4: 35 percent change in foundation, 36 percent change in required contribution, 30 percent change in aid&#10;Group 5: 51 percent change in foundation, 40 percent change in required contribution, 55 percent change in a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5730874" cy="2694940"/>
                    </a:xfrm>
                    <a:prstGeom prst="rect">
                      <a:avLst/>
                    </a:prstGeom>
                  </pic:spPr>
                </pic:pic>
              </a:graphicData>
            </a:graphic>
          </wp:inline>
        </w:drawing>
      </w:r>
      <w:r w:rsidR="008905B4" w:rsidRPr="322F2839">
        <w:rPr>
          <w:rStyle w:val="normaltextrun"/>
          <w:rFonts w:asciiTheme="minorHAnsi" w:hAnsiTheme="minorHAnsi" w:cstheme="minorBidi"/>
          <w:sz w:val="22"/>
          <w:szCs w:val="22"/>
        </w:rPr>
        <w:t xml:space="preserve">Note: </w:t>
      </w:r>
      <w:r w:rsidR="6D824196" w:rsidRPr="322F2839">
        <w:rPr>
          <w:rStyle w:val="normaltextrun"/>
          <w:rFonts w:asciiTheme="minorHAnsi" w:hAnsiTheme="minorHAnsi" w:cstheme="minorBidi"/>
          <w:sz w:val="22"/>
          <w:szCs w:val="22"/>
        </w:rPr>
        <w:t>There are approximately 6</w:t>
      </w:r>
      <w:r w:rsidR="003310B3" w:rsidRPr="322F2839">
        <w:rPr>
          <w:rStyle w:val="normaltextrun"/>
          <w:rFonts w:asciiTheme="minorHAnsi" w:hAnsiTheme="minorHAnsi" w:cstheme="minorBidi"/>
          <w:sz w:val="22"/>
          <w:szCs w:val="22"/>
        </w:rPr>
        <w:t>4</w:t>
      </w:r>
      <w:r w:rsidR="6D824196" w:rsidRPr="322F2839">
        <w:rPr>
          <w:rStyle w:val="normaltextrun"/>
          <w:rFonts w:asciiTheme="minorHAnsi" w:hAnsiTheme="minorHAnsi" w:cstheme="minorBidi"/>
          <w:sz w:val="22"/>
          <w:szCs w:val="22"/>
        </w:rPr>
        <w:t xml:space="preserve"> districts in each group.</w:t>
      </w:r>
    </w:p>
    <w:p w14:paraId="4D035D7E" w14:textId="427AC873" w:rsidR="008979B6" w:rsidRPr="00CF16E8" w:rsidRDefault="008979B6">
      <w:pPr>
        <w:pStyle w:val="Heading1"/>
      </w:pPr>
      <w:bookmarkStart w:id="23" w:name="_Toc55558706"/>
      <w:bookmarkStart w:id="24" w:name="_Toc57725131"/>
      <w:r w:rsidRPr="00CF16E8">
        <w:t>Impact o</w:t>
      </w:r>
      <w:r w:rsidR="00C2024D" w:rsidRPr="00CF16E8">
        <w:t xml:space="preserve">f </w:t>
      </w:r>
      <w:r w:rsidR="000A7B2C">
        <w:t xml:space="preserve">local contribution </w:t>
      </w:r>
      <w:r w:rsidR="00C2024D" w:rsidRPr="00CF16E8">
        <w:t xml:space="preserve">formula on </w:t>
      </w:r>
      <w:r w:rsidRPr="00CF16E8">
        <w:t xml:space="preserve">specific </w:t>
      </w:r>
      <w:r w:rsidR="007951A6" w:rsidRPr="00CF16E8">
        <w:t xml:space="preserve">groups of </w:t>
      </w:r>
      <w:r w:rsidRPr="00CF16E8">
        <w:t>communities</w:t>
      </w:r>
      <w:bookmarkEnd w:id="23"/>
      <w:bookmarkEnd w:id="24"/>
    </w:p>
    <w:p w14:paraId="20AABE76" w14:textId="01154350" w:rsidR="003B5893" w:rsidRPr="00CF16E8" w:rsidRDefault="00093E9C" w:rsidP="00CF16E8">
      <w:pPr>
        <w:pStyle w:val="Heading3"/>
      </w:pPr>
      <w:bookmarkStart w:id="25" w:name="_Toc55558707"/>
      <w:bookmarkStart w:id="26" w:name="_Toc57725132"/>
      <w:r w:rsidRPr="00CF16E8">
        <w:t xml:space="preserve">Impact on high wealth/high need </w:t>
      </w:r>
      <w:r w:rsidR="00A27D0E" w:rsidRPr="00CF16E8">
        <w:t>communities</w:t>
      </w:r>
      <w:bookmarkEnd w:id="25"/>
      <w:bookmarkEnd w:id="26"/>
    </w:p>
    <w:p w14:paraId="54845CE1" w14:textId="3D47A60D" w:rsidR="00B54D0E" w:rsidRPr="00CF16E8" w:rsidRDefault="003A5248" w:rsidP="00CF16E8">
      <w:pPr>
        <w:pStyle w:val="NormalWeb"/>
        <w:spacing w:before="0" w:beforeAutospacing="0" w:after="0" w:afterAutospacing="0"/>
        <w:rPr>
          <w:color w:val="000000"/>
        </w:rPr>
      </w:pPr>
      <w:r w:rsidRPr="00CF16E8">
        <w:rPr>
          <w:color w:val="000000"/>
        </w:rPr>
        <w:t xml:space="preserve">Most of the Commonwealth’s urban areas are characterized by </w:t>
      </w:r>
      <w:r w:rsidR="008A550F" w:rsidRPr="00CF16E8">
        <w:rPr>
          <w:color w:val="000000"/>
        </w:rPr>
        <w:t xml:space="preserve">higher than average foundation budgets (reflecting </w:t>
      </w:r>
      <w:r w:rsidR="002E4D0E" w:rsidRPr="00CF16E8">
        <w:rPr>
          <w:color w:val="000000"/>
        </w:rPr>
        <w:t>student populations that require more support) and lower than average fiscal capacity</w:t>
      </w:r>
      <w:r w:rsidR="009F7457" w:rsidRPr="00CF16E8">
        <w:rPr>
          <w:color w:val="000000"/>
        </w:rPr>
        <w:t xml:space="preserve">, resulting in high levels of Chapter 70 aid. But a </w:t>
      </w:r>
      <w:r w:rsidR="003B5893" w:rsidRPr="00CF16E8">
        <w:rPr>
          <w:color w:val="000000"/>
        </w:rPr>
        <w:t xml:space="preserve">small number of cities, most notably Boston and Cambridge, </w:t>
      </w:r>
      <w:r w:rsidRPr="00CF16E8">
        <w:rPr>
          <w:color w:val="000000"/>
        </w:rPr>
        <w:t xml:space="preserve">are outliers </w:t>
      </w:r>
      <w:r w:rsidR="009F7457" w:rsidRPr="00CF16E8">
        <w:rPr>
          <w:color w:val="000000"/>
        </w:rPr>
        <w:t xml:space="preserve">in the sense that </w:t>
      </w:r>
      <w:r w:rsidR="00805C4A" w:rsidRPr="00CF16E8">
        <w:rPr>
          <w:color w:val="000000"/>
        </w:rPr>
        <w:t xml:space="preserve">they </w:t>
      </w:r>
      <w:r w:rsidR="00A9734C" w:rsidRPr="00CF16E8">
        <w:rPr>
          <w:color w:val="000000"/>
        </w:rPr>
        <w:t>have student populations similar to most other urban areas</w:t>
      </w:r>
      <w:r w:rsidR="002F4F31">
        <w:rPr>
          <w:color w:val="000000"/>
        </w:rPr>
        <w:t>,</w:t>
      </w:r>
      <w:r w:rsidR="00A9734C" w:rsidRPr="00CF16E8">
        <w:rPr>
          <w:color w:val="000000"/>
        </w:rPr>
        <w:t xml:space="preserve"> but fiscal capacity </w:t>
      </w:r>
      <w:r w:rsidR="00A418CF" w:rsidRPr="00CF16E8">
        <w:rPr>
          <w:color w:val="000000"/>
        </w:rPr>
        <w:t>more akin to the wealthier suburbs, due to the</w:t>
      </w:r>
      <w:r w:rsidR="009E6396" w:rsidRPr="00CF16E8">
        <w:rPr>
          <w:color w:val="000000"/>
        </w:rPr>
        <w:t xml:space="preserve">ir high levels of commercial development. </w:t>
      </w:r>
      <w:r w:rsidR="002B2CFF" w:rsidRPr="00CF16E8">
        <w:rPr>
          <w:color w:val="000000"/>
        </w:rPr>
        <w:t>These cities receive relatively small amounts of Chapter 70</w:t>
      </w:r>
      <w:r w:rsidR="00B47B63" w:rsidRPr="00CF16E8">
        <w:rPr>
          <w:color w:val="000000"/>
        </w:rPr>
        <w:t xml:space="preserve"> aid</w:t>
      </w:r>
      <w:r w:rsidR="002B2CFF" w:rsidRPr="00CF16E8">
        <w:rPr>
          <w:color w:val="000000"/>
        </w:rPr>
        <w:t xml:space="preserve">, </w:t>
      </w:r>
      <w:r w:rsidR="00B844EB" w:rsidRPr="00CF16E8">
        <w:rPr>
          <w:color w:val="000000"/>
        </w:rPr>
        <w:t xml:space="preserve">leading some to question whether their students are being shortchanged. </w:t>
      </w:r>
      <w:r w:rsidR="008C5551" w:rsidRPr="00CF16E8">
        <w:rPr>
          <w:color w:val="000000"/>
        </w:rPr>
        <w:t xml:space="preserve">The foundation budget component of the </w:t>
      </w:r>
      <w:r w:rsidR="00B15B6C" w:rsidRPr="00CF16E8">
        <w:rPr>
          <w:color w:val="000000"/>
        </w:rPr>
        <w:t xml:space="preserve">formula clearly recognizes the extra fiscal needs of these school districts. </w:t>
      </w:r>
      <w:r w:rsidR="00F822EC" w:rsidRPr="00CF16E8">
        <w:rPr>
          <w:color w:val="000000"/>
        </w:rPr>
        <w:t xml:space="preserve">But </w:t>
      </w:r>
      <w:r w:rsidR="00963E0F" w:rsidRPr="00CF16E8">
        <w:rPr>
          <w:color w:val="000000"/>
        </w:rPr>
        <w:t xml:space="preserve">the higher expectation for local fiscal support </w:t>
      </w:r>
      <w:r w:rsidR="00197A06" w:rsidRPr="00CF16E8">
        <w:rPr>
          <w:color w:val="000000"/>
        </w:rPr>
        <w:t>ensures that the</w:t>
      </w:r>
      <w:r w:rsidR="007013CB" w:rsidRPr="00CF16E8">
        <w:rPr>
          <w:color w:val="000000"/>
        </w:rPr>
        <w:t>ir foundation budgets</w:t>
      </w:r>
      <w:r w:rsidR="00197A06" w:rsidRPr="00CF16E8">
        <w:rPr>
          <w:color w:val="000000"/>
        </w:rPr>
        <w:t xml:space="preserve"> are fully funded. </w:t>
      </w:r>
      <w:r w:rsidR="001C167B" w:rsidRPr="00CF16E8">
        <w:rPr>
          <w:color w:val="000000"/>
        </w:rPr>
        <w:t xml:space="preserve">These cities also tend to spend more than their required contribution, </w:t>
      </w:r>
      <w:r w:rsidR="002F5BD3" w:rsidRPr="00CF16E8">
        <w:rPr>
          <w:color w:val="000000"/>
        </w:rPr>
        <w:t>in line with their suburban counterparts,</w:t>
      </w:r>
      <w:r w:rsidR="00ED2F08" w:rsidRPr="00CF16E8">
        <w:rPr>
          <w:color w:val="000000"/>
        </w:rPr>
        <w:t xml:space="preserve"> so that per pupil spending in </w:t>
      </w:r>
      <w:r w:rsidR="00B54D0E" w:rsidRPr="00CF16E8">
        <w:rPr>
          <w:color w:val="000000"/>
        </w:rPr>
        <w:t>these</w:t>
      </w:r>
      <w:r w:rsidR="00ED2F08" w:rsidRPr="00CF16E8">
        <w:rPr>
          <w:color w:val="000000"/>
        </w:rPr>
        <w:t xml:space="preserve"> districts </w:t>
      </w:r>
      <w:r w:rsidR="001C15AF" w:rsidRPr="00CF16E8">
        <w:rPr>
          <w:color w:val="000000"/>
        </w:rPr>
        <w:t>greatly exceeds that in less affluent cities.</w:t>
      </w:r>
    </w:p>
    <w:p w14:paraId="21855B13" w14:textId="72A6605A" w:rsidR="00A27D0E" w:rsidRPr="00CF16E8" w:rsidRDefault="00A27D0E" w:rsidP="00CF16E8">
      <w:pPr>
        <w:pStyle w:val="Heading3"/>
      </w:pPr>
      <w:bookmarkStart w:id="27" w:name="_Toc55558708"/>
      <w:bookmarkStart w:id="28" w:name="_Toc57725133"/>
      <w:r w:rsidRPr="00CF16E8">
        <w:t xml:space="preserve">Impact on </w:t>
      </w:r>
      <w:r w:rsidR="0014043D" w:rsidRPr="00CF16E8">
        <w:t>communities with declining student enrollment</w:t>
      </w:r>
      <w:bookmarkEnd w:id="27"/>
      <w:bookmarkEnd w:id="28"/>
    </w:p>
    <w:p w14:paraId="7C89A489" w14:textId="347B7214" w:rsidR="00AD3E10" w:rsidRPr="00CF16E8" w:rsidRDefault="00040375" w:rsidP="5A6EA7CF">
      <w:pPr>
        <w:pStyle w:val="NormalWeb"/>
        <w:spacing w:before="0" w:beforeAutospacing="0" w:after="0" w:afterAutospacing="0"/>
        <w:rPr>
          <w:color w:val="000000"/>
        </w:rPr>
      </w:pPr>
      <w:r w:rsidRPr="5A6EA7CF">
        <w:rPr>
          <w:color w:val="000000" w:themeColor="text1"/>
        </w:rPr>
        <w:t>There are a number of school districts, primarily smaller districts in rural areas</w:t>
      </w:r>
      <w:r w:rsidR="00267D27" w:rsidRPr="5A6EA7CF">
        <w:rPr>
          <w:color w:val="000000" w:themeColor="text1"/>
        </w:rPr>
        <w:t xml:space="preserve"> of the state, that have experienced significant and sustained enrollment declines over the past two decades. </w:t>
      </w:r>
      <w:r w:rsidR="00AD3E10" w:rsidRPr="5A6EA7CF">
        <w:rPr>
          <w:color w:val="000000" w:themeColor="text1"/>
        </w:rPr>
        <w:t>There is no</w:t>
      </w:r>
      <w:r w:rsidR="003A1BB2">
        <w:rPr>
          <w:color w:val="000000" w:themeColor="text1"/>
        </w:rPr>
        <w:t>t a structural difference in how local contribution requirements are calculated in small towns compared to large towns</w:t>
      </w:r>
      <w:r w:rsidR="00AD3E10" w:rsidRPr="5A6EA7CF">
        <w:rPr>
          <w:color w:val="000000" w:themeColor="text1"/>
        </w:rPr>
        <w:t xml:space="preserve"> and these towns </w:t>
      </w:r>
      <w:r w:rsidR="000A7B2C">
        <w:rPr>
          <w:color w:val="000000" w:themeColor="text1"/>
        </w:rPr>
        <w:t xml:space="preserve">typically </w:t>
      </w:r>
      <w:r w:rsidR="00AD3E10" w:rsidRPr="5A6EA7CF">
        <w:rPr>
          <w:color w:val="000000" w:themeColor="text1"/>
        </w:rPr>
        <w:t xml:space="preserve">benefit significantly from </w:t>
      </w:r>
      <w:r w:rsidR="00CA0903" w:rsidRPr="5A6EA7CF">
        <w:rPr>
          <w:color w:val="000000" w:themeColor="text1"/>
        </w:rPr>
        <w:t>the hold harmless and minimum aid components</w:t>
      </w:r>
      <w:r w:rsidR="00DC0947" w:rsidRPr="5A6EA7CF">
        <w:rPr>
          <w:color w:val="000000" w:themeColor="text1"/>
        </w:rPr>
        <w:t xml:space="preserve"> of</w:t>
      </w:r>
      <w:r w:rsidR="00CA0903" w:rsidRPr="5A6EA7CF">
        <w:rPr>
          <w:color w:val="000000" w:themeColor="text1"/>
        </w:rPr>
        <w:t xml:space="preserve"> Chapter 70</w:t>
      </w:r>
      <w:r w:rsidR="00DC0947" w:rsidRPr="5A6EA7CF">
        <w:rPr>
          <w:color w:val="000000" w:themeColor="text1"/>
        </w:rPr>
        <w:t>.</w:t>
      </w:r>
      <w:r w:rsidR="000A7B2C">
        <w:rPr>
          <w:rStyle w:val="FootnoteReference"/>
          <w:color w:val="000000" w:themeColor="text1"/>
        </w:rPr>
        <w:footnoteReference w:id="21"/>
      </w:r>
      <w:r w:rsidR="03E4EECA" w:rsidRPr="5A6EA7CF">
        <w:rPr>
          <w:color w:val="000000" w:themeColor="text1"/>
        </w:rPr>
        <w:t xml:space="preserve"> </w:t>
      </w:r>
    </w:p>
    <w:p w14:paraId="7081FBC8" w14:textId="77777777" w:rsidR="00723F0F" w:rsidRDefault="00723F0F" w:rsidP="00BA6E9E">
      <w:pPr>
        <w:pStyle w:val="NormalWeb"/>
        <w:spacing w:before="0" w:beforeAutospacing="0" w:after="0" w:afterAutospacing="0"/>
        <w:rPr>
          <w:rStyle w:val="normaltextrun"/>
        </w:rPr>
      </w:pPr>
    </w:p>
    <w:p w14:paraId="201438E6" w14:textId="35699948" w:rsidR="00905565" w:rsidRDefault="00905565">
      <w:pPr>
        <w:pStyle w:val="NormalWeb"/>
        <w:spacing w:before="0" w:beforeAutospacing="0" w:after="0" w:afterAutospacing="0"/>
        <w:rPr>
          <w:rStyle w:val="normaltextrun"/>
        </w:rPr>
      </w:pPr>
      <w:r w:rsidRPr="00BA6E9E">
        <w:rPr>
          <w:rStyle w:val="normaltextrun"/>
        </w:rPr>
        <w:lastRenderedPageBreak/>
        <w:t xml:space="preserve">Two-thirds of school districts serve fewer students now than they did in 2007, with 170 districts experiencing enrollment drops of </w:t>
      </w:r>
      <w:r w:rsidR="001E7117">
        <w:rPr>
          <w:rStyle w:val="normaltextrun"/>
        </w:rPr>
        <w:t xml:space="preserve">more than </w:t>
      </w:r>
      <w:r w:rsidRPr="00BA6E9E">
        <w:rPr>
          <w:rStyle w:val="normaltextrun"/>
        </w:rPr>
        <w:t>5%.</w:t>
      </w:r>
      <w:r w:rsidR="00DE31E8">
        <w:rPr>
          <w:rStyle w:val="normaltextrun"/>
        </w:rPr>
        <w:t xml:space="preserve"> </w:t>
      </w:r>
      <w:r w:rsidR="00297B5E" w:rsidRPr="003E5741">
        <w:rPr>
          <w:rStyle w:val="normaltextrun"/>
        </w:rPr>
        <w:t>Figure 6 shows</w:t>
      </w:r>
      <w:r w:rsidR="00446666" w:rsidRPr="003E5741">
        <w:rPr>
          <w:rStyle w:val="normaltextrun"/>
        </w:rPr>
        <w:t xml:space="preserve"> that school districts with the highest rates of enrollment loss over this period </w:t>
      </w:r>
      <w:r w:rsidR="00CD2A44" w:rsidRPr="003E5741">
        <w:rPr>
          <w:rStyle w:val="normaltextrun"/>
        </w:rPr>
        <w:t xml:space="preserve">are now receiving the highest </w:t>
      </w:r>
      <w:r w:rsidR="002C55FA" w:rsidRPr="003E5741">
        <w:rPr>
          <w:rStyle w:val="normaltextrun"/>
        </w:rPr>
        <w:t>amounts of above foundation aid on a per pupil basis</w:t>
      </w:r>
      <w:r w:rsidR="00297B5E" w:rsidRPr="003E5741">
        <w:rPr>
          <w:rStyle w:val="normaltextrun"/>
        </w:rPr>
        <w:t>.</w:t>
      </w:r>
      <w:r w:rsidR="0031295C" w:rsidRPr="00DA02F7">
        <w:rPr>
          <w:rStyle w:val="normaltextrun"/>
        </w:rPr>
        <w:t xml:space="preserve"> As enrollment declines, hold harmless aid is spread over fewer students, increasing the </w:t>
      </w:r>
      <w:r w:rsidR="00870084">
        <w:rPr>
          <w:rStyle w:val="normaltextrun"/>
        </w:rPr>
        <w:t xml:space="preserve">level of </w:t>
      </w:r>
      <w:r w:rsidR="0031295C" w:rsidRPr="00DA02F7">
        <w:rPr>
          <w:rStyle w:val="normaltextrun"/>
        </w:rPr>
        <w:t>per pupi</w:t>
      </w:r>
      <w:r w:rsidR="003603B1">
        <w:rPr>
          <w:rStyle w:val="normaltextrun"/>
        </w:rPr>
        <w:t>l</w:t>
      </w:r>
      <w:r w:rsidR="00870084">
        <w:rPr>
          <w:rStyle w:val="normaltextrun"/>
        </w:rPr>
        <w:t xml:space="preserve"> funding</w:t>
      </w:r>
      <w:r w:rsidR="0031295C" w:rsidRPr="00DA02F7">
        <w:rPr>
          <w:rStyle w:val="normaltextrun"/>
        </w:rPr>
        <w:t>.</w:t>
      </w:r>
      <w:r w:rsidR="00297B5E">
        <w:rPr>
          <w:rStyle w:val="normaltextrun"/>
        </w:rPr>
        <w:t xml:space="preserve"> </w:t>
      </w:r>
    </w:p>
    <w:p w14:paraId="002A7CDF" w14:textId="77777777" w:rsidR="00961156" w:rsidRPr="00CF16E8" w:rsidRDefault="00961156" w:rsidP="00CF16E8">
      <w:pPr>
        <w:pStyle w:val="NormalWeb"/>
        <w:spacing w:before="0" w:beforeAutospacing="0" w:after="0" w:afterAutospacing="0"/>
        <w:rPr>
          <w:color w:val="000000"/>
        </w:rPr>
      </w:pPr>
    </w:p>
    <w:p w14:paraId="78B9B82D" w14:textId="5280F9F4" w:rsidR="007F304B" w:rsidRDefault="007F304B" w:rsidP="003E07E7">
      <w:pPr>
        <w:pStyle w:val="NormalWeb"/>
        <w:spacing w:before="0" w:beforeAutospacing="0" w:after="0" w:afterAutospacing="0"/>
        <w:jc w:val="center"/>
        <w:rPr>
          <w:rFonts w:asciiTheme="minorHAnsi" w:hAnsiTheme="minorHAnsi" w:cstheme="minorHAnsi"/>
          <w:color w:val="000000"/>
        </w:rPr>
      </w:pPr>
      <w:r w:rsidRPr="003E07E7">
        <w:rPr>
          <w:rFonts w:asciiTheme="minorHAnsi" w:hAnsiTheme="minorHAnsi" w:cstheme="minorHAnsi"/>
          <w:color w:val="000000"/>
        </w:rPr>
        <w:t xml:space="preserve">Figure 6: </w:t>
      </w:r>
      <w:r w:rsidR="00E424A8" w:rsidRPr="003E07E7">
        <w:rPr>
          <w:rFonts w:asciiTheme="minorHAnsi" w:hAnsiTheme="minorHAnsi" w:cstheme="minorHAnsi"/>
          <w:color w:val="000000"/>
        </w:rPr>
        <w:t>FY20 Chapter 70 a</w:t>
      </w:r>
      <w:r w:rsidRPr="003E07E7">
        <w:rPr>
          <w:rFonts w:asciiTheme="minorHAnsi" w:hAnsiTheme="minorHAnsi" w:cstheme="minorHAnsi"/>
          <w:color w:val="000000"/>
        </w:rPr>
        <w:t xml:space="preserve">id </w:t>
      </w:r>
      <w:r w:rsidR="00E424A8" w:rsidRPr="003E07E7">
        <w:rPr>
          <w:rFonts w:asciiTheme="minorHAnsi" w:hAnsiTheme="minorHAnsi" w:cstheme="minorHAnsi"/>
          <w:color w:val="000000"/>
        </w:rPr>
        <w:t>per pu</w:t>
      </w:r>
      <w:r w:rsidR="007B7533" w:rsidRPr="003E07E7">
        <w:rPr>
          <w:rFonts w:asciiTheme="minorHAnsi" w:hAnsiTheme="minorHAnsi" w:cstheme="minorHAnsi"/>
          <w:color w:val="000000"/>
        </w:rPr>
        <w:t>p</w:t>
      </w:r>
      <w:r w:rsidR="00E424A8" w:rsidRPr="003E07E7">
        <w:rPr>
          <w:rFonts w:asciiTheme="minorHAnsi" w:hAnsiTheme="minorHAnsi" w:cstheme="minorHAnsi"/>
          <w:color w:val="000000"/>
        </w:rPr>
        <w:t>il</w:t>
      </w:r>
      <w:r w:rsidRPr="003E07E7">
        <w:rPr>
          <w:rFonts w:asciiTheme="minorHAnsi" w:hAnsiTheme="minorHAnsi" w:cstheme="minorHAnsi"/>
          <w:color w:val="000000"/>
        </w:rPr>
        <w:t xml:space="preserve"> above foundation by </w:t>
      </w:r>
      <w:r w:rsidR="00116470">
        <w:rPr>
          <w:rFonts w:asciiTheme="minorHAnsi" w:hAnsiTheme="minorHAnsi" w:cstheme="minorHAnsi"/>
          <w:color w:val="000000"/>
        </w:rPr>
        <w:t xml:space="preserve">district </w:t>
      </w:r>
      <w:r w:rsidR="00CB3AA3">
        <w:rPr>
          <w:rFonts w:asciiTheme="minorHAnsi" w:hAnsiTheme="minorHAnsi" w:cstheme="minorHAnsi"/>
          <w:color w:val="000000"/>
        </w:rPr>
        <w:t>percent</w:t>
      </w:r>
      <w:r w:rsidRPr="003E07E7">
        <w:rPr>
          <w:rFonts w:asciiTheme="minorHAnsi" w:hAnsiTheme="minorHAnsi" w:cstheme="minorHAnsi"/>
          <w:color w:val="000000"/>
        </w:rPr>
        <w:t xml:space="preserve"> change in enrollment</w:t>
      </w:r>
      <w:r w:rsidR="001222D4">
        <w:rPr>
          <w:rFonts w:asciiTheme="minorHAnsi" w:hAnsiTheme="minorHAnsi" w:cstheme="minorHAnsi"/>
          <w:color w:val="000000"/>
        </w:rPr>
        <w:t>,</w:t>
      </w:r>
      <w:r w:rsidRPr="003E07E7">
        <w:rPr>
          <w:rFonts w:asciiTheme="minorHAnsi" w:hAnsiTheme="minorHAnsi" w:cstheme="minorHAnsi"/>
          <w:color w:val="000000"/>
        </w:rPr>
        <w:t xml:space="preserve"> FY07 to FY20</w:t>
      </w:r>
    </w:p>
    <w:p w14:paraId="16CA3ED6" w14:textId="77777777" w:rsidR="00E17C92" w:rsidRDefault="00E17C92" w:rsidP="003E07E7">
      <w:pPr>
        <w:pStyle w:val="NormalWeb"/>
        <w:spacing w:before="0" w:beforeAutospacing="0" w:after="0" w:afterAutospacing="0"/>
        <w:jc w:val="center"/>
        <w:rPr>
          <w:rFonts w:asciiTheme="minorHAnsi" w:hAnsiTheme="minorHAnsi" w:cstheme="minorHAnsi"/>
          <w:color w:val="000000"/>
        </w:rPr>
      </w:pPr>
    </w:p>
    <w:p w14:paraId="7DD62EE1" w14:textId="7F53163E" w:rsidR="00E17C92" w:rsidRPr="003E07E7" w:rsidRDefault="009B0986" w:rsidP="003E07E7">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noProof/>
          <w:color w:val="000000"/>
        </w:rPr>
        <w:drawing>
          <wp:inline distT="0" distB="0" distL="0" distR="0" wp14:anchorId="5B9F3AAF" wp14:editId="132A15F7">
            <wp:extent cx="6291580" cy="2749550"/>
            <wp:effectExtent l="0" t="0" r="0" b="0"/>
            <wp:docPr id="1" name="Picture 1" descr="Figure 6: Fiscal year 2020 Chapter 70 aid per pupil above foundation by percent change in enrollment, fiscal year 2007 to fiscal year 2020. &#10;&#10;less than or equal to -25 percent change in enrollment (N = 42 districts): $1,543.32 aid per pupil above foundation &#10;&#10;greater than -25 percent and less than or equal to -15 percent (N = 56 districts): $880.46 aid per pupil above foundation &#10;&#10;greater than -15 percent and less than or equal to -5 percent (N = 72 districts): $473.92 aid per pupil above foundation &#10;&#10;greater than -5 percent and less than or equal to 5 percent (N = 69 districts): $325.36 aid per pupil above foundation &#10;&#10;greater than 5 percent and less than or equal to 15% (N = 40 districts): $55.94 aid per pupil above foundation &#10;&#10;greater than 15 percent and less than or equal to 25 percent (N = 18 districts): $14.62 aid per pupil above foundation &#10;&#10;greater than 25% (N = 16 districts): $70.88 aid per pupil abov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1580" cy="2749550"/>
                    </a:xfrm>
                    <a:prstGeom prst="rect">
                      <a:avLst/>
                    </a:prstGeom>
                    <a:noFill/>
                  </pic:spPr>
                </pic:pic>
              </a:graphicData>
            </a:graphic>
          </wp:inline>
        </w:drawing>
      </w:r>
    </w:p>
    <w:p w14:paraId="6E1E9E43" w14:textId="15C2759B" w:rsidR="00BB58CB" w:rsidRDefault="00BB58CB" w:rsidP="00CF16E8">
      <w:pPr>
        <w:pStyle w:val="NormalWeb"/>
        <w:spacing w:before="0" w:beforeAutospacing="0" w:after="0" w:afterAutospacing="0"/>
        <w:rPr>
          <w:color w:val="000000"/>
        </w:rPr>
      </w:pPr>
    </w:p>
    <w:p w14:paraId="1E495C18" w14:textId="7F5EC6CD" w:rsidR="006512ED" w:rsidRPr="00CF16E8" w:rsidRDefault="006512ED" w:rsidP="00CF16E8">
      <w:pPr>
        <w:pStyle w:val="NormalWeb"/>
        <w:spacing w:before="0" w:beforeAutospacing="0" w:after="0" w:afterAutospacing="0"/>
        <w:rPr>
          <w:color w:val="000000"/>
        </w:rPr>
      </w:pPr>
    </w:p>
    <w:p w14:paraId="2B7D517A" w14:textId="16B01D6D" w:rsidR="007362FE" w:rsidRPr="00BA6E9E" w:rsidRDefault="007362FE" w:rsidP="5A6EA7CF">
      <w:pPr>
        <w:pStyle w:val="paragraph"/>
        <w:spacing w:before="0" w:beforeAutospacing="0" w:after="0" w:afterAutospacing="0"/>
        <w:textAlignment w:val="baseline"/>
      </w:pPr>
      <w:r w:rsidRPr="5A6EA7CF">
        <w:rPr>
          <w:rStyle w:val="normaltextrun"/>
        </w:rPr>
        <w:t xml:space="preserve">Since </w:t>
      </w:r>
      <w:r w:rsidR="000278A4">
        <w:rPr>
          <w:rStyle w:val="normaltextrun"/>
        </w:rPr>
        <w:t>FY</w:t>
      </w:r>
      <w:r w:rsidR="006019CF" w:rsidRPr="5A6EA7CF">
        <w:rPr>
          <w:rStyle w:val="normaltextrun"/>
        </w:rPr>
        <w:t>07</w:t>
      </w:r>
      <w:r w:rsidRPr="5A6EA7CF">
        <w:rPr>
          <w:rStyle w:val="normaltextrun"/>
        </w:rPr>
        <w:t xml:space="preserve">, the formula has moved all districts to target aid levels or above. As shown in </w:t>
      </w:r>
      <w:r w:rsidR="00DE31E8">
        <w:rPr>
          <w:rStyle w:val="normaltextrun"/>
        </w:rPr>
        <w:t>Figure</w:t>
      </w:r>
      <w:r w:rsidR="00852901">
        <w:rPr>
          <w:rStyle w:val="normaltextrun"/>
        </w:rPr>
        <w:t xml:space="preserve"> 7</w:t>
      </w:r>
      <w:r w:rsidRPr="5A6EA7CF">
        <w:rPr>
          <w:rStyle w:val="normaltextrun"/>
        </w:rPr>
        <w:t xml:space="preserve">, districts with significant enrollment declines receive aid in FY20 at levels well above their targets while other districts receive aid close to target levels. </w:t>
      </w:r>
      <w:r w:rsidRPr="00395127">
        <w:rPr>
          <w:rStyle w:val="normaltextrun"/>
        </w:rPr>
        <w:t xml:space="preserve">The districts in </w:t>
      </w:r>
      <w:r w:rsidR="00395127" w:rsidRPr="008843D4">
        <w:rPr>
          <w:rStyle w:val="normaltextrun"/>
        </w:rPr>
        <w:t>grey</w:t>
      </w:r>
      <w:r w:rsidR="00395127" w:rsidRPr="00395127">
        <w:rPr>
          <w:rStyle w:val="normaltextrun"/>
        </w:rPr>
        <w:t xml:space="preserve"> </w:t>
      </w:r>
      <w:r w:rsidRPr="00395127">
        <w:rPr>
          <w:rStyle w:val="normaltextrun"/>
        </w:rPr>
        <w:t xml:space="preserve">saw enrollment decrease </w:t>
      </w:r>
      <w:r w:rsidR="007A093F">
        <w:rPr>
          <w:rStyle w:val="normaltextrun"/>
        </w:rPr>
        <w:t xml:space="preserve">by </w:t>
      </w:r>
      <w:r w:rsidRPr="00395127">
        <w:rPr>
          <w:rStyle w:val="normaltextrun"/>
        </w:rPr>
        <w:t>more than 5</w:t>
      </w:r>
      <w:r w:rsidR="00DB1C9A">
        <w:rPr>
          <w:rStyle w:val="normaltextrun"/>
        </w:rPr>
        <w:t>%</w:t>
      </w:r>
      <w:r w:rsidRPr="00395127">
        <w:rPr>
          <w:rStyle w:val="normaltextrun"/>
        </w:rPr>
        <w:t xml:space="preserve"> from </w:t>
      </w:r>
      <w:r w:rsidR="7ABAA9D7" w:rsidRPr="00395127">
        <w:rPr>
          <w:rStyle w:val="normaltextrun"/>
        </w:rPr>
        <w:t xml:space="preserve">their </w:t>
      </w:r>
      <w:r w:rsidRPr="00395127">
        <w:rPr>
          <w:rStyle w:val="normaltextrun"/>
        </w:rPr>
        <w:t>FY07</w:t>
      </w:r>
      <w:r w:rsidR="6D6BC91D" w:rsidRPr="00395127">
        <w:rPr>
          <w:rStyle w:val="normaltextrun"/>
        </w:rPr>
        <w:t xml:space="preserve"> level</w:t>
      </w:r>
      <w:r w:rsidRPr="00395127">
        <w:rPr>
          <w:rStyle w:val="normaltextrun"/>
        </w:rPr>
        <w:t xml:space="preserve"> and the districts in </w:t>
      </w:r>
      <w:r w:rsidR="00395127" w:rsidRPr="008843D4">
        <w:rPr>
          <w:rStyle w:val="normaltextrun"/>
        </w:rPr>
        <w:t>blue</w:t>
      </w:r>
      <w:r w:rsidR="00395127" w:rsidRPr="00395127">
        <w:rPr>
          <w:rStyle w:val="normaltextrun"/>
        </w:rPr>
        <w:t xml:space="preserve"> </w:t>
      </w:r>
      <w:r w:rsidRPr="00395127">
        <w:rPr>
          <w:rStyle w:val="normaltextrun"/>
        </w:rPr>
        <w:t>increased more than 5</w:t>
      </w:r>
      <w:r w:rsidR="00DB1C9A">
        <w:rPr>
          <w:rStyle w:val="normaltextrun"/>
        </w:rPr>
        <w:t>%</w:t>
      </w:r>
      <w:r w:rsidRPr="00395127">
        <w:rPr>
          <w:rStyle w:val="normaltextrun"/>
        </w:rPr>
        <w:t xml:space="preserve">. The districts in </w:t>
      </w:r>
      <w:r w:rsidR="00395127" w:rsidRPr="008843D4">
        <w:rPr>
          <w:rStyle w:val="normaltextrun"/>
        </w:rPr>
        <w:t>yellow</w:t>
      </w:r>
      <w:r w:rsidR="00395127" w:rsidRPr="00395127">
        <w:rPr>
          <w:rStyle w:val="normaltextrun"/>
        </w:rPr>
        <w:t xml:space="preserve"> </w:t>
      </w:r>
      <w:r w:rsidRPr="00395127">
        <w:rPr>
          <w:rStyle w:val="normaltextrun"/>
        </w:rPr>
        <w:t>have had relatively flat enrollment.</w:t>
      </w:r>
      <w:r w:rsidRPr="5A6EA7CF">
        <w:rPr>
          <w:rStyle w:val="normaltextrun"/>
        </w:rPr>
        <w:t xml:space="preserve"> In FY20, the districts with above-target aid received </w:t>
      </w:r>
      <w:r w:rsidRPr="00B754E6">
        <w:rPr>
          <w:rStyle w:val="normaltextrun"/>
        </w:rPr>
        <w:t>$518 million in total</w:t>
      </w:r>
      <w:r w:rsidRPr="5A6EA7CF">
        <w:rPr>
          <w:rStyle w:val="normaltextrun"/>
        </w:rPr>
        <w:t xml:space="preserve"> more than their target amounts.</w:t>
      </w:r>
      <w:r w:rsidRPr="5A6EA7CF">
        <w:rPr>
          <w:rStyle w:val="eop"/>
        </w:rPr>
        <w:t> </w:t>
      </w:r>
    </w:p>
    <w:p w14:paraId="6EDAF500" w14:textId="2183A57D" w:rsidR="000C4812" w:rsidRDefault="000C4812">
      <w:pPr>
        <w:spacing w:after="160" w:line="259" w:lineRule="auto"/>
        <w:rPr>
          <w:color w:val="000000"/>
        </w:rPr>
      </w:pPr>
      <w:r>
        <w:rPr>
          <w:color w:val="000000"/>
        </w:rPr>
        <w:br w:type="page"/>
      </w:r>
    </w:p>
    <w:p w14:paraId="52706C66" w14:textId="77777777" w:rsidR="000C4812" w:rsidRDefault="000C4812" w:rsidP="00CF16E8">
      <w:pPr>
        <w:pStyle w:val="NormalWeb"/>
        <w:spacing w:before="0" w:beforeAutospacing="0" w:after="0" w:afterAutospacing="0"/>
        <w:rPr>
          <w:color w:val="000000"/>
        </w:rPr>
      </w:pPr>
    </w:p>
    <w:p w14:paraId="01313314" w14:textId="16DED270" w:rsidR="0054248C" w:rsidRPr="003E07E7" w:rsidRDefault="001673C7" w:rsidP="003E07E7">
      <w:pPr>
        <w:pStyle w:val="NormalWeb"/>
        <w:spacing w:before="0" w:beforeAutospacing="0" w:after="0" w:afterAutospacing="0"/>
        <w:jc w:val="center"/>
        <w:rPr>
          <w:rFonts w:asciiTheme="minorHAnsi" w:hAnsiTheme="minorHAnsi" w:cstheme="minorHAnsi"/>
          <w:color w:val="808080"/>
        </w:rPr>
      </w:pPr>
      <w:r w:rsidRPr="003E07E7">
        <w:rPr>
          <w:rFonts w:asciiTheme="minorHAnsi" w:hAnsiTheme="minorHAnsi" w:cstheme="minorHAnsi"/>
          <w:color w:val="000000"/>
        </w:rPr>
        <w:t>Figure</w:t>
      </w:r>
      <w:r w:rsidR="00FF18DF" w:rsidRPr="003E07E7">
        <w:rPr>
          <w:rFonts w:asciiTheme="minorHAnsi" w:hAnsiTheme="minorHAnsi" w:cstheme="minorHAnsi"/>
          <w:color w:val="000000"/>
        </w:rPr>
        <w:t xml:space="preserve"> </w:t>
      </w:r>
      <w:r w:rsidR="00CA0463" w:rsidRPr="003E07E7">
        <w:rPr>
          <w:rFonts w:asciiTheme="minorHAnsi" w:hAnsiTheme="minorHAnsi" w:cstheme="minorHAnsi"/>
          <w:color w:val="000000"/>
        </w:rPr>
        <w:t>7</w:t>
      </w:r>
      <w:r w:rsidRPr="003E07E7">
        <w:rPr>
          <w:rFonts w:asciiTheme="minorHAnsi" w:hAnsiTheme="minorHAnsi" w:cstheme="minorHAnsi"/>
          <w:color w:val="000000"/>
        </w:rPr>
        <w:t xml:space="preserve">: </w:t>
      </w:r>
      <w:r w:rsidR="00B62261" w:rsidRPr="003E07E7">
        <w:rPr>
          <w:rStyle w:val="normaltextrun"/>
          <w:rFonts w:asciiTheme="minorHAnsi" w:hAnsiTheme="minorHAnsi" w:cstheme="minorHAnsi"/>
        </w:rPr>
        <w:t xml:space="preserve">Target </w:t>
      </w:r>
      <w:r w:rsidR="000C4812" w:rsidRPr="003E07E7">
        <w:rPr>
          <w:rStyle w:val="normaltextrun"/>
          <w:rFonts w:asciiTheme="minorHAnsi" w:hAnsiTheme="minorHAnsi" w:cstheme="minorHAnsi"/>
        </w:rPr>
        <w:t>a</w:t>
      </w:r>
      <w:r w:rsidR="00B62261" w:rsidRPr="003E07E7">
        <w:rPr>
          <w:rStyle w:val="normaltextrun"/>
          <w:rFonts w:asciiTheme="minorHAnsi" w:hAnsiTheme="minorHAnsi" w:cstheme="minorHAnsi"/>
        </w:rPr>
        <w:t xml:space="preserve">id </w:t>
      </w:r>
      <w:r w:rsidR="000C4812" w:rsidRPr="003E07E7">
        <w:rPr>
          <w:rStyle w:val="normaltextrun"/>
          <w:rFonts w:asciiTheme="minorHAnsi" w:hAnsiTheme="minorHAnsi" w:cstheme="minorHAnsi"/>
        </w:rPr>
        <w:t>s</w:t>
      </w:r>
      <w:r w:rsidR="00B62261" w:rsidRPr="003E07E7">
        <w:rPr>
          <w:rStyle w:val="normaltextrun"/>
          <w:rFonts w:asciiTheme="minorHAnsi" w:hAnsiTheme="minorHAnsi" w:cstheme="minorHAnsi"/>
        </w:rPr>
        <w:t xml:space="preserve">hare vs </w:t>
      </w:r>
      <w:r w:rsidR="000C4812" w:rsidRPr="003E07E7">
        <w:rPr>
          <w:rStyle w:val="normaltextrun"/>
          <w:rFonts w:asciiTheme="minorHAnsi" w:hAnsiTheme="minorHAnsi" w:cstheme="minorHAnsi"/>
        </w:rPr>
        <w:t>a</w:t>
      </w:r>
      <w:r w:rsidR="00B62261" w:rsidRPr="003E07E7">
        <w:rPr>
          <w:rStyle w:val="normaltextrun"/>
          <w:rFonts w:asciiTheme="minorHAnsi" w:hAnsiTheme="minorHAnsi" w:cstheme="minorHAnsi"/>
        </w:rPr>
        <w:t xml:space="preserve">ctual </w:t>
      </w:r>
      <w:r w:rsidR="000C4812" w:rsidRPr="003E07E7">
        <w:rPr>
          <w:rStyle w:val="normaltextrun"/>
          <w:rFonts w:asciiTheme="minorHAnsi" w:hAnsiTheme="minorHAnsi" w:cstheme="minorHAnsi"/>
        </w:rPr>
        <w:t>a</w:t>
      </w:r>
      <w:r w:rsidR="00B62261" w:rsidRPr="003E07E7">
        <w:rPr>
          <w:rStyle w:val="normaltextrun"/>
          <w:rFonts w:asciiTheme="minorHAnsi" w:hAnsiTheme="minorHAnsi" w:cstheme="minorHAnsi"/>
        </w:rPr>
        <w:t xml:space="preserve">id </w:t>
      </w:r>
      <w:r w:rsidR="000C4812" w:rsidRPr="003E07E7">
        <w:rPr>
          <w:rStyle w:val="normaltextrun"/>
          <w:rFonts w:asciiTheme="minorHAnsi" w:hAnsiTheme="minorHAnsi" w:cstheme="minorHAnsi"/>
        </w:rPr>
        <w:t>s</w:t>
      </w:r>
      <w:r w:rsidR="00B62261" w:rsidRPr="003E07E7">
        <w:rPr>
          <w:rStyle w:val="normaltextrun"/>
          <w:rFonts w:asciiTheme="minorHAnsi" w:hAnsiTheme="minorHAnsi" w:cstheme="minorHAnsi"/>
        </w:rPr>
        <w:t>hare</w:t>
      </w:r>
      <w:r w:rsidR="00FD298A" w:rsidRPr="003E07E7">
        <w:rPr>
          <w:rStyle w:val="normaltextrun"/>
          <w:rFonts w:asciiTheme="minorHAnsi" w:hAnsiTheme="minorHAnsi" w:cstheme="minorHAnsi"/>
        </w:rPr>
        <w:t xml:space="preserve"> of </w:t>
      </w:r>
      <w:r w:rsidR="000C4812" w:rsidRPr="003E07E7">
        <w:rPr>
          <w:rStyle w:val="normaltextrun"/>
          <w:rFonts w:asciiTheme="minorHAnsi" w:hAnsiTheme="minorHAnsi" w:cstheme="minorHAnsi"/>
        </w:rPr>
        <w:t>f</w:t>
      </w:r>
      <w:r w:rsidR="00FD298A" w:rsidRPr="003E07E7">
        <w:rPr>
          <w:rStyle w:val="normaltextrun"/>
          <w:rFonts w:asciiTheme="minorHAnsi" w:hAnsiTheme="minorHAnsi" w:cstheme="minorHAnsi"/>
        </w:rPr>
        <w:t>oundation</w:t>
      </w:r>
      <w:r w:rsidR="00FF18DF" w:rsidRPr="003E07E7">
        <w:rPr>
          <w:rStyle w:val="normaltextrun"/>
          <w:rFonts w:asciiTheme="minorHAnsi" w:hAnsiTheme="minorHAnsi" w:cstheme="minorHAnsi"/>
        </w:rPr>
        <w:t xml:space="preserve"> </w:t>
      </w:r>
      <w:r w:rsidR="00183770">
        <w:rPr>
          <w:rStyle w:val="normaltextrun"/>
          <w:rFonts w:asciiTheme="minorHAnsi" w:hAnsiTheme="minorHAnsi" w:cstheme="minorHAnsi"/>
        </w:rPr>
        <w:br/>
      </w:r>
      <w:r w:rsidR="00B62261" w:rsidRPr="003E07E7">
        <w:rPr>
          <w:rStyle w:val="normaltextrun"/>
          <w:rFonts w:asciiTheme="minorHAnsi" w:hAnsiTheme="minorHAnsi" w:cstheme="minorHAnsi"/>
        </w:rPr>
        <w:t>by district enrollment trends</w:t>
      </w:r>
      <w:r w:rsidR="00B62261">
        <w:rPr>
          <w:rStyle w:val="normaltextrun"/>
          <w:rFonts w:asciiTheme="minorHAnsi" w:hAnsiTheme="minorHAnsi" w:cstheme="minorHAnsi"/>
        </w:rPr>
        <w:t xml:space="preserve"> </w:t>
      </w:r>
      <w:r w:rsidR="007F26B3">
        <w:rPr>
          <w:rStyle w:val="normaltextrun"/>
          <w:rFonts w:asciiTheme="minorHAnsi" w:hAnsiTheme="minorHAnsi" w:cstheme="minorHAnsi"/>
        </w:rPr>
        <w:t>since</w:t>
      </w:r>
      <w:r w:rsidR="00B62261" w:rsidRPr="003E07E7">
        <w:rPr>
          <w:rStyle w:val="normaltextrun"/>
          <w:rFonts w:asciiTheme="minorHAnsi" w:hAnsiTheme="minorHAnsi" w:cstheme="minorHAnsi"/>
        </w:rPr>
        <w:t xml:space="preserve"> FY07</w:t>
      </w:r>
    </w:p>
    <w:p w14:paraId="55E8A88A" w14:textId="67FCE58F" w:rsidR="00E25EE1" w:rsidRDefault="00606C06" w:rsidP="00356EA4">
      <w:pPr>
        <w:pStyle w:val="NormalWeb"/>
        <w:spacing w:before="0" w:beforeAutospacing="0" w:after="0" w:afterAutospacing="0"/>
        <w:jc w:val="center"/>
        <w:rPr>
          <w:color w:val="000000"/>
        </w:rPr>
      </w:pPr>
      <w:r>
        <w:rPr>
          <w:noProof/>
          <w:color w:val="000000"/>
        </w:rPr>
        <w:drawing>
          <wp:inline distT="0" distB="0" distL="0" distR="0" wp14:anchorId="5F7E2A4F" wp14:editId="626518DC">
            <wp:extent cx="4334510" cy="3371215"/>
            <wp:effectExtent l="0" t="0" r="8890" b="635"/>
            <wp:docPr id="3" name="Picture 3" descr="Figure 7: target aid share versus actual aid share of foundation, by enrollment trends since fiscal year 2007&#10;&#10;Top chart: target aid share versus actual aid share of foundation, fiscal year 2007&#10;&#10;The 170 districts in grey saw enrollment decrease by more than 5% from their FY07 level and the 74 districts in blue increased more than 5%. The 69 districts in yellow have had relatively flat enroll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4510" cy="3371215"/>
                    </a:xfrm>
                    <a:prstGeom prst="rect">
                      <a:avLst/>
                    </a:prstGeom>
                    <a:noFill/>
                  </pic:spPr>
                </pic:pic>
              </a:graphicData>
            </a:graphic>
          </wp:inline>
        </w:drawing>
      </w:r>
    </w:p>
    <w:p w14:paraId="49E6C84E" w14:textId="77777777" w:rsidR="002F439A" w:rsidRDefault="002F439A" w:rsidP="00CF16E8">
      <w:pPr>
        <w:pStyle w:val="NormalWeb"/>
        <w:spacing w:before="0" w:beforeAutospacing="0" w:after="0" w:afterAutospacing="0"/>
        <w:rPr>
          <w:color w:val="000000"/>
        </w:rPr>
      </w:pPr>
    </w:p>
    <w:p w14:paraId="12400BDD" w14:textId="0A0DB018" w:rsidR="002F439A" w:rsidRPr="00CF16E8" w:rsidRDefault="00AC17FA" w:rsidP="00356EA4">
      <w:pPr>
        <w:pStyle w:val="NormalWeb"/>
        <w:spacing w:before="0" w:beforeAutospacing="0" w:after="0" w:afterAutospacing="0"/>
        <w:jc w:val="center"/>
        <w:rPr>
          <w:color w:val="000000"/>
        </w:rPr>
      </w:pPr>
      <w:r>
        <w:rPr>
          <w:noProof/>
        </w:rPr>
        <w:drawing>
          <wp:inline distT="0" distB="0" distL="0" distR="0" wp14:anchorId="5FE219DF" wp14:editId="4356A653">
            <wp:extent cx="4304030" cy="3261360"/>
            <wp:effectExtent l="0" t="0" r="1270" b="0"/>
            <wp:docPr id="16" name="Picture 16" descr="Figure 7: target aid share versus actual aid share of foundation, by enrollment trends since fiscal year 2007&#10;&#10;Bottom chart: target aid share versus actual aid share of foundation, fiscal year 2020&#10;&#10;Three groups: &#10;districts with at least 5 percent decline in enrollment (N = 170 districts)&#10;districts with stable enrollment (between 5 percent decline and 5 percent increase) (N = 69 districts)&#10;districts with more than 5 percent increase in enrollment (N = 74 districts)&#10;&#10;Districts with significant enrollment declines receive aid in fiscal year 2020 at levels well above their targets while other districts receive aid close to target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3">
                      <a:extLst>
                        <a:ext uri="{28A0092B-C50C-407E-A947-70E740481C1C}">
                          <a14:useLocalDpi xmlns:a14="http://schemas.microsoft.com/office/drawing/2010/main" val="0"/>
                        </a:ext>
                      </a:extLst>
                    </a:blip>
                    <a:stretch>
                      <a:fillRect/>
                    </a:stretch>
                  </pic:blipFill>
                  <pic:spPr>
                    <a:xfrm>
                      <a:off x="0" y="0"/>
                      <a:ext cx="4304030" cy="3261360"/>
                    </a:xfrm>
                    <a:prstGeom prst="rect">
                      <a:avLst/>
                    </a:prstGeom>
                  </pic:spPr>
                </pic:pic>
              </a:graphicData>
            </a:graphic>
          </wp:inline>
        </w:drawing>
      </w:r>
    </w:p>
    <w:p w14:paraId="538DFFDA" w14:textId="77777777" w:rsidR="00671080" w:rsidRDefault="00671080" w:rsidP="5A6EA7CF">
      <w:pPr>
        <w:pStyle w:val="NormalWeb"/>
        <w:spacing w:before="0" w:beforeAutospacing="0" w:after="0" w:afterAutospacing="0"/>
        <w:rPr>
          <w:color w:val="000000" w:themeColor="text1"/>
        </w:rPr>
      </w:pPr>
    </w:p>
    <w:p w14:paraId="10B77BEE" w14:textId="77777777" w:rsidR="00AC17FA" w:rsidRDefault="00AC17FA" w:rsidP="5A6EA7CF">
      <w:pPr>
        <w:pStyle w:val="NormalWeb"/>
        <w:spacing w:before="0" w:beforeAutospacing="0" w:after="0" w:afterAutospacing="0"/>
        <w:rPr>
          <w:color w:val="000000" w:themeColor="text1"/>
        </w:rPr>
      </w:pPr>
    </w:p>
    <w:p w14:paraId="0460C583" w14:textId="77777777" w:rsidR="00AC17FA" w:rsidRDefault="00AC17FA" w:rsidP="5A6EA7CF">
      <w:pPr>
        <w:pStyle w:val="NormalWeb"/>
        <w:spacing w:before="0" w:beforeAutospacing="0" w:after="0" w:afterAutospacing="0"/>
        <w:rPr>
          <w:color w:val="000000" w:themeColor="text1"/>
        </w:rPr>
      </w:pPr>
    </w:p>
    <w:p w14:paraId="6777B880" w14:textId="6A1A0C8F" w:rsidR="00723F0F" w:rsidRDefault="004C147F" w:rsidP="5A6EA7CF">
      <w:pPr>
        <w:pStyle w:val="NormalWeb"/>
        <w:spacing w:before="0" w:beforeAutospacing="0" w:after="0" w:afterAutospacing="0"/>
        <w:rPr>
          <w:color w:val="000000"/>
        </w:rPr>
      </w:pPr>
      <w:r w:rsidRPr="5A6EA7CF">
        <w:rPr>
          <w:color w:val="000000" w:themeColor="text1"/>
        </w:rPr>
        <w:lastRenderedPageBreak/>
        <w:t xml:space="preserve">This situation creates some unique challenges under the Chapter 70 formula. </w:t>
      </w:r>
      <w:r w:rsidR="006414F2" w:rsidRPr="5A6EA7CF">
        <w:rPr>
          <w:color w:val="000000" w:themeColor="text1"/>
        </w:rPr>
        <w:t>First, disec</w:t>
      </w:r>
      <w:r w:rsidR="00E35229" w:rsidRPr="5A6EA7CF">
        <w:rPr>
          <w:color w:val="000000" w:themeColor="text1"/>
        </w:rPr>
        <w:t xml:space="preserve">onomies of scale </w:t>
      </w:r>
      <w:r w:rsidR="00177008" w:rsidRPr="5A6EA7CF">
        <w:rPr>
          <w:color w:val="000000" w:themeColor="text1"/>
        </w:rPr>
        <w:t xml:space="preserve">in very small districts make it </w:t>
      </w:r>
      <w:r w:rsidR="0028653D" w:rsidRPr="5A6EA7CF">
        <w:rPr>
          <w:color w:val="000000" w:themeColor="text1"/>
        </w:rPr>
        <w:t xml:space="preserve">more challenging to provide a full educational program within the </w:t>
      </w:r>
      <w:r w:rsidR="00F40937" w:rsidRPr="5A6EA7CF">
        <w:rPr>
          <w:color w:val="000000" w:themeColor="text1"/>
        </w:rPr>
        <w:t>parameters of the foundation budget</w:t>
      </w:r>
      <w:r w:rsidR="2811C175" w:rsidRPr="5A6EA7CF">
        <w:rPr>
          <w:color w:val="000000" w:themeColor="text1"/>
        </w:rPr>
        <w:t xml:space="preserve"> when districts are unable to operate close to the staff</w:t>
      </w:r>
      <w:r w:rsidR="00FD073D">
        <w:rPr>
          <w:color w:val="000000" w:themeColor="text1"/>
        </w:rPr>
        <w:t>-</w:t>
      </w:r>
      <w:r w:rsidR="2811C175" w:rsidRPr="5A6EA7CF">
        <w:rPr>
          <w:color w:val="000000" w:themeColor="text1"/>
        </w:rPr>
        <w:t>to</w:t>
      </w:r>
      <w:r w:rsidR="00FD073D">
        <w:rPr>
          <w:color w:val="000000" w:themeColor="text1"/>
        </w:rPr>
        <w:t>-</w:t>
      </w:r>
      <w:r w:rsidR="2811C175" w:rsidRPr="5A6EA7CF">
        <w:rPr>
          <w:color w:val="000000" w:themeColor="text1"/>
        </w:rPr>
        <w:t>student ratios assumed in the foundation budget</w:t>
      </w:r>
      <w:r w:rsidR="00F40937" w:rsidRPr="5A6EA7CF">
        <w:rPr>
          <w:color w:val="000000" w:themeColor="text1"/>
        </w:rPr>
        <w:t xml:space="preserve">. </w:t>
      </w:r>
    </w:p>
    <w:p w14:paraId="0271B2DB" w14:textId="77777777" w:rsidR="00980CC1" w:rsidRDefault="00980CC1" w:rsidP="00CF16E8">
      <w:pPr>
        <w:pStyle w:val="NormalWeb"/>
        <w:spacing w:before="0" w:beforeAutospacing="0" w:after="0" w:afterAutospacing="0"/>
        <w:rPr>
          <w:color w:val="000000"/>
        </w:rPr>
      </w:pPr>
    </w:p>
    <w:p w14:paraId="73CB491D" w14:textId="48A94B84" w:rsidR="00D97781" w:rsidRPr="00CF16E8" w:rsidRDefault="0C47E683" w:rsidP="5A6EA7CF">
      <w:pPr>
        <w:pStyle w:val="NormalWeb"/>
        <w:spacing w:before="0" w:beforeAutospacing="0" w:after="0" w:afterAutospacing="0"/>
        <w:rPr>
          <w:color w:val="000000"/>
        </w:rPr>
      </w:pPr>
      <w:r w:rsidRPr="00CF16E8">
        <w:rPr>
          <w:color w:val="000000"/>
        </w:rPr>
        <w:t>I</w:t>
      </w:r>
      <w:r w:rsidR="008C72FC" w:rsidRPr="00CF16E8">
        <w:rPr>
          <w:color w:val="000000"/>
        </w:rPr>
        <w:t xml:space="preserve">t is clear that </w:t>
      </w:r>
      <w:r w:rsidR="008943D4" w:rsidRPr="00CF16E8">
        <w:rPr>
          <w:color w:val="000000"/>
        </w:rPr>
        <w:t xml:space="preserve">many of these </w:t>
      </w:r>
      <w:r w:rsidR="008C72FC" w:rsidRPr="00CF16E8">
        <w:rPr>
          <w:color w:val="000000"/>
        </w:rPr>
        <w:t>districts are facing significant long-term fiscal challenges</w:t>
      </w:r>
      <w:r w:rsidR="000B0C99" w:rsidRPr="00CF16E8">
        <w:rPr>
          <w:color w:val="000000"/>
        </w:rPr>
        <w:t xml:space="preserve"> due to diseconomies of scale. </w:t>
      </w:r>
      <w:r w:rsidR="00D208DF" w:rsidRPr="00CF16E8">
        <w:rPr>
          <w:color w:val="000000"/>
        </w:rPr>
        <w:t>In addition, required local education spending represents a very large portion of most small town budgets</w:t>
      </w:r>
      <w:r w:rsidR="00D21AC6">
        <w:rPr>
          <w:color w:val="000000"/>
        </w:rPr>
        <w:t>.</w:t>
      </w:r>
      <w:r w:rsidR="00D208DF" w:rsidRPr="00CF16E8">
        <w:rPr>
          <w:color w:val="000000"/>
        </w:rPr>
        <w:t xml:space="preserve"> </w:t>
      </w:r>
      <w:r w:rsidR="14E7B0C0" w:rsidRPr="00CF16E8">
        <w:rPr>
          <w:color w:val="000000"/>
        </w:rPr>
        <w:t xml:space="preserve">This burden has the effect of </w:t>
      </w:r>
      <w:r w:rsidR="00D208DF" w:rsidRPr="00CF16E8">
        <w:rPr>
          <w:color w:val="000000"/>
        </w:rPr>
        <w:t xml:space="preserve">exacerbating the municipal budget issues discussed earlier. </w:t>
      </w:r>
      <w:r w:rsidR="00C23549" w:rsidRPr="00CF16E8">
        <w:rPr>
          <w:color w:val="000000"/>
        </w:rPr>
        <w:t xml:space="preserve">The Legislature has acknowledged this issue with the recent creation of a special commission </w:t>
      </w:r>
      <w:r w:rsidR="00E02722" w:rsidRPr="00CF16E8">
        <w:rPr>
          <w:color w:val="000000"/>
        </w:rPr>
        <w:t>on rural schools.</w:t>
      </w:r>
      <w:r w:rsidR="00E02722" w:rsidRPr="00CF16E8">
        <w:rPr>
          <w:rStyle w:val="FootnoteReference"/>
          <w:color w:val="000000"/>
        </w:rPr>
        <w:footnoteReference w:id="22"/>
      </w:r>
    </w:p>
    <w:p w14:paraId="20650887" w14:textId="77777777" w:rsidR="00723F0F" w:rsidRDefault="00723F0F" w:rsidP="00BA6E9E">
      <w:pPr>
        <w:pStyle w:val="NormalWeb"/>
        <w:spacing w:before="0" w:beforeAutospacing="0" w:after="0" w:afterAutospacing="0"/>
        <w:rPr>
          <w:color w:val="000000"/>
        </w:rPr>
      </w:pPr>
    </w:p>
    <w:p w14:paraId="7AB57D30" w14:textId="22F1DBCD" w:rsidR="00430260" w:rsidRPr="00CF16E8" w:rsidRDefault="5B323504" w:rsidP="5A6EA7CF">
      <w:pPr>
        <w:pStyle w:val="NormalWeb"/>
        <w:spacing w:before="0" w:beforeAutospacing="0" w:after="0" w:afterAutospacing="0"/>
        <w:rPr>
          <w:color w:val="000000"/>
        </w:rPr>
      </w:pPr>
      <w:r w:rsidRPr="5A6EA7CF">
        <w:rPr>
          <w:color w:val="000000" w:themeColor="text1"/>
        </w:rPr>
        <w:t>Given the fixed assumptions of staff-to-student ratios in calculating foundation budgets for all districts</w:t>
      </w:r>
      <w:r w:rsidR="7FC949B6" w:rsidRPr="5A6EA7CF">
        <w:rPr>
          <w:color w:val="000000" w:themeColor="text1"/>
        </w:rPr>
        <w:t>, not achieving, or approaching, such ratios can put a high fiscal burden on to</w:t>
      </w:r>
      <w:r w:rsidR="5B67D72A" w:rsidRPr="5A6EA7CF">
        <w:rPr>
          <w:color w:val="000000" w:themeColor="text1"/>
        </w:rPr>
        <w:t xml:space="preserve">wn budgets. </w:t>
      </w:r>
      <w:r w:rsidR="00430260" w:rsidRPr="5A6EA7CF">
        <w:rPr>
          <w:color w:val="000000" w:themeColor="text1"/>
        </w:rPr>
        <w:t xml:space="preserve">One of the strategies certain to be discussed </w:t>
      </w:r>
      <w:r w:rsidR="5642CB8E" w:rsidRPr="5A6EA7CF">
        <w:rPr>
          <w:color w:val="000000" w:themeColor="text1"/>
        </w:rPr>
        <w:t>to address this challen</w:t>
      </w:r>
      <w:r w:rsidR="0015519D">
        <w:rPr>
          <w:color w:val="000000" w:themeColor="text1"/>
        </w:rPr>
        <w:t>ge</w:t>
      </w:r>
      <w:r w:rsidR="5642CB8E" w:rsidRPr="5A6EA7CF">
        <w:rPr>
          <w:color w:val="000000" w:themeColor="text1"/>
        </w:rPr>
        <w:t xml:space="preserve"> </w:t>
      </w:r>
      <w:r w:rsidR="00430260" w:rsidRPr="5A6EA7CF">
        <w:rPr>
          <w:color w:val="000000" w:themeColor="text1"/>
        </w:rPr>
        <w:t xml:space="preserve">is further regionalization of small schools and districts. </w:t>
      </w:r>
    </w:p>
    <w:p w14:paraId="32477937" w14:textId="0DA36984" w:rsidR="0051583F" w:rsidRPr="00AA14F2" w:rsidRDefault="0051583F" w:rsidP="00CF16E8">
      <w:pPr>
        <w:pStyle w:val="Heading3"/>
      </w:pPr>
      <w:bookmarkStart w:id="29" w:name="_Toc55558709"/>
      <w:bookmarkStart w:id="30" w:name="_Toc57725134"/>
      <w:r w:rsidRPr="00385350">
        <w:t xml:space="preserve">Impact on </w:t>
      </w:r>
      <w:r w:rsidR="002945DD">
        <w:t>regional school districts</w:t>
      </w:r>
      <w:bookmarkEnd w:id="29"/>
      <w:bookmarkEnd w:id="30"/>
    </w:p>
    <w:p w14:paraId="7B01FCC8" w14:textId="77777777" w:rsidR="0051583F" w:rsidRPr="00385350" w:rsidRDefault="0051583F" w:rsidP="0051583F">
      <w:pPr>
        <w:pStyle w:val="NormalWeb"/>
        <w:spacing w:before="0" w:beforeAutospacing="0" w:after="0" w:afterAutospacing="0"/>
        <w:rPr>
          <w:color w:val="000000"/>
        </w:rPr>
      </w:pPr>
      <w:r w:rsidRPr="00385350">
        <w:rPr>
          <w:color w:val="000000"/>
        </w:rPr>
        <w:t>Some local officials have voiced the concern that the Chapter 70 formula disadvantages regional school districts and their member towns. From a technical standpoint, this is not true. The local contribution requirement applies uniformly to all 351 cities and towns, whether or not they are members of regional districts. And the foundation budget and Chapter 70 aid calculations apply uniformly to all school districts, municipal or regional. Regional status is not a factor in the formula; it neither increases a town’s required contribution nor decreases a district’s state aid.</w:t>
      </w:r>
    </w:p>
    <w:p w14:paraId="6AC49493" w14:textId="77777777" w:rsidR="00680F72" w:rsidRDefault="00680F72" w:rsidP="0051583F">
      <w:pPr>
        <w:pStyle w:val="NormalWeb"/>
        <w:spacing w:before="0" w:beforeAutospacing="0" w:after="0" w:afterAutospacing="0"/>
        <w:rPr>
          <w:color w:val="000000"/>
        </w:rPr>
      </w:pPr>
    </w:p>
    <w:p w14:paraId="164B81A4" w14:textId="21E820B1" w:rsidR="0051583F" w:rsidRPr="00385350" w:rsidRDefault="0051583F" w:rsidP="5A6EA7CF">
      <w:pPr>
        <w:pStyle w:val="NormalWeb"/>
        <w:spacing w:before="0" w:beforeAutospacing="0" w:after="0" w:afterAutospacing="0"/>
        <w:rPr>
          <w:color w:val="000000"/>
        </w:rPr>
      </w:pPr>
      <w:r w:rsidRPr="5A6EA7CF">
        <w:rPr>
          <w:color w:val="000000" w:themeColor="text1"/>
        </w:rPr>
        <w:t xml:space="preserve">We have observed, however, that school funding issues can cause dissension in existing regional districts. On more than one occasion </w:t>
      </w:r>
      <w:r w:rsidR="002945DD">
        <w:rPr>
          <w:color w:val="000000" w:themeColor="text1"/>
        </w:rPr>
        <w:t xml:space="preserve">we have </w:t>
      </w:r>
      <w:r w:rsidRPr="5A6EA7CF">
        <w:rPr>
          <w:color w:val="000000" w:themeColor="text1"/>
        </w:rPr>
        <w:t>seen select boards refuse to put regional school budget requests on town meeting warrants, substituting their own recommendation instead. These</w:t>
      </w:r>
      <w:r w:rsidR="0A72EE3A" w:rsidRPr="5A6EA7CF">
        <w:rPr>
          <w:color w:val="000000" w:themeColor="text1"/>
        </w:rPr>
        <w:t xml:space="preserve"> tensions and</w:t>
      </w:r>
      <w:r w:rsidRPr="5A6EA7CF">
        <w:rPr>
          <w:color w:val="000000" w:themeColor="text1"/>
        </w:rPr>
        <w:t xml:space="preserve"> issues</w:t>
      </w:r>
      <w:r w:rsidR="2E908586" w:rsidRPr="5A6EA7CF">
        <w:rPr>
          <w:color w:val="000000" w:themeColor="text1"/>
        </w:rPr>
        <w:t xml:space="preserve"> and the public perception of them</w:t>
      </w:r>
      <w:r w:rsidRPr="5A6EA7CF">
        <w:rPr>
          <w:color w:val="000000" w:themeColor="text1"/>
        </w:rPr>
        <w:t xml:space="preserve"> can also be a detriment to the further creation or expansion of regional districts. </w:t>
      </w:r>
      <w:r w:rsidR="05800066" w:rsidRPr="5A6EA7CF">
        <w:rPr>
          <w:color w:val="000000" w:themeColor="text1"/>
        </w:rPr>
        <w:t xml:space="preserve">Nevertheless, </w:t>
      </w:r>
      <w:r w:rsidR="642C7AFB" w:rsidRPr="5A6EA7CF">
        <w:rPr>
          <w:color w:val="000000" w:themeColor="text1"/>
        </w:rPr>
        <w:t>a</w:t>
      </w:r>
      <w:r w:rsidRPr="5A6EA7CF">
        <w:rPr>
          <w:color w:val="000000" w:themeColor="text1"/>
        </w:rPr>
        <w:t>dditional regionalization of our smallest districts</w:t>
      </w:r>
      <w:r w:rsidR="4424E597" w:rsidRPr="5A6EA7CF">
        <w:rPr>
          <w:color w:val="000000" w:themeColor="text1"/>
        </w:rPr>
        <w:t>, if attainable,</w:t>
      </w:r>
      <w:r w:rsidRPr="5A6EA7CF">
        <w:rPr>
          <w:color w:val="000000" w:themeColor="text1"/>
        </w:rPr>
        <w:t xml:space="preserve"> would </w:t>
      </w:r>
      <w:r w:rsidR="110BA266" w:rsidRPr="5A6EA7CF">
        <w:rPr>
          <w:color w:val="000000" w:themeColor="text1"/>
        </w:rPr>
        <w:t xml:space="preserve">clearly </w:t>
      </w:r>
      <w:r w:rsidRPr="5A6EA7CF">
        <w:rPr>
          <w:color w:val="000000" w:themeColor="text1"/>
        </w:rPr>
        <w:t>help to counteract the diseconomies of scale</w:t>
      </w:r>
      <w:r w:rsidR="72652B0F" w:rsidRPr="5A6EA7CF">
        <w:rPr>
          <w:color w:val="000000" w:themeColor="text1"/>
        </w:rPr>
        <w:t xml:space="preserve"> that lie at the heart of these issues and</w:t>
      </w:r>
      <w:r w:rsidRPr="5A6EA7CF">
        <w:rPr>
          <w:color w:val="000000" w:themeColor="text1"/>
        </w:rPr>
        <w:t xml:space="preserve"> </w:t>
      </w:r>
      <w:r w:rsidR="7354A17D" w:rsidRPr="5A6EA7CF">
        <w:rPr>
          <w:color w:val="000000" w:themeColor="text1"/>
        </w:rPr>
        <w:t>challenges</w:t>
      </w:r>
      <w:r w:rsidRPr="5A6EA7CF">
        <w:rPr>
          <w:color w:val="000000" w:themeColor="text1"/>
        </w:rPr>
        <w:t xml:space="preserve">. </w:t>
      </w:r>
    </w:p>
    <w:p w14:paraId="69B92327" w14:textId="77777777" w:rsidR="0051583F" w:rsidRDefault="0051583F" w:rsidP="0051583F">
      <w:pPr>
        <w:pStyle w:val="NormalWeb"/>
        <w:spacing w:before="0" w:beforeAutospacing="0" w:after="0" w:afterAutospacing="0"/>
        <w:rPr>
          <w:color w:val="000000"/>
        </w:rPr>
      </w:pPr>
    </w:p>
    <w:p w14:paraId="7E86804E" w14:textId="4FDCD5D3" w:rsidR="0051583F" w:rsidRPr="00385350" w:rsidRDefault="15795BD3" w:rsidP="5A6EA7CF">
      <w:pPr>
        <w:pStyle w:val="NormalWeb"/>
        <w:spacing w:before="0" w:beforeAutospacing="0" w:after="0" w:afterAutospacing="0"/>
        <w:rPr>
          <w:color w:val="000000"/>
        </w:rPr>
      </w:pPr>
      <w:r w:rsidRPr="00385350">
        <w:rPr>
          <w:color w:val="000000"/>
        </w:rPr>
        <w:t>One</w:t>
      </w:r>
      <w:r w:rsidR="0051583F" w:rsidRPr="00385350">
        <w:rPr>
          <w:color w:val="000000"/>
        </w:rPr>
        <w:t xml:space="preserve"> </w:t>
      </w:r>
      <w:r w:rsidR="5F25B0E2" w:rsidRPr="00385350">
        <w:rPr>
          <w:color w:val="000000"/>
        </w:rPr>
        <w:t>source of friction among existing or poten</w:t>
      </w:r>
      <w:r w:rsidR="75E2ADE5" w:rsidRPr="00385350">
        <w:rPr>
          <w:color w:val="000000"/>
        </w:rPr>
        <w:t>ti</w:t>
      </w:r>
      <w:r w:rsidR="5F25B0E2" w:rsidRPr="00385350">
        <w:rPr>
          <w:color w:val="000000"/>
        </w:rPr>
        <w:t xml:space="preserve">al regional partners </w:t>
      </w:r>
      <w:r w:rsidR="0051583F" w:rsidRPr="00385350">
        <w:rPr>
          <w:color w:val="000000"/>
        </w:rPr>
        <w:t xml:space="preserve">is that the Chapter 70 local contribution requirements </w:t>
      </w:r>
      <w:r w:rsidR="564CC021" w:rsidRPr="00385350">
        <w:rPr>
          <w:color w:val="000000"/>
        </w:rPr>
        <w:t xml:space="preserve">are calculated based on the total foundation </w:t>
      </w:r>
      <w:r w:rsidR="418DE663" w:rsidRPr="00385350">
        <w:rPr>
          <w:color w:val="000000"/>
        </w:rPr>
        <w:t>budget</w:t>
      </w:r>
      <w:r w:rsidR="564CC021" w:rsidRPr="00385350">
        <w:rPr>
          <w:color w:val="000000"/>
        </w:rPr>
        <w:t xml:space="preserve"> of a sending community </w:t>
      </w:r>
      <w:r w:rsidR="17833619" w:rsidRPr="00385350">
        <w:rPr>
          <w:color w:val="000000"/>
        </w:rPr>
        <w:t xml:space="preserve">and the share of that total attributable to the students attending the regional district. </w:t>
      </w:r>
      <w:r w:rsidR="002945DD">
        <w:rPr>
          <w:color w:val="000000"/>
        </w:rPr>
        <w:t xml:space="preserve">This frequently </w:t>
      </w:r>
      <w:r w:rsidR="0051583F" w:rsidRPr="00385350">
        <w:rPr>
          <w:color w:val="000000"/>
        </w:rPr>
        <w:t>result</w:t>
      </w:r>
      <w:r w:rsidR="0EB4FA14" w:rsidRPr="00385350">
        <w:rPr>
          <w:color w:val="000000"/>
        </w:rPr>
        <w:t>s</w:t>
      </w:r>
      <w:r w:rsidR="0051583F" w:rsidRPr="00385350">
        <w:rPr>
          <w:color w:val="000000"/>
        </w:rPr>
        <w:t xml:space="preserve"> in different per pupil assessments for </w:t>
      </w:r>
      <w:r w:rsidR="002945DD">
        <w:rPr>
          <w:color w:val="000000"/>
        </w:rPr>
        <w:t xml:space="preserve">each of </w:t>
      </w:r>
      <w:r w:rsidR="0051583F" w:rsidRPr="00385350">
        <w:rPr>
          <w:color w:val="000000"/>
        </w:rPr>
        <w:t xml:space="preserve">the towns </w:t>
      </w:r>
      <w:r w:rsidR="002945DD">
        <w:rPr>
          <w:color w:val="000000"/>
        </w:rPr>
        <w:t xml:space="preserve">belonging </w:t>
      </w:r>
      <w:r w:rsidR="64AA49C9" w:rsidRPr="00385350">
        <w:rPr>
          <w:color w:val="000000"/>
        </w:rPr>
        <w:t>to</w:t>
      </w:r>
      <w:r w:rsidR="0051583F" w:rsidRPr="00385350">
        <w:rPr>
          <w:color w:val="000000"/>
        </w:rPr>
        <w:t xml:space="preserve"> a </w:t>
      </w:r>
      <w:r w:rsidR="002945DD">
        <w:rPr>
          <w:color w:val="000000"/>
        </w:rPr>
        <w:t xml:space="preserve">particular </w:t>
      </w:r>
      <w:r w:rsidR="0051583F" w:rsidRPr="00385350">
        <w:rPr>
          <w:color w:val="000000"/>
        </w:rPr>
        <w:t xml:space="preserve">region. This can be due to a number of </w:t>
      </w:r>
      <w:r w:rsidR="00B761A6" w:rsidRPr="00385350">
        <w:rPr>
          <w:color w:val="000000"/>
        </w:rPr>
        <w:t>well-intentioned</w:t>
      </w:r>
      <w:r w:rsidR="681A53AE" w:rsidRPr="00385350">
        <w:rPr>
          <w:color w:val="000000"/>
        </w:rPr>
        <w:t xml:space="preserve"> and justifiable</w:t>
      </w:r>
      <w:r w:rsidR="0051583F" w:rsidRPr="00385350">
        <w:rPr>
          <w:color w:val="000000"/>
        </w:rPr>
        <w:t xml:space="preserve"> reasons. </w:t>
      </w:r>
      <w:r w:rsidR="00B761A6">
        <w:rPr>
          <w:color w:val="000000"/>
        </w:rPr>
        <w:t>Some</w:t>
      </w:r>
      <w:r w:rsidR="00B761A6" w:rsidRPr="00385350">
        <w:rPr>
          <w:color w:val="000000"/>
        </w:rPr>
        <w:t xml:space="preserve"> </w:t>
      </w:r>
      <w:r w:rsidR="0051583F" w:rsidRPr="00385350">
        <w:rPr>
          <w:color w:val="000000"/>
        </w:rPr>
        <w:t>example</w:t>
      </w:r>
      <w:r w:rsidR="00B761A6">
        <w:rPr>
          <w:color w:val="000000"/>
        </w:rPr>
        <w:t xml:space="preserve">s: </w:t>
      </w:r>
      <w:r w:rsidR="0051583F" w:rsidRPr="00385350">
        <w:rPr>
          <w:color w:val="000000"/>
        </w:rPr>
        <w:t xml:space="preserve">two towns might have different fiscal capacities; two towns might have the same fiscal capacity but a different number of students enrolled in the district; </w:t>
      </w:r>
      <w:r w:rsidR="00B761A6">
        <w:rPr>
          <w:color w:val="000000"/>
        </w:rPr>
        <w:t xml:space="preserve">two towns might have the same number of students enrolled in the district but with different student demographics, resulting in different foundation budgets; or </w:t>
      </w:r>
      <w:r w:rsidR="0051583F" w:rsidRPr="00385350">
        <w:rPr>
          <w:color w:val="000000"/>
        </w:rPr>
        <w:t xml:space="preserve">two towns might have the same fiscal capacity and the same number of students enrolled in the district, but one town also has students enrolled in </w:t>
      </w:r>
      <w:r w:rsidR="0051583F" w:rsidRPr="00385350">
        <w:rPr>
          <w:color w:val="000000"/>
        </w:rPr>
        <w:lastRenderedPageBreak/>
        <w:t xml:space="preserve">another </w:t>
      </w:r>
      <w:r w:rsidR="00B761A6">
        <w:rPr>
          <w:color w:val="000000"/>
        </w:rPr>
        <w:t>district.</w:t>
      </w:r>
      <w:r w:rsidR="0051583F" w:rsidRPr="00385350">
        <w:rPr>
          <w:color w:val="000000"/>
        </w:rPr>
        <w:t xml:space="preserve"> Regardless of the cause, these situations can easily result in </w:t>
      </w:r>
      <w:r w:rsidR="7C716D7E" w:rsidRPr="00385350">
        <w:rPr>
          <w:color w:val="000000"/>
        </w:rPr>
        <w:t>a public perception of inequity</w:t>
      </w:r>
      <w:r w:rsidR="0051583F" w:rsidRPr="00385350">
        <w:rPr>
          <w:color w:val="000000"/>
        </w:rPr>
        <w:t xml:space="preserve"> in the towns that have higher per pupil assessments.</w:t>
      </w:r>
      <w:r w:rsidR="0051583F" w:rsidRPr="00385350">
        <w:rPr>
          <w:rStyle w:val="FootnoteReference"/>
          <w:color w:val="000000"/>
        </w:rPr>
        <w:footnoteReference w:id="23"/>
      </w:r>
    </w:p>
    <w:p w14:paraId="23A41B4F" w14:textId="77777777" w:rsidR="00680F72" w:rsidRDefault="00680F72" w:rsidP="0051583F">
      <w:pPr>
        <w:pStyle w:val="NormalWeb"/>
        <w:spacing w:before="0" w:beforeAutospacing="0" w:after="0" w:afterAutospacing="0"/>
        <w:rPr>
          <w:color w:val="000000"/>
        </w:rPr>
      </w:pPr>
    </w:p>
    <w:p w14:paraId="08F53B2F" w14:textId="776DC6EA" w:rsidR="0051583F" w:rsidRPr="00385350" w:rsidRDefault="1F41C302" w:rsidP="5A6EA7CF">
      <w:pPr>
        <w:pStyle w:val="NormalWeb"/>
        <w:spacing w:before="0" w:beforeAutospacing="0" w:after="0" w:afterAutospacing="0"/>
        <w:rPr>
          <w:color w:val="000000"/>
        </w:rPr>
      </w:pPr>
      <w:r w:rsidRPr="00385350">
        <w:rPr>
          <w:color w:val="000000"/>
        </w:rPr>
        <w:t>A</w:t>
      </w:r>
      <w:r w:rsidR="0051583F" w:rsidRPr="00385350">
        <w:rPr>
          <w:color w:val="000000"/>
        </w:rPr>
        <w:t xml:space="preserve"> second </w:t>
      </w:r>
      <w:r w:rsidR="68EE1811" w:rsidRPr="00385350">
        <w:rPr>
          <w:color w:val="000000"/>
        </w:rPr>
        <w:t>source of friction and potential obstacle to further regionalization</w:t>
      </w:r>
      <w:r w:rsidR="0051583F" w:rsidRPr="00385350">
        <w:rPr>
          <w:color w:val="000000"/>
        </w:rPr>
        <w:t xml:space="preserve"> comes not from Chapter 70 but from long-standing statutes governing regional districts. Annual operating budgets must be approved by two-thirds of the member towns (regardless of the relative sizes of the towns), and debt service in some cases may require unanimous approval. As the number of member towns increases, the budget approval process becomes more cumbersome and intertwined with non-educational municipal fiscal issues. For example, citizens in Berkshire County are currently studying the feasibility of creating a county-wide school system. With 32 cities and towns in the county, it is not clear that the current regional budgeting process is practicable. We expect that the special commission on rural schools will consider these challenges and</w:t>
      </w:r>
      <w:r w:rsidR="005242FA">
        <w:rPr>
          <w:color w:val="000000"/>
        </w:rPr>
        <w:t xml:space="preserve"> </w:t>
      </w:r>
      <w:r w:rsidR="00A90077">
        <w:rPr>
          <w:color w:val="000000"/>
        </w:rPr>
        <w:t>po</w:t>
      </w:r>
      <w:r w:rsidR="0094108F">
        <w:rPr>
          <w:color w:val="000000"/>
        </w:rPr>
        <w:t>tential</w:t>
      </w:r>
      <w:r w:rsidR="00A90077">
        <w:rPr>
          <w:color w:val="000000"/>
        </w:rPr>
        <w:t xml:space="preserve"> responses</w:t>
      </w:r>
      <w:r w:rsidR="0051583F" w:rsidRPr="00385350">
        <w:rPr>
          <w:color w:val="000000"/>
        </w:rPr>
        <w:t>.</w:t>
      </w:r>
    </w:p>
    <w:p w14:paraId="72561C58" w14:textId="1649A21D" w:rsidR="009A7103" w:rsidRDefault="009A7103" w:rsidP="009A7103">
      <w:pPr>
        <w:pStyle w:val="Heading1"/>
      </w:pPr>
      <w:bookmarkStart w:id="31" w:name="_Toc55558710"/>
      <w:bookmarkStart w:id="32" w:name="_Toc57725135"/>
      <w:r>
        <w:t>Looking forward</w:t>
      </w:r>
      <w:bookmarkEnd w:id="31"/>
      <w:bookmarkEnd w:id="32"/>
    </w:p>
    <w:p w14:paraId="4D41CEDA" w14:textId="77777777" w:rsidR="0017740B" w:rsidRDefault="0017740B" w:rsidP="0017740B">
      <w:pPr>
        <w:rPr>
          <w:rFonts w:eastAsiaTheme="minorHAnsi"/>
          <w:sz w:val="22"/>
          <w:szCs w:val="22"/>
        </w:rPr>
      </w:pPr>
      <w:r>
        <w:rPr>
          <w:rFonts w:eastAsiaTheme="minorHAnsi"/>
        </w:rPr>
        <w:t>The FY07 changes in the local contribution calculation represented a significant improvement in the Chapter 70 formula. Prior to its adoption, local contribution requirements were still heavily influenced by pre-1993 spending patterns. The new framework established target contributions based on fiscal measures that are kept up to date and are uniformly applied to all cities and towns. It also established the MRGF process to ensure that yearly increases are reasonable within the context of each municipality’s unique revenue situation. We recommend maintaining this basic framework.</w:t>
      </w:r>
    </w:p>
    <w:p w14:paraId="387E8AA3" w14:textId="77777777" w:rsidR="00CD17B6" w:rsidRDefault="00CD17B6" w:rsidP="00A330DF">
      <w:pPr>
        <w:rPr>
          <w:rFonts w:eastAsiaTheme="minorHAnsi"/>
        </w:rPr>
      </w:pPr>
    </w:p>
    <w:p w14:paraId="70A96D2A" w14:textId="2DE4AAF0" w:rsidR="00A330DF" w:rsidRDefault="00A330DF" w:rsidP="00A330DF">
      <w:r>
        <w:t>If state policy makers wish to make adjustments to improve upon that basic framework, our review and comments offered during the public comment period suggest that the following issue areas would present themselves for further analysis and discussion:</w:t>
      </w:r>
    </w:p>
    <w:p w14:paraId="0D60A548" w14:textId="77777777" w:rsidR="00CD17B6" w:rsidRDefault="00CD17B6" w:rsidP="00A330DF">
      <w:pPr>
        <w:rPr>
          <w:rFonts w:eastAsiaTheme="minorHAnsi"/>
        </w:rPr>
      </w:pPr>
    </w:p>
    <w:p w14:paraId="2ECDDAA5" w14:textId="7BBF893E" w:rsidR="0017740B" w:rsidRDefault="0017740B" w:rsidP="00A330DF">
      <w:pPr>
        <w:pStyle w:val="ListParagraph"/>
        <w:numPr>
          <w:ilvl w:val="0"/>
          <w:numId w:val="62"/>
        </w:numPr>
        <w:spacing w:after="160" w:line="256" w:lineRule="auto"/>
        <w:rPr>
          <w:rFonts w:eastAsiaTheme="minorHAnsi"/>
        </w:rPr>
      </w:pPr>
      <w:r>
        <w:rPr>
          <w:rFonts w:eastAsiaTheme="minorHAnsi"/>
          <w:i/>
        </w:rPr>
        <w:t xml:space="preserve">Impact of the </w:t>
      </w:r>
      <w:r w:rsidR="007F4B72">
        <w:rPr>
          <w:rFonts w:eastAsiaTheme="minorHAnsi"/>
          <w:i/>
        </w:rPr>
        <w:t>SOA</w:t>
      </w:r>
      <w:r w:rsidR="00724A70" w:rsidRPr="00BF34F6">
        <w:rPr>
          <w:rFonts w:eastAsiaTheme="minorHAnsi"/>
          <w:iCs/>
        </w:rPr>
        <w:t>:</w:t>
      </w:r>
      <w:r>
        <w:rPr>
          <w:rFonts w:eastAsiaTheme="minorHAnsi"/>
          <w:i/>
        </w:rPr>
        <w:t xml:space="preserve"> </w:t>
      </w:r>
      <w:r>
        <w:rPr>
          <w:rFonts w:eastAsiaTheme="minorHAnsi"/>
        </w:rPr>
        <w:t xml:space="preserve">Current local contribution requirements appear to be reasonable for most communities, as evidenced by local decisions to spend more than required. But local contribution requirements will increase for many communities as the higher foundation budgets in the </w:t>
      </w:r>
      <w:r w:rsidR="007F4B72">
        <w:rPr>
          <w:rFonts w:eastAsiaTheme="minorHAnsi"/>
        </w:rPr>
        <w:t>SOA</w:t>
      </w:r>
      <w:r w:rsidR="006908C8">
        <w:rPr>
          <w:rFonts w:eastAsiaTheme="minorHAnsi"/>
        </w:rPr>
        <w:t xml:space="preserve"> </w:t>
      </w:r>
      <w:r>
        <w:rPr>
          <w:rFonts w:eastAsiaTheme="minorHAnsi"/>
        </w:rPr>
        <w:t>are phased in. This warrants continued monitoring.</w:t>
      </w:r>
    </w:p>
    <w:p w14:paraId="2A49C57B" w14:textId="7BCFE484" w:rsidR="0017740B" w:rsidRDefault="0017740B" w:rsidP="00A330DF">
      <w:pPr>
        <w:pStyle w:val="ListParagraph"/>
        <w:numPr>
          <w:ilvl w:val="0"/>
          <w:numId w:val="62"/>
        </w:numPr>
        <w:spacing w:after="160" w:line="256" w:lineRule="auto"/>
        <w:rPr>
          <w:rFonts w:eastAsiaTheme="minorHAnsi"/>
        </w:rPr>
      </w:pPr>
      <w:r>
        <w:rPr>
          <w:rFonts w:eastAsiaTheme="minorHAnsi"/>
          <w:i/>
        </w:rPr>
        <w:t>Cap on contributions</w:t>
      </w:r>
      <w:r w:rsidR="006908C8" w:rsidRPr="0047202B">
        <w:rPr>
          <w:rFonts w:eastAsiaTheme="minorHAnsi"/>
        </w:rPr>
        <w:t>:</w:t>
      </w:r>
      <w:r w:rsidR="006908C8">
        <w:rPr>
          <w:rFonts w:eastAsiaTheme="minorHAnsi"/>
        </w:rPr>
        <w:t xml:space="preserve"> </w:t>
      </w:r>
      <w:r>
        <w:rPr>
          <w:rFonts w:eastAsiaTheme="minorHAnsi"/>
        </w:rPr>
        <w:t xml:space="preserve">The current cap on the local contribution requirement (82.5% of foundation budget) is proving problematic in two respects. First, the increasing number of communities subject to the </w:t>
      </w:r>
      <w:r w:rsidR="00CA1F00">
        <w:rPr>
          <w:rFonts w:eastAsiaTheme="minorHAnsi"/>
        </w:rPr>
        <w:t>c</w:t>
      </w:r>
      <w:r>
        <w:rPr>
          <w:rFonts w:eastAsiaTheme="minorHAnsi"/>
        </w:rPr>
        <w:t xml:space="preserve">ap undercuts the equity goal that the target contribution calculation seeks to meet. </w:t>
      </w:r>
      <w:r w:rsidR="00A330DF">
        <w:t>Second,</w:t>
      </w:r>
      <w:r>
        <w:rPr>
          <w:rFonts w:eastAsiaTheme="minorHAnsi"/>
        </w:rPr>
        <w:t xml:space="preserve"> the </w:t>
      </w:r>
      <w:r w:rsidR="00A330DF">
        <w:t xml:space="preserve">current cap in conjunction with the significant increases to foundation budgets envisioned by the </w:t>
      </w:r>
      <w:r w:rsidR="007F4B72">
        <w:rPr>
          <w:rFonts w:eastAsiaTheme="minorHAnsi"/>
        </w:rPr>
        <w:t>SOA</w:t>
      </w:r>
      <w:r>
        <w:rPr>
          <w:rFonts w:eastAsiaTheme="minorHAnsi"/>
        </w:rPr>
        <w:t xml:space="preserve"> may result in </w:t>
      </w:r>
      <w:r w:rsidR="00A330DF">
        <w:t>significant and unevenly distributed</w:t>
      </w:r>
      <w:r>
        <w:rPr>
          <w:rFonts w:eastAsiaTheme="minorHAnsi"/>
        </w:rPr>
        <w:t xml:space="preserve"> increases in the local contribution </w:t>
      </w:r>
      <w:r w:rsidR="00A330DF">
        <w:t>requirements for communities not subject to the cap.</w:t>
      </w:r>
    </w:p>
    <w:p w14:paraId="6B29DBD8" w14:textId="4E606D30" w:rsidR="0017740B" w:rsidRDefault="0017740B" w:rsidP="00A330DF">
      <w:pPr>
        <w:pStyle w:val="ListParagraph"/>
        <w:numPr>
          <w:ilvl w:val="0"/>
          <w:numId w:val="62"/>
        </w:numPr>
        <w:spacing w:after="160" w:line="256" w:lineRule="auto"/>
        <w:rPr>
          <w:rFonts w:eastAsiaTheme="minorHAnsi"/>
        </w:rPr>
      </w:pPr>
      <w:r>
        <w:rPr>
          <w:rFonts w:eastAsiaTheme="minorHAnsi"/>
          <w:i/>
        </w:rPr>
        <w:t>Wage adjustment factor</w:t>
      </w:r>
      <w:r w:rsidR="00263C53">
        <w:rPr>
          <w:rFonts w:eastAsiaTheme="minorHAnsi"/>
          <w:iCs/>
        </w:rPr>
        <w:t>:</w:t>
      </w:r>
      <w:r>
        <w:rPr>
          <w:rFonts w:eastAsiaTheme="minorHAnsi"/>
        </w:rPr>
        <w:t xml:space="preserve"> Further study is needed to determine if there is a better way to incorporate geographic differences in labor costs into the foundation budget.</w:t>
      </w:r>
    </w:p>
    <w:p w14:paraId="3FE3D758" w14:textId="6645EECB" w:rsidR="0017740B" w:rsidRDefault="0017740B" w:rsidP="00A330DF">
      <w:pPr>
        <w:pStyle w:val="ListParagraph"/>
        <w:numPr>
          <w:ilvl w:val="0"/>
          <w:numId w:val="62"/>
        </w:numPr>
        <w:spacing w:after="160" w:line="256" w:lineRule="auto"/>
        <w:rPr>
          <w:rFonts w:eastAsiaTheme="minorHAnsi"/>
        </w:rPr>
      </w:pPr>
      <w:r>
        <w:rPr>
          <w:rFonts w:eastAsiaTheme="minorHAnsi"/>
          <w:i/>
        </w:rPr>
        <w:lastRenderedPageBreak/>
        <w:t>Impact on small districts with declining enrollmen</w:t>
      </w:r>
      <w:r w:rsidR="005E3E51">
        <w:rPr>
          <w:rFonts w:eastAsiaTheme="minorHAnsi"/>
          <w:i/>
        </w:rPr>
        <w:t>t</w:t>
      </w:r>
      <w:r w:rsidR="005E3E51" w:rsidRPr="00BF34F6">
        <w:rPr>
          <w:rFonts w:eastAsiaTheme="minorHAnsi"/>
          <w:iCs/>
        </w:rPr>
        <w:t>:</w:t>
      </w:r>
      <w:r>
        <w:rPr>
          <w:rFonts w:eastAsiaTheme="minorHAnsi"/>
        </w:rPr>
        <w:t xml:space="preserve"> Fiscal distress in many of the Commonwealth’s rural districts appears to be more related to the extreme diseconomies of scale in these small districts than to the local contribution requirement. The special commission on rural schools is expected to consider these issues.</w:t>
      </w:r>
    </w:p>
    <w:p w14:paraId="17A1C160" w14:textId="42E4B3B3" w:rsidR="0017740B" w:rsidRDefault="0017740B" w:rsidP="00A330DF">
      <w:pPr>
        <w:rPr>
          <w:rFonts w:eastAsiaTheme="minorHAnsi"/>
        </w:rPr>
      </w:pPr>
      <w:r>
        <w:rPr>
          <w:rFonts w:eastAsiaTheme="minorHAnsi"/>
        </w:rPr>
        <w:t>We at DOR</w:t>
      </w:r>
      <w:r w:rsidR="00071949">
        <w:rPr>
          <w:rFonts w:eastAsiaTheme="minorHAnsi"/>
        </w:rPr>
        <w:t>/DLS</w:t>
      </w:r>
      <w:r>
        <w:rPr>
          <w:rFonts w:eastAsiaTheme="minorHAnsi"/>
        </w:rPr>
        <w:t xml:space="preserve"> and DESE appreciate this opportunity to comment on these important issues, and we stand ready to support the Legislature and our municipal partners in the work ahead. </w:t>
      </w:r>
    </w:p>
    <w:p w14:paraId="79C34FE9" w14:textId="77777777" w:rsidR="00E1367F" w:rsidRDefault="00E1367F">
      <w:pPr>
        <w:spacing w:after="160" w:line="259" w:lineRule="auto"/>
        <w:rPr>
          <w:color w:val="000000"/>
          <w:u w:val="single"/>
        </w:rPr>
      </w:pPr>
      <w:r>
        <w:rPr>
          <w:color w:val="000000"/>
          <w:u w:val="single"/>
        </w:rPr>
        <w:br w:type="page"/>
      </w:r>
    </w:p>
    <w:p w14:paraId="2590CEED" w14:textId="77777777" w:rsidR="002C37D0" w:rsidRDefault="002C37D0" w:rsidP="00F41AC9">
      <w:pPr>
        <w:pStyle w:val="Heading1"/>
        <w:sectPr w:rsidR="002C37D0" w:rsidSect="00C534B6">
          <w:footerReference w:type="default" r:id="rId24"/>
          <w:pgSz w:w="12240" w:h="15840"/>
          <w:pgMar w:top="1440" w:right="1440" w:bottom="1440" w:left="1440" w:header="720" w:footer="720" w:gutter="0"/>
          <w:pgNumType w:start="1"/>
          <w:cols w:space="720"/>
          <w:docGrid w:linePitch="360"/>
        </w:sectPr>
      </w:pPr>
      <w:bookmarkStart w:id="33" w:name="_Toc55558711"/>
    </w:p>
    <w:p w14:paraId="761877A7" w14:textId="114FF73F" w:rsidR="002C37D0" w:rsidRPr="00411156" w:rsidRDefault="00A8004C" w:rsidP="00356EA4">
      <w:pPr>
        <w:pStyle w:val="Heading1"/>
        <w:rPr>
          <w:lang w:bidi="en-US"/>
        </w:rPr>
      </w:pPr>
      <w:bookmarkStart w:id="34" w:name="_Toc57725136"/>
      <w:r w:rsidRPr="00CF16E8">
        <w:lastRenderedPageBreak/>
        <w:t>Appendi</w:t>
      </w:r>
      <w:r w:rsidR="00F41AC9">
        <w:t>x</w:t>
      </w:r>
      <w:bookmarkEnd w:id="33"/>
      <w:r w:rsidR="00CC7AA1">
        <w:t xml:space="preserve"> A: Municipal Chapter 70 data</w:t>
      </w:r>
      <w:bookmarkEnd w:id="34"/>
    </w:p>
    <w:p w14:paraId="23B34804" w14:textId="77777777" w:rsidR="002C37D0" w:rsidRPr="00411156" w:rsidRDefault="002C37D0" w:rsidP="002C37D0">
      <w:pPr>
        <w:rPr>
          <w:lang w:bidi="en-US"/>
        </w:rPr>
      </w:pPr>
    </w:p>
    <w:tbl>
      <w:tblPr>
        <w:tblStyle w:val="ESETablesGridStyle"/>
        <w:tblW w:w="15107" w:type="dxa"/>
        <w:tblLook w:val="04A0" w:firstRow="1" w:lastRow="0" w:firstColumn="1" w:lastColumn="0" w:noHBand="0" w:noVBand="1"/>
      </w:tblPr>
      <w:tblGrid>
        <w:gridCol w:w="677"/>
        <w:gridCol w:w="2880"/>
        <w:gridCol w:w="1455"/>
        <w:gridCol w:w="1440"/>
        <w:gridCol w:w="1440"/>
        <w:gridCol w:w="1440"/>
        <w:gridCol w:w="1455"/>
        <w:gridCol w:w="1440"/>
        <w:gridCol w:w="1440"/>
        <w:gridCol w:w="1440"/>
      </w:tblGrid>
      <w:tr w:rsidR="00991713" w:rsidRPr="006253A9" w14:paraId="0394D0E4" w14:textId="77777777" w:rsidTr="00C534B6">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77" w:type="dxa"/>
            <w:noWrap/>
          </w:tcPr>
          <w:p w14:paraId="4F4B3C77" w14:textId="77777777" w:rsidR="00991713" w:rsidRPr="00991713" w:rsidRDefault="00991713" w:rsidP="006253A9">
            <w:pPr>
              <w:rPr>
                <w:rFonts w:ascii="Calibri" w:hAnsi="Calibri" w:cs="Calibri"/>
                <w:b w:val="0"/>
                <w:color w:val="000000"/>
                <w:sz w:val="22"/>
                <w:szCs w:val="22"/>
              </w:rPr>
            </w:pPr>
          </w:p>
        </w:tc>
        <w:tc>
          <w:tcPr>
            <w:tcW w:w="2880" w:type="dxa"/>
            <w:noWrap/>
          </w:tcPr>
          <w:p w14:paraId="145B918D" w14:textId="77777777" w:rsidR="00991713" w:rsidRPr="00991713" w:rsidRDefault="00991713" w:rsidP="00EE30BC">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p>
        </w:tc>
        <w:tc>
          <w:tcPr>
            <w:tcW w:w="5775" w:type="dxa"/>
            <w:gridSpan w:val="4"/>
            <w:noWrap/>
          </w:tcPr>
          <w:p w14:paraId="6D446917" w14:textId="7C0B173A" w:rsidR="00991713" w:rsidRDefault="00991713" w:rsidP="00991713">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Pr>
                <w:rFonts w:ascii="Calibri" w:hAnsi="Calibri" w:cs="Calibri"/>
                <w:color w:val="000000"/>
                <w:sz w:val="22"/>
                <w:szCs w:val="22"/>
              </w:rPr>
              <w:t>FY07</w:t>
            </w:r>
          </w:p>
        </w:tc>
        <w:tc>
          <w:tcPr>
            <w:tcW w:w="5775" w:type="dxa"/>
            <w:gridSpan w:val="4"/>
            <w:noWrap/>
          </w:tcPr>
          <w:p w14:paraId="4C1959BF" w14:textId="06D9FA83" w:rsidR="00991713" w:rsidRDefault="00991713" w:rsidP="00991713">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Pr>
                <w:rFonts w:ascii="Calibri" w:hAnsi="Calibri" w:cs="Calibri"/>
                <w:color w:val="000000"/>
                <w:sz w:val="22"/>
                <w:szCs w:val="22"/>
              </w:rPr>
              <w:t>FY20</w:t>
            </w:r>
          </w:p>
        </w:tc>
      </w:tr>
      <w:tr w:rsidR="006253A9" w:rsidRPr="006253A9" w14:paraId="487B8D03" w14:textId="77777777" w:rsidTr="00C534B6">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77" w:type="dxa"/>
            <w:noWrap/>
            <w:hideMark/>
          </w:tcPr>
          <w:p w14:paraId="6A8970DC" w14:textId="77777777" w:rsidR="006253A9" w:rsidRPr="00037A73" w:rsidRDefault="006253A9" w:rsidP="006253A9">
            <w:pPr>
              <w:rPr>
                <w:rFonts w:ascii="Calibri" w:hAnsi="Calibri" w:cs="Calibri"/>
                <w:color w:val="000000"/>
                <w:sz w:val="22"/>
                <w:szCs w:val="22"/>
              </w:rPr>
            </w:pPr>
            <w:r w:rsidRPr="00037A73">
              <w:rPr>
                <w:rFonts w:ascii="Calibri" w:hAnsi="Calibri" w:cs="Calibri"/>
                <w:color w:val="000000"/>
                <w:sz w:val="22"/>
                <w:szCs w:val="22"/>
              </w:rPr>
              <w:t>LEA</w:t>
            </w:r>
          </w:p>
        </w:tc>
        <w:tc>
          <w:tcPr>
            <w:tcW w:w="2880" w:type="dxa"/>
            <w:noWrap/>
            <w:hideMark/>
          </w:tcPr>
          <w:p w14:paraId="35BBA979" w14:textId="02FE8C12" w:rsidR="006253A9" w:rsidRPr="00037A73" w:rsidRDefault="006253A9" w:rsidP="006253A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37A73">
              <w:rPr>
                <w:rFonts w:ascii="Calibri" w:hAnsi="Calibri" w:cs="Calibri"/>
                <w:color w:val="000000"/>
                <w:sz w:val="22"/>
                <w:szCs w:val="22"/>
              </w:rPr>
              <w:t>City/town</w:t>
            </w:r>
          </w:p>
        </w:tc>
        <w:tc>
          <w:tcPr>
            <w:tcW w:w="1455" w:type="dxa"/>
            <w:noWrap/>
            <w:hideMark/>
          </w:tcPr>
          <w:p w14:paraId="7B6162F7" w14:textId="77777777" w:rsidR="006253A9" w:rsidRPr="00F420CD" w:rsidRDefault="006253A9" w:rsidP="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27D19">
              <w:rPr>
                <w:rFonts w:ascii="Calibri" w:hAnsi="Calibri" w:cs="Calibri"/>
                <w:color w:val="000000"/>
                <w:sz w:val="22"/>
                <w:szCs w:val="22"/>
              </w:rPr>
              <w:t>Foundation budget</w:t>
            </w:r>
          </w:p>
        </w:tc>
        <w:tc>
          <w:tcPr>
            <w:tcW w:w="1440" w:type="dxa"/>
            <w:noWrap/>
            <w:hideMark/>
          </w:tcPr>
          <w:p w14:paraId="621EA007" w14:textId="77777777" w:rsidR="006253A9" w:rsidRPr="00991713" w:rsidRDefault="006253A9" w:rsidP="00037A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82F30">
              <w:rPr>
                <w:rFonts w:ascii="Calibri" w:hAnsi="Calibri" w:cs="Calibri"/>
                <w:color w:val="000000"/>
                <w:sz w:val="22"/>
                <w:szCs w:val="22"/>
              </w:rPr>
              <w:t>CEY % of foundation</w:t>
            </w:r>
          </w:p>
        </w:tc>
        <w:tc>
          <w:tcPr>
            <w:tcW w:w="1440" w:type="dxa"/>
            <w:noWrap/>
            <w:hideMark/>
          </w:tcPr>
          <w:p w14:paraId="4BEE27F3" w14:textId="77777777" w:rsidR="006253A9" w:rsidRPr="00991713" w:rsidRDefault="006253A9" w:rsidP="00037A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91713">
              <w:rPr>
                <w:rFonts w:ascii="Calibri" w:hAnsi="Calibri" w:cs="Calibri"/>
                <w:color w:val="000000"/>
                <w:sz w:val="22"/>
                <w:szCs w:val="22"/>
              </w:rPr>
              <w:t>Target local share</w:t>
            </w:r>
          </w:p>
        </w:tc>
        <w:tc>
          <w:tcPr>
            <w:tcW w:w="1440" w:type="dxa"/>
            <w:noWrap/>
            <w:hideMark/>
          </w:tcPr>
          <w:p w14:paraId="0A7F7557" w14:textId="09D2498A" w:rsidR="006253A9" w:rsidRPr="00037A73" w:rsidRDefault="00991713" w:rsidP="00037A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RLC </w:t>
            </w:r>
            <w:r w:rsidR="006253A9" w:rsidRPr="00991713">
              <w:rPr>
                <w:rFonts w:ascii="Calibri" w:hAnsi="Calibri" w:cs="Calibri"/>
                <w:color w:val="000000"/>
                <w:sz w:val="22"/>
                <w:szCs w:val="22"/>
              </w:rPr>
              <w:t xml:space="preserve">% of </w:t>
            </w:r>
            <w:r w:rsidR="006253A9" w:rsidRPr="00037A73">
              <w:rPr>
                <w:rFonts w:ascii="Calibri" w:hAnsi="Calibri" w:cs="Calibri"/>
                <w:color w:val="000000"/>
                <w:sz w:val="22"/>
                <w:szCs w:val="22"/>
              </w:rPr>
              <w:t>fou</w:t>
            </w:r>
            <w:r w:rsidR="00BE3453">
              <w:rPr>
                <w:rFonts w:ascii="Calibri" w:hAnsi="Calibri" w:cs="Calibri"/>
                <w:color w:val="000000"/>
                <w:sz w:val="22"/>
                <w:szCs w:val="22"/>
              </w:rPr>
              <w:t>n</w:t>
            </w:r>
            <w:r w:rsidR="006253A9" w:rsidRPr="00037A73">
              <w:rPr>
                <w:rFonts w:ascii="Calibri" w:hAnsi="Calibri" w:cs="Calibri"/>
                <w:color w:val="000000"/>
                <w:sz w:val="22"/>
                <w:szCs w:val="22"/>
              </w:rPr>
              <w:t>dation</w:t>
            </w:r>
          </w:p>
        </w:tc>
        <w:tc>
          <w:tcPr>
            <w:tcW w:w="1455" w:type="dxa"/>
            <w:noWrap/>
            <w:hideMark/>
          </w:tcPr>
          <w:p w14:paraId="56C538D6" w14:textId="77777777" w:rsidR="006253A9" w:rsidRPr="00037A73" w:rsidRDefault="006253A9" w:rsidP="00037A7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37A73">
              <w:rPr>
                <w:rFonts w:ascii="Calibri" w:hAnsi="Calibri" w:cs="Calibri"/>
                <w:color w:val="000000"/>
                <w:sz w:val="22"/>
                <w:szCs w:val="22"/>
              </w:rPr>
              <w:t>Foundation budget</w:t>
            </w:r>
          </w:p>
        </w:tc>
        <w:tc>
          <w:tcPr>
            <w:tcW w:w="1440" w:type="dxa"/>
            <w:noWrap/>
            <w:hideMark/>
          </w:tcPr>
          <w:p w14:paraId="6722465A" w14:textId="77777777" w:rsidR="006253A9" w:rsidRPr="00F420CD" w:rsidRDefault="006253A9" w:rsidP="00B27D1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B27D19">
              <w:rPr>
                <w:rFonts w:ascii="Calibri" w:hAnsi="Calibri" w:cs="Calibri"/>
                <w:color w:val="000000"/>
                <w:sz w:val="22"/>
                <w:szCs w:val="22"/>
              </w:rPr>
              <w:t>CEY % of foundation</w:t>
            </w:r>
          </w:p>
        </w:tc>
        <w:tc>
          <w:tcPr>
            <w:tcW w:w="1440" w:type="dxa"/>
            <w:noWrap/>
            <w:hideMark/>
          </w:tcPr>
          <w:p w14:paraId="28F1D804" w14:textId="77777777" w:rsidR="006253A9" w:rsidRPr="00B82F30" w:rsidRDefault="006253A9" w:rsidP="00F420C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F420CD">
              <w:rPr>
                <w:rFonts w:ascii="Calibri" w:hAnsi="Calibri" w:cs="Calibri"/>
                <w:color w:val="000000"/>
                <w:sz w:val="22"/>
                <w:szCs w:val="22"/>
              </w:rPr>
              <w:t>Target local share</w:t>
            </w:r>
          </w:p>
        </w:tc>
        <w:tc>
          <w:tcPr>
            <w:tcW w:w="1440" w:type="dxa"/>
            <w:noWrap/>
            <w:hideMark/>
          </w:tcPr>
          <w:p w14:paraId="60F8EBD1" w14:textId="635BE4F5" w:rsidR="006253A9" w:rsidRPr="00037A73" w:rsidRDefault="0099171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RLC </w:t>
            </w:r>
            <w:r w:rsidR="006253A9" w:rsidRPr="00037A73">
              <w:rPr>
                <w:rFonts w:ascii="Calibri" w:hAnsi="Calibri" w:cs="Calibri"/>
                <w:color w:val="000000"/>
                <w:sz w:val="22"/>
                <w:szCs w:val="22"/>
              </w:rPr>
              <w:t>% of foun</w:t>
            </w:r>
            <w:r w:rsidR="00BE3453">
              <w:rPr>
                <w:rFonts w:ascii="Calibri" w:hAnsi="Calibri" w:cs="Calibri"/>
                <w:color w:val="000000"/>
                <w:sz w:val="22"/>
                <w:szCs w:val="22"/>
              </w:rPr>
              <w:t>d</w:t>
            </w:r>
            <w:r w:rsidR="006253A9" w:rsidRPr="00037A73">
              <w:rPr>
                <w:rFonts w:ascii="Calibri" w:hAnsi="Calibri" w:cs="Calibri"/>
                <w:color w:val="000000"/>
                <w:sz w:val="22"/>
                <w:szCs w:val="22"/>
              </w:rPr>
              <w:t>ation</w:t>
            </w:r>
          </w:p>
        </w:tc>
      </w:tr>
      <w:tr w:rsidR="006253A9" w:rsidRPr="006253A9" w14:paraId="507B9F1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DD8EF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0001</w:t>
            </w:r>
          </w:p>
        </w:tc>
        <w:tc>
          <w:tcPr>
            <w:tcW w:w="2880" w:type="dxa"/>
            <w:noWrap/>
            <w:hideMark/>
          </w:tcPr>
          <w:p w14:paraId="3CC39D7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Abington</w:t>
            </w:r>
          </w:p>
        </w:tc>
        <w:tc>
          <w:tcPr>
            <w:tcW w:w="1455" w:type="dxa"/>
            <w:noWrap/>
            <w:hideMark/>
          </w:tcPr>
          <w:p w14:paraId="377D77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$18,582,867</w:t>
            </w:r>
          </w:p>
        </w:tc>
        <w:tc>
          <w:tcPr>
            <w:tcW w:w="1440" w:type="dxa"/>
            <w:noWrap/>
            <w:hideMark/>
          </w:tcPr>
          <w:p w14:paraId="635EB1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60.6%</w:t>
            </w:r>
          </w:p>
        </w:tc>
        <w:tc>
          <w:tcPr>
            <w:tcW w:w="1440" w:type="dxa"/>
            <w:noWrap/>
            <w:hideMark/>
          </w:tcPr>
          <w:p w14:paraId="42D733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60.6%</w:t>
            </w:r>
          </w:p>
        </w:tc>
        <w:tc>
          <w:tcPr>
            <w:tcW w:w="1440" w:type="dxa"/>
            <w:noWrap/>
            <w:hideMark/>
          </w:tcPr>
          <w:p w14:paraId="54E55A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62.7%</w:t>
            </w:r>
          </w:p>
        </w:tc>
        <w:tc>
          <w:tcPr>
            <w:tcW w:w="1455" w:type="dxa"/>
            <w:noWrap/>
            <w:hideMark/>
          </w:tcPr>
          <w:p w14:paraId="7DBB4F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$25,051,373</w:t>
            </w:r>
          </w:p>
        </w:tc>
        <w:tc>
          <w:tcPr>
            <w:tcW w:w="1440" w:type="dxa"/>
            <w:noWrap/>
            <w:hideMark/>
          </w:tcPr>
          <w:p w14:paraId="15D957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c>
          <w:tcPr>
            <w:tcW w:w="1440" w:type="dxa"/>
            <w:noWrap/>
            <w:hideMark/>
          </w:tcPr>
          <w:p w14:paraId="4E036C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c>
          <w:tcPr>
            <w:tcW w:w="1440" w:type="dxa"/>
            <w:noWrap/>
            <w:hideMark/>
          </w:tcPr>
          <w:p w14:paraId="746E8F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61.8%</w:t>
            </w:r>
          </w:p>
        </w:tc>
      </w:tr>
      <w:tr w:rsidR="006253A9" w:rsidRPr="006253A9" w14:paraId="4B26F76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192F86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0002</w:t>
            </w:r>
          </w:p>
        </w:tc>
        <w:tc>
          <w:tcPr>
            <w:tcW w:w="2880" w:type="dxa"/>
            <w:noWrap/>
            <w:hideMark/>
          </w:tcPr>
          <w:p w14:paraId="6E50EA2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Acton</w:t>
            </w:r>
          </w:p>
        </w:tc>
        <w:tc>
          <w:tcPr>
            <w:tcW w:w="1455" w:type="dxa"/>
            <w:noWrap/>
            <w:hideMark/>
          </w:tcPr>
          <w:p w14:paraId="3133A6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$35,527,797</w:t>
            </w:r>
          </w:p>
        </w:tc>
        <w:tc>
          <w:tcPr>
            <w:tcW w:w="1440" w:type="dxa"/>
            <w:noWrap/>
            <w:hideMark/>
          </w:tcPr>
          <w:p w14:paraId="25825A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71.4%</w:t>
            </w:r>
          </w:p>
        </w:tc>
        <w:tc>
          <w:tcPr>
            <w:tcW w:w="1440" w:type="dxa"/>
            <w:noWrap/>
            <w:hideMark/>
          </w:tcPr>
          <w:p w14:paraId="14C3F4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71.4%</w:t>
            </w:r>
          </w:p>
        </w:tc>
        <w:tc>
          <w:tcPr>
            <w:tcW w:w="1440" w:type="dxa"/>
            <w:noWrap/>
            <w:hideMark/>
          </w:tcPr>
          <w:p w14:paraId="3C7CB4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c>
          <w:tcPr>
            <w:tcW w:w="1455" w:type="dxa"/>
            <w:noWrap/>
            <w:hideMark/>
          </w:tcPr>
          <w:p w14:paraId="172A45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$49,163,505</w:t>
            </w:r>
          </w:p>
        </w:tc>
        <w:tc>
          <w:tcPr>
            <w:tcW w:w="1440" w:type="dxa"/>
            <w:noWrap/>
            <w:hideMark/>
          </w:tcPr>
          <w:p w14:paraId="4BB459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c>
          <w:tcPr>
            <w:tcW w:w="1440" w:type="dxa"/>
            <w:noWrap/>
            <w:hideMark/>
          </w:tcPr>
          <w:p w14:paraId="60D0E3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c>
          <w:tcPr>
            <w:tcW w:w="1440" w:type="dxa"/>
            <w:noWrap/>
            <w:hideMark/>
          </w:tcPr>
          <w:p w14:paraId="48AA5F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77.7%</w:t>
            </w:r>
          </w:p>
        </w:tc>
      </w:tr>
      <w:tr w:rsidR="006253A9" w:rsidRPr="006253A9" w14:paraId="4A01838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EDF0E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0003</w:t>
            </w:r>
          </w:p>
        </w:tc>
        <w:tc>
          <w:tcPr>
            <w:tcW w:w="2880" w:type="dxa"/>
            <w:noWrap/>
            <w:hideMark/>
          </w:tcPr>
          <w:p w14:paraId="33408B0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Acushnet</w:t>
            </w:r>
          </w:p>
        </w:tc>
        <w:tc>
          <w:tcPr>
            <w:tcW w:w="1455" w:type="dxa"/>
            <w:noWrap/>
            <w:hideMark/>
          </w:tcPr>
          <w:p w14:paraId="4E21E6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$13,501,398</w:t>
            </w:r>
          </w:p>
        </w:tc>
        <w:tc>
          <w:tcPr>
            <w:tcW w:w="1440" w:type="dxa"/>
            <w:noWrap/>
            <w:hideMark/>
          </w:tcPr>
          <w:p w14:paraId="05A40C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48.9%</w:t>
            </w:r>
          </w:p>
        </w:tc>
        <w:tc>
          <w:tcPr>
            <w:tcW w:w="1440" w:type="dxa"/>
            <w:noWrap/>
            <w:hideMark/>
          </w:tcPr>
          <w:p w14:paraId="018349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48.9%</w:t>
            </w:r>
          </w:p>
        </w:tc>
        <w:tc>
          <w:tcPr>
            <w:tcW w:w="1440" w:type="dxa"/>
            <w:noWrap/>
            <w:hideMark/>
          </w:tcPr>
          <w:p w14:paraId="24A2F0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45.8%</w:t>
            </w:r>
          </w:p>
        </w:tc>
        <w:tc>
          <w:tcPr>
            <w:tcW w:w="1455" w:type="dxa"/>
            <w:noWrap/>
            <w:hideMark/>
          </w:tcPr>
          <w:p w14:paraId="19E76A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$15,766,839</w:t>
            </w:r>
          </w:p>
        </w:tc>
        <w:tc>
          <w:tcPr>
            <w:tcW w:w="1440" w:type="dxa"/>
            <w:noWrap/>
            <w:hideMark/>
          </w:tcPr>
          <w:p w14:paraId="5DFAAA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c>
          <w:tcPr>
            <w:tcW w:w="1440" w:type="dxa"/>
            <w:noWrap/>
            <w:hideMark/>
          </w:tcPr>
          <w:p w14:paraId="745EC6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c>
          <w:tcPr>
            <w:tcW w:w="1440" w:type="dxa"/>
            <w:noWrap/>
            <w:hideMark/>
          </w:tcPr>
          <w:p w14:paraId="72E804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55.8%</w:t>
            </w:r>
          </w:p>
        </w:tc>
      </w:tr>
      <w:tr w:rsidR="006253A9" w:rsidRPr="006253A9" w14:paraId="41D6AE7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71FDAF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0004</w:t>
            </w:r>
          </w:p>
        </w:tc>
        <w:tc>
          <w:tcPr>
            <w:tcW w:w="2880" w:type="dxa"/>
            <w:noWrap/>
            <w:hideMark/>
          </w:tcPr>
          <w:p w14:paraId="5C1EFD8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Adams</w:t>
            </w:r>
          </w:p>
        </w:tc>
        <w:tc>
          <w:tcPr>
            <w:tcW w:w="1455" w:type="dxa"/>
            <w:noWrap/>
            <w:hideMark/>
          </w:tcPr>
          <w:p w14:paraId="2BF21E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$11,104,257</w:t>
            </w:r>
          </w:p>
        </w:tc>
        <w:tc>
          <w:tcPr>
            <w:tcW w:w="1440" w:type="dxa"/>
            <w:noWrap/>
            <w:hideMark/>
          </w:tcPr>
          <w:p w14:paraId="028EE65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31.9%</w:t>
            </w:r>
          </w:p>
        </w:tc>
        <w:tc>
          <w:tcPr>
            <w:tcW w:w="1440" w:type="dxa"/>
            <w:noWrap/>
            <w:hideMark/>
          </w:tcPr>
          <w:p w14:paraId="3F27E3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31.9%</w:t>
            </w:r>
          </w:p>
        </w:tc>
        <w:tc>
          <w:tcPr>
            <w:tcW w:w="1440" w:type="dxa"/>
            <w:noWrap/>
            <w:hideMark/>
          </w:tcPr>
          <w:p w14:paraId="78602E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23.9%</w:t>
            </w:r>
          </w:p>
        </w:tc>
        <w:tc>
          <w:tcPr>
            <w:tcW w:w="1455" w:type="dxa"/>
            <w:noWrap/>
            <w:hideMark/>
          </w:tcPr>
          <w:p w14:paraId="1CE3E9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$13,698,147</w:t>
            </w:r>
          </w:p>
        </w:tc>
        <w:tc>
          <w:tcPr>
            <w:tcW w:w="1440" w:type="dxa"/>
            <w:noWrap/>
            <w:hideMark/>
          </w:tcPr>
          <w:p w14:paraId="6E7AB0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33.5%</w:t>
            </w:r>
          </w:p>
        </w:tc>
        <w:tc>
          <w:tcPr>
            <w:tcW w:w="1440" w:type="dxa"/>
            <w:noWrap/>
            <w:hideMark/>
          </w:tcPr>
          <w:p w14:paraId="73E343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33.5%</w:t>
            </w:r>
          </w:p>
        </w:tc>
        <w:tc>
          <w:tcPr>
            <w:tcW w:w="1440" w:type="dxa"/>
            <w:noWrap/>
            <w:hideMark/>
          </w:tcPr>
          <w:p w14:paraId="708F3A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33.5%</w:t>
            </w:r>
          </w:p>
        </w:tc>
      </w:tr>
      <w:tr w:rsidR="006253A9" w:rsidRPr="006253A9" w14:paraId="46788D9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3F0BC4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0005</w:t>
            </w:r>
          </w:p>
        </w:tc>
        <w:tc>
          <w:tcPr>
            <w:tcW w:w="2880" w:type="dxa"/>
            <w:noWrap/>
            <w:hideMark/>
          </w:tcPr>
          <w:p w14:paraId="257341C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Agawam</w:t>
            </w:r>
          </w:p>
        </w:tc>
        <w:tc>
          <w:tcPr>
            <w:tcW w:w="1455" w:type="dxa"/>
            <w:noWrap/>
            <w:hideMark/>
          </w:tcPr>
          <w:p w14:paraId="51AFA7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$34,566,079</w:t>
            </w:r>
          </w:p>
        </w:tc>
        <w:tc>
          <w:tcPr>
            <w:tcW w:w="1440" w:type="dxa"/>
            <w:noWrap/>
            <w:hideMark/>
          </w:tcPr>
          <w:p w14:paraId="5ACC8B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51.3%</w:t>
            </w:r>
          </w:p>
        </w:tc>
        <w:tc>
          <w:tcPr>
            <w:tcW w:w="1440" w:type="dxa"/>
            <w:noWrap/>
            <w:hideMark/>
          </w:tcPr>
          <w:p w14:paraId="7408BC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51.3%</w:t>
            </w:r>
          </w:p>
        </w:tc>
        <w:tc>
          <w:tcPr>
            <w:tcW w:w="1440" w:type="dxa"/>
            <w:noWrap/>
            <w:hideMark/>
          </w:tcPr>
          <w:p w14:paraId="0E26D9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63.8%</w:t>
            </w:r>
          </w:p>
        </w:tc>
        <w:tc>
          <w:tcPr>
            <w:tcW w:w="1455" w:type="dxa"/>
            <w:noWrap/>
            <w:hideMark/>
          </w:tcPr>
          <w:p w14:paraId="0384C2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$42,227,451</w:t>
            </w:r>
          </w:p>
        </w:tc>
        <w:tc>
          <w:tcPr>
            <w:tcW w:w="1440" w:type="dxa"/>
            <w:noWrap/>
            <w:hideMark/>
          </w:tcPr>
          <w:p w14:paraId="173040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54.4%</w:t>
            </w:r>
          </w:p>
        </w:tc>
        <w:tc>
          <w:tcPr>
            <w:tcW w:w="1440" w:type="dxa"/>
            <w:noWrap/>
            <w:hideMark/>
          </w:tcPr>
          <w:p w14:paraId="3131E3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54.4%</w:t>
            </w:r>
          </w:p>
        </w:tc>
        <w:tc>
          <w:tcPr>
            <w:tcW w:w="1440" w:type="dxa"/>
            <w:noWrap/>
            <w:hideMark/>
          </w:tcPr>
          <w:p w14:paraId="620074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54.4%</w:t>
            </w:r>
          </w:p>
        </w:tc>
      </w:tr>
      <w:tr w:rsidR="006253A9" w:rsidRPr="006253A9" w14:paraId="36E566C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9DCF1F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0006</w:t>
            </w:r>
          </w:p>
        </w:tc>
        <w:tc>
          <w:tcPr>
            <w:tcW w:w="2880" w:type="dxa"/>
            <w:noWrap/>
            <w:hideMark/>
          </w:tcPr>
          <w:p w14:paraId="4C3B39D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Alford</w:t>
            </w:r>
          </w:p>
        </w:tc>
        <w:tc>
          <w:tcPr>
            <w:tcW w:w="1455" w:type="dxa"/>
            <w:noWrap/>
            <w:hideMark/>
          </w:tcPr>
          <w:p w14:paraId="1727C8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$407,455</w:t>
            </w:r>
          </w:p>
        </w:tc>
        <w:tc>
          <w:tcPr>
            <w:tcW w:w="1440" w:type="dxa"/>
            <w:noWrap/>
            <w:hideMark/>
          </w:tcPr>
          <w:p w14:paraId="6C4E26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171.1%</w:t>
            </w:r>
          </w:p>
        </w:tc>
        <w:tc>
          <w:tcPr>
            <w:tcW w:w="1440" w:type="dxa"/>
            <w:noWrap/>
            <w:hideMark/>
          </w:tcPr>
          <w:p w14:paraId="0D2ABC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B9438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85.3%</w:t>
            </w:r>
          </w:p>
        </w:tc>
        <w:tc>
          <w:tcPr>
            <w:tcW w:w="1455" w:type="dxa"/>
            <w:noWrap/>
            <w:hideMark/>
          </w:tcPr>
          <w:p w14:paraId="403CB4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$263,080</w:t>
            </w:r>
          </w:p>
        </w:tc>
        <w:tc>
          <w:tcPr>
            <w:tcW w:w="1440" w:type="dxa"/>
            <w:noWrap/>
            <w:hideMark/>
          </w:tcPr>
          <w:p w14:paraId="73EDFF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447.8%</w:t>
            </w:r>
          </w:p>
        </w:tc>
        <w:tc>
          <w:tcPr>
            <w:tcW w:w="1440" w:type="dxa"/>
            <w:noWrap/>
            <w:hideMark/>
          </w:tcPr>
          <w:p w14:paraId="0C7E89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D7830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53DF78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9A4193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0007</w:t>
            </w:r>
          </w:p>
        </w:tc>
        <w:tc>
          <w:tcPr>
            <w:tcW w:w="2880" w:type="dxa"/>
            <w:noWrap/>
            <w:hideMark/>
          </w:tcPr>
          <w:p w14:paraId="476711D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Amesbury</w:t>
            </w:r>
          </w:p>
        </w:tc>
        <w:tc>
          <w:tcPr>
            <w:tcW w:w="1455" w:type="dxa"/>
            <w:noWrap/>
            <w:hideMark/>
          </w:tcPr>
          <w:p w14:paraId="58234E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$20,849,456</w:t>
            </w:r>
          </w:p>
        </w:tc>
        <w:tc>
          <w:tcPr>
            <w:tcW w:w="1440" w:type="dxa"/>
            <w:noWrap/>
            <w:hideMark/>
          </w:tcPr>
          <w:p w14:paraId="5D847A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57.5%</w:t>
            </w:r>
          </w:p>
        </w:tc>
        <w:tc>
          <w:tcPr>
            <w:tcW w:w="1440" w:type="dxa"/>
            <w:noWrap/>
            <w:hideMark/>
          </w:tcPr>
          <w:p w14:paraId="3E64DD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57.5%</w:t>
            </w:r>
          </w:p>
        </w:tc>
        <w:tc>
          <w:tcPr>
            <w:tcW w:w="1440" w:type="dxa"/>
            <w:noWrap/>
            <w:hideMark/>
          </w:tcPr>
          <w:p w14:paraId="3E9FDB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65.8%</w:t>
            </w:r>
          </w:p>
        </w:tc>
        <w:tc>
          <w:tcPr>
            <w:tcW w:w="1455" w:type="dxa"/>
            <w:noWrap/>
            <w:hideMark/>
          </w:tcPr>
          <w:p w14:paraId="15B289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$24,545,920</w:t>
            </w:r>
          </w:p>
        </w:tc>
        <w:tc>
          <w:tcPr>
            <w:tcW w:w="1440" w:type="dxa"/>
            <w:noWrap/>
            <w:hideMark/>
          </w:tcPr>
          <w:p w14:paraId="7D5D01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c>
          <w:tcPr>
            <w:tcW w:w="1440" w:type="dxa"/>
            <w:noWrap/>
            <w:hideMark/>
          </w:tcPr>
          <w:p w14:paraId="740A5E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c>
          <w:tcPr>
            <w:tcW w:w="1440" w:type="dxa"/>
            <w:noWrap/>
            <w:hideMark/>
          </w:tcPr>
          <w:p w14:paraId="4CC7BA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67.9%</w:t>
            </w:r>
          </w:p>
        </w:tc>
      </w:tr>
      <w:tr w:rsidR="006253A9" w:rsidRPr="006253A9" w14:paraId="56A2D2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54E1C8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0008</w:t>
            </w:r>
          </w:p>
        </w:tc>
        <w:tc>
          <w:tcPr>
            <w:tcW w:w="2880" w:type="dxa"/>
            <w:noWrap/>
            <w:hideMark/>
          </w:tcPr>
          <w:p w14:paraId="30A97E7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Amherst</w:t>
            </w:r>
          </w:p>
        </w:tc>
        <w:tc>
          <w:tcPr>
            <w:tcW w:w="1455" w:type="dxa"/>
            <w:noWrap/>
            <w:hideMark/>
          </w:tcPr>
          <w:p w14:paraId="7165C57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$23,791,152</w:t>
            </w:r>
          </w:p>
        </w:tc>
        <w:tc>
          <w:tcPr>
            <w:tcW w:w="1440" w:type="dxa"/>
            <w:noWrap/>
            <w:hideMark/>
          </w:tcPr>
          <w:p w14:paraId="68555A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40" w:type="dxa"/>
            <w:noWrap/>
            <w:hideMark/>
          </w:tcPr>
          <w:p w14:paraId="2D7B96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40" w:type="dxa"/>
            <w:noWrap/>
            <w:hideMark/>
          </w:tcPr>
          <w:p w14:paraId="79539E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47.1%</w:t>
            </w:r>
          </w:p>
        </w:tc>
        <w:tc>
          <w:tcPr>
            <w:tcW w:w="1455" w:type="dxa"/>
            <w:noWrap/>
            <w:hideMark/>
          </w:tcPr>
          <w:p w14:paraId="17F03D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$26,087,908</w:t>
            </w:r>
          </w:p>
        </w:tc>
        <w:tc>
          <w:tcPr>
            <w:tcW w:w="1440" w:type="dxa"/>
            <w:noWrap/>
            <w:hideMark/>
          </w:tcPr>
          <w:p w14:paraId="76694D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74.5%</w:t>
            </w:r>
          </w:p>
        </w:tc>
        <w:tc>
          <w:tcPr>
            <w:tcW w:w="1440" w:type="dxa"/>
            <w:noWrap/>
            <w:hideMark/>
          </w:tcPr>
          <w:p w14:paraId="40D133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74.5%</w:t>
            </w:r>
          </w:p>
        </w:tc>
        <w:tc>
          <w:tcPr>
            <w:tcW w:w="1440" w:type="dxa"/>
            <w:noWrap/>
            <w:hideMark/>
          </w:tcPr>
          <w:p w14:paraId="34C3CD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74.3%</w:t>
            </w:r>
          </w:p>
        </w:tc>
      </w:tr>
      <w:tr w:rsidR="006253A9" w:rsidRPr="006253A9" w14:paraId="388708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F65BCD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0009</w:t>
            </w:r>
          </w:p>
        </w:tc>
        <w:tc>
          <w:tcPr>
            <w:tcW w:w="2880" w:type="dxa"/>
            <w:noWrap/>
            <w:hideMark/>
          </w:tcPr>
          <w:p w14:paraId="3D0B9D8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Andover</w:t>
            </w:r>
          </w:p>
        </w:tc>
        <w:tc>
          <w:tcPr>
            <w:tcW w:w="1455" w:type="dxa"/>
            <w:noWrap/>
            <w:hideMark/>
          </w:tcPr>
          <w:p w14:paraId="01A697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$45,735,965</w:t>
            </w:r>
          </w:p>
        </w:tc>
        <w:tc>
          <w:tcPr>
            <w:tcW w:w="1440" w:type="dxa"/>
            <w:noWrap/>
            <w:hideMark/>
          </w:tcPr>
          <w:p w14:paraId="6EFC21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104.0%</w:t>
            </w:r>
          </w:p>
        </w:tc>
        <w:tc>
          <w:tcPr>
            <w:tcW w:w="1440" w:type="dxa"/>
            <w:noWrap/>
            <w:hideMark/>
          </w:tcPr>
          <w:p w14:paraId="59A052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67B7F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96.8%</w:t>
            </w:r>
          </w:p>
        </w:tc>
        <w:tc>
          <w:tcPr>
            <w:tcW w:w="1455" w:type="dxa"/>
            <w:noWrap/>
            <w:hideMark/>
          </w:tcPr>
          <w:p w14:paraId="7ADCDD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$64,458,360</w:t>
            </w:r>
          </w:p>
        </w:tc>
        <w:tc>
          <w:tcPr>
            <w:tcW w:w="1440" w:type="dxa"/>
            <w:noWrap/>
            <w:hideMark/>
          </w:tcPr>
          <w:p w14:paraId="063C44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107.1%</w:t>
            </w:r>
          </w:p>
        </w:tc>
        <w:tc>
          <w:tcPr>
            <w:tcW w:w="1440" w:type="dxa"/>
            <w:noWrap/>
            <w:hideMark/>
          </w:tcPr>
          <w:p w14:paraId="5129CC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B989B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81.7%</w:t>
            </w:r>
          </w:p>
        </w:tc>
      </w:tr>
      <w:tr w:rsidR="006253A9" w:rsidRPr="006253A9" w14:paraId="25A39E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54BB2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0010</w:t>
            </w:r>
          </w:p>
        </w:tc>
        <w:tc>
          <w:tcPr>
            <w:tcW w:w="2880" w:type="dxa"/>
            <w:noWrap/>
            <w:hideMark/>
          </w:tcPr>
          <w:p w14:paraId="609D4FB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Arlington</w:t>
            </w:r>
          </w:p>
        </w:tc>
        <w:tc>
          <w:tcPr>
            <w:tcW w:w="1455" w:type="dxa"/>
            <w:noWrap/>
            <w:hideMark/>
          </w:tcPr>
          <w:p w14:paraId="0E08ED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$37,078,458</w:t>
            </w:r>
          </w:p>
        </w:tc>
        <w:tc>
          <w:tcPr>
            <w:tcW w:w="1440" w:type="dxa"/>
            <w:noWrap/>
            <w:hideMark/>
          </w:tcPr>
          <w:p w14:paraId="07980A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119.8%</w:t>
            </w:r>
          </w:p>
        </w:tc>
        <w:tc>
          <w:tcPr>
            <w:tcW w:w="1440" w:type="dxa"/>
            <w:noWrap/>
            <w:hideMark/>
          </w:tcPr>
          <w:p w14:paraId="6ED689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7656F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86.4%</w:t>
            </w:r>
          </w:p>
        </w:tc>
        <w:tc>
          <w:tcPr>
            <w:tcW w:w="1455" w:type="dxa"/>
            <w:noWrap/>
            <w:hideMark/>
          </w:tcPr>
          <w:p w14:paraId="497FF5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$64,501,529</w:t>
            </w:r>
          </w:p>
        </w:tc>
        <w:tc>
          <w:tcPr>
            <w:tcW w:w="1440" w:type="dxa"/>
            <w:noWrap/>
            <w:hideMark/>
          </w:tcPr>
          <w:p w14:paraId="4D03A9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115.8%</w:t>
            </w:r>
          </w:p>
        </w:tc>
        <w:tc>
          <w:tcPr>
            <w:tcW w:w="1440" w:type="dxa"/>
            <w:noWrap/>
            <w:hideMark/>
          </w:tcPr>
          <w:p w14:paraId="208AA3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1A157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77.6%</w:t>
            </w:r>
          </w:p>
        </w:tc>
      </w:tr>
      <w:tr w:rsidR="006253A9" w:rsidRPr="006253A9" w14:paraId="09C5D5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0B47E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0011</w:t>
            </w:r>
          </w:p>
        </w:tc>
        <w:tc>
          <w:tcPr>
            <w:tcW w:w="2880" w:type="dxa"/>
            <w:noWrap/>
            <w:hideMark/>
          </w:tcPr>
          <w:p w14:paraId="78D1AA2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Ashburnham</w:t>
            </w:r>
          </w:p>
        </w:tc>
        <w:tc>
          <w:tcPr>
            <w:tcW w:w="1455" w:type="dxa"/>
            <w:noWrap/>
            <w:hideMark/>
          </w:tcPr>
          <w:p w14:paraId="1E79F5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$8,807,140</w:t>
            </w:r>
          </w:p>
        </w:tc>
        <w:tc>
          <w:tcPr>
            <w:tcW w:w="1440" w:type="dxa"/>
            <w:noWrap/>
            <w:hideMark/>
          </w:tcPr>
          <w:p w14:paraId="47CCD2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46.6%</w:t>
            </w:r>
          </w:p>
        </w:tc>
        <w:tc>
          <w:tcPr>
            <w:tcW w:w="1440" w:type="dxa"/>
            <w:noWrap/>
            <w:hideMark/>
          </w:tcPr>
          <w:p w14:paraId="17C384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46.6%</w:t>
            </w:r>
          </w:p>
        </w:tc>
        <w:tc>
          <w:tcPr>
            <w:tcW w:w="1440" w:type="dxa"/>
            <w:noWrap/>
            <w:hideMark/>
          </w:tcPr>
          <w:p w14:paraId="42BACB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52.7%</w:t>
            </w:r>
          </w:p>
        </w:tc>
        <w:tc>
          <w:tcPr>
            <w:tcW w:w="1455" w:type="dxa"/>
            <w:noWrap/>
            <w:hideMark/>
          </w:tcPr>
          <w:p w14:paraId="130D23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$11,691,780</w:t>
            </w:r>
          </w:p>
        </w:tc>
        <w:tc>
          <w:tcPr>
            <w:tcW w:w="1440" w:type="dxa"/>
            <w:noWrap/>
            <w:hideMark/>
          </w:tcPr>
          <w:p w14:paraId="7A20FE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47.0%</w:t>
            </w:r>
          </w:p>
        </w:tc>
        <w:tc>
          <w:tcPr>
            <w:tcW w:w="1440" w:type="dxa"/>
            <w:noWrap/>
            <w:hideMark/>
          </w:tcPr>
          <w:p w14:paraId="5EC988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47.0%</w:t>
            </w:r>
          </w:p>
        </w:tc>
        <w:tc>
          <w:tcPr>
            <w:tcW w:w="1440" w:type="dxa"/>
            <w:noWrap/>
            <w:hideMark/>
          </w:tcPr>
          <w:p w14:paraId="7494C1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46.0%</w:t>
            </w:r>
          </w:p>
        </w:tc>
      </w:tr>
      <w:tr w:rsidR="006253A9" w:rsidRPr="006253A9" w14:paraId="65EF9AE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A3B87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0012</w:t>
            </w:r>
          </w:p>
        </w:tc>
        <w:tc>
          <w:tcPr>
            <w:tcW w:w="2880" w:type="dxa"/>
            <w:noWrap/>
            <w:hideMark/>
          </w:tcPr>
          <w:p w14:paraId="74E7E2C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Ashby</w:t>
            </w:r>
          </w:p>
        </w:tc>
        <w:tc>
          <w:tcPr>
            <w:tcW w:w="1455" w:type="dxa"/>
            <w:noWrap/>
            <w:hideMark/>
          </w:tcPr>
          <w:p w14:paraId="7EF2CA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$4,828,229</w:t>
            </w:r>
          </w:p>
        </w:tc>
        <w:tc>
          <w:tcPr>
            <w:tcW w:w="1440" w:type="dxa"/>
            <w:noWrap/>
            <w:hideMark/>
          </w:tcPr>
          <w:p w14:paraId="435BC9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c>
          <w:tcPr>
            <w:tcW w:w="1440" w:type="dxa"/>
            <w:noWrap/>
            <w:hideMark/>
          </w:tcPr>
          <w:p w14:paraId="335BC2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c>
          <w:tcPr>
            <w:tcW w:w="1440" w:type="dxa"/>
            <w:noWrap/>
            <w:hideMark/>
          </w:tcPr>
          <w:p w14:paraId="62372B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46.5%</w:t>
            </w:r>
          </w:p>
        </w:tc>
        <w:tc>
          <w:tcPr>
            <w:tcW w:w="1455" w:type="dxa"/>
            <w:noWrap/>
            <w:hideMark/>
          </w:tcPr>
          <w:p w14:paraId="799DCC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$4,394,534</w:t>
            </w:r>
          </w:p>
        </w:tc>
        <w:tc>
          <w:tcPr>
            <w:tcW w:w="1440" w:type="dxa"/>
            <w:noWrap/>
            <w:hideMark/>
          </w:tcPr>
          <w:p w14:paraId="35CBED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40" w:type="dxa"/>
            <w:noWrap/>
            <w:hideMark/>
          </w:tcPr>
          <w:p w14:paraId="6B7095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40" w:type="dxa"/>
            <w:noWrap/>
            <w:hideMark/>
          </w:tcPr>
          <w:p w14:paraId="59351E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57.2%</w:t>
            </w:r>
          </w:p>
        </w:tc>
      </w:tr>
      <w:tr w:rsidR="006253A9" w:rsidRPr="006253A9" w14:paraId="084FD9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16439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0013</w:t>
            </w:r>
          </w:p>
        </w:tc>
        <w:tc>
          <w:tcPr>
            <w:tcW w:w="2880" w:type="dxa"/>
            <w:noWrap/>
            <w:hideMark/>
          </w:tcPr>
          <w:p w14:paraId="552CEAF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Ashfield</w:t>
            </w:r>
          </w:p>
        </w:tc>
        <w:tc>
          <w:tcPr>
            <w:tcW w:w="1455" w:type="dxa"/>
            <w:noWrap/>
            <w:hideMark/>
          </w:tcPr>
          <w:p w14:paraId="373F45D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$2,047,924</w:t>
            </w:r>
          </w:p>
        </w:tc>
        <w:tc>
          <w:tcPr>
            <w:tcW w:w="1440" w:type="dxa"/>
            <w:noWrap/>
            <w:hideMark/>
          </w:tcPr>
          <w:p w14:paraId="116765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49.6%</w:t>
            </w:r>
          </w:p>
        </w:tc>
        <w:tc>
          <w:tcPr>
            <w:tcW w:w="1440" w:type="dxa"/>
            <w:noWrap/>
            <w:hideMark/>
          </w:tcPr>
          <w:p w14:paraId="46A17D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49.6%</w:t>
            </w:r>
          </w:p>
        </w:tc>
        <w:tc>
          <w:tcPr>
            <w:tcW w:w="1440" w:type="dxa"/>
            <w:noWrap/>
            <w:hideMark/>
          </w:tcPr>
          <w:p w14:paraId="3C4F4E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w:t>
            </w:r>
          </w:p>
        </w:tc>
        <w:tc>
          <w:tcPr>
            <w:tcW w:w="1455" w:type="dxa"/>
            <w:noWrap/>
            <w:hideMark/>
          </w:tcPr>
          <w:p w14:paraId="4978ED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$2,072,887</w:t>
            </w:r>
          </w:p>
        </w:tc>
        <w:tc>
          <w:tcPr>
            <w:tcW w:w="1440" w:type="dxa"/>
            <w:noWrap/>
            <w:hideMark/>
          </w:tcPr>
          <w:p w14:paraId="3F3EE6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40" w:type="dxa"/>
            <w:noWrap/>
            <w:hideMark/>
          </w:tcPr>
          <w:p w14:paraId="6B1C10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40" w:type="dxa"/>
            <w:noWrap/>
            <w:hideMark/>
          </w:tcPr>
          <w:p w14:paraId="2EAB9A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r>
      <w:tr w:rsidR="006253A9" w:rsidRPr="006253A9" w14:paraId="2314CB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A5253C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0014</w:t>
            </w:r>
          </w:p>
        </w:tc>
        <w:tc>
          <w:tcPr>
            <w:tcW w:w="2880" w:type="dxa"/>
            <w:noWrap/>
            <w:hideMark/>
          </w:tcPr>
          <w:p w14:paraId="436492F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Ashland</w:t>
            </w:r>
          </w:p>
        </w:tc>
        <w:tc>
          <w:tcPr>
            <w:tcW w:w="1455" w:type="dxa"/>
            <w:noWrap/>
            <w:hideMark/>
          </w:tcPr>
          <w:p w14:paraId="0467FF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$19,889,329</w:t>
            </w:r>
          </w:p>
        </w:tc>
        <w:tc>
          <w:tcPr>
            <w:tcW w:w="1440" w:type="dxa"/>
            <w:noWrap/>
            <w:hideMark/>
          </w:tcPr>
          <w:p w14:paraId="24CD3A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76.5%</w:t>
            </w:r>
          </w:p>
        </w:tc>
        <w:tc>
          <w:tcPr>
            <w:tcW w:w="1440" w:type="dxa"/>
            <w:noWrap/>
            <w:hideMark/>
          </w:tcPr>
          <w:p w14:paraId="703827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76.5%</w:t>
            </w:r>
          </w:p>
        </w:tc>
        <w:tc>
          <w:tcPr>
            <w:tcW w:w="1440" w:type="dxa"/>
            <w:noWrap/>
            <w:hideMark/>
          </w:tcPr>
          <w:p w14:paraId="355387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82.2%</w:t>
            </w:r>
          </w:p>
        </w:tc>
        <w:tc>
          <w:tcPr>
            <w:tcW w:w="1455" w:type="dxa"/>
            <w:noWrap/>
            <w:hideMark/>
          </w:tcPr>
          <w:p w14:paraId="608D82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$30,202,382</w:t>
            </w:r>
          </w:p>
        </w:tc>
        <w:tc>
          <w:tcPr>
            <w:tcW w:w="1440" w:type="dxa"/>
            <w:noWrap/>
            <w:hideMark/>
          </w:tcPr>
          <w:p w14:paraId="2FE505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74.0%</w:t>
            </w:r>
          </w:p>
        </w:tc>
        <w:tc>
          <w:tcPr>
            <w:tcW w:w="1440" w:type="dxa"/>
            <w:noWrap/>
            <w:hideMark/>
          </w:tcPr>
          <w:p w14:paraId="000787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74.0%</w:t>
            </w:r>
          </w:p>
        </w:tc>
        <w:tc>
          <w:tcPr>
            <w:tcW w:w="1440" w:type="dxa"/>
            <w:noWrap/>
            <w:hideMark/>
          </w:tcPr>
          <w:p w14:paraId="3BD986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73.6%</w:t>
            </w:r>
          </w:p>
        </w:tc>
      </w:tr>
      <w:tr w:rsidR="006253A9" w:rsidRPr="006253A9" w14:paraId="06286FA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C166A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0015</w:t>
            </w:r>
          </w:p>
        </w:tc>
        <w:tc>
          <w:tcPr>
            <w:tcW w:w="2880" w:type="dxa"/>
            <w:noWrap/>
            <w:hideMark/>
          </w:tcPr>
          <w:p w14:paraId="698B572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Athol</w:t>
            </w:r>
          </w:p>
        </w:tc>
        <w:tc>
          <w:tcPr>
            <w:tcW w:w="1455" w:type="dxa"/>
            <w:noWrap/>
            <w:hideMark/>
          </w:tcPr>
          <w:p w14:paraId="219B48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$17,154,834</w:t>
            </w:r>
          </w:p>
        </w:tc>
        <w:tc>
          <w:tcPr>
            <w:tcW w:w="1440" w:type="dxa"/>
            <w:noWrap/>
            <w:hideMark/>
          </w:tcPr>
          <w:p w14:paraId="5D2E1F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28.7%</w:t>
            </w:r>
          </w:p>
        </w:tc>
        <w:tc>
          <w:tcPr>
            <w:tcW w:w="1440" w:type="dxa"/>
            <w:noWrap/>
            <w:hideMark/>
          </w:tcPr>
          <w:p w14:paraId="4D8204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28.7%</w:t>
            </w:r>
          </w:p>
        </w:tc>
        <w:tc>
          <w:tcPr>
            <w:tcW w:w="1440" w:type="dxa"/>
            <w:noWrap/>
            <w:hideMark/>
          </w:tcPr>
          <w:p w14:paraId="0FF13F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w:t>
            </w:r>
          </w:p>
        </w:tc>
        <w:tc>
          <w:tcPr>
            <w:tcW w:w="1455" w:type="dxa"/>
            <w:noWrap/>
            <w:hideMark/>
          </w:tcPr>
          <w:p w14:paraId="352423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$20,735,280</w:t>
            </w:r>
          </w:p>
        </w:tc>
        <w:tc>
          <w:tcPr>
            <w:tcW w:w="1440" w:type="dxa"/>
            <w:noWrap/>
            <w:hideMark/>
          </w:tcPr>
          <w:p w14:paraId="467AFD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28.7%</w:t>
            </w:r>
          </w:p>
        </w:tc>
        <w:tc>
          <w:tcPr>
            <w:tcW w:w="1440" w:type="dxa"/>
            <w:noWrap/>
            <w:hideMark/>
          </w:tcPr>
          <w:p w14:paraId="776923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28.7%</w:t>
            </w:r>
          </w:p>
        </w:tc>
        <w:tc>
          <w:tcPr>
            <w:tcW w:w="1440" w:type="dxa"/>
            <w:noWrap/>
            <w:hideMark/>
          </w:tcPr>
          <w:p w14:paraId="1785E1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15.3%</w:t>
            </w:r>
          </w:p>
        </w:tc>
      </w:tr>
      <w:tr w:rsidR="006253A9" w:rsidRPr="006253A9" w14:paraId="50D880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4F003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0016</w:t>
            </w:r>
          </w:p>
        </w:tc>
        <w:tc>
          <w:tcPr>
            <w:tcW w:w="2880" w:type="dxa"/>
            <w:noWrap/>
            <w:hideMark/>
          </w:tcPr>
          <w:p w14:paraId="69C8864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Attleboro</w:t>
            </w:r>
          </w:p>
        </w:tc>
        <w:tc>
          <w:tcPr>
            <w:tcW w:w="1455" w:type="dxa"/>
            <w:noWrap/>
            <w:hideMark/>
          </w:tcPr>
          <w:p w14:paraId="4CD3A6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$52,239,924</w:t>
            </w:r>
          </w:p>
        </w:tc>
        <w:tc>
          <w:tcPr>
            <w:tcW w:w="1440" w:type="dxa"/>
            <w:noWrap/>
            <w:hideMark/>
          </w:tcPr>
          <w:p w14:paraId="6EA0FD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51.8%</w:t>
            </w:r>
          </w:p>
        </w:tc>
        <w:tc>
          <w:tcPr>
            <w:tcW w:w="1440" w:type="dxa"/>
            <w:noWrap/>
            <w:hideMark/>
          </w:tcPr>
          <w:p w14:paraId="312D8D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51.8%</w:t>
            </w:r>
          </w:p>
        </w:tc>
        <w:tc>
          <w:tcPr>
            <w:tcW w:w="1440" w:type="dxa"/>
            <w:noWrap/>
            <w:hideMark/>
          </w:tcPr>
          <w:p w14:paraId="3B9D4D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55" w:type="dxa"/>
            <w:noWrap/>
            <w:hideMark/>
          </w:tcPr>
          <w:p w14:paraId="1CA736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$78,224,082</w:t>
            </w:r>
          </w:p>
        </w:tc>
        <w:tc>
          <w:tcPr>
            <w:tcW w:w="1440" w:type="dxa"/>
            <w:noWrap/>
            <w:hideMark/>
          </w:tcPr>
          <w:p w14:paraId="55D933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47.9%</w:t>
            </w:r>
          </w:p>
        </w:tc>
        <w:tc>
          <w:tcPr>
            <w:tcW w:w="1440" w:type="dxa"/>
            <w:noWrap/>
            <w:hideMark/>
          </w:tcPr>
          <w:p w14:paraId="088E38B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47.9%</w:t>
            </w:r>
          </w:p>
        </w:tc>
        <w:tc>
          <w:tcPr>
            <w:tcW w:w="1440" w:type="dxa"/>
            <w:noWrap/>
            <w:hideMark/>
          </w:tcPr>
          <w:p w14:paraId="5321C0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47.1%</w:t>
            </w:r>
          </w:p>
        </w:tc>
      </w:tr>
      <w:tr w:rsidR="006253A9" w:rsidRPr="006253A9" w14:paraId="44F29F6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CD1615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0017</w:t>
            </w:r>
          </w:p>
        </w:tc>
        <w:tc>
          <w:tcPr>
            <w:tcW w:w="2880" w:type="dxa"/>
            <w:noWrap/>
            <w:hideMark/>
          </w:tcPr>
          <w:p w14:paraId="278FCA3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Auburn</w:t>
            </w:r>
          </w:p>
        </w:tc>
        <w:tc>
          <w:tcPr>
            <w:tcW w:w="1455" w:type="dxa"/>
            <w:noWrap/>
            <w:hideMark/>
          </w:tcPr>
          <w:p w14:paraId="524CFB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$18,403,729</w:t>
            </w:r>
          </w:p>
        </w:tc>
        <w:tc>
          <w:tcPr>
            <w:tcW w:w="1440" w:type="dxa"/>
            <w:noWrap/>
            <w:hideMark/>
          </w:tcPr>
          <w:p w14:paraId="6E6A18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64.0%</w:t>
            </w:r>
          </w:p>
        </w:tc>
        <w:tc>
          <w:tcPr>
            <w:tcW w:w="1440" w:type="dxa"/>
            <w:noWrap/>
            <w:hideMark/>
          </w:tcPr>
          <w:p w14:paraId="773054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64.0%</w:t>
            </w:r>
          </w:p>
        </w:tc>
        <w:tc>
          <w:tcPr>
            <w:tcW w:w="1440" w:type="dxa"/>
            <w:noWrap/>
            <w:hideMark/>
          </w:tcPr>
          <w:p w14:paraId="142458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c>
          <w:tcPr>
            <w:tcW w:w="1455" w:type="dxa"/>
            <w:noWrap/>
            <w:hideMark/>
          </w:tcPr>
          <w:p w14:paraId="5155C5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$28,213,630</w:t>
            </w:r>
          </w:p>
        </w:tc>
        <w:tc>
          <w:tcPr>
            <w:tcW w:w="1440" w:type="dxa"/>
            <w:noWrap/>
            <w:hideMark/>
          </w:tcPr>
          <w:p w14:paraId="627A2B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56.3%</w:t>
            </w:r>
          </w:p>
        </w:tc>
        <w:tc>
          <w:tcPr>
            <w:tcW w:w="1440" w:type="dxa"/>
            <w:noWrap/>
            <w:hideMark/>
          </w:tcPr>
          <w:p w14:paraId="03DE44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56.3%</w:t>
            </w:r>
          </w:p>
        </w:tc>
        <w:tc>
          <w:tcPr>
            <w:tcW w:w="1440" w:type="dxa"/>
            <w:noWrap/>
            <w:hideMark/>
          </w:tcPr>
          <w:p w14:paraId="00F152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56.3%</w:t>
            </w:r>
          </w:p>
        </w:tc>
      </w:tr>
      <w:tr w:rsidR="006253A9" w:rsidRPr="006253A9" w14:paraId="1C080DA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ADAA49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0018</w:t>
            </w:r>
          </w:p>
        </w:tc>
        <w:tc>
          <w:tcPr>
            <w:tcW w:w="2880" w:type="dxa"/>
            <w:noWrap/>
            <w:hideMark/>
          </w:tcPr>
          <w:p w14:paraId="20E8F63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Avon</w:t>
            </w:r>
          </w:p>
        </w:tc>
        <w:tc>
          <w:tcPr>
            <w:tcW w:w="1455" w:type="dxa"/>
            <w:noWrap/>
            <w:hideMark/>
          </w:tcPr>
          <w:p w14:paraId="24399E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$5,317,756</w:t>
            </w:r>
          </w:p>
        </w:tc>
        <w:tc>
          <w:tcPr>
            <w:tcW w:w="1440" w:type="dxa"/>
            <w:noWrap/>
            <w:hideMark/>
          </w:tcPr>
          <w:p w14:paraId="51873E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78.8%</w:t>
            </w:r>
          </w:p>
        </w:tc>
        <w:tc>
          <w:tcPr>
            <w:tcW w:w="1440" w:type="dxa"/>
            <w:noWrap/>
            <w:hideMark/>
          </w:tcPr>
          <w:p w14:paraId="4C7122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78.8%</w:t>
            </w:r>
          </w:p>
        </w:tc>
        <w:tc>
          <w:tcPr>
            <w:tcW w:w="1440" w:type="dxa"/>
            <w:noWrap/>
            <w:hideMark/>
          </w:tcPr>
          <w:p w14:paraId="2B4FD2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107.0%</w:t>
            </w:r>
          </w:p>
        </w:tc>
        <w:tc>
          <w:tcPr>
            <w:tcW w:w="1455" w:type="dxa"/>
            <w:noWrap/>
            <w:hideMark/>
          </w:tcPr>
          <w:p w14:paraId="3045D1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$7,700,897</w:t>
            </w:r>
          </w:p>
        </w:tc>
        <w:tc>
          <w:tcPr>
            <w:tcW w:w="1440" w:type="dxa"/>
            <w:noWrap/>
            <w:hideMark/>
          </w:tcPr>
          <w:p w14:paraId="017EA5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68.2%</w:t>
            </w:r>
          </w:p>
        </w:tc>
        <w:tc>
          <w:tcPr>
            <w:tcW w:w="1440" w:type="dxa"/>
            <w:noWrap/>
            <w:hideMark/>
          </w:tcPr>
          <w:p w14:paraId="72916E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68.2%</w:t>
            </w:r>
          </w:p>
        </w:tc>
        <w:tc>
          <w:tcPr>
            <w:tcW w:w="1440" w:type="dxa"/>
            <w:noWrap/>
            <w:hideMark/>
          </w:tcPr>
          <w:p w14:paraId="503BAA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68.2%</w:t>
            </w:r>
          </w:p>
        </w:tc>
      </w:tr>
      <w:tr w:rsidR="006253A9" w:rsidRPr="006253A9" w14:paraId="7712AA7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0142E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0019</w:t>
            </w:r>
          </w:p>
        </w:tc>
        <w:tc>
          <w:tcPr>
            <w:tcW w:w="2880" w:type="dxa"/>
            <w:noWrap/>
            <w:hideMark/>
          </w:tcPr>
          <w:p w14:paraId="57711D7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Ayer</w:t>
            </w:r>
          </w:p>
        </w:tc>
        <w:tc>
          <w:tcPr>
            <w:tcW w:w="1455" w:type="dxa"/>
            <w:noWrap/>
            <w:hideMark/>
          </w:tcPr>
          <w:p w14:paraId="298548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$8,871,545</w:t>
            </w:r>
          </w:p>
        </w:tc>
        <w:tc>
          <w:tcPr>
            <w:tcW w:w="1440" w:type="dxa"/>
            <w:noWrap/>
            <w:hideMark/>
          </w:tcPr>
          <w:p w14:paraId="794705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c>
          <w:tcPr>
            <w:tcW w:w="1440" w:type="dxa"/>
            <w:noWrap/>
            <w:hideMark/>
          </w:tcPr>
          <w:p w14:paraId="34A97F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c>
          <w:tcPr>
            <w:tcW w:w="1440" w:type="dxa"/>
            <w:noWrap/>
            <w:hideMark/>
          </w:tcPr>
          <w:p w14:paraId="657AC6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71.7%</w:t>
            </w:r>
          </w:p>
        </w:tc>
        <w:tc>
          <w:tcPr>
            <w:tcW w:w="1455" w:type="dxa"/>
            <w:noWrap/>
            <w:hideMark/>
          </w:tcPr>
          <w:p w14:paraId="320E7A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$11,701,308</w:t>
            </w:r>
          </w:p>
        </w:tc>
        <w:tc>
          <w:tcPr>
            <w:tcW w:w="1440" w:type="dxa"/>
            <w:noWrap/>
            <w:hideMark/>
          </w:tcPr>
          <w:p w14:paraId="707AD3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32FDA4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4799EC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70.6%</w:t>
            </w:r>
          </w:p>
        </w:tc>
      </w:tr>
      <w:tr w:rsidR="006253A9" w:rsidRPr="006253A9" w14:paraId="193F2F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235BE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0020</w:t>
            </w:r>
          </w:p>
        </w:tc>
        <w:tc>
          <w:tcPr>
            <w:tcW w:w="2880" w:type="dxa"/>
            <w:noWrap/>
            <w:hideMark/>
          </w:tcPr>
          <w:p w14:paraId="41893BF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Barnstable</w:t>
            </w:r>
          </w:p>
        </w:tc>
        <w:tc>
          <w:tcPr>
            <w:tcW w:w="1455" w:type="dxa"/>
            <w:noWrap/>
            <w:hideMark/>
          </w:tcPr>
          <w:p w14:paraId="48CED3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$49,877,696</w:t>
            </w:r>
          </w:p>
        </w:tc>
        <w:tc>
          <w:tcPr>
            <w:tcW w:w="1440" w:type="dxa"/>
            <w:noWrap/>
            <w:hideMark/>
          </w:tcPr>
          <w:p w14:paraId="4189C6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120.5%</w:t>
            </w:r>
          </w:p>
        </w:tc>
        <w:tc>
          <w:tcPr>
            <w:tcW w:w="1440" w:type="dxa"/>
            <w:noWrap/>
            <w:hideMark/>
          </w:tcPr>
          <w:p w14:paraId="5D89C3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90BC6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98.9%</w:t>
            </w:r>
          </w:p>
        </w:tc>
        <w:tc>
          <w:tcPr>
            <w:tcW w:w="1455" w:type="dxa"/>
            <w:noWrap/>
            <w:hideMark/>
          </w:tcPr>
          <w:p w14:paraId="23D759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$66,702,017</w:t>
            </w:r>
          </w:p>
        </w:tc>
        <w:tc>
          <w:tcPr>
            <w:tcW w:w="1440" w:type="dxa"/>
            <w:noWrap/>
            <w:hideMark/>
          </w:tcPr>
          <w:p w14:paraId="17A3B7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117.7%</w:t>
            </w:r>
          </w:p>
        </w:tc>
        <w:tc>
          <w:tcPr>
            <w:tcW w:w="1440" w:type="dxa"/>
            <w:noWrap/>
            <w:hideMark/>
          </w:tcPr>
          <w:p w14:paraId="7EB1F8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C865A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80.8%</w:t>
            </w:r>
          </w:p>
        </w:tc>
      </w:tr>
      <w:tr w:rsidR="006253A9" w:rsidRPr="006253A9" w14:paraId="07150D1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FB9A2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0021</w:t>
            </w:r>
          </w:p>
        </w:tc>
        <w:tc>
          <w:tcPr>
            <w:tcW w:w="2880" w:type="dxa"/>
            <w:noWrap/>
            <w:hideMark/>
          </w:tcPr>
          <w:p w14:paraId="7A557AA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Barre</w:t>
            </w:r>
          </w:p>
        </w:tc>
        <w:tc>
          <w:tcPr>
            <w:tcW w:w="1455" w:type="dxa"/>
            <w:noWrap/>
            <w:hideMark/>
          </w:tcPr>
          <w:p w14:paraId="3C4EF9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$8,597,851</w:t>
            </w:r>
          </w:p>
        </w:tc>
        <w:tc>
          <w:tcPr>
            <w:tcW w:w="1440" w:type="dxa"/>
            <w:noWrap/>
            <w:hideMark/>
          </w:tcPr>
          <w:p w14:paraId="3CD178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33.5%</w:t>
            </w:r>
          </w:p>
        </w:tc>
        <w:tc>
          <w:tcPr>
            <w:tcW w:w="1440" w:type="dxa"/>
            <w:noWrap/>
            <w:hideMark/>
          </w:tcPr>
          <w:p w14:paraId="4B19CF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33.5%</w:t>
            </w:r>
          </w:p>
        </w:tc>
        <w:tc>
          <w:tcPr>
            <w:tcW w:w="1440" w:type="dxa"/>
            <w:noWrap/>
            <w:hideMark/>
          </w:tcPr>
          <w:p w14:paraId="383872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28.0%</w:t>
            </w:r>
          </w:p>
        </w:tc>
        <w:tc>
          <w:tcPr>
            <w:tcW w:w="1455" w:type="dxa"/>
            <w:noWrap/>
            <w:hideMark/>
          </w:tcPr>
          <w:p w14:paraId="688A9E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$9,417,932</w:t>
            </w:r>
          </w:p>
        </w:tc>
        <w:tc>
          <w:tcPr>
            <w:tcW w:w="1440" w:type="dxa"/>
            <w:noWrap/>
            <w:hideMark/>
          </w:tcPr>
          <w:p w14:paraId="28FF05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c>
          <w:tcPr>
            <w:tcW w:w="1440" w:type="dxa"/>
            <w:noWrap/>
            <w:hideMark/>
          </w:tcPr>
          <w:p w14:paraId="5A92E7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c>
          <w:tcPr>
            <w:tcW w:w="1440" w:type="dxa"/>
            <w:noWrap/>
            <w:hideMark/>
          </w:tcPr>
          <w:p w14:paraId="50D499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r>
      <w:tr w:rsidR="006253A9" w:rsidRPr="006253A9" w14:paraId="309492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A355D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0022</w:t>
            </w:r>
          </w:p>
        </w:tc>
        <w:tc>
          <w:tcPr>
            <w:tcW w:w="2880" w:type="dxa"/>
            <w:noWrap/>
            <w:hideMark/>
          </w:tcPr>
          <w:p w14:paraId="0E21CF7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Becket</w:t>
            </w:r>
          </w:p>
        </w:tc>
        <w:tc>
          <w:tcPr>
            <w:tcW w:w="1455" w:type="dxa"/>
            <w:noWrap/>
            <w:hideMark/>
          </w:tcPr>
          <w:p w14:paraId="4220A2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$2,199,673</w:t>
            </w:r>
          </w:p>
        </w:tc>
        <w:tc>
          <w:tcPr>
            <w:tcW w:w="1440" w:type="dxa"/>
            <w:noWrap/>
            <w:hideMark/>
          </w:tcPr>
          <w:p w14:paraId="79194B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c>
          <w:tcPr>
            <w:tcW w:w="1440" w:type="dxa"/>
            <w:noWrap/>
            <w:hideMark/>
          </w:tcPr>
          <w:p w14:paraId="5A630F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c>
          <w:tcPr>
            <w:tcW w:w="1440" w:type="dxa"/>
            <w:noWrap/>
            <w:hideMark/>
          </w:tcPr>
          <w:p w14:paraId="2545EB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69.6%</w:t>
            </w:r>
          </w:p>
        </w:tc>
        <w:tc>
          <w:tcPr>
            <w:tcW w:w="1455" w:type="dxa"/>
            <w:noWrap/>
            <w:hideMark/>
          </w:tcPr>
          <w:p w14:paraId="0660A0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$2,583,367</w:t>
            </w:r>
          </w:p>
        </w:tc>
        <w:tc>
          <w:tcPr>
            <w:tcW w:w="1440" w:type="dxa"/>
            <w:noWrap/>
            <w:hideMark/>
          </w:tcPr>
          <w:p w14:paraId="43FCD2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96.2%</w:t>
            </w:r>
          </w:p>
        </w:tc>
        <w:tc>
          <w:tcPr>
            <w:tcW w:w="1440" w:type="dxa"/>
            <w:noWrap/>
            <w:hideMark/>
          </w:tcPr>
          <w:p w14:paraId="551E0A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C785C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75.5%</w:t>
            </w:r>
          </w:p>
        </w:tc>
      </w:tr>
      <w:tr w:rsidR="006253A9" w:rsidRPr="006253A9" w14:paraId="3069AA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D39F7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0023</w:t>
            </w:r>
          </w:p>
        </w:tc>
        <w:tc>
          <w:tcPr>
            <w:tcW w:w="2880" w:type="dxa"/>
            <w:noWrap/>
            <w:hideMark/>
          </w:tcPr>
          <w:p w14:paraId="2799C7B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Bedford</w:t>
            </w:r>
          </w:p>
        </w:tc>
        <w:tc>
          <w:tcPr>
            <w:tcW w:w="1455" w:type="dxa"/>
            <w:noWrap/>
            <w:hideMark/>
          </w:tcPr>
          <w:p w14:paraId="518F7A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$19,207,172</w:t>
            </w:r>
          </w:p>
        </w:tc>
        <w:tc>
          <w:tcPr>
            <w:tcW w:w="1440" w:type="dxa"/>
            <w:noWrap/>
            <w:hideMark/>
          </w:tcPr>
          <w:p w14:paraId="085730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89.3%</w:t>
            </w:r>
          </w:p>
        </w:tc>
        <w:tc>
          <w:tcPr>
            <w:tcW w:w="1440" w:type="dxa"/>
            <w:noWrap/>
            <w:hideMark/>
          </w:tcPr>
          <w:p w14:paraId="13DA9D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4E144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107.1%</w:t>
            </w:r>
          </w:p>
        </w:tc>
        <w:tc>
          <w:tcPr>
            <w:tcW w:w="1455" w:type="dxa"/>
            <w:noWrap/>
            <w:hideMark/>
          </w:tcPr>
          <w:p w14:paraId="110081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$30,105,719</w:t>
            </w:r>
          </w:p>
        </w:tc>
        <w:tc>
          <w:tcPr>
            <w:tcW w:w="1440" w:type="dxa"/>
            <w:noWrap/>
            <w:hideMark/>
          </w:tcPr>
          <w:p w14:paraId="5B7DBC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90.9%</w:t>
            </w:r>
          </w:p>
        </w:tc>
        <w:tc>
          <w:tcPr>
            <w:tcW w:w="1440" w:type="dxa"/>
            <w:noWrap/>
            <w:hideMark/>
          </w:tcPr>
          <w:p w14:paraId="01B729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AD2B4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81.2%</w:t>
            </w:r>
          </w:p>
        </w:tc>
      </w:tr>
      <w:tr w:rsidR="006253A9" w:rsidRPr="006253A9" w14:paraId="337430A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CCA73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0024</w:t>
            </w:r>
          </w:p>
        </w:tc>
        <w:tc>
          <w:tcPr>
            <w:tcW w:w="2880" w:type="dxa"/>
            <w:noWrap/>
            <w:hideMark/>
          </w:tcPr>
          <w:p w14:paraId="2638CFE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Belchertown</w:t>
            </w:r>
          </w:p>
        </w:tc>
        <w:tc>
          <w:tcPr>
            <w:tcW w:w="1455" w:type="dxa"/>
            <w:noWrap/>
            <w:hideMark/>
          </w:tcPr>
          <w:p w14:paraId="6C8C13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$20,669,411</w:t>
            </w:r>
          </w:p>
        </w:tc>
        <w:tc>
          <w:tcPr>
            <w:tcW w:w="1440" w:type="dxa"/>
            <w:noWrap/>
            <w:hideMark/>
          </w:tcPr>
          <w:p w14:paraId="54D6EB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40.8%</w:t>
            </w:r>
          </w:p>
        </w:tc>
        <w:tc>
          <w:tcPr>
            <w:tcW w:w="1440" w:type="dxa"/>
            <w:noWrap/>
            <w:hideMark/>
          </w:tcPr>
          <w:p w14:paraId="540721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40.8%</w:t>
            </w:r>
          </w:p>
        </w:tc>
        <w:tc>
          <w:tcPr>
            <w:tcW w:w="1440" w:type="dxa"/>
            <w:noWrap/>
            <w:hideMark/>
          </w:tcPr>
          <w:p w14:paraId="30A9E8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46.6%</w:t>
            </w:r>
          </w:p>
        </w:tc>
        <w:tc>
          <w:tcPr>
            <w:tcW w:w="1455" w:type="dxa"/>
            <w:noWrap/>
            <w:hideMark/>
          </w:tcPr>
          <w:p w14:paraId="013E0E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$26,379,114</w:t>
            </w:r>
          </w:p>
        </w:tc>
        <w:tc>
          <w:tcPr>
            <w:tcW w:w="1440" w:type="dxa"/>
            <w:noWrap/>
            <w:hideMark/>
          </w:tcPr>
          <w:p w14:paraId="44BD19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49.8%</w:t>
            </w:r>
          </w:p>
        </w:tc>
        <w:tc>
          <w:tcPr>
            <w:tcW w:w="1440" w:type="dxa"/>
            <w:noWrap/>
            <w:hideMark/>
          </w:tcPr>
          <w:p w14:paraId="25849D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49.8%</w:t>
            </w:r>
          </w:p>
        </w:tc>
        <w:tc>
          <w:tcPr>
            <w:tcW w:w="1440" w:type="dxa"/>
            <w:noWrap/>
            <w:hideMark/>
          </w:tcPr>
          <w:p w14:paraId="6B9AF9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49.1%</w:t>
            </w:r>
          </w:p>
        </w:tc>
      </w:tr>
      <w:tr w:rsidR="006253A9" w:rsidRPr="006253A9" w14:paraId="272AB2A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7A577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0025</w:t>
            </w:r>
          </w:p>
        </w:tc>
        <w:tc>
          <w:tcPr>
            <w:tcW w:w="2880" w:type="dxa"/>
            <w:noWrap/>
            <w:hideMark/>
          </w:tcPr>
          <w:p w14:paraId="6F798AC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Bellingham</w:t>
            </w:r>
          </w:p>
        </w:tc>
        <w:tc>
          <w:tcPr>
            <w:tcW w:w="1455" w:type="dxa"/>
            <w:noWrap/>
            <w:hideMark/>
          </w:tcPr>
          <w:p w14:paraId="24CDD0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$20,746,745</w:t>
            </w:r>
          </w:p>
        </w:tc>
        <w:tc>
          <w:tcPr>
            <w:tcW w:w="1440" w:type="dxa"/>
            <w:noWrap/>
            <w:hideMark/>
          </w:tcPr>
          <w:p w14:paraId="06BFFC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w:t>
            </w:r>
          </w:p>
        </w:tc>
        <w:tc>
          <w:tcPr>
            <w:tcW w:w="1440" w:type="dxa"/>
            <w:noWrap/>
            <w:hideMark/>
          </w:tcPr>
          <w:p w14:paraId="0E3BC8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w:t>
            </w:r>
          </w:p>
        </w:tc>
        <w:tc>
          <w:tcPr>
            <w:tcW w:w="1440" w:type="dxa"/>
            <w:noWrap/>
            <w:hideMark/>
          </w:tcPr>
          <w:p w14:paraId="267AA2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61.9%</w:t>
            </w:r>
          </w:p>
        </w:tc>
        <w:tc>
          <w:tcPr>
            <w:tcW w:w="1455" w:type="dxa"/>
            <w:noWrap/>
            <w:hideMark/>
          </w:tcPr>
          <w:p w14:paraId="49AED3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$25,985,218</w:t>
            </w:r>
          </w:p>
        </w:tc>
        <w:tc>
          <w:tcPr>
            <w:tcW w:w="1440" w:type="dxa"/>
            <w:noWrap/>
            <w:hideMark/>
          </w:tcPr>
          <w:p w14:paraId="52FD71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67.4%</w:t>
            </w:r>
          </w:p>
        </w:tc>
        <w:tc>
          <w:tcPr>
            <w:tcW w:w="1440" w:type="dxa"/>
            <w:noWrap/>
            <w:hideMark/>
          </w:tcPr>
          <w:p w14:paraId="5FE691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67.4%</w:t>
            </w:r>
          </w:p>
        </w:tc>
        <w:tc>
          <w:tcPr>
            <w:tcW w:w="1440" w:type="dxa"/>
            <w:noWrap/>
            <w:hideMark/>
          </w:tcPr>
          <w:p w14:paraId="2B5998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67.1%</w:t>
            </w:r>
          </w:p>
        </w:tc>
      </w:tr>
      <w:tr w:rsidR="006253A9" w:rsidRPr="006253A9" w14:paraId="0048FF6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C15075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0026</w:t>
            </w:r>
          </w:p>
        </w:tc>
        <w:tc>
          <w:tcPr>
            <w:tcW w:w="2880" w:type="dxa"/>
            <w:noWrap/>
            <w:hideMark/>
          </w:tcPr>
          <w:p w14:paraId="3DC7577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Belmont</w:t>
            </w:r>
          </w:p>
        </w:tc>
        <w:tc>
          <w:tcPr>
            <w:tcW w:w="1455" w:type="dxa"/>
            <w:noWrap/>
            <w:hideMark/>
          </w:tcPr>
          <w:p w14:paraId="237264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$27,332,422</w:t>
            </w:r>
          </w:p>
        </w:tc>
        <w:tc>
          <w:tcPr>
            <w:tcW w:w="1440" w:type="dxa"/>
            <w:noWrap/>
            <w:hideMark/>
          </w:tcPr>
          <w:p w14:paraId="769171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129.9%</w:t>
            </w:r>
          </w:p>
        </w:tc>
        <w:tc>
          <w:tcPr>
            <w:tcW w:w="1440" w:type="dxa"/>
            <w:noWrap/>
            <w:hideMark/>
          </w:tcPr>
          <w:p w14:paraId="44CD45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1F311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94.8%</w:t>
            </w:r>
          </w:p>
        </w:tc>
        <w:tc>
          <w:tcPr>
            <w:tcW w:w="1455" w:type="dxa"/>
            <w:noWrap/>
            <w:hideMark/>
          </w:tcPr>
          <w:p w14:paraId="34F5902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$48,372,295</w:t>
            </w:r>
          </w:p>
        </w:tc>
        <w:tc>
          <w:tcPr>
            <w:tcW w:w="1440" w:type="dxa"/>
            <w:noWrap/>
            <w:hideMark/>
          </w:tcPr>
          <w:p w14:paraId="4BA76B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122.8%</w:t>
            </w:r>
          </w:p>
        </w:tc>
        <w:tc>
          <w:tcPr>
            <w:tcW w:w="1440" w:type="dxa"/>
            <w:noWrap/>
            <w:hideMark/>
          </w:tcPr>
          <w:p w14:paraId="70E15B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082AD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80.2%</w:t>
            </w:r>
          </w:p>
        </w:tc>
      </w:tr>
      <w:tr w:rsidR="006253A9" w:rsidRPr="006253A9" w14:paraId="20FB76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79B0B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0027</w:t>
            </w:r>
          </w:p>
        </w:tc>
        <w:tc>
          <w:tcPr>
            <w:tcW w:w="2880" w:type="dxa"/>
            <w:noWrap/>
            <w:hideMark/>
          </w:tcPr>
          <w:p w14:paraId="567DF23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Berkley</w:t>
            </w:r>
          </w:p>
        </w:tc>
        <w:tc>
          <w:tcPr>
            <w:tcW w:w="1455" w:type="dxa"/>
            <w:noWrap/>
            <w:hideMark/>
          </w:tcPr>
          <w:p w14:paraId="38C303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$9,805,327</w:t>
            </w:r>
          </w:p>
        </w:tc>
        <w:tc>
          <w:tcPr>
            <w:tcW w:w="1440" w:type="dxa"/>
            <w:noWrap/>
            <w:hideMark/>
          </w:tcPr>
          <w:p w14:paraId="2C69AE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46.2%</w:t>
            </w:r>
          </w:p>
        </w:tc>
        <w:tc>
          <w:tcPr>
            <w:tcW w:w="1440" w:type="dxa"/>
            <w:noWrap/>
            <w:hideMark/>
          </w:tcPr>
          <w:p w14:paraId="6D4CA1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46.2%</w:t>
            </w:r>
          </w:p>
        </w:tc>
        <w:tc>
          <w:tcPr>
            <w:tcW w:w="1440" w:type="dxa"/>
            <w:noWrap/>
            <w:hideMark/>
          </w:tcPr>
          <w:p w14:paraId="2FDECC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37.7%</w:t>
            </w:r>
          </w:p>
        </w:tc>
        <w:tc>
          <w:tcPr>
            <w:tcW w:w="1455" w:type="dxa"/>
            <w:noWrap/>
            <w:hideMark/>
          </w:tcPr>
          <w:p w14:paraId="114FBE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$12,411,585</w:t>
            </w:r>
          </w:p>
        </w:tc>
        <w:tc>
          <w:tcPr>
            <w:tcW w:w="1440" w:type="dxa"/>
            <w:noWrap/>
            <w:hideMark/>
          </w:tcPr>
          <w:p w14:paraId="3B406E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54.4%</w:t>
            </w:r>
          </w:p>
        </w:tc>
        <w:tc>
          <w:tcPr>
            <w:tcW w:w="1440" w:type="dxa"/>
            <w:noWrap/>
            <w:hideMark/>
          </w:tcPr>
          <w:p w14:paraId="31D8A1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54.4%</w:t>
            </w:r>
          </w:p>
        </w:tc>
        <w:tc>
          <w:tcPr>
            <w:tcW w:w="1440" w:type="dxa"/>
            <w:noWrap/>
            <w:hideMark/>
          </w:tcPr>
          <w:p w14:paraId="5EC0AE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52.1%</w:t>
            </w:r>
          </w:p>
        </w:tc>
      </w:tr>
      <w:tr w:rsidR="006253A9" w:rsidRPr="006253A9" w14:paraId="6B65985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9EBB25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0028</w:t>
            </w:r>
          </w:p>
        </w:tc>
        <w:tc>
          <w:tcPr>
            <w:tcW w:w="2880" w:type="dxa"/>
            <w:noWrap/>
            <w:hideMark/>
          </w:tcPr>
          <w:p w14:paraId="1224F47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Berlin</w:t>
            </w:r>
          </w:p>
        </w:tc>
        <w:tc>
          <w:tcPr>
            <w:tcW w:w="1455" w:type="dxa"/>
            <w:noWrap/>
            <w:hideMark/>
          </w:tcPr>
          <w:p w14:paraId="2EC268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$3,036,411</w:t>
            </w:r>
          </w:p>
        </w:tc>
        <w:tc>
          <w:tcPr>
            <w:tcW w:w="1440" w:type="dxa"/>
            <w:noWrap/>
            <w:hideMark/>
          </w:tcPr>
          <w:p w14:paraId="732320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98.5%</w:t>
            </w:r>
          </w:p>
        </w:tc>
        <w:tc>
          <w:tcPr>
            <w:tcW w:w="1440" w:type="dxa"/>
            <w:noWrap/>
            <w:hideMark/>
          </w:tcPr>
          <w:p w14:paraId="25A850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52FBF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88.8%</w:t>
            </w:r>
          </w:p>
        </w:tc>
        <w:tc>
          <w:tcPr>
            <w:tcW w:w="1455" w:type="dxa"/>
            <w:noWrap/>
            <w:hideMark/>
          </w:tcPr>
          <w:p w14:paraId="53CFB05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$3,951,735</w:t>
            </w:r>
          </w:p>
        </w:tc>
        <w:tc>
          <w:tcPr>
            <w:tcW w:w="1440" w:type="dxa"/>
            <w:noWrap/>
            <w:hideMark/>
          </w:tcPr>
          <w:p w14:paraId="61AC90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112.6%</w:t>
            </w:r>
          </w:p>
        </w:tc>
        <w:tc>
          <w:tcPr>
            <w:tcW w:w="1440" w:type="dxa"/>
            <w:noWrap/>
            <w:hideMark/>
          </w:tcPr>
          <w:p w14:paraId="343A41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9E398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C837D2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930E5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0029</w:t>
            </w:r>
          </w:p>
        </w:tc>
        <w:tc>
          <w:tcPr>
            <w:tcW w:w="2880" w:type="dxa"/>
            <w:noWrap/>
            <w:hideMark/>
          </w:tcPr>
          <w:p w14:paraId="2B9AD2E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Bernardston</w:t>
            </w:r>
          </w:p>
        </w:tc>
        <w:tc>
          <w:tcPr>
            <w:tcW w:w="1455" w:type="dxa"/>
            <w:noWrap/>
            <w:hideMark/>
          </w:tcPr>
          <w:p w14:paraId="6D9924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$2,725,230</w:t>
            </w:r>
          </w:p>
        </w:tc>
        <w:tc>
          <w:tcPr>
            <w:tcW w:w="1440" w:type="dxa"/>
            <w:noWrap/>
            <w:hideMark/>
          </w:tcPr>
          <w:p w14:paraId="2724F0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46.0%</w:t>
            </w:r>
          </w:p>
        </w:tc>
        <w:tc>
          <w:tcPr>
            <w:tcW w:w="1440" w:type="dxa"/>
            <w:noWrap/>
            <w:hideMark/>
          </w:tcPr>
          <w:p w14:paraId="4F1B57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46.0%</w:t>
            </w:r>
          </w:p>
        </w:tc>
        <w:tc>
          <w:tcPr>
            <w:tcW w:w="1440" w:type="dxa"/>
            <w:noWrap/>
            <w:hideMark/>
          </w:tcPr>
          <w:p w14:paraId="66F21B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49.8%</w:t>
            </w:r>
          </w:p>
        </w:tc>
        <w:tc>
          <w:tcPr>
            <w:tcW w:w="1455" w:type="dxa"/>
            <w:noWrap/>
            <w:hideMark/>
          </w:tcPr>
          <w:p w14:paraId="711477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$3,098,026</w:t>
            </w:r>
          </w:p>
        </w:tc>
        <w:tc>
          <w:tcPr>
            <w:tcW w:w="1440" w:type="dxa"/>
            <w:noWrap/>
            <w:hideMark/>
          </w:tcPr>
          <w:p w14:paraId="394994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53.4%</w:t>
            </w:r>
          </w:p>
        </w:tc>
        <w:tc>
          <w:tcPr>
            <w:tcW w:w="1440" w:type="dxa"/>
            <w:noWrap/>
            <w:hideMark/>
          </w:tcPr>
          <w:p w14:paraId="56DEE7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53.4%</w:t>
            </w:r>
          </w:p>
        </w:tc>
        <w:tc>
          <w:tcPr>
            <w:tcW w:w="1440" w:type="dxa"/>
            <w:noWrap/>
            <w:hideMark/>
          </w:tcPr>
          <w:p w14:paraId="407611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53.4%</w:t>
            </w:r>
          </w:p>
        </w:tc>
      </w:tr>
      <w:tr w:rsidR="006253A9" w:rsidRPr="006253A9" w14:paraId="08748C1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B64755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0030</w:t>
            </w:r>
          </w:p>
        </w:tc>
        <w:tc>
          <w:tcPr>
            <w:tcW w:w="2880" w:type="dxa"/>
            <w:noWrap/>
            <w:hideMark/>
          </w:tcPr>
          <w:p w14:paraId="47F66B5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Beverly</w:t>
            </w:r>
          </w:p>
        </w:tc>
        <w:tc>
          <w:tcPr>
            <w:tcW w:w="1455" w:type="dxa"/>
            <w:noWrap/>
            <w:hideMark/>
          </w:tcPr>
          <w:p w14:paraId="5380AF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$37,229,490</w:t>
            </w:r>
          </w:p>
        </w:tc>
        <w:tc>
          <w:tcPr>
            <w:tcW w:w="1440" w:type="dxa"/>
            <w:noWrap/>
            <w:hideMark/>
          </w:tcPr>
          <w:p w14:paraId="0ACDA2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93.4%</w:t>
            </w:r>
          </w:p>
        </w:tc>
        <w:tc>
          <w:tcPr>
            <w:tcW w:w="1440" w:type="dxa"/>
            <w:noWrap/>
            <w:hideMark/>
          </w:tcPr>
          <w:p w14:paraId="0DD914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BF393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92.1%</w:t>
            </w:r>
          </w:p>
        </w:tc>
        <w:tc>
          <w:tcPr>
            <w:tcW w:w="1455" w:type="dxa"/>
            <w:noWrap/>
            <w:hideMark/>
          </w:tcPr>
          <w:p w14:paraId="2A76B5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$51,404,886</w:t>
            </w:r>
          </w:p>
        </w:tc>
        <w:tc>
          <w:tcPr>
            <w:tcW w:w="1440" w:type="dxa"/>
            <w:noWrap/>
            <w:hideMark/>
          </w:tcPr>
          <w:p w14:paraId="272E85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99.1%</w:t>
            </w:r>
          </w:p>
        </w:tc>
        <w:tc>
          <w:tcPr>
            <w:tcW w:w="1440" w:type="dxa"/>
            <w:noWrap/>
            <w:hideMark/>
          </w:tcPr>
          <w:p w14:paraId="3EC7BD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FC4B5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81.3%</w:t>
            </w:r>
          </w:p>
        </w:tc>
      </w:tr>
      <w:tr w:rsidR="006253A9" w:rsidRPr="006253A9" w14:paraId="52EFFED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A2EB02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0031</w:t>
            </w:r>
          </w:p>
        </w:tc>
        <w:tc>
          <w:tcPr>
            <w:tcW w:w="2880" w:type="dxa"/>
            <w:noWrap/>
            <w:hideMark/>
          </w:tcPr>
          <w:p w14:paraId="6C28E70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Billerica</w:t>
            </w:r>
          </w:p>
        </w:tc>
        <w:tc>
          <w:tcPr>
            <w:tcW w:w="1455" w:type="dxa"/>
            <w:noWrap/>
            <w:hideMark/>
          </w:tcPr>
          <w:p w14:paraId="783361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$54,580,396</w:t>
            </w:r>
          </w:p>
        </w:tc>
        <w:tc>
          <w:tcPr>
            <w:tcW w:w="1440" w:type="dxa"/>
            <w:noWrap/>
            <w:hideMark/>
          </w:tcPr>
          <w:p w14:paraId="66282F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60.8%</w:t>
            </w:r>
          </w:p>
        </w:tc>
        <w:tc>
          <w:tcPr>
            <w:tcW w:w="1440" w:type="dxa"/>
            <w:noWrap/>
            <w:hideMark/>
          </w:tcPr>
          <w:p w14:paraId="2EBF60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60.8%</w:t>
            </w:r>
          </w:p>
        </w:tc>
        <w:tc>
          <w:tcPr>
            <w:tcW w:w="1440" w:type="dxa"/>
            <w:noWrap/>
            <w:hideMark/>
          </w:tcPr>
          <w:p w14:paraId="7EDF7C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70.6%</w:t>
            </w:r>
          </w:p>
        </w:tc>
        <w:tc>
          <w:tcPr>
            <w:tcW w:w="1455" w:type="dxa"/>
            <w:noWrap/>
            <w:hideMark/>
          </w:tcPr>
          <w:p w14:paraId="5EC8D7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$61,311,407</w:t>
            </w:r>
          </w:p>
        </w:tc>
        <w:tc>
          <w:tcPr>
            <w:tcW w:w="1440" w:type="dxa"/>
            <w:noWrap/>
            <w:hideMark/>
          </w:tcPr>
          <w:p w14:paraId="5A0AF0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40" w:type="dxa"/>
            <w:noWrap/>
            <w:hideMark/>
          </w:tcPr>
          <w:p w14:paraId="70B32D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40" w:type="dxa"/>
            <w:noWrap/>
            <w:hideMark/>
          </w:tcPr>
          <w:p w14:paraId="24F480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75.8%</w:t>
            </w:r>
          </w:p>
        </w:tc>
      </w:tr>
      <w:tr w:rsidR="006253A9" w:rsidRPr="006253A9" w14:paraId="6C7B32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C11244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0032</w:t>
            </w:r>
          </w:p>
        </w:tc>
        <w:tc>
          <w:tcPr>
            <w:tcW w:w="2880" w:type="dxa"/>
            <w:noWrap/>
            <w:hideMark/>
          </w:tcPr>
          <w:p w14:paraId="18A96FE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Blackstone</w:t>
            </w:r>
          </w:p>
        </w:tc>
        <w:tc>
          <w:tcPr>
            <w:tcW w:w="1455" w:type="dxa"/>
            <w:noWrap/>
            <w:hideMark/>
          </w:tcPr>
          <w:p w14:paraId="37373F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$12,213,438</w:t>
            </w:r>
          </w:p>
        </w:tc>
        <w:tc>
          <w:tcPr>
            <w:tcW w:w="1440" w:type="dxa"/>
            <w:noWrap/>
            <w:hideMark/>
          </w:tcPr>
          <w:p w14:paraId="5D945C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40" w:type="dxa"/>
            <w:noWrap/>
            <w:hideMark/>
          </w:tcPr>
          <w:p w14:paraId="1FA4A8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40" w:type="dxa"/>
            <w:noWrap/>
            <w:hideMark/>
          </w:tcPr>
          <w:p w14:paraId="0AE1CD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55" w:type="dxa"/>
            <w:noWrap/>
            <w:hideMark/>
          </w:tcPr>
          <w:p w14:paraId="13A524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$15,358,078</w:t>
            </w:r>
          </w:p>
        </w:tc>
        <w:tc>
          <w:tcPr>
            <w:tcW w:w="1440" w:type="dxa"/>
            <w:noWrap/>
            <w:hideMark/>
          </w:tcPr>
          <w:p w14:paraId="41661B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49.7%</w:t>
            </w:r>
          </w:p>
        </w:tc>
        <w:tc>
          <w:tcPr>
            <w:tcW w:w="1440" w:type="dxa"/>
            <w:noWrap/>
            <w:hideMark/>
          </w:tcPr>
          <w:p w14:paraId="053C26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49.7%</w:t>
            </w:r>
          </w:p>
        </w:tc>
        <w:tc>
          <w:tcPr>
            <w:tcW w:w="1440" w:type="dxa"/>
            <w:noWrap/>
            <w:hideMark/>
          </w:tcPr>
          <w:p w14:paraId="6F961A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48.6%</w:t>
            </w:r>
          </w:p>
        </w:tc>
      </w:tr>
      <w:tr w:rsidR="006253A9" w:rsidRPr="006253A9" w14:paraId="50E855D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5A578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0033</w:t>
            </w:r>
          </w:p>
        </w:tc>
        <w:tc>
          <w:tcPr>
            <w:tcW w:w="2880" w:type="dxa"/>
            <w:noWrap/>
            <w:hideMark/>
          </w:tcPr>
          <w:p w14:paraId="1DDC551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Blandford</w:t>
            </w:r>
          </w:p>
        </w:tc>
        <w:tc>
          <w:tcPr>
            <w:tcW w:w="1455" w:type="dxa"/>
            <w:noWrap/>
            <w:hideMark/>
          </w:tcPr>
          <w:p w14:paraId="28B85F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$1,670,487</w:t>
            </w:r>
          </w:p>
        </w:tc>
        <w:tc>
          <w:tcPr>
            <w:tcW w:w="1440" w:type="dxa"/>
            <w:noWrap/>
            <w:hideMark/>
          </w:tcPr>
          <w:p w14:paraId="44352B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40" w:type="dxa"/>
            <w:noWrap/>
            <w:hideMark/>
          </w:tcPr>
          <w:p w14:paraId="46DF85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40" w:type="dxa"/>
            <w:noWrap/>
            <w:hideMark/>
          </w:tcPr>
          <w:p w14:paraId="080830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57.6%</w:t>
            </w:r>
          </w:p>
        </w:tc>
        <w:tc>
          <w:tcPr>
            <w:tcW w:w="1455" w:type="dxa"/>
            <w:noWrap/>
            <w:hideMark/>
          </w:tcPr>
          <w:p w14:paraId="3D4BFE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$1,382,696</w:t>
            </w:r>
          </w:p>
        </w:tc>
        <w:tc>
          <w:tcPr>
            <w:tcW w:w="1440" w:type="dxa"/>
            <w:noWrap/>
            <w:hideMark/>
          </w:tcPr>
          <w:p w14:paraId="27741A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83.9%</w:t>
            </w:r>
          </w:p>
        </w:tc>
        <w:tc>
          <w:tcPr>
            <w:tcW w:w="1440" w:type="dxa"/>
            <w:noWrap/>
            <w:hideMark/>
          </w:tcPr>
          <w:p w14:paraId="2C1AAA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5FE1E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79.2%</w:t>
            </w:r>
          </w:p>
        </w:tc>
      </w:tr>
      <w:tr w:rsidR="006253A9" w:rsidRPr="006253A9" w14:paraId="7877941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31911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0034</w:t>
            </w:r>
          </w:p>
        </w:tc>
        <w:tc>
          <w:tcPr>
            <w:tcW w:w="2880" w:type="dxa"/>
            <w:noWrap/>
            <w:hideMark/>
          </w:tcPr>
          <w:p w14:paraId="1497E87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Bolton</w:t>
            </w:r>
          </w:p>
        </w:tc>
        <w:tc>
          <w:tcPr>
            <w:tcW w:w="1455" w:type="dxa"/>
            <w:noWrap/>
            <w:hideMark/>
          </w:tcPr>
          <w:p w14:paraId="22BEC1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$7,332,916</w:t>
            </w:r>
          </w:p>
        </w:tc>
        <w:tc>
          <w:tcPr>
            <w:tcW w:w="1440" w:type="dxa"/>
            <w:noWrap/>
            <w:hideMark/>
          </w:tcPr>
          <w:p w14:paraId="0B18E1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91.7%</w:t>
            </w:r>
          </w:p>
        </w:tc>
        <w:tc>
          <w:tcPr>
            <w:tcW w:w="1440" w:type="dxa"/>
            <w:noWrap/>
            <w:hideMark/>
          </w:tcPr>
          <w:p w14:paraId="54904C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ECE43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88.4%</w:t>
            </w:r>
          </w:p>
        </w:tc>
        <w:tc>
          <w:tcPr>
            <w:tcW w:w="1455" w:type="dxa"/>
            <w:noWrap/>
            <w:hideMark/>
          </w:tcPr>
          <w:p w14:paraId="09F618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$10,994,873</w:t>
            </w:r>
          </w:p>
        </w:tc>
        <w:tc>
          <w:tcPr>
            <w:tcW w:w="1440" w:type="dxa"/>
            <w:noWrap/>
            <w:hideMark/>
          </w:tcPr>
          <w:p w14:paraId="41099B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86.9%</w:t>
            </w:r>
          </w:p>
        </w:tc>
        <w:tc>
          <w:tcPr>
            <w:tcW w:w="1440" w:type="dxa"/>
            <w:noWrap/>
            <w:hideMark/>
          </w:tcPr>
          <w:p w14:paraId="28A66A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3567F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81.4%</w:t>
            </w:r>
          </w:p>
        </w:tc>
      </w:tr>
      <w:tr w:rsidR="006253A9" w:rsidRPr="006253A9" w14:paraId="5D08B5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E786DF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0035</w:t>
            </w:r>
          </w:p>
        </w:tc>
        <w:tc>
          <w:tcPr>
            <w:tcW w:w="2880" w:type="dxa"/>
            <w:noWrap/>
            <w:hideMark/>
          </w:tcPr>
          <w:p w14:paraId="0D1FD7F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Boston</w:t>
            </w:r>
          </w:p>
        </w:tc>
        <w:tc>
          <w:tcPr>
            <w:tcW w:w="1455" w:type="dxa"/>
            <w:noWrap/>
            <w:hideMark/>
          </w:tcPr>
          <w:p w14:paraId="19AD68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$619,256,557</w:t>
            </w:r>
          </w:p>
        </w:tc>
        <w:tc>
          <w:tcPr>
            <w:tcW w:w="1440" w:type="dxa"/>
            <w:noWrap/>
            <w:hideMark/>
          </w:tcPr>
          <w:p w14:paraId="2C9229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79.2%</w:t>
            </w:r>
          </w:p>
        </w:tc>
        <w:tc>
          <w:tcPr>
            <w:tcW w:w="1440" w:type="dxa"/>
            <w:noWrap/>
            <w:hideMark/>
          </w:tcPr>
          <w:p w14:paraId="7E49E4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79.2%</w:t>
            </w:r>
          </w:p>
        </w:tc>
        <w:tc>
          <w:tcPr>
            <w:tcW w:w="1440" w:type="dxa"/>
            <w:noWrap/>
            <w:hideMark/>
          </w:tcPr>
          <w:p w14:paraId="73BE85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68.2%</w:t>
            </w:r>
          </w:p>
        </w:tc>
        <w:tc>
          <w:tcPr>
            <w:tcW w:w="1455" w:type="dxa"/>
            <w:noWrap/>
            <w:hideMark/>
          </w:tcPr>
          <w:p w14:paraId="6F17B4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$910,864,776</w:t>
            </w:r>
          </w:p>
        </w:tc>
        <w:tc>
          <w:tcPr>
            <w:tcW w:w="1440" w:type="dxa"/>
            <w:noWrap/>
            <w:hideMark/>
          </w:tcPr>
          <w:p w14:paraId="7B78E5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117.8%</w:t>
            </w:r>
          </w:p>
        </w:tc>
        <w:tc>
          <w:tcPr>
            <w:tcW w:w="1440" w:type="dxa"/>
            <w:noWrap/>
            <w:hideMark/>
          </w:tcPr>
          <w:p w14:paraId="67FF5F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AF611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006B79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221531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0036</w:t>
            </w:r>
          </w:p>
        </w:tc>
        <w:tc>
          <w:tcPr>
            <w:tcW w:w="2880" w:type="dxa"/>
            <w:noWrap/>
            <w:hideMark/>
          </w:tcPr>
          <w:p w14:paraId="437CC78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Bourne</w:t>
            </w:r>
          </w:p>
        </w:tc>
        <w:tc>
          <w:tcPr>
            <w:tcW w:w="1455" w:type="dxa"/>
            <w:noWrap/>
            <w:hideMark/>
          </w:tcPr>
          <w:p w14:paraId="24FF9F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$20,410,423</w:t>
            </w:r>
          </w:p>
        </w:tc>
        <w:tc>
          <w:tcPr>
            <w:tcW w:w="1440" w:type="dxa"/>
            <w:noWrap/>
            <w:hideMark/>
          </w:tcPr>
          <w:p w14:paraId="7D8845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95.5%</w:t>
            </w:r>
          </w:p>
        </w:tc>
        <w:tc>
          <w:tcPr>
            <w:tcW w:w="1440" w:type="dxa"/>
            <w:noWrap/>
            <w:hideMark/>
          </w:tcPr>
          <w:p w14:paraId="6FE3CB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0F116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78.1%</w:t>
            </w:r>
          </w:p>
        </w:tc>
        <w:tc>
          <w:tcPr>
            <w:tcW w:w="1455" w:type="dxa"/>
            <w:noWrap/>
            <w:hideMark/>
          </w:tcPr>
          <w:p w14:paraId="0BEE6F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$24,770,953</w:t>
            </w:r>
          </w:p>
        </w:tc>
        <w:tc>
          <w:tcPr>
            <w:tcW w:w="1440" w:type="dxa"/>
            <w:noWrap/>
            <w:hideMark/>
          </w:tcPr>
          <w:p w14:paraId="553B90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108.9%</w:t>
            </w:r>
          </w:p>
        </w:tc>
        <w:tc>
          <w:tcPr>
            <w:tcW w:w="1440" w:type="dxa"/>
            <w:noWrap/>
            <w:hideMark/>
          </w:tcPr>
          <w:p w14:paraId="691141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6150B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1FE2F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6157A5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0037</w:t>
            </w:r>
          </w:p>
        </w:tc>
        <w:tc>
          <w:tcPr>
            <w:tcW w:w="2880" w:type="dxa"/>
            <w:noWrap/>
            <w:hideMark/>
          </w:tcPr>
          <w:p w14:paraId="710302C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Boxborough</w:t>
            </w:r>
          </w:p>
        </w:tc>
        <w:tc>
          <w:tcPr>
            <w:tcW w:w="1455" w:type="dxa"/>
            <w:noWrap/>
            <w:hideMark/>
          </w:tcPr>
          <w:p w14:paraId="1B8F0A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$9,249,768</w:t>
            </w:r>
          </w:p>
        </w:tc>
        <w:tc>
          <w:tcPr>
            <w:tcW w:w="1440" w:type="dxa"/>
            <w:noWrap/>
            <w:hideMark/>
          </w:tcPr>
          <w:p w14:paraId="59A4DB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2488B6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2BDD72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75.8%</w:t>
            </w:r>
          </w:p>
        </w:tc>
        <w:tc>
          <w:tcPr>
            <w:tcW w:w="1455" w:type="dxa"/>
            <w:noWrap/>
            <w:hideMark/>
          </w:tcPr>
          <w:p w14:paraId="697482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$9,060,543</w:t>
            </w:r>
          </w:p>
        </w:tc>
        <w:tc>
          <w:tcPr>
            <w:tcW w:w="1440" w:type="dxa"/>
            <w:noWrap/>
            <w:hideMark/>
          </w:tcPr>
          <w:p w14:paraId="35BD4C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100.2%</w:t>
            </w:r>
          </w:p>
        </w:tc>
        <w:tc>
          <w:tcPr>
            <w:tcW w:w="1440" w:type="dxa"/>
            <w:noWrap/>
            <w:hideMark/>
          </w:tcPr>
          <w:p w14:paraId="3A1A38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AEDDB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2E7F13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827EF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0038</w:t>
            </w:r>
          </w:p>
        </w:tc>
        <w:tc>
          <w:tcPr>
            <w:tcW w:w="2880" w:type="dxa"/>
            <w:noWrap/>
            <w:hideMark/>
          </w:tcPr>
          <w:p w14:paraId="4C4E26C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Boxford</w:t>
            </w:r>
          </w:p>
        </w:tc>
        <w:tc>
          <w:tcPr>
            <w:tcW w:w="1455" w:type="dxa"/>
            <w:noWrap/>
            <w:hideMark/>
          </w:tcPr>
          <w:p w14:paraId="6D3227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$13,419,887</w:t>
            </w:r>
          </w:p>
        </w:tc>
        <w:tc>
          <w:tcPr>
            <w:tcW w:w="1440" w:type="dxa"/>
            <w:noWrap/>
            <w:hideMark/>
          </w:tcPr>
          <w:p w14:paraId="381ECA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99.9%</w:t>
            </w:r>
          </w:p>
        </w:tc>
        <w:tc>
          <w:tcPr>
            <w:tcW w:w="1440" w:type="dxa"/>
            <w:noWrap/>
            <w:hideMark/>
          </w:tcPr>
          <w:p w14:paraId="1056E4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0860E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78.6%</w:t>
            </w:r>
          </w:p>
        </w:tc>
        <w:tc>
          <w:tcPr>
            <w:tcW w:w="1455" w:type="dxa"/>
            <w:noWrap/>
            <w:hideMark/>
          </w:tcPr>
          <w:p w14:paraId="61D9BE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$14,850,412</w:t>
            </w:r>
          </w:p>
        </w:tc>
        <w:tc>
          <w:tcPr>
            <w:tcW w:w="1440" w:type="dxa"/>
            <w:noWrap/>
            <w:hideMark/>
          </w:tcPr>
          <w:p w14:paraId="797C16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115.1%</w:t>
            </w:r>
          </w:p>
        </w:tc>
        <w:tc>
          <w:tcPr>
            <w:tcW w:w="1440" w:type="dxa"/>
            <w:noWrap/>
            <w:hideMark/>
          </w:tcPr>
          <w:p w14:paraId="286E79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13DE4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3DE4211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C1C8BA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0039</w:t>
            </w:r>
          </w:p>
        </w:tc>
        <w:tc>
          <w:tcPr>
            <w:tcW w:w="2880" w:type="dxa"/>
            <w:noWrap/>
            <w:hideMark/>
          </w:tcPr>
          <w:p w14:paraId="4E25E08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Boylston</w:t>
            </w:r>
          </w:p>
        </w:tc>
        <w:tc>
          <w:tcPr>
            <w:tcW w:w="1455" w:type="dxa"/>
            <w:noWrap/>
            <w:hideMark/>
          </w:tcPr>
          <w:p w14:paraId="1E228B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$4,732,274</w:t>
            </w:r>
          </w:p>
        </w:tc>
        <w:tc>
          <w:tcPr>
            <w:tcW w:w="1440" w:type="dxa"/>
            <w:noWrap/>
            <w:hideMark/>
          </w:tcPr>
          <w:p w14:paraId="2E3F67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93.0%</w:t>
            </w:r>
          </w:p>
        </w:tc>
        <w:tc>
          <w:tcPr>
            <w:tcW w:w="1440" w:type="dxa"/>
            <w:noWrap/>
            <w:hideMark/>
          </w:tcPr>
          <w:p w14:paraId="5169A1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C639B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94.6%</w:t>
            </w:r>
          </w:p>
        </w:tc>
        <w:tc>
          <w:tcPr>
            <w:tcW w:w="1455" w:type="dxa"/>
            <w:noWrap/>
            <w:hideMark/>
          </w:tcPr>
          <w:p w14:paraId="744CD9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$6,807,085</w:t>
            </w:r>
          </w:p>
        </w:tc>
        <w:tc>
          <w:tcPr>
            <w:tcW w:w="1440" w:type="dxa"/>
            <w:noWrap/>
            <w:hideMark/>
          </w:tcPr>
          <w:p w14:paraId="4351B62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94.0%</w:t>
            </w:r>
          </w:p>
        </w:tc>
        <w:tc>
          <w:tcPr>
            <w:tcW w:w="1440" w:type="dxa"/>
            <w:noWrap/>
            <w:hideMark/>
          </w:tcPr>
          <w:p w14:paraId="30C530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7E4C1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r>
      <w:tr w:rsidR="006253A9" w:rsidRPr="006253A9" w14:paraId="659DAB9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3D72C2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0040</w:t>
            </w:r>
          </w:p>
        </w:tc>
        <w:tc>
          <w:tcPr>
            <w:tcW w:w="2880" w:type="dxa"/>
            <w:noWrap/>
            <w:hideMark/>
          </w:tcPr>
          <w:p w14:paraId="20C5AD1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Braintree</w:t>
            </w:r>
          </w:p>
        </w:tc>
        <w:tc>
          <w:tcPr>
            <w:tcW w:w="1455" w:type="dxa"/>
            <w:noWrap/>
            <w:hideMark/>
          </w:tcPr>
          <w:p w14:paraId="5A8ED6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$41,195,778</w:t>
            </w:r>
          </w:p>
        </w:tc>
        <w:tc>
          <w:tcPr>
            <w:tcW w:w="1440" w:type="dxa"/>
            <w:noWrap/>
            <w:hideMark/>
          </w:tcPr>
          <w:p w14:paraId="34B58F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77.0%</w:t>
            </w:r>
          </w:p>
        </w:tc>
        <w:tc>
          <w:tcPr>
            <w:tcW w:w="1440" w:type="dxa"/>
            <w:noWrap/>
            <w:hideMark/>
          </w:tcPr>
          <w:p w14:paraId="3453D9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77.0%</w:t>
            </w:r>
          </w:p>
        </w:tc>
        <w:tc>
          <w:tcPr>
            <w:tcW w:w="1440" w:type="dxa"/>
            <w:noWrap/>
            <w:hideMark/>
          </w:tcPr>
          <w:p w14:paraId="0FBC64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83.8%</w:t>
            </w:r>
          </w:p>
        </w:tc>
        <w:tc>
          <w:tcPr>
            <w:tcW w:w="1455" w:type="dxa"/>
            <w:noWrap/>
            <w:hideMark/>
          </w:tcPr>
          <w:p w14:paraId="495939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$65,765,322</w:t>
            </w:r>
          </w:p>
        </w:tc>
        <w:tc>
          <w:tcPr>
            <w:tcW w:w="1440" w:type="dxa"/>
            <w:noWrap/>
            <w:hideMark/>
          </w:tcPr>
          <w:p w14:paraId="7EF9E7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73.1%</w:t>
            </w:r>
          </w:p>
        </w:tc>
        <w:tc>
          <w:tcPr>
            <w:tcW w:w="1440" w:type="dxa"/>
            <w:noWrap/>
            <w:hideMark/>
          </w:tcPr>
          <w:p w14:paraId="5432B6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73.1%</w:t>
            </w:r>
          </w:p>
        </w:tc>
        <w:tc>
          <w:tcPr>
            <w:tcW w:w="1440" w:type="dxa"/>
            <w:noWrap/>
            <w:hideMark/>
          </w:tcPr>
          <w:p w14:paraId="3895CB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71.1%</w:t>
            </w:r>
          </w:p>
        </w:tc>
      </w:tr>
      <w:tr w:rsidR="006253A9" w:rsidRPr="006253A9" w14:paraId="14D5277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CCD99F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0041</w:t>
            </w:r>
          </w:p>
        </w:tc>
        <w:tc>
          <w:tcPr>
            <w:tcW w:w="2880" w:type="dxa"/>
            <w:noWrap/>
            <w:hideMark/>
          </w:tcPr>
          <w:p w14:paraId="2697D90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Brewster</w:t>
            </w:r>
          </w:p>
        </w:tc>
        <w:tc>
          <w:tcPr>
            <w:tcW w:w="1455" w:type="dxa"/>
            <w:noWrap/>
            <w:hideMark/>
          </w:tcPr>
          <w:p w14:paraId="2A6E45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$11,104,115</w:t>
            </w:r>
          </w:p>
        </w:tc>
        <w:tc>
          <w:tcPr>
            <w:tcW w:w="1440" w:type="dxa"/>
            <w:noWrap/>
            <w:hideMark/>
          </w:tcPr>
          <w:p w14:paraId="637A81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121.7%</w:t>
            </w:r>
          </w:p>
        </w:tc>
        <w:tc>
          <w:tcPr>
            <w:tcW w:w="1440" w:type="dxa"/>
            <w:noWrap/>
            <w:hideMark/>
          </w:tcPr>
          <w:p w14:paraId="6DBE6C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D5F6B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92.4%</w:t>
            </w:r>
          </w:p>
        </w:tc>
        <w:tc>
          <w:tcPr>
            <w:tcW w:w="1455" w:type="dxa"/>
            <w:noWrap/>
            <w:hideMark/>
          </w:tcPr>
          <w:p w14:paraId="10A169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$12,152,382</w:t>
            </w:r>
          </w:p>
        </w:tc>
        <w:tc>
          <w:tcPr>
            <w:tcW w:w="1440" w:type="dxa"/>
            <w:noWrap/>
            <w:hideMark/>
          </w:tcPr>
          <w:p w14:paraId="1B5D61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157.0%</w:t>
            </w:r>
          </w:p>
        </w:tc>
        <w:tc>
          <w:tcPr>
            <w:tcW w:w="1440" w:type="dxa"/>
            <w:noWrap/>
            <w:hideMark/>
          </w:tcPr>
          <w:p w14:paraId="687F12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DEC14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81.4%</w:t>
            </w:r>
          </w:p>
        </w:tc>
      </w:tr>
      <w:tr w:rsidR="006253A9" w:rsidRPr="006253A9" w14:paraId="4DE9E10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57122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0042</w:t>
            </w:r>
          </w:p>
        </w:tc>
        <w:tc>
          <w:tcPr>
            <w:tcW w:w="2880" w:type="dxa"/>
            <w:noWrap/>
            <w:hideMark/>
          </w:tcPr>
          <w:p w14:paraId="37608F4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Bridgewater</w:t>
            </w:r>
          </w:p>
        </w:tc>
        <w:tc>
          <w:tcPr>
            <w:tcW w:w="1455" w:type="dxa"/>
            <w:noWrap/>
            <w:hideMark/>
          </w:tcPr>
          <w:p w14:paraId="0E647A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$27,869,620</w:t>
            </w:r>
          </w:p>
        </w:tc>
        <w:tc>
          <w:tcPr>
            <w:tcW w:w="1440" w:type="dxa"/>
            <w:noWrap/>
            <w:hideMark/>
          </w:tcPr>
          <w:p w14:paraId="3FC4B0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62.6%</w:t>
            </w:r>
          </w:p>
        </w:tc>
        <w:tc>
          <w:tcPr>
            <w:tcW w:w="1440" w:type="dxa"/>
            <w:noWrap/>
            <w:hideMark/>
          </w:tcPr>
          <w:p w14:paraId="77C608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62.6%</w:t>
            </w:r>
          </w:p>
        </w:tc>
        <w:tc>
          <w:tcPr>
            <w:tcW w:w="1440" w:type="dxa"/>
            <w:noWrap/>
            <w:hideMark/>
          </w:tcPr>
          <w:p w14:paraId="0350C5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53.4%</w:t>
            </w:r>
          </w:p>
        </w:tc>
        <w:tc>
          <w:tcPr>
            <w:tcW w:w="1455" w:type="dxa"/>
            <w:noWrap/>
            <w:hideMark/>
          </w:tcPr>
          <w:p w14:paraId="4CAD58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$36,557,414</w:t>
            </w:r>
          </w:p>
        </w:tc>
        <w:tc>
          <w:tcPr>
            <w:tcW w:w="1440" w:type="dxa"/>
            <w:noWrap/>
            <w:hideMark/>
          </w:tcPr>
          <w:p w14:paraId="31182F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63.8%</w:t>
            </w:r>
          </w:p>
        </w:tc>
        <w:tc>
          <w:tcPr>
            <w:tcW w:w="1440" w:type="dxa"/>
            <w:noWrap/>
            <w:hideMark/>
          </w:tcPr>
          <w:p w14:paraId="07EE17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63.8%</w:t>
            </w:r>
          </w:p>
        </w:tc>
        <w:tc>
          <w:tcPr>
            <w:tcW w:w="1440" w:type="dxa"/>
            <w:noWrap/>
            <w:hideMark/>
          </w:tcPr>
          <w:p w14:paraId="541893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63.1%</w:t>
            </w:r>
          </w:p>
        </w:tc>
      </w:tr>
      <w:tr w:rsidR="006253A9" w:rsidRPr="006253A9" w14:paraId="2151BC5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69C78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0043</w:t>
            </w:r>
          </w:p>
        </w:tc>
        <w:tc>
          <w:tcPr>
            <w:tcW w:w="2880" w:type="dxa"/>
            <w:noWrap/>
            <w:hideMark/>
          </w:tcPr>
          <w:p w14:paraId="1518F3B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Brimfield</w:t>
            </w:r>
          </w:p>
        </w:tc>
        <w:tc>
          <w:tcPr>
            <w:tcW w:w="1455" w:type="dxa"/>
            <w:noWrap/>
            <w:hideMark/>
          </w:tcPr>
          <w:p w14:paraId="794A93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$5,047,196</w:t>
            </w:r>
          </w:p>
        </w:tc>
        <w:tc>
          <w:tcPr>
            <w:tcW w:w="1440" w:type="dxa"/>
            <w:noWrap/>
            <w:hideMark/>
          </w:tcPr>
          <w:p w14:paraId="3D0DC9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47.1%</w:t>
            </w:r>
          </w:p>
        </w:tc>
        <w:tc>
          <w:tcPr>
            <w:tcW w:w="1440" w:type="dxa"/>
            <w:noWrap/>
            <w:hideMark/>
          </w:tcPr>
          <w:p w14:paraId="54FBCB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47.1%</w:t>
            </w:r>
          </w:p>
        </w:tc>
        <w:tc>
          <w:tcPr>
            <w:tcW w:w="1440" w:type="dxa"/>
            <w:noWrap/>
            <w:hideMark/>
          </w:tcPr>
          <w:p w14:paraId="5AB01E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51.3%</w:t>
            </w:r>
          </w:p>
        </w:tc>
        <w:tc>
          <w:tcPr>
            <w:tcW w:w="1455" w:type="dxa"/>
            <w:noWrap/>
            <w:hideMark/>
          </w:tcPr>
          <w:p w14:paraId="31A12B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$6,015,756</w:t>
            </w:r>
          </w:p>
        </w:tc>
        <w:tc>
          <w:tcPr>
            <w:tcW w:w="1440" w:type="dxa"/>
            <w:noWrap/>
            <w:hideMark/>
          </w:tcPr>
          <w:p w14:paraId="0F0B96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c>
          <w:tcPr>
            <w:tcW w:w="1440" w:type="dxa"/>
            <w:noWrap/>
            <w:hideMark/>
          </w:tcPr>
          <w:p w14:paraId="4A9830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c>
          <w:tcPr>
            <w:tcW w:w="1440" w:type="dxa"/>
            <w:noWrap/>
            <w:hideMark/>
          </w:tcPr>
          <w:p w14:paraId="4B9B56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r>
      <w:tr w:rsidR="006253A9" w:rsidRPr="006253A9" w14:paraId="3D8FC25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7B2777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0044</w:t>
            </w:r>
          </w:p>
        </w:tc>
        <w:tc>
          <w:tcPr>
            <w:tcW w:w="2880" w:type="dxa"/>
            <w:noWrap/>
            <w:hideMark/>
          </w:tcPr>
          <w:p w14:paraId="749F179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Brockton</w:t>
            </w:r>
          </w:p>
        </w:tc>
        <w:tc>
          <w:tcPr>
            <w:tcW w:w="1455" w:type="dxa"/>
            <w:noWrap/>
            <w:hideMark/>
          </w:tcPr>
          <w:p w14:paraId="16587D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$158,196,981</w:t>
            </w:r>
          </w:p>
        </w:tc>
        <w:tc>
          <w:tcPr>
            <w:tcW w:w="1440" w:type="dxa"/>
            <w:noWrap/>
            <w:hideMark/>
          </w:tcPr>
          <w:p w14:paraId="5BDF17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27.6%</w:t>
            </w:r>
          </w:p>
        </w:tc>
        <w:tc>
          <w:tcPr>
            <w:tcW w:w="1440" w:type="dxa"/>
            <w:noWrap/>
            <w:hideMark/>
          </w:tcPr>
          <w:p w14:paraId="18894D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27.6%</w:t>
            </w:r>
          </w:p>
        </w:tc>
        <w:tc>
          <w:tcPr>
            <w:tcW w:w="1440" w:type="dxa"/>
            <w:noWrap/>
            <w:hideMark/>
          </w:tcPr>
          <w:p w14:paraId="6673CE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20.8%</w:t>
            </w:r>
          </w:p>
        </w:tc>
        <w:tc>
          <w:tcPr>
            <w:tcW w:w="1455" w:type="dxa"/>
            <w:noWrap/>
            <w:hideMark/>
          </w:tcPr>
          <w:p w14:paraId="03B32F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$249,512,310</w:t>
            </w:r>
          </w:p>
        </w:tc>
        <w:tc>
          <w:tcPr>
            <w:tcW w:w="1440" w:type="dxa"/>
            <w:noWrap/>
            <w:hideMark/>
          </w:tcPr>
          <w:p w14:paraId="0C35A0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22.5%</w:t>
            </w:r>
          </w:p>
        </w:tc>
        <w:tc>
          <w:tcPr>
            <w:tcW w:w="1440" w:type="dxa"/>
            <w:noWrap/>
            <w:hideMark/>
          </w:tcPr>
          <w:p w14:paraId="005297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22.5%</w:t>
            </w:r>
          </w:p>
        </w:tc>
        <w:tc>
          <w:tcPr>
            <w:tcW w:w="1440" w:type="dxa"/>
            <w:noWrap/>
            <w:hideMark/>
          </w:tcPr>
          <w:p w14:paraId="7B81CC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19.8%</w:t>
            </w:r>
          </w:p>
        </w:tc>
      </w:tr>
      <w:tr w:rsidR="006253A9" w:rsidRPr="006253A9" w14:paraId="43EDE7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204CE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0045</w:t>
            </w:r>
          </w:p>
        </w:tc>
        <w:tc>
          <w:tcPr>
            <w:tcW w:w="2880" w:type="dxa"/>
            <w:noWrap/>
            <w:hideMark/>
          </w:tcPr>
          <w:p w14:paraId="253392C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Brookfield</w:t>
            </w:r>
          </w:p>
        </w:tc>
        <w:tc>
          <w:tcPr>
            <w:tcW w:w="1455" w:type="dxa"/>
            <w:noWrap/>
            <w:hideMark/>
          </w:tcPr>
          <w:p w14:paraId="46920F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$4,340,506</w:t>
            </w:r>
          </w:p>
        </w:tc>
        <w:tc>
          <w:tcPr>
            <w:tcW w:w="1440" w:type="dxa"/>
            <w:noWrap/>
            <w:hideMark/>
          </w:tcPr>
          <w:p w14:paraId="6C7A66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2EC936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782C78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39.2%</w:t>
            </w:r>
          </w:p>
        </w:tc>
        <w:tc>
          <w:tcPr>
            <w:tcW w:w="1455" w:type="dxa"/>
            <w:noWrap/>
            <w:hideMark/>
          </w:tcPr>
          <w:p w14:paraId="5D1B95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$5,642,001</w:t>
            </w:r>
          </w:p>
        </w:tc>
        <w:tc>
          <w:tcPr>
            <w:tcW w:w="1440" w:type="dxa"/>
            <w:noWrap/>
            <w:hideMark/>
          </w:tcPr>
          <w:p w14:paraId="065246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42.1%</w:t>
            </w:r>
          </w:p>
        </w:tc>
        <w:tc>
          <w:tcPr>
            <w:tcW w:w="1440" w:type="dxa"/>
            <w:noWrap/>
            <w:hideMark/>
          </w:tcPr>
          <w:p w14:paraId="1D55AA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42.1%</w:t>
            </w:r>
          </w:p>
        </w:tc>
        <w:tc>
          <w:tcPr>
            <w:tcW w:w="1440" w:type="dxa"/>
            <w:noWrap/>
            <w:hideMark/>
          </w:tcPr>
          <w:p w14:paraId="7A8B0FE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42.1%</w:t>
            </w:r>
          </w:p>
        </w:tc>
      </w:tr>
      <w:tr w:rsidR="006253A9" w:rsidRPr="006253A9" w14:paraId="0B96EF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D84BB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0046</w:t>
            </w:r>
          </w:p>
        </w:tc>
        <w:tc>
          <w:tcPr>
            <w:tcW w:w="2880" w:type="dxa"/>
            <w:noWrap/>
            <w:hideMark/>
          </w:tcPr>
          <w:p w14:paraId="3CDD4FE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Brookline</w:t>
            </w:r>
          </w:p>
        </w:tc>
        <w:tc>
          <w:tcPr>
            <w:tcW w:w="1455" w:type="dxa"/>
            <w:noWrap/>
            <w:hideMark/>
          </w:tcPr>
          <w:p w14:paraId="114EE8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$46,255,840</w:t>
            </w:r>
          </w:p>
        </w:tc>
        <w:tc>
          <w:tcPr>
            <w:tcW w:w="1440" w:type="dxa"/>
            <w:noWrap/>
            <w:hideMark/>
          </w:tcPr>
          <w:p w14:paraId="1B40D8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177.3%</w:t>
            </w:r>
          </w:p>
        </w:tc>
        <w:tc>
          <w:tcPr>
            <w:tcW w:w="1440" w:type="dxa"/>
            <w:noWrap/>
            <w:hideMark/>
          </w:tcPr>
          <w:p w14:paraId="21B385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F1A4E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127.6%</w:t>
            </w:r>
          </w:p>
        </w:tc>
        <w:tc>
          <w:tcPr>
            <w:tcW w:w="1455" w:type="dxa"/>
            <w:noWrap/>
            <w:hideMark/>
          </w:tcPr>
          <w:p w14:paraId="2F4441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$83,253,781</w:t>
            </w:r>
          </w:p>
        </w:tc>
        <w:tc>
          <w:tcPr>
            <w:tcW w:w="1440" w:type="dxa"/>
            <w:noWrap/>
            <w:hideMark/>
          </w:tcPr>
          <w:p w14:paraId="68967F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182.2%</w:t>
            </w:r>
          </w:p>
        </w:tc>
        <w:tc>
          <w:tcPr>
            <w:tcW w:w="1440" w:type="dxa"/>
            <w:noWrap/>
            <w:hideMark/>
          </w:tcPr>
          <w:p w14:paraId="709AAC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8E5310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EA4183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5CA16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0047</w:t>
            </w:r>
          </w:p>
        </w:tc>
        <w:tc>
          <w:tcPr>
            <w:tcW w:w="2880" w:type="dxa"/>
            <w:noWrap/>
            <w:hideMark/>
          </w:tcPr>
          <w:p w14:paraId="54A8DFA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Buckland</w:t>
            </w:r>
          </w:p>
        </w:tc>
        <w:tc>
          <w:tcPr>
            <w:tcW w:w="1455" w:type="dxa"/>
            <w:noWrap/>
            <w:hideMark/>
          </w:tcPr>
          <w:p w14:paraId="6D9917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$2,099,511</w:t>
            </w:r>
          </w:p>
        </w:tc>
        <w:tc>
          <w:tcPr>
            <w:tcW w:w="1440" w:type="dxa"/>
            <w:noWrap/>
            <w:hideMark/>
          </w:tcPr>
          <w:p w14:paraId="253329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w:t>
            </w:r>
          </w:p>
        </w:tc>
        <w:tc>
          <w:tcPr>
            <w:tcW w:w="1440" w:type="dxa"/>
            <w:noWrap/>
            <w:hideMark/>
          </w:tcPr>
          <w:p w14:paraId="36D0DF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w:t>
            </w:r>
          </w:p>
        </w:tc>
        <w:tc>
          <w:tcPr>
            <w:tcW w:w="1440" w:type="dxa"/>
            <w:noWrap/>
            <w:hideMark/>
          </w:tcPr>
          <w:p w14:paraId="061FEA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57.4%</w:t>
            </w:r>
          </w:p>
        </w:tc>
        <w:tc>
          <w:tcPr>
            <w:tcW w:w="1455" w:type="dxa"/>
            <w:noWrap/>
            <w:hideMark/>
          </w:tcPr>
          <w:p w14:paraId="117A91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$2,458,108</w:t>
            </w:r>
          </w:p>
        </w:tc>
        <w:tc>
          <w:tcPr>
            <w:tcW w:w="1440" w:type="dxa"/>
            <w:noWrap/>
            <w:hideMark/>
          </w:tcPr>
          <w:p w14:paraId="262879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54.5%</w:t>
            </w:r>
          </w:p>
        </w:tc>
        <w:tc>
          <w:tcPr>
            <w:tcW w:w="1440" w:type="dxa"/>
            <w:noWrap/>
            <w:hideMark/>
          </w:tcPr>
          <w:p w14:paraId="79B8CB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54.5%</w:t>
            </w:r>
          </w:p>
        </w:tc>
        <w:tc>
          <w:tcPr>
            <w:tcW w:w="1440" w:type="dxa"/>
            <w:noWrap/>
            <w:hideMark/>
          </w:tcPr>
          <w:p w14:paraId="416D71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54.5%</w:t>
            </w:r>
          </w:p>
        </w:tc>
      </w:tr>
      <w:tr w:rsidR="006253A9" w:rsidRPr="006253A9" w14:paraId="708144F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41DEB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0048</w:t>
            </w:r>
          </w:p>
        </w:tc>
        <w:tc>
          <w:tcPr>
            <w:tcW w:w="2880" w:type="dxa"/>
            <w:noWrap/>
            <w:hideMark/>
          </w:tcPr>
          <w:p w14:paraId="320A833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Burlington</w:t>
            </w:r>
          </w:p>
        </w:tc>
        <w:tc>
          <w:tcPr>
            <w:tcW w:w="1455" w:type="dxa"/>
            <w:noWrap/>
            <w:hideMark/>
          </w:tcPr>
          <w:p w14:paraId="585912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$29,617,199</w:t>
            </w:r>
          </w:p>
        </w:tc>
        <w:tc>
          <w:tcPr>
            <w:tcW w:w="1440" w:type="dxa"/>
            <w:noWrap/>
            <w:hideMark/>
          </w:tcPr>
          <w:p w14:paraId="6C3AB3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86.6%</w:t>
            </w:r>
          </w:p>
        </w:tc>
        <w:tc>
          <w:tcPr>
            <w:tcW w:w="1440" w:type="dxa"/>
            <w:noWrap/>
            <w:hideMark/>
          </w:tcPr>
          <w:p w14:paraId="22F3E1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12194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109.7%</w:t>
            </w:r>
          </w:p>
        </w:tc>
        <w:tc>
          <w:tcPr>
            <w:tcW w:w="1455" w:type="dxa"/>
            <w:noWrap/>
            <w:hideMark/>
          </w:tcPr>
          <w:p w14:paraId="005C12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$41,183,401</w:t>
            </w:r>
          </w:p>
        </w:tc>
        <w:tc>
          <w:tcPr>
            <w:tcW w:w="1440" w:type="dxa"/>
            <w:noWrap/>
            <w:hideMark/>
          </w:tcPr>
          <w:p w14:paraId="673447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102.4%</w:t>
            </w:r>
          </w:p>
        </w:tc>
        <w:tc>
          <w:tcPr>
            <w:tcW w:w="1440" w:type="dxa"/>
            <w:noWrap/>
            <w:hideMark/>
          </w:tcPr>
          <w:p w14:paraId="5B98F5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60247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DAFEF5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A3ED0A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0049</w:t>
            </w:r>
          </w:p>
        </w:tc>
        <w:tc>
          <w:tcPr>
            <w:tcW w:w="2880" w:type="dxa"/>
            <w:noWrap/>
            <w:hideMark/>
          </w:tcPr>
          <w:p w14:paraId="46D68CB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Cambridge</w:t>
            </w:r>
          </w:p>
        </w:tc>
        <w:tc>
          <w:tcPr>
            <w:tcW w:w="1455" w:type="dxa"/>
            <w:noWrap/>
            <w:hideMark/>
          </w:tcPr>
          <w:p w14:paraId="2FE186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$59,270,960</w:t>
            </w:r>
          </w:p>
        </w:tc>
        <w:tc>
          <w:tcPr>
            <w:tcW w:w="1440" w:type="dxa"/>
            <w:noWrap/>
            <w:hideMark/>
          </w:tcPr>
          <w:p w14:paraId="79E069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209.6%</w:t>
            </w:r>
          </w:p>
        </w:tc>
        <w:tc>
          <w:tcPr>
            <w:tcW w:w="1440" w:type="dxa"/>
            <w:noWrap/>
            <w:hideMark/>
          </w:tcPr>
          <w:p w14:paraId="313595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FBDF5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150.0%</w:t>
            </w:r>
          </w:p>
        </w:tc>
        <w:tc>
          <w:tcPr>
            <w:tcW w:w="1455" w:type="dxa"/>
            <w:noWrap/>
            <w:hideMark/>
          </w:tcPr>
          <w:p w14:paraId="657011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$95,754,602</w:t>
            </w:r>
          </w:p>
        </w:tc>
        <w:tc>
          <w:tcPr>
            <w:tcW w:w="1440" w:type="dxa"/>
            <w:noWrap/>
            <w:hideMark/>
          </w:tcPr>
          <w:p w14:paraId="1766CF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279.3%</w:t>
            </w:r>
          </w:p>
        </w:tc>
        <w:tc>
          <w:tcPr>
            <w:tcW w:w="1440" w:type="dxa"/>
            <w:noWrap/>
            <w:hideMark/>
          </w:tcPr>
          <w:p w14:paraId="5E34CF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B0C30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6BD044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17C923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0050</w:t>
            </w:r>
          </w:p>
        </w:tc>
        <w:tc>
          <w:tcPr>
            <w:tcW w:w="2880" w:type="dxa"/>
            <w:noWrap/>
            <w:hideMark/>
          </w:tcPr>
          <w:p w14:paraId="13027D7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Canton</w:t>
            </w:r>
          </w:p>
        </w:tc>
        <w:tc>
          <w:tcPr>
            <w:tcW w:w="1455" w:type="dxa"/>
            <w:noWrap/>
            <w:hideMark/>
          </w:tcPr>
          <w:p w14:paraId="6193C8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$24,167,422</w:t>
            </w:r>
          </w:p>
        </w:tc>
        <w:tc>
          <w:tcPr>
            <w:tcW w:w="1440" w:type="dxa"/>
            <w:noWrap/>
            <w:hideMark/>
          </w:tcPr>
          <w:p w14:paraId="7D8B05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100.5%</w:t>
            </w:r>
          </w:p>
        </w:tc>
        <w:tc>
          <w:tcPr>
            <w:tcW w:w="1440" w:type="dxa"/>
            <w:noWrap/>
            <w:hideMark/>
          </w:tcPr>
          <w:p w14:paraId="594D1C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E524D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98.0%</w:t>
            </w:r>
          </w:p>
        </w:tc>
        <w:tc>
          <w:tcPr>
            <w:tcW w:w="1455" w:type="dxa"/>
            <w:noWrap/>
            <w:hideMark/>
          </w:tcPr>
          <w:p w14:paraId="3673FE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$37,440,626</w:t>
            </w:r>
          </w:p>
        </w:tc>
        <w:tc>
          <w:tcPr>
            <w:tcW w:w="1440" w:type="dxa"/>
            <w:noWrap/>
            <w:hideMark/>
          </w:tcPr>
          <w:p w14:paraId="1B055CB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99.7%</w:t>
            </w:r>
          </w:p>
        </w:tc>
        <w:tc>
          <w:tcPr>
            <w:tcW w:w="1440" w:type="dxa"/>
            <w:noWrap/>
            <w:hideMark/>
          </w:tcPr>
          <w:p w14:paraId="37C1EE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5E8B7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C2258A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F2256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0051</w:t>
            </w:r>
          </w:p>
        </w:tc>
        <w:tc>
          <w:tcPr>
            <w:tcW w:w="2880" w:type="dxa"/>
            <w:noWrap/>
            <w:hideMark/>
          </w:tcPr>
          <w:p w14:paraId="77909A8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Carlisle</w:t>
            </w:r>
          </w:p>
        </w:tc>
        <w:tc>
          <w:tcPr>
            <w:tcW w:w="1455" w:type="dxa"/>
            <w:noWrap/>
            <w:hideMark/>
          </w:tcPr>
          <w:p w14:paraId="018538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$8,621,996</w:t>
            </w:r>
          </w:p>
        </w:tc>
        <w:tc>
          <w:tcPr>
            <w:tcW w:w="1440" w:type="dxa"/>
            <w:noWrap/>
            <w:hideMark/>
          </w:tcPr>
          <w:p w14:paraId="6ECC28B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115.1%</w:t>
            </w:r>
          </w:p>
        </w:tc>
        <w:tc>
          <w:tcPr>
            <w:tcW w:w="1440" w:type="dxa"/>
            <w:noWrap/>
            <w:hideMark/>
          </w:tcPr>
          <w:p w14:paraId="294224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96C42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100.7%</w:t>
            </w:r>
          </w:p>
        </w:tc>
        <w:tc>
          <w:tcPr>
            <w:tcW w:w="1455" w:type="dxa"/>
            <w:noWrap/>
            <w:hideMark/>
          </w:tcPr>
          <w:p w14:paraId="79518FD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$9,406,434</w:t>
            </w:r>
          </w:p>
        </w:tc>
        <w:tc>
          <w:tcPr>
            <w:tcW w:w="1440" w:type="dxa"/>
            <w:noWrap/>
            <w:hideMark/>
          </w:tcPr>
          <w:p w14:paraId="4908E9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147.9%</w:t>
            </w:r>
          </w:p>
        </w:tc>
        <w:tc>
          <w:tcPr>
            <w:tcW w:w="1440" w:type="dxa"/>
            <w:noWrap/>
            <w:hideMark/>
          </w:tcPr>
          <w:p w14:paraId="75F1BF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6418F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0F755B3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CAFF1E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0052</w:t>
            </w:r>
          </w:p>
        </w:tc>
        <w:tc>
          <w:tcPr>
            <w:tcW w:w="2880" w:type="dxa"/>
            <w:noWrap/>
            <w:hideMark/>
          </w:tcPr>
          <w:p w14:paraId="44E0390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Carver</w:t>
            </w:r>
          </w:p>
        </w:tc>
        <w:tc>
          <w:tcPr>
            <w:tcW w:w="1455" w:type="dxa"/>
            <w:noWrap/>
            <w:hideMark/>
          </w:tcPr>
          <w:p w14:paraId="68F9BD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$16,633,197</w:t>
            </w:r>
          </w:p>
        </w:tc>
        <w:tc>
          <w:tcPr>
            <w:tcW w:w="1440" w:type="dxa"/>
            <w:noWrap/>
            <w:hideMark/>
          </w:tcPr>
          <w:p w14:paraId="4FF63A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42.9%</w:t>
            </w:r>
          </w:p>
        </w:tc>
        <w:tc>
          <w:tcPr>
            <w:tcW w:w="1440" w:type="dxa"/>
            <w:noWrap/>
            <w:hideMark/>
          </w:tcPr>
          <w:p w14:paraId="343D90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42.9%</w:t>
            </w:r>
          </w:p>
        </w:tc>
        <w:tc>
          <w:tcPr>
            <w:tcW w:w="1440" w:type="dxa"/>
            <w:noWrap/>
            <w:hideMark/>
          </w:tcPr>
          <w:p w14:paraId="38ED76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38.2%</w:t>
            </w:r>
          </w:p>
        </w:tc>
        <w:tc>
          <w:tcPr>
            <w:tcW w:w="1455" w:type="dxa"/>
            <w:noWrap/>
            <w:hideMark/>
          </w:tcPr>
          <w:p w14:paraId="08ED41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$18,931,405</w:t>
            </w:r>
          </w:p>
        </w:tc>
        <w:tc>
          <w:tcPr>
            <w:tcW w:w="1440" w:type="dxa"/>
            <w:noWrap/>
            <w:hideMark/>
          </w:tcPr>
          <w:p w14:paraId="10EF0B0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53.0%</w:t>
            </w:r>
          </w:p>
        </w:tc>
        <w:tc>
          <w:tcPr>
            <w:tcW w:w="1440" w:type="dxa"/>
            <w:noWrap/>
            <w:hideMark/>
          </w:tcPr>
          <w:p w14:paraId="3D85EB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53.0%</w:t>
            </w:r>
          </w:p>
        </w:tc>
        <w:tc>
          <w:tcPr>
            <w:tcW w:w="1440" w:type="dxa"/>
            <w:noWrap/>
            <w:hideMark/>
          </w:tcPr>
          <w:p w14:paraId="55AE01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52.0%</w:t>
            </w:r>
          </w:p>
        </w:tc>
      </w:tr>
      <w:tr w:rsidR="006253A9" w:rsidRPr="006253A9" w14:paraId="2E080C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3A12B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0053</w:t>
            </w:r>
          </w:p>
        </w:tc>
        <w:tc>
          <w:tcPr>
            <w:tcW w:w="2880" w:type="dxa"/>
            <w:noWrap/>
            <w:hideMark/>
          </w:tcPr>
          <w:p w14:paraId="62EC00D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Charlemont</w:t>
            </w:r>
          </w:p>
        </w:tc>
        <w:tc>
          <w:tcPr>
            <w:tcW w:w="1455" w:type="dxa"/>
            <w:noWrap/>
            <w:hideMark/>
          </w:tcPr>
          <w:p w14:paraId="12E931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$1,868,882</w:t>
            </w:r>
          </w:p>
        </w:tc>
        <w:tc>
          <w:tcPr>
            <w:tcW w:w="1440" w:type="dxa"/>
            <w:noWrap/>
            <w:hideMark/>
          </w:tcPr>
          <w:p w14:paraId="171F4C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38.6%</w:t>
            </w:r>
          </w:p>
        </w:tc>
        <w:tc>
          <w:tcPr>
            <w:tcW w:w="1440" w:type="dxa"/>
            <w:noWrap/>
            <w:hideMark/>
          </w:tcPr>
          <w:p w14:paraId="26B3DB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38.6%</w:t>
            </w:r>
          </w:p>
        </w:tc>
        <w:tc>
          <w:tcPr>
            <w:tcW w:w="1440" w:type="dxa"/>
            <w:noWrap/>
            <w:hideMark/>
          </w:tcPr>
          <w:p w14:paraId="5D01DA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44.2%</w:t>
            </w:r>
          </w:p>
        </w:tc>
        <w:tc>
          <w:tcPr>
            <w:tcW w:w="1455" w:type="dxa"/>
            <w:noWrap/>
            <w:hideMark/>
          </w:tcPr>
          <w:p w14:paraId="2B3758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$1,889,216</w:t>
            </w:r>
          </w:p>
        </w:tc>
        <w:tc>
          <w:tcPr>
            <w:tcW w:w="1440" w:type="dxa"/>
            <w:noWrap/>
            <w:hideMark/>
          </w:tcPr>
          <w:p w14:paraId="055D94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46.8%</w:t>
            </w:r>
          </w:p>
        </w:tc>
        <w:tc>
          <w:tcPr>
            <w:tcW w:w="1440" w:type="dxa"/>
            <w:noWrap/>
            <w:hideMark/>
          </w:tcPr>
          <w:p w14:paraId="72192A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46.8%</w:t>
            </w:r>
          </w:p>
        </w:tc>
        <w:tc>
          <w:tcPr>
            <w:tcW w:w="1440" w:type="dxa"/>
            <w:noWrap/>
            <w:hideMark/>
          </w:tcPr>
          <w:p w14:paraId="4A6F61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46.8%</w:t>
            </w:r>
          </w:p>
        </w:tc>
      </w:tr>
      <w:tr w:rsidR="006253A9" w:rsidRPr="006253A9" w14:paraId="40FDAC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D2983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0054</w:t>
            </w:r>
          </w:p>
        </w:tc>
        <w:tc>
          <w:tcPr>
            <w:tcW w:w="2880" w:type="dxa"/>
            <w:noWrap/>
            <w:hideMark/>
          </w:tcPr>
          <w:p w14:paraId="7B25E97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Charlton</w:t>
            </w:r>
          </w:p>
        </w:tc>
        <w:tc>
          <w:tcPr>
            <w:tcW w:w="1455" w:type="dxa"/>
            <w:noWrap/>
            <w:hideMark/>
          </w:tcPr>
          <w:p w14:paraId="787A6D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$19,803,693</w:t>
            </w:r>
          </w:p>
        </w:tc>
        <w:tc>
          <w:tcPr>
            <w:tcW w:w="1440" w:type="dxa"/>
            <w:noWrap/>
            <w:hideMark/>
          </w:tcPr>
          <w:p w14:paraId="0BCC3C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40" w:type="dxa"/>
            <w:noWrap/>
            <w:hideMark/>
          </w:tcPr>
          <w:p w14:paraId="352AE5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40" w:type="dxa"/>
            <w:noWrap/>
            <w:hideMark/>
          </w:tcPr>
          <w:p w14:paraId="49BEA4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36.6%</w:t>
            </w:r>
          </w:p>
        </w:tc>
        <w:tc>
          <w:tcPr>
            <w:tcW w:w="1455" w:type="dxa"/>
            <w:noWrap/>
            <w:hideMark/>
          </w:tcPr>
          <w:p w14:paraId="31CB7A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$24,224,342</w:t>
            </w:r>
          </w:p>
        </w:tc>
        <w:tc>
          <w:tcPr>
            <w:tcW w:w="1440" w:type="dxa"/>
            <w:noWrap/>
            <w:hideMark/>
          </w:tcPr>
          <w:p w14:paraId="661870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40" w:type="dxa"/>
            <w:noWrap/>
            <w:hideMark/>
          </w:tcPr>
          <w:p w14:paraId="52B2AA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40" w:type="dxa"/>
            <w:noWrap/>
            <w:hideMark/>
          </w:tcPr>
          <w:p w14:paraId="2B323A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w:t>
            </w:r>
          </w:p>
        </w:tc>
      </w:tr>
      <w:tr w:rsidR="006253A9" w:rsidRPr="006253A9" w14:paraId="05735B4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EE11C8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0055</w:t>
            </w:r>
          </w:p>
        </w:tc>
        <w:tc>
          <w:tcPr>
            <w:tcW w:w="2880" w:type="dxa"/>
            <w:noWrap/>
            <w:hideMark/>
          </w:tcPr>
          <w:p w14:paraId="7D0F511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Chatham</w:t>
            </w:r>
          </w:p>
        </w:tc>
        <w:tc>
          <w:tcPr>
            <w:tcW w:w="1455" w:type="dxa"/>
            <w:noWrap/>
            <w:hideMark/>
          </w:tcPr>
          <w:p w14:paraId="4FA78D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$4,410,474</w:t>
            </w:r>
          </w:p>
        </w:tc>
        <w:tc>
          <w:tcPr>
            <w:tcW w:w="1440" w:type="dxa"/>
            <w:noWrap/>
            <w:hideMark/>
          </w:tcPr>
          <w:p w14:paraId="69F0B6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454.0%</w:t>
            </w:r>
          </w:p>
        </w:tc>
        <w:tc>
          <w:tcPr>
            <w:tcW w:w="1440" w:type="dxa"/>
            <w:noWrap/>
            <w:hideMark/>
          </w:tcPr>
          <w:p w14:paraId="529046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3FCEC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150.0%</w:t>
            </w:r>
          </w:p>
        </w:tc>
        <w:tc>
          <w:tcPr>
            <w:tcW w:w="1455" w:type="dxa"/>
            <w:noWrap/>
            <w:hideMark/>
          </w:tcPr>
          <w:p w14:paraId="18FE4A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$5,227,261</w:t>
            </w:r>
          </w:p>
        </w:tc>
        <w:tc>
          <w:tcPr>
            <w:tcW w:w="1440" w:type="dxa"/>
            <w:noWrap/>
            <w:hideMark/>
          </w:tcPr>
          <w:p w14:paraId="6E6ABE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582.1%</w:t>
            </w:r>
          </w:p>
        </w:tc>
        <w:tc>
          <w:tcPr>
            <w:tcW w:w="1440" w:type="dxa"/>
            <w:noWrap/>
            <w:hideMark/>
          </w:tcPr>
          <w:p w14:paraId="102639D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58549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F0C18E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82794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0056</w:t>
            </w:r>
          </w:p>
        </w:tc>
        <w:tc>
          <w:tcPr>
            <w:tcW w:w="2880" w:type="dxa"/>
            <w:noWrap/>
            <w:hideMark/>
          </w:tcPr>
          <w:p w14:paraId="69729C1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Chelmsford</w:t>
            </w:r>
          </w:p>
        </w:tc>
        <w:tc>
          <w:tcPr>
            <w:tcW w:w="1455" w:type="dxa"/>
            <w:noWrap/>
            <w:hideMark/>
          </w:tcPr>
          <w:p w14:paraId="6CDBD4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$44,013,985</w:t>
            </w:r>
          </w:p>
        </w:tc>
        <w:tc>
          <w:tcPr>
            <w:tcW w:w="1440" w:type="dxa"/>
            <w:noWrap/>
            <w:hideMark/>
          </w:tcPr>
          <w:p w14:paraId="487EEB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77.2%</w:t>
            </w:r>
          </w:p>
        </w:tc>
        <w:tc>
          <w:tcPr>
            <w:tcW w:w="1440" w:type="dxa"/>
            <w:noWrap/>
            <w:hideMark/>
          </w:tcPr>
          <w:p w14:paraId="480E14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77.2%</w:t>
            </w:r>
          </w:p>
        </w:tc>
        <w:tc>
          <w:tcPr>
            <w:tcW w:w="1440" w:type="dxa"/>
            <w:noWrap/>
            <w:hideMark/>
          </w:tcPr>
          <w:p w14:paraId="5F3139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87.1%</w:t>
            </w:r>
          </w:p>
        </w:tc>
        <w:tc>
          <w:tcPr>
            <w:tcW w:w="1455" w:type="dxa"/>
            <w:noWrap/>
            <w:hideMark/>
          </w:tcPr>
          <w:p w14:paraId="7E6E9F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$56,116,757</w:t>
            </w:r>
          </w:p>
        </w:tc>
        <w:tc>
          <w:tcPr>
            <w:tcW w:w="1440" w:type="dxa"/>
            <w:noWrap/>
            <w:hideMark/>
          </w:tcPr>
          <w:p w14:paraId="74EE80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86.0%</w:t>
            </w:r>
          </w:p>
        </w:tc>
        <w:tc>
          <w:tcPr>
            <w:tcW w:w="1440" w:type="dxa"/>
            <w:noWrap/>
            <w:hideMark/>
          </w:tcPr>
          <w:p w14:paraId="7CBB5A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A8F1B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80.2%</w:t>
            </w:r>
          </w:p>
        </w:tc>
      </w:tr>
      <w:tr w:rsidR="006253A9" w:rsidRPr="006253A9" w14:paraId="4BB25B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25504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0057</w:t>
            </w:r>
          </w:p>
        </w:tc>
        <w:tc>
          <w:tcPr>
            <w:tcW w:w="2880" w:type="dxa"/>
            <w:noWrap/>
            <w:hideMark/>
          </w:tcPr>
          <w:p w14:paraId="6886A51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Chelsea</w:t>
            </w:r>
          </w:p>
        </w:tc>
        <w:tc>
          <w:tcPr>
            <w:tcW w:w="1455" w:type="dxa"/>
            <w:noWrap/>
            <w:hideMark/>
          </w:tcPr>
          <w:p w14:paraId="10792F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$56,155,838</w:t>
            </w:r>
          </w:p>
        </w:tc>
        <w:tc>
          <w:tcPr>
            <w:tcW w:w="1440" w:type="dxa"/>
            <w:noWrap/>
            <w:hideMark/>
          </w:tcPr>
          <w:p w14:paraId="141237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w:t>
            </w:r>
          </w:p>
        </w:tc>
        <w:tc>
          <w:tcPr>
            <w:tcW w:w="1440" w:type="dxa"/>
            <w:noWrap/>
            <w:hideMark/>
          </w:tcPr>
          <w:p w14:paraId="19DE24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w:t>
            </w:r>
          </w:p>
        </w:tc>
        <w:tc>
          <w:tcPr>
            <w:tcW w:w="1440" w:type="dxa"/>
            <w:noWrap/>
            <w:hideMark/>
          </w:tcPr>
          <w:p w14:paraId="7A1B1C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17.3%</w:t>
            </w:r>
          </w:p>
        </w:tc>
        <w:tc>
          <w:tcPr>
            <w:tcW w:w="1455" w:type="dxa"/>
            <w:noWrap/>
            <w:hideMark/>
          </w:tcPr>
          <w:p w14:paraId="7D19E5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$105,126,558</w:t>
            </w:r>
          </w:p>
        </w:tc>
        <w:tc>
          <w:tcPr>
            <w:tcW w:w="1440" w:type="dxa"/>
            <w:noWrap/>
            <w:hideMark/>
          </w:tcPr>
          <w:p w14:paraId="65733D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21.7%</w:t>
            </w:r>
          </w:p>
        </w:tc>
        <w:tc>
          <w:tcPr>
            <w:tcW w:w="1440" w:type="dxa"/>
            <w:noWrap/>
            <w:hideMark/>
          </w:tcPr>
          <w:p w14:paraId="10FF54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21.7%</w:t>
            </w:r>
          </w:p>
        </w:tc>
        <w:tc>
          <w:tcPr>
            <w:tcW w:w="1440" w:type="dxa"/>
            <w:noWrap/>
            <w:hideMark/>
          </w:tcPr>
          <w:p w14:paraId="2E6AA1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18.6%</w:t>
            </w:r>
          </w:p>
        </w:tc>
      </w:tr>
      <w:tr w:rsidR="006253A9" w:rsidRPr="006253A9" w14:paraId="738BDCF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7E516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0058</w:t>
            </w:r>
          </w:p>
        </w:tc>
        <w:tc>
          <w:tcPr>
            <w:tcW w:w="2880" w:type="dxa"/>
            <w:noWrap/>
            <w:hideMark/>
          </w:tcPr>
          <w:p w14:paraId="4D055A8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Cheshire</w:t>
            </w:r>
          </w:p>
        </w:tc>
        <w:tc>
          <w:tcPr>
            <w:tcW w:w="1455" w:type="dxa"/>
            <w:noWrap/>
            <w:hideMark/>
          </w:tcPr>
          <w:p w14:paraId="616F71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$4,326,948</w:t>
            </w:r>
          </w:p>
        </w:tc>
        <w:tc>
          <w:tcPr>
            <w:tcW w:w="1440" w:type="dxa"/>
            <w:noWrap/>
            <w:hideMark/>
          </w:tcPr>
          <w:p w14:paraId="0B7316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38.4%</w:t>
            </w:r>
          </w:p>
        </w:tc>
        <w:tc>
          <w:tcPr>
            <w:tcW w:w="1440" w:type="dxa"/>
            <w:noWrap/>
            <w:hideMark/>
          </w:tcPr>
          <w:p w14:paraId="5933E2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38.4%</w:t>
            </w:r>
          </w:p>
        </w:tc>
        <w:tc>
          <w:tcPr>
            <w:tcW w:w="1440" w:type="dxa"/>
            <w:noWrap/>
            <w:hideMark/>
          </w:tcPr>
          <w:p w14:paraId="368CEC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38.6%</w:t>
            </w:r>
          </w:p>
        </w:tc>
        <w:tc>
          <w:tcPr>
            <w:tcW w:w="1455" w:type="dxa"/>
            <w:noWrap/>
            <w:hideMark/>
          </w:tcPr>
          <w:p w14:paraId="576A42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$5,032,905</w:t>
            </w:r>
          </w:p>
        </w:tc>
        <w:tc>
          <w:tcPr>
            <w:tcW w:w="1440" w:type="dxa"/>
            <w:noWrap/>
            <w:hideMark/>
          </w:tcPr>
          <w:p w14:paraId="228AB7A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w:t>
            </w:r>
          </w:p>
        </w:tc>
        <w:tc>
          <w:tcPr>
            <w:tcW w:w="1440" w:type="dxa"/>
            <w:noWrap/>
            <w:hideMark/>
          </w:tcPr>
          <w:p w14:paraId="3EB3B4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w:t>
            </w:r>
          </w:p>
        </w:tc>
        <w:tc>
          <w:tcPr>
            <w:tcW w:w="1440" w:type="dxa"/>
            <w:noWrap/>
            <w:hideMark/>
          </w:tcPr>
          <w:p w14:paraId="0F315B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w:t>
            </w:r>
          </w:p>
        </w:tc>
      </w:tr>
      <w:tr w:rsidR="006253A9" w:rsidRPr="006253A9" w14:paraId="706E37D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7AA226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0059</w:t>
            </w:r>
          </w:p>
        </w:tc>
        <w:tc>
          <w:tcPr>
            <w:tcW w:w="2880" w:type="dxa"/>
            <w:noWrap/>
            <w:hideMark/>
          </w:tcPr>
          <w:p w14:paraId="34F624A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Chester</w:t>
            </w:r>
          </w:p>
        </w:tc>
        <w:tc>
          <w:tcPr>
            <w:tcW w:w="1455" w:type="dxa"/>
            <w:noWrap/>
            <w:hideMark/>
          </w:tcPr>
          <w:p w14:paraId="61E807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$1,915,529</w:t>
            </w:r>
          </w:p>
        </w:tc>
        <w:tc>
          <w:tcPr>
            <w:tcW w:w="1440" w:type="dxa"/>
            <w:noWrap/>
            <w:hideMark/>
          </w:tcPr>
          <w:p w14:paraId="1D696A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41.7%</w:t>
            </w:r>
          </w:p>
        </w:tc>
        <w:tc>
          <w:tcPr>
            <w:tcW w:w="1440" w:type="dxa"/>
            <w:noWrap/>
            <w:hideMark/>
          </w:tcPr>
          <w:p w14:paraId="702685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41.7%</w:t>
            </w:r>
          </w:p>
        </w:tc>
        <w:tc>
          <w:tcPr>
            <w:tcW w:w="1440" w:type="dxa"/>
            <w:noWrap/>
            <w:hideMark/>
          </w:tcPr>
          <w:p w14:paraId="10D15F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45.9%</w:t>
            </w:r>
          </w:p>
        </w:tc>
        <w:tc>
          <w:tcPr>
            <w:tcW w:w="1455" w:type="dxa"/>
            <w:noWrap/>
            <w:hideMark/>
          </w:tcPr>
          <w:p w14:paraId="4B5BE1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$1,735,297</w:t>
            </w:r>
          </w:p>
        </w:tc>
        <w:tc>
          <w:tcPr>
            <w:tcW w:w="1440" w:type="dxa"/>
            <w:noWrap/>
            <w:hideMark/>
          </w:tcPr>
          <w:p w14:paraId="1EDEF4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6A57C9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44E06A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r>
      <w:tr w:rsidR="006253A9" w:rsidRPr="006253A9" w14:paraId="5EAD6E7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60956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0060</w:t>
            </w:r>
          </w:p>
        </w:tc>
        <w:tc>
          <w:tcPr>
            <w:tcW w:w="2880" w:type="dxa"/>
            <w:noWrap/>
            <w:hideMark/>
          </w:tcPr>
          <w:p w14:paraId="47519FD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Chesterfield</w:t>
            </w:r>
          </w:p>
        </w:tc>
        <w:tc>
          <w:tcPr>
            <w:tcW w:w="1455" w:type="dxa"/>
            <w:noWrap/>
            <w:hideMark/>
          </w:tcPr>
          <w:p w14:paraId="216EA1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$1,524,324</w:t>
            </w:r>
          </w:p>
        </w:tc>
        <w:tc>
          <w:tcPr>
            <w:tcW w:w="1440" w:type="dxa"/>
            <w:noWrap/>
            <w:hideMark/>
          </w:tcPr>
          <w:p w14:paraId="2C2DD8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42.3%</w:t>
            </w:r>
          </w:p>
        </w:tc>
        <w:tc>
          <w:tcPr>
            <w:tcW w:w="1440" w:type="dxa"/>
            <w:noWrap/>
            <w:hideMark/>
          </w:tcPr>
          <w:p w14:paraId="75E764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42.3%</w:t>
            </w:r>
          </w:p>
        </w:tc>
        <w:tc>
          <w:tcPr>
            <w:tcW w:w="1440" w:type="dxa"/>
            <w:noWrap/>
            <w:hideMark/>
          </w:tcPr>
          <w:p w14:paraId="490FCD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53.3%</w:t>
            </w:r>
          </w:p>
        </w:tc>
        <w:tc>
          <w:tcPr>
            <w:tcW w:w="1455" w:type="dxa"/>
            <w:noWrap/>
            <w:hideMark/>
          </w:tcPr>
          <w:p w14:paraId="7E42B5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$1,466,491</w:t>
            </w:r>
          </w:p>
        </w:tc>
        <w:tc>
          <w:tcPr>
            <w:tcW w:w="1440" w:type="dxa"/>
            <w:noWrap/>
            <w:hideMark/>
          </w:tcPr>
          <w:p w14:paraId="603D66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65.8%</w:t>
            </w:r>
          </w:p>
        </w:tc>
        <w:tc>
          <w:tcPr>
            <w:tcW w:w="1440" w:type="dxa"/>
            <w:noWrap/>
            <w:hideMark/>
          </w:tcPr>
          <w:p w14:paraId="2E9CC3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65.8%</w:t>
            </w:r>
          </w:p>
        </w:tc>
        <w:tc>
          <w:tcPr>
            <w:tcW w:w="1440" w:type="dxa"/>
            <w:noWrap/>
            <w:hideMark/>
          </w:tcPr>
          <w:p w14:paraId="4EF66C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65.8%</w:t>
            </w:r>
          </w:p>
        </w:tc>
      </w:tr>
      <w:tr w:rsidR="006253A9" w:rsidRPr="006253A9" w14:paraId="318306F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E73069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0061</w:t>
            </w:r>
          </w:p>
        </w:tc>
        <w:tc>
          <w:tcPr>
            <w:tcW w:w="2880" w:type="dxa"/>
            <w:noWrap/>
            <w:hideMark/>
          </w:tcPr>
          <w:p w14:paraId="5DD0E6B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Chicopee</w:t>
            </w:r>
          </w:p>
        </w:tc>
        <w:tc>
          <w:tcPr>
            <w:tcW w:w="1455" w:type="dxa"/>
            <w:noWrap/>
            <w:hideMark/>
          </w:tcPr>
          <w:p w14:paraId="32309B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$66,358,804</w:t>
            </w:r>
          </w:p>
        </w:tc>
        <w:tc>
          <w:tcPr>
            <w:tcW w:w="1440" w:type="dxa"/>
            <w:noWrap/>
            <w:hideMark/>
          </w:tcPr>
          <w:p w14:paraId="0DC0E8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34.6%</w:t>
            </w:r>
          </w:p>
        </w:tc>
        <w:tc>
          <w:tcPr>
            <w:tcW w:w="1440" w:type="dxa"/>
            <w:noWrap/>
            <w:hideMark/>
          </w:tcPr>
          <w:p w14:paraId="3C94FE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34.6%</w:t>
            </w:r>
          </w:p>
        </w:tc>
        <w:tc>
          <w:tcPr>
            <w:tcW w:w="1440" w:type="dxa"/>
            <w:noWrap/>
            <w:hideMark/>
          </w:tcPr>
          <w:p w14:paraId="3B063B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39.8%</w:t>
            </w:r>
          </w:p>
        </w:tc>
        <w:tc>
          <w:tcPr>
            <w:tcW w:w="1455" w:type="dxa"/>
            <w:noWrap/>
            <w:hideMark/>
          </w:tcPr>
          <w:p w14:paraId="792740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$99,336,605</w:t>
            </w:r>
          </w:p>
        </w:tc>
        <w:tc>
          <w:tcPr>
            <w:tcW w:w="1440" w:type="dxa"/>
            <w:noWrap/>
            <w:hideMark/>
          </w:tcPr>
          <w:p w14:paraId="71DBA1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30.7%</w:t>
            </w:r>
          </w:p>
        </w:tc>
        <w:tc>
          <w:tcPr>
            <w:tcW w:w="1440" w:type="dxa"/>
            <w:noWrap/>
            <w:hideMark/>
          </w:tcPr>
          <w:p w14:paraId="11D03E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30.7%</w:t>
            </w:r>
          </w:p>
        </w:tc>
        <w:tc>
          <w:tcPr>
            <w:tcW w:w="1440" w:type="dxa"/>
            <w:noWrap/>
            <w:hideMark/>
          </w:tcPr>
          <w:p w14:paraId="7CF72C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30.7%</w:t>
            </w:r>
          </w:p>
        </w:tc>
      </w:tr>
      <w:tr w:rsidR="006253A9" w:rsidRPr="006253A9" w14:paraId="1748242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AB00D0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0062</w:t>
            </w:r>
          </w:p>
        </w:tc>
        <w:tc>
          <w:tcPr>
            <w:tcW w:w="2880" w:type="dxa"/>
            <w:noWrap/>
            <w:hideMark/>
          </w:tcPr>
          <w:p w14:paraId="1EF0755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Chilmark</w:t>
            </w:r>
          </w:p>
        </w:tc>
        <w:tc>
          <w:tcPr>
            <w:tcW w:w="1455" w:type="dxa"/>
            <w:noWrap/>
            <w:hideMark/>
          </w:tcPr>
          <w:p w14:paraId="09D2AC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$741,328</w:t>
            </w:r>
          </w:p>
        </w:tc>
        <w:tc>
          <w:tcPr>
            <w:tcW w:w="1440" w:type="dxa"/>
            <w:noWrap/>
            <w:hideMark/>
          </w:tcPr>
          <w:p w14:paraId="723CFE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1334.4%</w:t>
            </w:r>
          </w:p>
        </w:tc>
        <w:tc>
          <w:tcPr>
            <w:tcW w:w="1440" w:type="dxa"/>
            <w:noWrap/>
            <w:hideMark/>
          </w:tcPr>
          <w:p w14:paraId="28EF26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9AEE5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133.0%</w:t>
            </w:r>
          </w:p>
        </w:tc>
        <w:tc>
          <w:tcPr>
            <w:tcW w:w="1455" w:type="dxa"/>
            <w:noWrap/>
            <w:hideMark/>
          </w:tcPr>
          <w:p w14:paraId="45B1BC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$1,335,527</w:t>
            </w:r>
          </w:p>
        </w:tc>
        <w:tc>
          <w:tcPr>
            <w:tcW w:w="1440" w:type="dxa"/>
            <w:noWrap/>
            <w:hideMark/>
          </w:tcPr>
          <w:p w14:paraId="4E898C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924.3%</w:t>
            </w:r>
          </w:p>
        </w:tc>
        <w:tc>
          <w:tcPr>
            <w:tcW w:w="1440" w:type="dxa"/>
            <w:noWrap/>
            <w:hideMark/>
          </w:tcPr>
          <w:p w14:paraId="0DD49C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085C7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96952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59F127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0063</w:t>
            </w:r>
          </w:p>
        </w:tc>
        <w:tc>
          <w:tcPr>
            <w:tcW w:w="2880" w:type="dxa"/>
            <w:noWrap/>
            <w:hideMark/>
          </w:tcPr>
          <w:p w14:paraId="0294C24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Clarksburg</w:t>
            </w:r>
          </w:p>
        </w:tc>
        <w:tc>
          <w:tcPr>
            <w:tcW w:w="1455" w:type="dxa"/>
            <w:noWrap/>
            <w:hideMark/>
          </w:tcPr>
          <w:p w14:paraId="1FED6C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$2,474,766</w:t>
            </w:r>
          </w:p>
        </w:tc>
        <w:tc>
          <w:tcPr>
            <w:tcW w:w="1440" w:type="dxa"/>
            <w:noWrap/>
            <w:hideMark/>
          </w:tcPr>
          <w:p w14:paraId="726503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w:t>
            </w:r>
          </w:p>
        </w:tc>
        <w:tc>
          <w:tcPr>
            <w:tcW w:w="1440" w:type="dxa"/>
            <w:noWrap/>
            <w:hideMark/>
          </w:tcPr>
          <w:p w14:paraId="285023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w:t>
            </w:r>
          </w:p>
        </w:tc>
        <w:tc>
          <w:tcPr>
            <w:tcW w:w="1440" w:type="dxa"/>
            <w:noWrap/>
            <w:hideMark/>
          </w:tcPr>
          <w:p w14:paraId="256401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27.0%</w:t>
            </w:r>
          </w:p>
        </w:tc>
        <w:tc>
          <w:tcPr>
            <w:tcW w:w="1455" w:type="dxa"/>
            <w:noWrap/>
            <w:hideMark/>
          </w:tcPr>
          <w:p w14:paraId="089948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$2,866,048</w:t>
            </w:r>
          </w:p>
        </w:tc>
        <w:tc>
          <w:tcPr>
            <w:tcW w:w="1440" w:type="dxa"/>
            <w:noWrap/>
            <w:hideMark/>
          </w:tcPr>
          <w:p w14:paraId="7B8097D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35.8%</w:t>
            </w:r>
          </w:p>
        </w:tc>
        <w:tc>
          <w:tcPr>
            <w:tcW w:w="1440" w:type="dxa"/>
            <w:noWrap/>
            <w:hideMark/>
          </w:tcPr>
          <w:p w14:paraId="0F4E1E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35.8%</w:t>
            </w:r>
          </w:p>
        </w:tc>
        <w:tc>
          <w:tcPr>
            <w:tcW w:w="1440" w:type="dxa"/>
            <w:noWrap/>
            <w:hideMark/>
          </w:tcPr>
          <w:p w14:paraId="42FF5B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33.3%</w:t>
            </w:r>
          </w:p>
        </w:tc>
      </w:tr>
      <w:tr w:rsidR="006253A9" w:rsidRPr="006253A9" w14:paraId="4FD6DC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82432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0064</w:t>
            </w:r>
          </w:p>
        </w:tc>
        <w:tc>
          <w:tcPr>
            <w:tcW w:w="2880" w:type="dxa"/>
            <w:noWrap/>
            <w:hideMark/>
          </w:tcPr>
          <w:p w14:paraId="785792A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Clinton</w:t>
            </w:r>
          </w:p>
        </w:tc>
        <w:tc>
          <w:tcPr>
            <w:tcW w:w="1455" w:type="dxa"/>
            <w:noWrap/>
            <w:hideMark/>
          </w:tcPr>
          <w:p w14:paraId="52A1D5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$17,332,016</w:t>
            </w:r>
          </w:p>
        </w:tc>
        <w:tc>
          <w:tcPr>
            <w:tcW w:w="1440" w:type="dxa"/>
            <w:noWrap/>
            <w:hideMark/>
          </w:tcPr>
          <w:p w14:paraId="2594F2A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43.6%</w:t>
            </w:r>
          </w:p>
        </w:tc>
        <w:tc>
          <w:tcPr>
            <w:tcW w:w="1440" w:type="dxa"/>
            <w:noWrap/>
            <w:hideMark/>
          </w:tcPr>
          <w:p w14:paraId="5E2E5C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43.6%</w:t>
            </w:r>
          </w:p>
        </w:tc>
        <w:tc>
          <w:tcPr>
            <w:tcW w:w="1440" w:type="dxa"/>
            <w:noWrap/>
            <w:hideMark/>
          </w:tcPr>
          <w:p w14:paraId="33B252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42.8%</w:t>
            </w:r>
          </w:p>
        </w:tc>
        <w:tc>
          <w:tcPr>
            <w:tcW w:w="1455" w:type="dxa"/>
            <w:noWrap/>
            <w:hideMark/>
          </w:tcPr>
          <w:p w14:paraId="5B032F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$24,086,138</w:t>
            </w:r>
          </w:p>
        </w:tc>
        <w:tc>
          <w:tcPr>
            <w:tcW w:w="1440" w:type="dxa"/>
            <w:noWrap/>
            <w:hideMark/>
          </w:tcPr>
          <w:p w14:paraId="24363C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45.9%</w:t>
            </w:r>
          </w:p>
        </w:tc>
        <w:tc>
          <w:tcPr>
            <w:tcW w:w="1440" w:type="dxa"/>
            <w:noWrap/>
            <w:hideMark/>
          </w:tcPr>
          <w:p w14:paraId="4FBDA7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45.9%</w:t>
            </w:r>
          </w:p>
        </w:tc>
        <w:tc>
          <w:tcPr>
            <w:tcW w:w="1440" w:type="dxa"/>
            <w:noWrap/>
            <w:hideMark/>
          </w:tcPr>
          <w:p w14:paraId="39C4D9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44.3%</w:t>
            </w:r>
          </w:p>
        </w:tc>
      </w:tr>
      <w:tr w:rsidR="006253A9" w:rsidRPr="006253A9" w14:paraId="4BAEC5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0E578B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0065</w:t>
            </w:r>
          </w:p>
        </w:tc>
        <w:tc>
          <w:tcPr>
            <w:tcW w:w="2880" w:type="dxa"/>
            <w:noWrap/>
            <w:hideMark/>
          </w:tcPr>
          <w:p w14:paraId="7E55B6E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Cohasset</w:t>
            </w:r>
          </w:p>
        </w:tc>
        <w:tc>
          <w:tcPr>
            <w:tcW w:w="1455" w:type="dxa"/>
            <w:noWrap/>
            <w:hideMark/>
          </w:tcPr>
          <w:p w14:paraId="3957EB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$11,365,903</w:t>
            </w:r>
          </w:p>
        </w:tc>
        <w:tc>
          <w:tcPr>
            <w:tcW w:w="1440" w:type="dxa"/>
            <w:noWrap/>
            <w:hideMark/>
          </w:tcPr>
          <w:p w14:paraId="7CF582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124.0%</w:t>
            </w:r>
          </w:p>
        </w:tc>
        <w:tc>
          <w:tcPr>
            <w:tcW w:w="1440" w:type="dxa"/>
            <w:noWrap/>
            <w:hideMark/>
          </w:tcPr>
          <w:p w14:paraId="71A6E9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B5312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86.2%</w:t>
            </w:r>
          </w:p>
        </w:tc>
        <w:tc>
          <w:tcPr>
            <w:tcW w:w="1455" w:type="dxa"/>
            <w:noWrap/>
            <w:hideMark/>
          </w:tcPr>
          <w:p w14:paraId="2CFDE0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$15,733,262</w:t>
            </w:r>
          </w:p>
        </w:tc>
        <w:tc>
          <w:tcPr>
            <w:tcW w:w="1440" w:type="dxa"/>
            <w:noWrap/>
            <w:hideMark/>
          </w:tcPr>
          <w:p w14:paraId="22A176A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159.6%</w:t>
            </w:r>
          </w:p>
        </w:tc>
        <w:tc>
          <w:tcPr>
            <w:tcW w:w="1440" w:type="dxa"/>
            <w:noWrap/>
            <w:hideMark/>
          </w:tcPr>
          <w:p w14:paraId="275115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CB7366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F4E3CF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AD75B2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0066</w:t>
            </w:r>
          </w:p>
        </w:tc>
        <w:tc>
          <w:tcPr>
            <w:tcW w:w="2880" w:type="dxa"/>
            <w:noWrap/>
            <w:hideMark/>
          </w:tcPr>
          <w:p w14:paraId="02D1C2F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Colrain</w:t>
            </w:r>
          </w:p>
        </w:tc>
        <w:tc>
          <w:tcPr>
            <w:tcW w:w="1455" w:type="dxa"/>
            <w:noWrap/>
            <w:hideMark/>
          </w:tcPr>
          <w:p w14:paraId="44321E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$2,306,956</w:t>
            </w:r>
          </w:p>
        </w:tc>
        <w:tc>
          <w:tcPr>
            <w:tcW w:w="1440" w:type="dxa"/>
            <w:noWrap/>
            <w:hideMark/>
          </w:tcPr>
          <w:p w14:paraId="51BAB7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40.2%</w:t>
            </w:r>
          </w:p>
        </w:tc>
        <w:tc>
          <w:tcPr>
            <w:tcW w:w="1440" w:type="dxa"/>
            <w:noWrap/>
            <w:hideMark/>
          </w:tcPr>
          <w:p w14:paraId="030B51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40.2%</w:t>
            </w:r>
          </w:p>
        </w:tc>
        <w:tc>
          <w:tcPr>
            <w:tcW w:w="1440" w:type="dxa"/>
            <w:noWrap/>
            <w:hideMark/>
          </w:tcPr>
          <w:p w14:paraId="644CB3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45.2%</w:t>
            </w:r>
          </w:p>
        </w:tc>
        <w:tc>
          <w:tcPr>
            <w:tcW w:w="1455" w:type="dxa"/>
            <w:noWrap/>
            <w:hideMark/>
          </w:tcPr>
          <w:p w14:paraId="6D7EEF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$2,255,167</w:t>
            </w:r>
          </w:p>
        </w:tc>
        <w:tc>
          <w:tcPr>
            <w:tcW w:w="1440" w:type="dxa"/>
            <w:noWrap/>
            <w:hideMark/>
          </w:tcPr>
          <w:p w14:paraId="39AA1A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55.2%</w:t>
            </w:r>
          </w:p>
        </w:tc>
        <w:tc>
          <w:tcPr>
            <w:tcW w:w="1440" w:type="dxa"/>
            <w:noWrap/>
            <w:hideMark/>
          </w:tcPr>
          <w:p w14:paraId="4DC70D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55.2%</w:t>
            </w:r>
          </w:p>
        </w:tc>
        <w:tc>
          <w:tcPr>
            <w:tcW w:w="1440" w:type="dxa"/>
            <w:noWrap/>
            <w:hideMark/>
          </w:tcPr>
          <w:p w14:paraId="685F69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55.2%</w:t>
            </w:r>
          </w:p>
        </w:tc>
      </w:tr>
      <w:tr w:rsidR="006253A9" w:rsidRPr="006253A9" w14:paraId="7F793A7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784B0E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0067</w:t>
            </w:r>
          </w:p>
        </w:tc>
        <w:tc>
          <w:tcPr>
            <w:tcW w:w="2880" w:type="dxa"/>
            <w:noWrap/>
            <w:hideMark/>
          </w:tcPr>
          <w:p w14:paraId="6882A4F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Concord</w:t>
            </w:r>
          </w:p>
        </w:tc>
        <w:tc>
          <w:tcPr>
            <w:tcW w:w="1455" w:type="dxa"/>
            <w:noWrap/>
            <w:hideMark/>
          </w:tcPr>
          <w:p w14:paraId="76FE9F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$22,063,981</w:t>
            </w:r>
          </w:p>
        </w:tc>
        <w:tc>
          <w:tcPr>
            <w:tcW w:w="1440" w:type="dxa"/>
            <w:noWrap/>
            <w:hideMark/>
          </w:tcPr>
          <w:p w14:paraId="2135CA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166.9%</w:t>
            </w:r>
          </w:p>
        </w:tc>
        <w:tc>
          <w:tcPr>
            <w:tcW w:w="1440" w:type="dxa"/>
            <w:noWrap/>
            <w:hideMark/>
          </w:tcPr>
          <w:p w14:paraId="27A543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A129A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112.2%</w:t>
            </w:r>
          </w:p>
        </w:tc>
        <w:tc>
          <w:tcPr>
            <w:tcW w:w="1455" w:type="dxa"/>
            <w:noWrap/>
            <w:hideMark/>
          </w:tcPr>
          <w:p w14:paraId="06C060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$32,342,592</w:t>
            </w:r>
          </w:p>
        </w:tc>
        <w:tc>
          <w:tcPr>
            <w:tcW w:w="1440" w:type="dxa"/>
            <w:noWrap/>
            <w:hideMark/>
          </w:tcPr>
          <w:p w14:paraId="1D4C88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176.4%</w:t>
            </w:r>
          </w:p>
        </w:tc>
        <w:tc>
          <w:tcPr>
            <w:tcW w:w="1440" w:type="dxa"/>
            <w:noWrap/>
            <w:hideMark/>
          </w:tcPr>
          <w:p w14:paraId="1C2925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19515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89FA1A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8C5B46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0068</w:t>
            </w:r>
          </w:p>
        </w:tc>
        <w:tc>
          <w:tcPr>
            <w:tcW w:w="2880" w:type="dxa"/>
            <w:noWrap/>
            <w:hideMark/>
          </w:tcPr>
          <w:p w14:paraId="03A7FD3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Conway</w:t>
            </w:r>
          </w:p>
        </w:tc>
        <w:tc>
          <w:tcPr>
            <w:tcW w:w="1455" w:type="dxa"/>
            <w:noWrap/>
            <w:hideMark/>
          </w:tcPr>
          <w:p w14:paraId="5EAACA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$1,890,626</w:t>
            </w:r>
          </w:p>
        </w:tc>
        <w:tc>
          <w:tcPr>
            <w:tcW w:w="1440" w:type="dxa"/>
            <w:noWrap/>
            <w:hideMark/>
          </w:tcPr>
          <w:p w14:paraId="59310D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74.0%</w:t>
            </w:r>
          </w:p>
        </w:tc>
        <w:tc>
          <w:tcPr>
            <w:tcW w:w="1440" w:type="dxa"/>
            <w:noWrap/>
            <w:hideMark/>
          </w:tcPr>
          <w:p w14:paraId="49DCFB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74.0%</w:t>
            </w:r>
          </w:p>
        </w:tc>
        <w:tc>
          <w:tcPr>
            <w:tcW w:w="1440" w:type="dxa"/>
            <w:noWrap/>
            <w:hideMark/>
          </w:tcPr>
          <w:p w14:paraId="3D99A2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64.8%</w:t>
            </w:r>
          </w:p>
        </w:tc>
        <w:tc>
          <w:tcPr>
            <w:tcW w:w="1455" w:type="dxa"/>
            <w:noWrap/>
            <w:hideMark/>
          </w:tcPr>
          <w:p w14:paraId="49EEBB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$2,325,940</w:t>
            </w:r>
          </w:p>
        </w:tc>
        <w:tc>
          <w:tcPr>
            <w:tcW w:w="1440" w:type="dxa"/>
            <w:noWrap/>
            <w:hideMark/>
          </w:tcPr>
          <w:p w14:paraId="669F48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84.1%</w:t>
            </w:r>
          </w:p>
        </w:tc>
        <w:tc>
          <w:tcPr>
            <w:tcW w:w="1440" w:type="dxa"/>
            <w:noWrap/>
            <w:hideMark/>
          </w:tcPr>
          <w:p w14:paraId="07A49D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12878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BDC0D5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F09007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0069</w:t>
            </w:r>
          </w:p>
        </w:tc>
        <w:tc>
          <w:tcPr>
            <w:tcW w:w="2880" w:type="dxa"/>
            <w:noWrap/>
            <w:hideMark/>
          </w:tcPr>
          <w:p w14:paraId="5762F68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Cummington</w:t>
            </w:r>
          </w:p>
        </w:tc>
        <w:tc>
          <w:tcPr>
            <w:tcW w:w="1455" w:type="dxa"/>
            <w:noWrap/>
            <w:hideMark/>
          </w:tcPr>
          <w:p w14:paraId="0A9835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$910,672</w:t>
            </w:r>
          </w:p>
        </w:tc>
        <w:tc>
          <w:tcPr>
            <w:tcW w:w="1440" w:type="dxa"/>
            <w:noWrap/>
            <w:hideMark/>
          </w:tcPr>
          <w:p w14:paraId="0C5283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68.7%</w:t>
            </w:r>
          </w:p>
        </w:tc>
        <w:tc>
          <w:tcPr>
            <w:tcW w:w="1440" w:type="dxa"/>
            <w:noWrap/>
            <w:hideMark/>
          </w:tcPr>
          <w:p w14:paraId="5484138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68.7%</w:t>
            </w:r>
          </w:p>
        </w:tc>
        <w:tc>
          <w:tcPr>
            <w:tcW w:w="1440" w:type="dxa"/>
            <w:noWrap/>
            <w:hideMark/>
          </w:tcPr>
          <w:p w14:paraId="69EE64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85.2%</w:t>
            </w:r>
          </w:p>
        </w:tc>
        <w:tc>
          <w:tcPr>
            <w:tcW w:w="1455" w:type="dxa"/>
            <w:noWrap/>
            <w:hideMark/>
          </w:tcPr>
          <w:p w14:paraId="79948A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$880,535</w:t>
            </w:r>
          </w:p>
        </w:tc>
        <w:tc>
          <w:tcPr>
            <w:tcW w:w="1440" w:type="dxa"/>
            <w:noWrap/>
            <w:hideMark/>
          </w:tcPr>
          <w:p w14:paraId="528304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90.6%</w:t>
            </w:r>
          </w:p>
        </w:tc>
        <w:tc>
          <w:tcPr>
            <w:tcW w:w="1440" w:type="dxa"/>
            <w:noWrap/>
            <w:hideMark/>
          </w:tcPr>
          <w:p w14:paraId="075362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4F3E6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3F4A0B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F7798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0070</w:t>
            </w:r>
          </w:p>
        </w:tc>
        <w:tc>
          <w:tcPr>
            <w:tcW w:w="2880" w:type="dxa"/>
            <w:noWrap/>
            <w:hideMark/>
          </w:tcPr>
          <w:p w14:paraId="47FCE94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Dalton</w:t>
            </w:r>
          </w:p>
        </w:tc>
        <w:tc>
          <w:tcPr>
            <w:tcW w:w="1455" w:type="dxa"/>
            <w:noWrap/>
            <w:hideMark/>
          </w:tcPr>
          <w:p w14:paraId="4C8D66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$9,323,112</w:t>
            </w:r>
          </w:p>
        </w:tc>
        <w:tc>
          <w:tcPr>
            <w:tcW w:w="1440" w:type="dxa"/>
            <w:noWrap/>
            <w:hideMark/>
          </w:tcPr>
          <w:p w14:paraId="67B2D6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c>
          <w:tcPr>
            <w:tcW w:w="1440" w:type="dxa"/>
            <w:noWrap/>
            <w:hideMark/>
          </w:tcPr>
          <w:p w14:paraId="52DB2F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c>
          <w:tcPr>
            <w:tcW w:w="1440" w:type="dxa"/>
            <w:noWrap/>
            <w:hideMark/>
          </w:tcPr>
          <w:p w14:paraId="3DCBAC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55" w:type="dxa"/>
            <w:noWrap/>
            <w:hideMark/>
          </w:tcPr>
          <w:p w14:paraId="49B257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$10,452,955</w:t>
            </w:r>
          </w:p>
        </w:tc>
        <w:tc>
          <w:tcPr>
            <w:tcW w:w="1440" w:type="dxa"/>
            <w:noWrap/>
            <w:hideMark/>
          </w:tcPr>
          <w:p w14:paraId="59D84C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50.4%</w:t>
            </w:r>
          </w:p>
        </w:tc>
        <w:tc>
          <w:tcPr>
            <w:tcW w:w="1440" w:type="dxa"/>
            <w:noWrap/>
            <w:hideMark/>
          </w:tcPr>
          <w:p w14:paraId="59F5C7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50.4%</w:t>
            </w:r>
          </w:p>
        </w:tc>
        <w:tc>
          <w:tcPr>
            <w:tcW w:w="1440" w:type="dxa"/>
            <w:noWrap/>
            <w:hideMark/>
          </w:tcPr>
          <w:p w14:paraId="44E5EE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50.4%</w:t>
            </w:r>
          </w:p>
        </w:tc>
      </w:tr>
      <w:tr w:rsidR="006253A9" w:rsidRPr="006253A9" w14:paraId="68DC84A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AC79AE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0071</w:t>
            </w:r>
          </w:p>
        </w:tc>
        <w:tc>
          <w:tcPr>
            <w:tcW w:w="2880" w:type="dxa"/>
            <w:noWrap/>
            <w:hideMark/>
          </w:tcPr>
          <w:p w14:paraId="768D54E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Danvers</w:t>
            </w:r>
          </w:p>
        </w:tc>
        <w:tc>
          <w:tcPr>
            <w:tcW w:w="1455" w:type="dxa"/>
            <w:noWrap/>
            <w:hideMark/>
          </w:tcPr>
          <w:p w14:paraId="26FEC7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$28,207,697</w:t>
            </w:r>
          </w:p>
        </w:tc>
        <w:tc>
          <w:tcPr>
            <w:tcW w:w="1440" w:type="dxa"/>
            <w:noWrap/>
            <w:hideMark/>
          </w:tcPr>
          <w:p w14:paraId="17256E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84.8%</w:t>
            </w:r>
          </w:p>
        </w:tc>
        <w:tc>
          <w:tcPr>
            <w:tcW w:w="1440" w:type="dxa"/>
            <w:noWrap/>
            <w:hideMark/>
          </w:tcPr>
          <w:p w14:paraId="12041F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32791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99.6%</w:t>
            </w:r>
          </w:p>
        </w:tc>
        <w:tc>
          <w:tcPr>
            <w:tcW w:w="1455" w:type="dxa"/>
            <w:noWrap/>
            <w:hideMark/>
          </w:tcPr>
          <w:p w14:paraId="6006F2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$39,618,496</w:t>
            </w:r>
          </w:p>
        </w:tc>
        <w:tc>
          <w:tcPr>
            <w:tcW w:w="1440" w:type="dxa"/>
            <w:noWrap/>
            <w:hideMark/>
          </w:tcPr>
          <w:p w14:paraId="059258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89.0%</w:t>
            </w:r>
          </w:p>
        </w:tc>
        <w:tc>
          <w:tcPr>
            <w:tcW w:w="1440" w:type="dxa"/>
            <w:noWrap/>
            <w:hideMark/>
          </w:tcPr>
          <w:p w14:paraId="5A6714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F84E8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r>
      <w:tr w:rsidR="006253A9" w:rsidRPr="006253A9" w14:paraId="63CD5B0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EDB098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0072</w:t>
            </w:r>
          </w:p>
        </w:tc>
        <w:tc>
          <w:tcPr>
            <w:tcW w:w="2880" w:type="dxa"/>
            <w:noWrap/>
            <w:hideMark/>
          </w:tcPr>
          <w:p w14:paraId="6408BB8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Dartmouth</w:t>
            </w:r>
          </w:p>
        </w:tc>
        <w:tc>
          <w:tcPr>
            <w:tcW w:w="1455" w:type="dxa"/>
            <w:noWrap/>
            <w:hideMark/>
          </w:tcPr>
          <w:p w14:paraId="3E1036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$34,255,600</w:t>
            </w:r>
          </w:p>
        </w:tc>
        <w:tc>
          <w:tcPr>
            <w:tcW w:w="1440" w:type="dxa"/>
            <w:noWrap/>
            <w:hideMark/>
          </w:tcPr>
          <w:p w14:paraId="0EFBB6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79.8%</w:t>
            </w:r>
          </w:p>
        </w:tc>
        <w:tc>
          <w:tcPr>
            <w:tcW w:w="1440" w:type="dxa"/>
            <w:noWrap/>
            <w:hideMark/>
          </w:tcPr>
          <w:p w14:paraId="698564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79.8%</w:t>
            </w:r>
          </w:p>
        </w:tc>
        <w:tc>
          <w:tcPr>
            <w:tcW w:w="1440" w:type="dxa"/>
            <w:noWrap/>
            <w:hideMark/>
          </w:tcPr>
          <w:p w14:paraId="3D679B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70.8%</w:t>
            </w:r>
          </w:p>
        </w:tc>
        <w:tc>
          <w:tcPr>
            <w:tcW w:w="1455" w:type="dxa"/>
            <w:noWrap/>
            <w:hideMark/>
          </w:tcPr>
          <w:p w14:paraId="4AD594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$44,762,494</w:t>
            </w:r>
          </w:p>
        </w:tc>
        <w:tc>
          <w:tcPr>
            <w:tcW w:w="1440" w:type="dxa"/>
            <w:noWrap/>
            <w:hideMark/>
          </w:tcPr>
          <w:p w14:paraId="7EB4EE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85.2%</w:t>
            </w:r>
          </w:p>
        </w:tc>
        <w:tc>
          <w:tcPr>
            <w:tcW w:w="1440" w:type="dxa"/>
            <w:noWrap/>
            <w:hideMark/>
          </w:tcPr>
          <w:p w14:paraId="7E3880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8AF9A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6DE1063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29EB4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0073</w:t>
            </w:r>
          </w:p>
        </w:tc>
        <w:tc>
          <w:tcPr>
            <w:tcW w:w="2880" w:type="dxa"/>
            <w:noWrap/>
            <w:hideMark/>
          </w:tcPr>
          <w:p w14:paraId="5B3373B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Dedham</w:t>
            </w:r>
          </w:p>
        </w:tc>
        <w:tc>
          <w:tcPr>
            <w:tcW w:w="1455" w:type="dxa"/>
            <w:noWrap/>
            <w:hideMark/>
          </w:tcPr>
          <w:p w14:paraId="5FEBB9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$22,866,706</w:t>
            </w:r>
          </w:p>
        </w:tc>
        <w:tc>
          <w:tcPr>
            <w:tcW w:w="1440" w:type="dxa"/>
            <w:noWrap/>
            <w:hideMark/>
          </w:tcPr>
          <w:p w14:paraId="713B4B2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105.5%</w:t>
            </w:r>
          </w:p>
        </w:tc>
        <w:tc>
          <w:tcPr>
            <w:tcW w:w="1440" w:type="dxa"/>
            <w:noWrap/>
            <w:hideMark/>
          </w:tcPr>
          <w:p w14:paraId="0ABE7E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916D0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111.9%</w:t>
            </w:r>
          </w:p>
        </w:tc>
        <w:tc>
          <w:tcPr>
            <w:tcW w:w="1455" w:type="dxa"/>
            <w:noWrap/>
            <w:hideMark/>
          </w:tcPr>
          <w:p w14:paraId="0B4449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$32,192,135</w:t>
            </w:r>
          </w:p>
        </w:tc>
        <w:tc>
          <w:tcPr>
            <w:tcW w:w="1440" w:type="dxa"/>
            <w:noWrap/>
            <w:hideMark/>
          </w:tcPr>
          <w:p w14:paraId="55D65B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122.3%</w:t>
            </w:r>
          </w:p>
        </w:tc>
        <w:tc>
          <w:tcPr>
            <w:tcW w:w="1440" w:type="dxa"/>
            <w:noWrap/>
            <w:hideMark/>
          </w:tcPr>
          <w:p w14:paraId="1B8D98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21A81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80.2%</w:t>
            </w:r>
          </w:p>
        </w:tc>
      </w:tr>
      <w:tr w:rsidR="006253A9" w:rsidRPr="006253A9" w14:paraId="260EE0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CB7CEA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0074</w:t>
            </w:r>
          </w:p>
        </w:tc>
        <w:tc>
          <w:tcPr>
            <w:tcW w:w="2880" w:type="dxa"/>
            <w:noWrap/>
            <w:hideMark/>
          </w:tcPr>
          <w:p w14:paraId="6280E8A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Deerfield</w:t>
            </w:r>
          </w:p>
        </w:tc>
        <w:tc>
          <w:tcPr>
            <w:tcW w:w="1455" w:type="dxa"/>
            <w:noWrap/>
            <w:hideMark/>
          </w:tcPr>
          <w:p w14:paraId="066A9A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$5,549,026</w:t>
            </w:r>
          </w:p>
        </w:tc>
        <w:tc>
          <w:tcPr>
            <w:tcW w:w="1440" w:type="dxa"/>
            <w:noWrap/>
            <w:hideMark/>
          </w:tcPr>
          <w:p w14:paraId="42B7D0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74.5%</w:t>
            </w:r>
          </w:p>
        </w:tc>
        <w:tc>
          <w:tcPr>
            <w:tcW w:w="1440" w:type="dxa"/>
            <w:noWrap/>
            <w:hideMark/>
          </w:tcPr>
          <w:p w14:paraId="20B5E28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74.5%</w:t>
            </w:r>
          </w:p>
        </w:tc>
        <w:tc>
          <w:tcPr>
            <w:tcW w:w="1440" w:type="dxa"/>
            <w:noWrap/>
            <w:hideMark/>
          </w:tcPr>
          <w:p w14:paraId="7CC06AB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66.2%</w:t>
            </w:r>
          </w:p>
        </w:tc>
        <w:tc>
          <w:tcPr>
            <w:tcW w:w="1455" w:type="dxa"/>
            <w:noWrap/>
            <w:hideMark/>
          </w:tcPr>
          <w:p w14:paraId="7CCC1E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$6,668,329</w:t>
            </w:r>
          </w:p>
        </w:tc>
        <w:tc>
          <w:tcPr>
            <w:tcW w:w="1440" w:type="dxa"/>
            <w:noWrap/>
            <w:hideMark/>
          </w:tcPr>
          <w:p w14:paraId="3DB8B5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c>
          <w:tcPr>
            <w:tcW w:w="1440" w:type="dxa"/>
            <w:noWrap/>
            <w:hideMark/>
          </w:tcPr>
          <w:p w14:paraId="7205E7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c>
          <w:tcPr>
            <w:tcW w:w="1440" w:type="dxa"/>
            <w:noWrap/>
            <w:hideMark/>
          </w:tcPr>
          <w:p w14:paraId="67A0FC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80.2%</w:t>
            </w:r>
          </w:p>
        </w:tc>
      </w:tr>
      <w:tr w:rsidR="006253A9" w:rsidRPr="006253A9" w14:paraId="226F316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3CA1F4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0075</w:t>
            </w:r>
          </w:p>
        </w:tc>
        <w:tc>
          <w:tcPr>
            <w:tcW w:w="2880" w:type="dxa"/>
            <w:noWrap/>
            <w:hideMark/>
          </w:tcPr>
          <w:p w14:paraId="1C1F93C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Dennis</w:t>
            </w:r>
          </w:p>
        </w:tc>
        <w:tc>
          <w:tcPr>
            <w:tcW w:w="1455" w:type="dxa"/>
            <w:noWrap/>
            <w:hideMark/>
          </w:tcPr>
          <w:p w14:paraId="02752C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$12,892,408</w:t>
            </w:r>
          </w:p>
        </w:tc>
        <w:tc>
          <w:tcPr>
            <w:tcW w:w="1440" w:type="dxa"/>
            <w:noWrap/>
            <w:hideMark/>
          </w:tcPr>
          <w:p w14:paraId="642905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178.7%</w:t>
            </w:r>
          </w:p>
        </w:tc>
        <w:tc>
          <w:tcPr>
            <w:tcW w:w="1440" w:type="dxa"/>
            <w:noWrap/>
            <w:hideMark/>
          </w:tcPr>
          <w:p w14:paraId="14D66A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0B395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97.9%</w:t>
            </w:r>
          </w:p>
        </w:tc>
        <w:tc>
          <w:tcPr>
            <w:tcW w:w="1455" w:type="dxa"/>
            <w:noWrap/>
            <w:hideMark/>
          </w:tcPr>
          <w:p w14:paraId="048639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$13,857,836</w:t>
            </w:r>
          </w:p>
        </w:tc>
        <w:tc>
          <w:tcPr>
            <w:tcW w:w="1440" w:type="dxa"/>
            <w:noWrap/>
            <w:hideMark/>
          </w:tcPr>
          <w:p w14:paraId="2C5DA7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231.0%</w:t>
            </w:r>
          </w:p>
        </w:tc>
        <w:tc>
          <w:tcPr>
            <w:tcW w:w="1440" w:type="dxa"/>
            <w:noWrap/>
            <w:hideMark/>
          </w:tcPr>
          <w:p w14:paraId="1FF9B3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97181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4DE2B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EC6644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0076</w:t>
            </w:r>
          </w:p>
        </w:tc>
        <w:tc>
          <w:tcPr>
            <w:tcW w:w="2880" w:type="dxa"/>
            <w:noWrap/>
            <w:hideMark/>
          </w:tcPr>
          <w:p w14:paraId="3C02C6C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Dighton</w:t>
            </w:r>
          </w:p>
        </w:tc>
        <w:tc>
          <w:tcPr>
            <w:tcW w:w="1455" w:type="dxa"/>
            <w:noWrap/>
            <w:hideMark/>
          </w:tcPr>
          <w:p w14:paraId="51915E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$10,245,298</w:t>
            </w:r>
          </w:p>
        </w:tc>
        <w:tc>
          <w:tcPr>
            <w:tcW w:w="1440" w:type="dxa"/>
            <w:noWrap/>
            <w:hideMark/>
          </w:tcPr>
          <w:p w14:paraId="50DE29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46.7%</w:t>
            </w:r>
          </w:p>
        </w:tc>
        <w:tc>
          <w:tcPr>
            <w:tcW w:w="1440" w:type="dxa"/>
            <w:noWrap/>
            <w:hideMark/>
          </w:tcPr>
          <w:p w14:paraId="75E3FB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46.7%</w:t>
            </w:r>
          </w:p>
        </w:tc>
        <w:tc>
          <w:tcPr>
            <w:tcW w:w="1440" w:type="dxa"/>
            <w:noWrap/>
            <w:hideMark/>
          </w:tcPr>
          <w:p w14:paraId="462951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46.1%</w:t>
            </w:r>
          </w:p>
        </w:tc>
        <w:tc>
          <w:tcPr>
            <w:tcW w:w="1455" w:type="dxa"/>
            <w:noWrap/>
            <w:hideMark/>
          </w:tcPr>
          <w:p w14:paraId="3A2125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$15,017,585</w:t>
            </w:r>
          </w:p>
        </w:tc>
        <w:tc>
          <w:tcPr>
            <w:tcW w:w="1440" w:type="dxa"/>
            <w:noWrap/>
            <w:hideMark/>
          </w:tcPr>
          <w:p w14:paraId="24B8FA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40" w:type="dxa"/>
            <w:noWrap/>
            <w:hideMark/>
          </w:tcPr>
          <w:p w14:paraId="6767F3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40" w:type="dxa"/>
            <w:noWrap/>
            <w:hideMark/>
          </w:tcPr>
          <w:p w14:paraId="1A07B6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47.8%</w:t>
            </w:r>
          </w:p>
        </w:tc>
      </w:tr>
      <w:tr w:rsidR="006253A9" w:rsidRPr="006253A9" w14:paraId="302863D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A3EEB4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0077</w:t>
            </w:r>
          </w:p>
        </w:tc>
        <w:tc>
          <w:tcPr>
            <w:tcW w:w="2880" w:type="dxa"/>
            <w:noWrap/>
            <w:hideMark/>
          </w:tcPr>
          <w:p w14:paraId="6AD51C0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Douglas</w:t>
            </w:r>
          </w:p>
        </w:tc>
        <w:tc>
          <w:tcPr>
            <w:tcW w:w="1455" w:type="dxa"/>
            <w:noWrap/>
            <w:hideMark/>
          </w:tcPr>
          <w:p w14:paraId="0CA0D7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$12,150,733</w:t>
            </w:r>
          </w:p>
        </w:tc>
        <w:tc>
          <w:tcPr>
            <w:tcW w:w="1440" w:type="dxa"/>
            <w:noWrap/>
            <w:hideMark/>
          </w:tcPr>
          <w:p w14:paraId="116951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40" w:type="dxa"/>
            <w:noWrap/>
            <w:hideMark/>
          </w:tcPr>
          <w:p w14:paraId="106B26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40" w:type="dxa"/>
            <w:noWrap/>
            <w:hideMark/>
          </w:tcPr>
          <w:p w14:paraId="79A9571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39.3%</w:t>
            </w:r>
          </w:p>
        </w:tc>
        <w:tc>
          <w:tcPr>
            <w:tcW w:w="1455" w:type="dxa"/>
            <w:noWrap/>
            <w:hideMark/>
          </w:tcPr>
          <w:p w14:paraId="708049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$14,798,186</w:t>
            </w:r>
          </w:p>
        </w:tc>
        <w:tc>
          <w:tcPr>
            <w:tcW w:w="1440" w:type="dxa"/>
            <w:noWrap/>
            <w:hideMark/>
          </w:tcPr>
          <w:p w14:paraId="049D36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40" w:type="dxa"/>
            <w:noWrap/>
            <w:hideMark/>
          </w:tcPr>
          <w:p w14:paraId="1E49B9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40" w:type="dxa"/>
            <w:noWrap/>
            <w:hideMark/>
          </w:tcPr>
          <w:p w14:paraId="0D667F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54.8%</w:t>
            </w:r>
          </w:p>
        </w:tc>
      </w:tr>
      <w:tr w:rsidR="006253A9" w:rsidRPr="006253A9" w14:paraId="02A3E77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8C02A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0078</w:t>
            </w:r>
          </w:p>
        </w:tc>
        <w:tc>
          <w:tcPr>
            <w:tcW w:w="2880" w:type="dxa"/>
            <w:noWrap/>
            <w:hideMark/>
          </w:tcPr>
          <w:p w14:paraId="4E4FAE8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Dover</w:t>
            </w:r>
          </w:p>
        </w:tc>
        <w:tc>
          <w:tcPr>
            <w:tcW w:w="1455" w:type="dxa"/>
            <w:noWrap/>
            <w:hideMark/>
          </w:tcPr>
          <w:p w14:paraId="61E7E2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$8,694,204</w:t>
            </w:r>
          </w:p>
        </w:tc>
        <w:tc>
          <w:tcPr>
            <w:tcW w:w="1440" w:type="dxa"/>
            <w:noWrap/>
            <w:hideMark/>
          </w:tcPr>
          <w:p w14:paraId="17E7AC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200.7%</w:t>
            </w:r>
          </w:p>
        </w:tc>
        <w:tc>
          <w:tcPr>
            <w:tcW w:w="1440" w:type="dxa"/>
            <w:noWrap/>
            <w:hideMark/>
          </w:tcPr>
          <w:p w14:paraId="2DC3FB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2860C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109.8%</w:t>
            </w:r>
          </w:p>
        </w:tc>
        <w:tc>
          <w:tcPr>
            <w:tcW w:w="1455" w:type="dxa"/>
            <w:noWrap/>
            <w:hideMark/>
          </w:tcPr>
          <w:p w14:paraId="7B8F4A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$12,246,219</w:t>
            </w:r>
          </w:p>
        </w:tc>
        <w:tc>
          <w:tcPr>
            <w:tcW w:w="1440" w:type="dxa"/>
            <w:noWrap/>
            <w:hideMark/>
          </w:tcPr>
          <w:p w14:paraId="4330F7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242.2%</w:t>
            </w:r>
          </w:p>
        </w:tc>
        <w:tc>
          <w:tcPr>
            <w:tcW w:w="1440" w:type="dxa"/>
            <w:noWrap/>
            <w:hideMark/>
          </w:tcPr>
          <w:p w14:paraId="48A570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DE76F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E5ED13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F33AF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0079</w:t>
            </w:r>
          </w:p>
        </w:tc>
        <w:tc>
          <w:tcPr>
            <w:tcW w:w="2880" w:type="dxa"/>
            <w:noWrap/>
            <w:hideMark/>
          </w:tcPr>
          <w:p w14:paraId="622ABA5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Dracut</w:t>
            </w:r>
          </w:p>
        </w:tc>
        <w:tc>
          <w:tcPr>
            <w:tcW w:w="1455" w:type="dxa"/>
            <w:noWrap/>
            <w:hideMark/>
          </w:tcPr>
          <w:p w14:paraId="1C3AFE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$35,580,701</w:t>
            </w:r>
          </w:p>
        </w:tc>
        <w:tc>
          <w:tcPr>
            <w:tcW w:w="1440" w:type="dxa"/>
            <w:noWrap/>
            <w:hideMark/>
          </w:tcPr>
          <w:p w14:paraId="1E4C34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57.1%</w:t>
            </w:r>
          </w:p>
        </w:tc>
        <w:tc>
          <w:tcPr>
            <w:tcW w:w="1440" w:type="dxa"/>
            <w:noWrap/>
            <w:hideMark/>
          </w:tcPr>
          <w:p w14:paraId="6C97BA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57.1%</w:t>
            </w:r>
          </w:p>
        </w:tc>
        <w:tc>
          <w:tcPr>
            <w:tcW w:w="1440" w:type="dxa"/>
            <w:noWrap/>
            <w:hideMark/>
          </w:tcPr>
          <w:p w14:paraId="13DD55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52.4%</w:t>
            </w:r>
          </w:p>
        </w:tc>
        <w:tc>
          <w:tcPr>
            <w:tcW w:w="1455" w:type="dxa"/>
            <w:noWrap/>
            <w:hideMark/>
          </w:tcPr>
          <w:p w14:paraId="2D2B76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$50,053,985</w:t>
            </w:r>
          </w:p>
        </w:tc>
        <w:tc>
          <w:tcPr>
            <w:tcW w:w="1440" w:type="dxa"/>
            <w:noWrap/>
            <w:hideMark/>
          </w:tcPr>
          <w:p w14:paraId="77656B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w:t>
            </w:r>
          </w:p>
        </w:tc>
        <w:tc>
          <w:tcPr>
            <w:tcW w:w="1440" w:type="dxa"/>
            <w:noWrap/>
            <w:hideMark/>
          </w:tcPr>
          <w:p w14:paraId="08E32B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w:t>
            </w:r>
          </w:p>
        </w:tc>
        <w:tc>
          <w:tcPr>
            <w:tcW w:w="1440" w:type="dxa"/>
            <w:noWrap/>
            <w:hideMark/>
          </w:tcPr>
          <w:p w14:paraId="0E1107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55.0%</w:t>
            </w:r>
          </w:p>
        </w:tc>
      </w:tr>
      <w:tr w:rsidR="006253A9" w:rsidRPr="006253A9" w14:paraId="3D5F38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68D962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0080</w:t>
            </w:r>
          </w:p>
        </w:tc>
        <w:tc>
          <w:tcPr>
            <w:tcW w:w="2880" w:type="dxa"/>
            <w:noWrap/>
            <w:hideMark/>
          </w:tcPr>
          <w:p w14:paraId="10C7431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Dudley</w:t>
            </w:r>
          </w:p>
        </w:tc>
        <w:tc>
          <w:tcPr>
            <w:tcW w:w="1455" w:type="dxa"/>
            <w:noWrap/>
            <w:hideMark/>
          </w:tcPr>
          <w:p w14:paraId="4764D3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$15,115,585</w:t>
            </w:r>
          </w:p>
        </w:tc>
        <w:tc>
          <w:tcPr>
            <w:tcW w:w="1440" w:type="dxa"/>
            <w:noWrap/>
            <w:hideMark/>
          </w:tcPr>
          <w:p w14:paraId="02182D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41.3%</w:t>
            </w:r>
          </w:p>
        </w:tc>
        <w:tc>
          <w:tcPr>
            <w:tcW w:w="1440" w:type="dxa"/>
            <w:noWrap/>
            <w:hideMark/>
          </w:tcPr>
          <w:p w14:paraId="7485D3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41.3%</w:t>
            </w:r>
          </w:p>
        </w:tc>
        <w:tc>
          <w:tcPr>
            <w:tcW w:w="1440" w:type="dxa"/>
            <w:noWrap/>
            <w:hideMark/>
          </w:tcPr>
          <w:p w14:paraId="4D22A9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w:t>
            </w:r>
          </w:p>
        </w:tc>
        <w:tc>
          <w:tcPr>
            <w:tcW w:w="1455" w:type="dxa"/>
            <w:noWrap/>
            <w:hideMark/>
          </w:tcPr>
          <w:p w14:paraId="45DD63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$20,993,983</w:t>
            </w:r>
          </w:p>
        </w:tc>
        <w:tc>
          <w:tcPr>
            <w:tcW w:w="1440" w:type="dxa"/>
            <w:noWrap/>
            <w:hideMark/>
          </w:tcPr>
          <w:p w14:paraId="593E27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39.3%</w:t>
            </w:r>
          </w:p>
        </w:tc>
        <w:tc>
          <w:tcPr>
            <w:tcW w:w="1440" w:type="dxa"/>
            <w:noWrap/>
            <w:hideMark/>
          </w:tcPr>
          <w:p w14:paraId="4082D2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39.3%</w:t>
            </w:r>
          </w:p>
        </w:tc>
        <w:tc>
          <w:tcPr>
            <w:tcW w:w="1440" w:type="dxa"/>
            <w:noWrap/>
            <w:hideMark/>
          </w:tcPr>
          <w:p w14:paraId="75D667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33.9%</w:t>
            </w:r>
          </w:p>
        </w:tc>
      </w:tr>
      <w:tr w:rsidR="006253A9" w:rsidRPr="006253A9" w14:paraId="2399E59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908B67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0081</w:t>
            </w:r>
          </w:p>
        </w:tc>
        <w:tc>
          <w:tcPr>
            <w:tcW w:w="2880" w:type="dxa"/>
            <w:noWrap/>
            <w:hideMark/>
          </w:tcPr>
          <w:p w14:paraId="2E4CACC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Dunstable</w:t>
            </w:r>
          </w:p>
        </w:tc>
        <w:tc>
          <w:tcPr>
            <w:tcW w:w="1455" w:type="dxa"/>
            <w:noWrap/>
            <w:hideMark/>
          </w:tcPr>
          <w:p w14:paraId="4E8D14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$5,249,237</w:t>
            </w:r>
          </w:p>
        </w:tc>
        <w:tc>
          <w:tcPr>
            <w:tcW w:w="1440" w:type="dxa"/>
            <w:noWrap/>
            <w:hideMark/>
          </w:tcPr>
          <w:p w14:paraId="156993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60.5%</w:t>
            </w:r>
          </w:p>
        </w:tc>
        <w:tc>
          <w:tcPr>
            <w:tcW w:w="1440" w:type="dxa"/>
            <w:noWrap/>
            <w:hideMark/>
          </w:tcPr>
          <w:p w14:paraId="0E3E45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60.5%</w:t>
            </w:r>
          </w:p>
        </w:tc>
        <w:tc>
          <w:tcPr>
            <w:tcW w:w="1440" w:type="dxa"/>
            <w:noWrap/>
            <w:hideMark/>
          </w:tcPr>
          <w:p w14:paraId="05FF60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50.9%</w:t>
            </w:r>
          </w:p>
        </w:tc>
        <w:tc>
          <w:tcPr>
            <w:tcW w:w="1455" w:type="dxa"/>
            <w:noWrap/>
            <w:hideMark/>
          </w:tcPr>
          <w:p w14:paraId="312061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$5,749,473</w:t>
            </w:r>
          </w:p>
        </w:tc>
        <w:tc>
          <w:tcPr>
            <w:tcW w:w="1440" w:type="dxa"/>
            <w:noWrap/>
            <w:hideMark/>
          </w:tcPr>
          <w:p w14:paraId="425C2C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82.0%</w:t>
            </w:r>
          </w:p>
        </w:tc>
        <w:tc>
          <w:tcPr>
            <w:tcW w:w="1440" w:type="dxa"/>
            <w:noWrap/>
            <w:hideMark/>
          </w:tcPr>
          <w:p w14:paraId="65216C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82.0%</w:t>
            </w:r>
          </w:p>
        </w:tc>
        <w:tc>
          <w:tcPr>
            <w:tcW w:w="1440" w:type="dxa"/>
            <w:noWrap/>
            <w:hideMark/>
          </w:tcPr>
          <w:p w14:paraId="4E3A09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r>
      <w:tr w:rsidR="006253A9" w:rsidRPr="006253A9" w14:paraId="5522179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08A39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0082</w:t>
            </w:r>
          </w:p>
        </w:tc>
        <w:tc>
          <w:tcPr>
            <w:tcW w:w="2880" w:type="dxa"/>
            <w:noWrap/>
            <w:hideMark/>
          </w:tcPr>
          <w:p w14:paraId="0078053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Duxbury</w:t>
            </w:r>
          </w:p>
        </w:tc>
        <w:tc>
          <w:tcPr>
            <w:tcW w:w="1455" w:type="dxa"/>
            <w:noWrap/>
            <w:hideMark/>
          </w:tcPr>
          <w:p w14:paraId="176CB5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$24,332,600</w:t>
            </w:r>
          </w:p>
        </w:tc>
        <w:tc>
          <w:tcPr>
            <w:tcW w:w="1440" w:type="dxa"/>
            <w:noWrap/>
            <w:hideMark/>
          </w:tcPr>
          <w:p w14:paraId="406A4B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92.7%</w:t>
            </w:r>
          </w:p>
        </w:tc>
        <w:tc>
          <w:tcPr>
            <w:tcW w:w="1440" w:type="dxa"/>
            <w:noWrap/>
            <w:hideMark/>
          </w:tcPr>
          <w:p w14:paraId="48D89C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90497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89.6%</w:t>
            </w:r>
          </w:p>
        </w:tc>
        <w:tc>
          <w:tcPr>
            <w:tcW w:w="1455" w:type="dxa"/>
            <w:noWrap/>
            <w:hideMark/>
          </w:tcPr>
          <w:p w14:paraId="003C9A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$30,413,601</w:t>
            </w:r>
          </w:p>
        </w:tc>
        <w:tc>
          <w:tcPr>
            <w:tcW w:w="1440" w:type="dxa"/>
            <w:noWrap/>
            <w:hideMark/>
          </w:tcPr>
          <w:p w14:paraId="2FFE01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119.5%</w:t>
            </w:r>
          </w:p>
        </w:tc>
        <w:tc>
          <w:tcPr>
            <w:tcW w:w="1440" w:type="dxa"/>
            <w:noWrap/>
            <w:hideMark/>
          </w:tcPr>
          <w:p w14:paraId="3E82B5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76913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7461DC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7F1015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0083</w:t>
            </w:r>
          </w:p>
        </w:tc>
        <w:tc>
          <w:tcPr>
            <w:tcW w:w="2880" w:type="dxa"/>
            <w:noWrap/>
            <w:hideMark/>
          </w:tcPr>
          <w:p w14:paraId="13CCFA2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 Bridgewater</w:t>
            </w:r>
          </w:p>
        </w:tc>
        <w:tc>
          <w:tcPr>
            <w:tcW w:w="1455" w:type="dxa"/>
            <w:noWrap/>
            <w:hideMark/>
          </w:tcPr>
          <w:p w14:paraId="39A5E0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$19,239,594</w:t>
            </w:r>
          </w:p>
        </w:tc>
        <w:tc>
          <w:tcPr>
            <w:tcW w:w="1440" w:type="dxa"/>
            <w:noWrap/>
            <w:hideMark/>
          </w:tcPr>
          <w:p w14:paraId="2B9E52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47.0%</w:t>
            </w:r>
          </w:p>
        </w:tc>
        <w:tc>
          <w:tcPr>
            <w:tcW w:w="1440" w:type="dxa"/>
            <w:noWrap/>
            <w:hideMark/>
          </w:tcPr>
          <w:p w14:paraId="73E0AF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47.0%</w:t>
            </w:r>
          </w:p>
        </w:tc>
        <w:tc>
          <w:tcPr>
            <w:tcW w:w="1440" w:type="dxa"/>
            <w:noWrap/>
            <w:hideMark/>
          </w:tcPr>
          <w:p w14:paraId="0DBEA9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44.5%</w:t>
            </w:r>
          </w:p>
        </w:tc>
        <w:tc>
          <w:tcPr>
            <w:tcW w:w="1455" w:type="dxa"/>
            <w:noWrap/>
            <w:hideMark/>
          </w:tcPr>
          <w:p w14:paraId="667F30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$24,383,826</w:t>
            </w:r>
          </w:p>
        </w:tc>
        <w:tc>
          <w:tcPr>
            <w:tcW w:w="1440" w:type="dxa"/>
            <w:noWrap/>
            <w:hideMark/>
          </w:tcPr>
          <w:p w14:paraId="386FC2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54.2%</w:t>
            </w:r>
          </w:p>
        </w:tc>
        <w:tc>
          <w:tcPr>
            <w:tcW w:w="1440" w:type="dxa"/>
            <w:noWrap/>
            <w:hideMark/>
          </w:tcPr>
          <w:p w14:paraId="328074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54.2%</w:t>
            </w:r>
          </w:p>
        </w:tc>
        <w:tc>
          <w:tcPr>
            <w:tcW w:w="1440" w:type="dxa"/>
            <w:noWrap/>
            <w:hideMark/>
          </w:tcPr>
          <w:p w14:paraId="050CCD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52.9%</w:t>
            </w:r>
          </w:p>
        </w:tc>
      </w:tr>
      <w:tr w:rsidR="006253A9" w:rsidRPr="006253A9" w14:paraId="5035861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7F112B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0084</w:t>
            </w:r>
          </w:p>
        </w:tc>
        <w:tc>
          <w:tcPr>
            <w:tcW w:w="2880" w:type="dxa"/>
            <w:noWrap/>
            <w:hideMark/>
          </w:tcPr>
          <w:p w14:paraId="3668C66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 Brookfield</w:t>
            </w:r>
          </w:p>
        </w:tc>
        <w:tc>
          <w:tcPr>
            <w:tcW w:w="1455" w:type="dxa"/>
            <w:noWrap/>
            <w:hideMark/>
          </w:tcPr>
          <w:p w14:paraId="6C8F82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$3,022,204</w:t>
            </w:r>
          </w:p>
        </w:tc>
        <w:tc>
          <w:tcPr>
            <w:tcW w:w="1440" w:type="dxa"/>
            <w:noWrap/>
            <w:hideMark/>
          </w:tcPr>
          <w:p w14:paraId="589808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46.8%</w:t>
            </w:r>
          </w:p>
        </w:tc>
        <w:tc>
          <w:tcPr>
            <w:tcW w:w="1440" w:type="dxa"/>
            <w:noWrap/>
            <w:hideMark/>
          </w:tcPr>
          <w:p w14:paraId="5B7F37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46.8%</w:t>
            </w:r>
          </w:p>
        </w:tc>
        <w:tc>
          <w:tcPr>
            <w:tcW w:w="1440" w:type="dxa"/>
            <w:noWrap/>
            <w:hideMark/>
          </w:tcPr>
          <w:p w14:paraId="3A7407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30.5%</w:t>
            </w:r>
          </w:p>
        </w:tc>
        <w:tc>
          <w:tcPr>
            <w:tcW w:w="1455" w:type="dxa"/>
            <w:noWrap/>
            <w:hideMark/>
          </w:tcPr>
          <w:p w14:paraId="1048BB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$3,527,868</w:t>
            </w:r>
          </w:p>
        </w:tc>
        <w:tc>
          <w:tcPr>
            <w:tcW w:w="1440" w:type="dxa"/>
            <w:noWrap/>
            <w:hideMark/>
          </w:tcPr>
          <w:p w14:paraId="51504B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53.7%</w:t>
            </w:r>
          </w:p>
        </w:tc>
        <w:tc>
          <w:tcPr>
            <w:tcW w:w="1440" w:type="dxa"/>
            <w:noWrap/>
            <w:hideMark/>
          </w:tcPr>
          <w:p w14:paraId="1074B0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53.7%</w:t>
            </w:r>
          </w:p>
        </w:tc>
        <w:tc>
          <w:tcPr>
            <w:tcW w:w="1440" w:type="dxa"/>
            <w:noWrap/>
            <w:hideMark/>
          </w:tcPr>
          <w:p w14:paraId="67B61A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49.7%</w:t>
            </w:r>
          </w:p>
        </w:tc>
      </w:tr>
      <w:tr w:rsidR="006253A9" w:rsidRPr="006253A9" w14:paraId="4E71F48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67079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0085</w:t>
            </w:r>
          </w:p>
        </w:tc>
        <w:tc>
          <w:tcPr>
            <w:tcW w:w="2880" w:type="dxa"/>
            <w:noWrap/>
            <w:hideMark/>
          </w:tcPr>
          <w:p w14:paraId="7B99F0E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Eastham</w:t>
            </w:r>
          </w:p>
        </w:tc>
        <w:tc>
          <w:tcPr>
            <w:tcW w:w="1455" w:type="dxa"/>
            <w:noWrap/>
            <w:hideMark/>
          </w:tcPr>
          <w:p w14:paraId="5BBBED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$4,828,589</w:t>
            </w:r>
          </w:p>
        </w:tc>
        <w:tc>
          <w:tcPr>
            <w:tcW w:w="1440" w:type="dxa"/>
            <w:noWrap/>
            <w:hideMark/>
          </w:tcPr>
          <w:p w14:paraId="538277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198.0%</w:t>
            </w:r>
          </w:p>
        </w:tc>
        <w:tc>
          <w:tcPr>
            <w:tcW w:w="1440" w:type="dxa"/>
            <w:noWrap/>
            <w:hideMark/>
          </w:tcPr>
          <w:p w14:paraId="4F301B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38ADD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114.7%</w:t>
            </w:r>
          </w:p>
        </w:tc>
        <w:tc>
          <w:tcPr>
            <w:tcW w:w="1455" w:type="dxa"/>
            <w:noWrap/>
            <w:hideMark/>
          </w:tcPr>
          <w:p w14:paraId="017182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$5,080,277</w:t>
            </w:r>
          </w:p>
        </w:tc>
        <w:tc>
          <w:tcPr>
            <w:tcW w:w="1440" w:type="dxa"/>
            <w:noWrap/>
            <w:hideMark/>
          </w:tcPr>
          <w:p w14:paraId="7AA47C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251.6%</w:t>
            </w:r>
          </w:p>
        </w:tc>
        <w:tc>
          <w:tcPr>
            <w:tcW w:w="1440" w:type="dxa"/>
            <w:noWrap/>
            <w:hideMark/>
          </w:tcPr>
          <w:p w14:paraId="133859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3BDAB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EB294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4BDF57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0086</w:t>
            </w:r>
          </w:p>
        </w:tc>
        <w:tc>
          <w:tcPr>
            <w:tcW w:w="2880" w:type="dxa"/>
            <w:noWrap/>
            <w:hideMark/>
          </w:tcPr>
          <w:p w14:paraId="067ED90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Easthampton</w:t>
            </w:r>
          </w:p>
        </w:tc>
        <w:tc>
          <w:tcPr>
            <w:tcW w:w="1455" w:type="dxa"/>
            <w:noWrap/>
            <w:hideMark/>
          </w:tcPr>
          <w:p w14:paraId="4B59CD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$14,811,911</w:t>
            </w:r>
          </w:p>
        </w:tc>
        <w:tc>
          <w:tcPr>
            <w:tcW w:w="1440" w:type="dxa"/>
            <w:noWrap/>
            <w:hideMark/>
          </w:tcPr>
          <w:p w14:paraId="4F2C57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57.1%</w:t>
            </w:r>
          </w:p>
        </w:tc>
        <w:tc>
          <w:tcPr>
            <w:tcW w:w="1440" w:type="dxa"/>
            <w:noWrap/>
            <w:hideMark/>
          </w:tcPr>
          <w:p w14:paraId="731A1A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57.1%</w:t>
            </w:r>
          </w:p>
        </w:tc>
        <w:tc>
          <w:tcPr>
            <w:tcW w:w="1440" w:type="dxa"/>
            <w:noWrap/>
            <w:hideMark/>
          </w:tcPr>
          <w:p w14:paraId="4B857A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53.4%</w:t>
            </w:r>
          </w:p>
        </w:tc>
        <w:tc>
          <w:tcPr>
            <w:tcW w:w="1455" w:type="dxa"/>
            <w:noWrap/>
            <w:hideMark/>
          </w:tcPr>
          <w:p w14:paraId="5AAF23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$19,700,559</w:t>
            </w:r>
          </w:p>
        </w:tc>
        <w:tc>
          <w:tcPr>
            <w:tcW w:w="1440" w:type="dxa"/>
            <w:noWrap/>
            <w:hideMark/>
          </w:tcPr>
          <w:p w14:paraId="0BF72E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c>
          <w:tcPr>
            <w:tcW w:w="1440" w:type="dxa"/>
            <w:noWrap/>
            <w:hideMark/>
          </w:tcPr>
          <w:p w14:paraId="24B57D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c>
          <w:tcPr>
            <w:tcW w:w="1440" w:type="dxa"/>
            <w:noWrap/>
            <w:hideMark/>
          </w:tcPr>
          <w:p w14:paraId="61A053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r>
      <w:tr w:rsidR="006253A9" w:rsidRPr="006253A9" w14:paraId="2BC5072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EE4C6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0087</w:t>
            </w:r>
          </w:p>
        </w:tc>
        <w:tc>
          <w:tcPr>
            <w:tcW w:w="2880" w:type="dxa"/>
            <w:noWrap/>
            <w:hideMark/>
          </w:tcPr>
          <w:p w14:paraId="67F57CC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 Longmeadow</w:t>
            </w:r>
          </w:p>
        </w:tc>
        <w:tc>
          <w:tcPr>
            <w:tcW w:w="1455" w:type="dxa"/>
            <w:noWrap/>
            <w:hideMark/>
          </w:tcPr>
          <w:p w14:paraId="4FC1DA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$20,729,713</w:t>
            </w:r>
          </w:p>
        </w:tc>
        <w:tc>
          <w:tcPr>
            <w:tcW w:w="1440" w:type="dxa"/>
            <w:noWrap/>
            <w:hideMark/>
          </w:tcPr>
          <w:p w14:paraId="5AF8AC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54.9%</w:t>
            </w:r>
          </w:p>
        </w:tc>
        <w:tc>
          <w:tcPr>
            <w:tcW w:w="1440" w:type="dxa"/>
            <w:noWrap/>
            <w:hideMark/>
          </w:tcPr>
          <w:p w14:paraId="10EF8B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54.9%</w:t>
            </w:r>
          </w:p>
        </w:tc>
        <w:tc>
          <w:tcPr>
            <w:tcW w:w="1440" w:type="dxa"/>
            <w:noWrap/>
            <w:hideMark/>
          </w:tcPr>
          <w:p w14:paraId="50BD47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77.7%</w:t>
            </w:r>
          </w:p>
        </w:tc>
        <w:tc>
          <w:tcPr>
            <w:tcW w:w="1455" w:type="dxa"/>
            <w:noWrap/>
            <w:hideMark/>
          </w:tcPr>
          <w:p w14:paraId="086157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$28,769,863</w:t>
            </w:r>
          </w:p>
        </w:tc>
        <w:tc>
          <w:tcPr>
            <w:tcW w:w="1440" w:type="dxa"/>
            <w:noWrap/>
            <w:hideMark/>
          </w:tcPr>
          <w:p w14:paraId="1967B4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58.6%</w:t>
            </w:r>
          </w:p>
        </w:tc>
        <w:tc>
          <w:tcPr>
            <w:tcW w:w="1440" w:type="dxa"/>
            <w:noWrap/>
            <w:hideMark/>
          </w:tcPr>
          <w:p w14:paraId="3A7FBB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58.6%</w:t>
            </w:r>
          </w:p>
        </w:tc>
        <w:tc>
          <w:tcPr>
            <w:tcW w:w="1440" w:type="dxa"/>
            <w:noWrap/>
            <w:hideMark/>
          </w:tcPr>
          <w:p w14:paraId="513650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58.6%</w:t>
            </w:r>
          </w:p>
        </w:tc>
      </w:tr>
      <w:tr w:rsidR="006253A9" w:rsidRPr="006253A9" w14:paraId="3CC939F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B14E5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0088</w:t>
            </w:r>
          </w:p>
        </w:tc>
        <w:tc>
          <w:tcPr>
            <w:tcW w:w="2880" w:type="dxa"/>
            <w:noWrap/>
            <w:hideMark/>
          </w:tcPr>
          <w:p w14:paraId="6D176F9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Easton</w:t>
            </w:r>
          </w:p>
        </w:tc>
        <w:tc>
          <w:tcPr>
            <w:tcW w:w="1455" w:type="dxa"/>
            <w:noWrap/>
            <w:hideMark/>
          </w:tcPr>
          <w:p w14:paraId="3721DE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$28,347,564</w:t>
            </w:r>
          </w:p>
        </w:tc>
        <w:tc>
          <w:tcPr>
            <w:tcW w:w="1440" w:type="dxa"/>
            <w:noWrap/>
            <w:hideMark/>
          </w:tcPr>
          <w:p w14:paraId="2964E0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71.1%</w:t>
            </w:r>
          </w:p>
        </w:tc>
        <w:tc>
          <w:tcPr>
            <w:tcW w:w="1440" w:type="dxa"/>
            <w:noWrap/>
            <w:hideMark/>
          </w:tcPr>
          <w:p w14:paraId="1E01CD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71.1%</w:t>
            </w:r>
          </w:p>
        </w:tc>
        <w:tc>
          <w:tcPr>
            <w:tcW w:w="1440" w:type="dxa"/>
            <w:noWrap/>
            <w:hideMark/>
          </w:tcPr>
          <w:p w14:paraId="462DBC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71.1%</w:t>
            </w:r>
          </w:p>
        </w:tc>
        <w:tc>
          <w:tcPr>
            <w:tcW w:w="1455" w:type="dxa"/>
            <w:noWrap/>
            <w:hideMark/>
          </w:tcPr>
          <w:p w14:paraId="63A321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$38,835,450</w:t>
            </w:r>
          </w:p>
        </w:tc>
        <w:tc>
          <w:tcPr>
            <w:tcW w:w="1440" w:type="dxa"/>
            <w:noWrap/>
            <w:hideMark/>
          </w:tcPr>
          <w:p w14:paraId="0439CB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40" w:type="dxa"/>
            <w:noWrap/>
            <w:hideMark/>
          </w:tcPr>
          <w:p w14:paraId="383DB4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40" w:type="dxa"/>
            <w:noWrap/>
            <w:hideMark/>
          </w:tcPr>
          <w:p w14:paraId="3231D5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r>
      <w:tr w:rsidR="006253A9" w:rsidRPr="006253A9" w14:paraId="198D0CB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C255D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0089</w:t>
            </w:r>
          </w:p>
        </w:tc>
        <w:tc>
          <w:tcPr>
            <w:tcW w:w="2880" w:type="dxa"/>
            <w:noWrap/>
            <w:hideMark/>
          </w:tcPr>
          <w:p w14:paraId="5063ABB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Edgartown</w:t>
            </w:r>
          </w:p>
        </w:tc>
        <w:tc>
          <w:tcPr>
            <w:tcW w:w="1455" w:type="dxa"/>
            <w:noWrap/>
            <w:hideMark/>
          </w:tcPr>
          <w:p w14:paraId="1ABE5A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$4,932,163</w:t>
            </w:r>
          </w:p>
        </w:tc>
        <w:tc>
          <w:tcPr>
            <w:tcW w:w="1440" w:type="dxa"/>
            <w:noWrap/>
            <w:hideMark/>
          </w:tcPr>
          <w:p w14:paraId="13A598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363.7%</w:t>
            </w:r>
          </w:p>
        </w:tc>
        <w:tc>
          <w:tcPr>
            <w:tcW w:w="1440" w:type="dxa"/>
            <w:noWrap/>
            <w:hideMark/>
          </w:tcPr>
          <w:p w14:paraId="52E619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06CF4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105.5%</w:t>
            </w:r>
          </w:p>
        </w:tc>
        <w:tc>
          <w:tcPr>
            <w:tcW w:w="1455" w:type="dxa"/>
            <w:noWrap/>
            <w:hideMark/>
          </w:tcPr>
          <w:p w14:paraId="4EE70B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$7,435,876</w:t>
            </w:r>
          </w:p>
        </w:tc>
        <w:tc>
          <w:tcPr>
            <w:tcW w:w="1440" w:type="dxa"/>
            <w:noWrap/>
            <w:hideMark/>
          </w:tcPr>
          <w:p w14:paraId="109E8E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446.7%</w:t>
            </w:r>
          </w:p>
        </w:tc>
        <w:tc>
          <w:tcPr>
            <w:tcW w:w="1440" w:type="dxa"/>
            <w:noWrap/>
            <w:hideMark/>
          </w:tcPr>
          <w:p w14:paraId="2DE067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4EB14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D4037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2E014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0090</w:t>
            </w:r>
          </w:p>
        </w:tc>
        <w:tc>
          <w:tcPr>
            <w:tcW w:w="2880" w:type="dxa"/>
            <w:noWrap/>
            <w:hideMark/>
          </w:tcPr>
          <w:p w14:paraId="26F2F19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Egremont</w:t>
            </w:r>
          </w:p>
        </w:tc>
        <w:tc>
          <w:tcPr>
            <w:tcW w:w="1455" w:type="dxa"/>
            <w:noWrap/>
            <w:hideMark/>
          </w:tcPr>
          <w:p w14:paraId="512B9C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$814,909</w:t>
            </w:r>
          </w:p>
        </w:tc>
        <w:tc>
          <w:tcPr>
            <w:tcW w:w="1440" w:type="dxa"/>
            <w:noWrap/>
            <w:hideMark/>
          </w:tcPr>
          <w:p w14:paraId="112868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184.3%</w:t>
            </w:r>
          </w:p>
        </w:tc>
        <w:tc>
          <w:tcPr>
            <w:tcW w:w="1440" w:type="dxa"/>
            <w:noWrap/>
            <w:hideMark/>
          </w:tcPr>
          <w:p w14:paraId="562EBA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9A895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129.5%</w:t>
            </w:r>
          </w:p>
        </w:tc>
        <w:tc>
          <w:tcPr>
            <w:tcW w:w="1455" w:type="dxa"/>
            <w:noWrap/>
            <w:hideMark/>
          </w:tcPr>
          <w:p w14:paraId="337785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$983,690</w:t>
            </w:r>
          </w:p>
        </w:tc>
        <w:tc>
          <w:tcPr>
            <w:tcW w:w="1440" w:type="dxa"/>
            <w:noWrap/>
            <w:hideMark/>
          </w:tcPr>
          <w:p w14:paraId="0B5AA1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202.1%</w:t>
            </w:r>
          </w:p>
        </w:tc>
        <w:tc>
          <w:tcPr>
            <w:tcW w:w="1440" w:type="dxa"/>
            <w:noWrap/>
            <w:hideMark/>
          </w:tcPr>
          <w:p w14:paraId="2EFA5B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5A245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FFD00E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94742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0091</w:t>
            </w:r>
          </w:p>
        </w:tc>
        <w:tc>
          <w:tcPr>
            <w:tcW w:w="2880" w:type="dxa"/>
            <w:noWrap/>
            <w:hideMark/>
          </w:tcPr>
          <w:p w14:paraId="6139F20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Erving</w:t>
            </w:r>
          </w:p>
        </w:tc>
        <w:tc>
          <w:tcPr>
            <w:tcW w:w="1455" w:type="dxa"/>
            <w:noWrap/>
            <w:hideMark/>
          </w:tcPr>
          <w:p w14:paraId="070812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$2,061,121</w:t>
            </w:r>
          </w:p>
        </w:tc>
        <w:tc>
          <w:tcPr>
            <w:tcW w:w="1440" w:type="dxa"/>
            <w:noWrap/>
            <w:hideMark/>
          </w:tcPr>
          <w:p w14:paraId="5BAC25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115.4%</w:t>
            </w:r>
          </w:p>
        </w:tc>
        <w:tc>
          <w:tcPr>
            <w:tcW w:w="1440" w:type="dxa"/>
            <w:noWrap/>
            <w:hideMark/>
          </w:tcPr>
          <w:p w14:paraId="7638AA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6EB24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89.3%</w:t>
            </w:r>
          </w:p>
        </w:tc>
        <w:tc>
          <w:tcPr>
            <w:tcW w:w="1455" w:type="dxa"/>
            <w:noWrap/>
            <w:hideMark/>
          </w:tcPr>
          <w:p w14:paraId="35D857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$2,811,490</w:t>
            </w:r>
          </w:p>
        </w:tc>
        <w:tc>
          <w:tcPr>
            <w:tcW w:w="1440" w:type="dxa"/>
            <w:noWrap/>
            <w:hideMark/>
          </w:tcPr>
          <w:p w14:paraId="479AD7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128.7%</w:t>
            </w:r>
          </w:p>
        </w:tc>
        <w:tc>
          <w:tcPr>
            <w:tcW w:w="1440" w:type="dxa"/>
            <w:noWrap/>
            <w:hideMark/>
          </w:tcPr>
          <w:p w14:paraId="1A55CC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89B11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901EC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17631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0092</w:t>
            </w:r>
          </w:p>
        </w:tc>
        <w:tc>
          <w:tcPr>
            <w:tcW w:w="2880" w:type="dxa"/>
            <w:noWrap/>
            <w:hideMark/>
          </w:tcPr>
          <w:p w14:paraId="44427C9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Essex</w:t>
            </w:r>
          </w:p>
        </w:tc>
        <w:tc>
          <w:tcPr>
            <w:tcW w:w="1455" w:type="dxa"/>
            <w:noWrap/>
            <w:hideMark/>
          </w:tcPr>
          <w:p w14:paraId="45B3A9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$3,864,273</w:t>
            </w:r>
          </w:p>
        </w:tc>
        <w:tc>
          <w:tcPr>
            <w:tcW w:w="1440" w:type="dxa"/>
            <w:noWrap/>
            <w:hideMark/>
          </w:tcPr>
          <w:p w14:paraId="188875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106.4%</w:t>
            </w:r>
          </w:p>
        </w:tc>
        <w:tc>
          <w:tcPr>
            <w:tcW w:w="1440" w:type="dxa"/>
            <w:noWrap/>
            <w:hideMark/>
          </w:tcPr>
          <w:p w14:paraId="461B1B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904610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92.9%</w:t>
            </w:r>
          </w:p>
        </w:tc>
        <w:tc>
          <w:tcPr>
            <w:tcW w:w="1455" w:type="dxa"/>
            <w:noWrap/>
            <w:hideMark/>
          </w:tcPr>
          <w:p w14:paraId="580B1F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$5,806,523</w:t>
            </w:r>
          </w:p>
        </w:tc>
        <w:tc>
          <w:tcPr>
            <w:tcW w:w="1440" w:type="dxa"/>
            <w:noWrap/>
            <w:hideMark/>
          </w:tcPr>
          <w:p w14:paraId="3DD4FE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101.3%</w:t>
            </w:r>
          </w:p>
        </w:tc>
        <w:tc>
          <w:tcPr>
            <w:tcW w:w="1440" w:type="dxa"/>
            <w:noWrap/>
            <w:hideMark/>
          </w:tcPr>
          <w:p w14:paraId="2F29A7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C1913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w:t>
            </w:r>
          </w:p>
        </w:tc>
      </w:tr>
      <w:tr w:rsidR="006253A9" w:rsidRPr="006253A9" w14:paraId="273FBB9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9E3A91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0093</w:t>
            </w:r>
          </w:p>
        </w:tc>
        <w:tc>
          <w:tcPr>
            <w:tcW w:w="2880" w:type="dxa"/>
            <w:noWrap/>
            <w:hideMark/>
          </w:tcPr>
          <w:p w14:paraId="2DDB759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Everett</w:t>
            </w:r>
          </w:p>
        </w:tc>
        <w:tc>
          <w:tcPr>
            <w:tcW w:w="1455" w:type="dxa"/>
            <w:noWrap/>
            <w:hideMark/>
          </w:tcPr>
          <w:p w14:paraId="573AA9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$48,219,580</w:t>
            </w:r>
          </w:p>
        </w:tc>
        <w:tc>
          <w:tcPr>
            <w:tcW w:w="1440" w:type="dxa"/>
            <w:noWrap/>
            <w:hideMark/>
          </w:tcPr>
          <w:p w14:paraId="0093BA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47.8%</w:t>
            </w:r>
          </w:p>
        </w:tc>
        <w:tc>
          <w:tcPr>
            <w:tcW w:w="1440" w:type="dxa"/>
            <w:noWrap/>
            <w:hideMark/>
          </w:tcPr>
          <w:p w14:paraId="3E68E5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47.8%</w:t>
            </w:r>
          </w:p>
        </w:tc>
        <w:tc>
          <w:tcPr>
            <w:tcW w:w="1440" w:type="dxa"/>
            <w:noWrap/>
            <w:hideMark/>
          </w:tcPr>
          <w:p w14:paraId="592718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52.0%</w:t>
            </w:r>
          </w:p>
        </w:tc>
        <w:tc>
          <w:tcPr>
            <w:tcW w:w="1455" w:type="dxa"/>
            <w:noWrap/>
            <w:hideMark/>
          </w:tcPr>
          <w:p w14:paraId="4BE9C5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$105,617,503</w:t>
            </w:r>
          </w:p>
        </w:tc>
        <w:tc>
          <w:tcPr>
            <w:tcW w:w="1440" w:type="dxa"/>
            <w:noWrap/>
            <w:hideMark/>
          </w:tcPr>
          <w:p w14:paraId="624C17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32.3%</w:t>
            </w:r>
          </w:p>
        </w:tc>
        <w:tc>
          <w:tcPr>
            <w:tcW w:w="1440" w:type="dxa"/>
            <w:noWrap/>
            <w:hideMark/>
          </w:tcPr>
          <w:p w14:paraId="1C21DD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32.3%</w:t>
            </w:r>
          </w:p>
        </w:tc>
        <w:tc>
          <w:tcPr>
            <w:tcW w:w="1440" w:type="dxa"/>
            <w:noWrap/>
            <w:hideMark/>
          </w:tcPr>
          <w:p w14:paraId="5A3110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29.0%</w:t>
            </w:r>
          </w:p>
        </w:tc>
      </w:tr>
      <w:tr w:rsidR="006253A9" w:rsidRPr="006253A9" w14:paraId="19D35A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0CB02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0094</w:t>
            </w:r>
          </w:p>
        </w:tc>
        <w:tc>
          <w:tcPr>
            <w:tcW w:w="2880" w:type="dxa"/>
            <w:noWrap/>
            <w:hideMark/>
          </w:tcPr>
          <w:p w14:paraId="28CDA9C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Fairhaven</w:t>
            </w:r>
          </w:p>
        </w:tc>
        <w:tc>
          <w:tcPr>
            <w:tcW w:w="1455" w:type="dxa"/>
            <w:noWrap/>
            <w:hideMark/>
          </w:tcPr>
          <w:p w14:paraId="74F6C4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$19,309,028</w:t>
            </w:r>
          </w:p>
        </w:tc>
        <w:tc>
          <w:tcPr>
            <w:tcW w:w="1440" w:type="dxa"/>
            <w:noWrap/>
            <w:hideMark/>
          </w:tcPr>
          <w:p w14:paraId="39EADA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56.2%</w:t>
            </w:r>
          </w:p>
        </w:tc>
        <w:tc>
          <w:tcPr>
            <w:tcW w:w="1440" w:type="dxa"/>
            <w:noWrap/>
            <w:hideMark/>
          </w:tcPr>
          <w:p w14:paraId="01D405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56.2%</w:t>
            </w:r>
          </w:p>
        </w:tc>
        <w:tc>
          <w:tcPr>
            <w:tcW w:w="1440" w:type="dxa"/>
            <w:noWrap/>
            <w:hideMark/>
          </w:tcPr>
          <w:p w14:paraId="3DF232D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54.9%</w:t>
            </w:r>
          </w:p>
        </w:tc>
        <w:tc>
          <w:tcPr>
            <w:tcW w:w="1455" w:type="dxa"/>
            <w:noWrap/>
            <w:hideMark/>
          </w:tcPr>
          <w:p w14:paraId="0F958B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$23,689,394</w:t>
            </w:r>
          </w:p>
        </w:tc>
        <w:tc>
          <w:tcPr>
            <w:tcW w:w="1440" w:type="dxa"/>
            <w:noWrap/>
            <w:hideMark/>
          </w:tcPr>
          <w:p w14:paraId="7721D1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60.9%</w:t>
            </w:r>
          </w:p>
        </w:tc>
        <w:tc>
          <w:tcPr>
            <w:tcW w:w="1440" w:type="dxa"/>
            <w:noWrap/>
            <w:hideMark/>
          </w:tcPr>
          <w:p w14:paraId="6777AF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60.9%</w:t>
            </w:r>
          </w:p>
        </w:tc>
        <w:tc>
          <w:tcPr>
            <w:tcW w:w="1440" w:type="dxa"/>
            <w:noWrap/>
            <w:hideMark/>
          </w:tcPr>
          <w:p w14:paraId="75996C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60.2%</w:t>
            </w:r>
          </w:p>
        </w:tc>
      </w:tr>
      <w:tr w:rsidR="006253A9" w:rsidRPr="006253A9" w14:paraId="0E56E47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C47E08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0095</w:t>
            </w:r>
          </w:p>
        </w:tc>
        <w:tc>
          <w:tcPr>
            <w:tcW w:w="2880" w:type="dxa"/>
            <w:noWrap/>
            <w:hideMark/>
          </w:tcPr>
          <w:p w14:paraId="4C7D43F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Fall River</w:t>
            </w:r>
          </w:p>
        </w:tc>
        <w:tc>
          <w:tcPr>
            <w:tcW w:w="1455" w:type="dxa"/>
            <w:noWrap/>
            <w:hideMark/>
          </w:tcPr>
          <w:p w14:paraId="7CA4C8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$118,587,090</w:t>
            </w:r>
          </w:p>
        </w:tc>
        <w:tc>
          <w:tcPr>
            <w:tcW w:w="1440" w:type="dxa"/>
            <w:noWrap/>
            <w:hideMark/>
          </w:tcPr>
          <w:p w14:paraId="58A211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29.5%</w:t>
            </w:r>
          </w:p>
        </w:tc>
        <w:tc>
          <w:tcPr>
            <w:tcW w:w="1440" w:type="dxa"/>
            <w:noWrap/>
            <w:hideMark/>
          </w:tcPr>
          <w:p w14:paraId="5C8E7F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29.5%</w:t>
            </w:r>
          </w:p>
        </w:tc>
        <w:tc>
          <w:tcPr>
            <w:tcW w:w="1440" w:type="dxa"/>
            <w:noWrap/>
            <w:hideMark/>
          </w:tcPr>
          <w:p w14:paraId="61C24D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w:t>
            </w:r>
          </w:p>
        </w:tc>
        <w:tc>
          <w:tcPr>
            <w:tcW w:w="1455" w:type="dxa"/>
            <w:noWrap/>
            <w:hideMark/>
          </w:tcPr>
          <w:p w14:paraId="761A78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$181,704,454</w:t>
            </w:r>
          </w:p>
        </w:tc>
        <w:tc>
          <w:tcPr>
            <w:tcW w:w="1440" w:type="dxa"/>
            <w:noWrap/>
            <w:hideMark/>
          </w:tcPr>
          <w:p w14:paraId="7086ED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23.2%</w:t>
            </w:r>
          </w:p>
        </w:tc>
        <w:tc>
          <w:tcPr>
            <w:tcW w:w="1440" w:type="dxa"/>
            <w:noWrap/>
            <w:hideMark/>
          </w:tcPr>
          <w:p w14:paraId="03506B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23.2%</w:t>
            </w:r>
          </w:p>
        </w:tc>
        <w:tc>
          <w:tcPr>
            <w:tcW w:w="1440" w:type="dxa"/>
            <w:noWrap/>
            <w:hideMark/>
          </w:tcPr>
          <w:p w14:paraId="3F2BCC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w:t>
            </w:r>
          </w:p>
        </w:tc>
      </w:tr>
      <w:tr w:rsidR="006253A9" w:rsidRPr="006253A9" w14:paraId="1B59A7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687396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0096</w:t>
            </w:r>
          </w:p>
        </w:tc>
        <w:tc>
          <w:tcPr>
            <w:tcW w:w="2880" w:type="dxa"/>
            <w:noWrap/>
            <w:hideMark/>
          </w:tcPr>
          <w:p w14:paraId="7CB27A5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Falmouth</w:t>
            </w:r>
          </w:p>
        </w:tc>
        <w:tc>
          <w:tcPr>
            <w:tcW w:w="1455" w:type="dxa"/>
            <w:noWrap/>
            <w:hideMark/>
          </w:tcPr>
          <w:p w14:paraId="660C25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$33,566,843</w:t>
            </w:r>
          </w:p>
        </w:tc>
        <w:tc>
          <w:tcPr>
            <w:tcW w:w="1440" w:type="dxa"/>
            <w:noWrap/>
            <w:hideMark/>
          </w:tcPr>
          <w:p w14:paraId="7B06E3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134.2%</w:t>
            </w:r>
          </w:p>
        </w:tc>
        <w:tc>
          <w:tcPr>
            <w:tcW w:w="1440" w:type="dxa"/>
            <w:noWrap/>
            <w:hideMark/>
          </w:tcPr>
          <w:p w14:paraId="525D52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12F6F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104.2%</w:t>
            </w:r>
          </w:p>
        </w:tc>
        <w:tc>
          <w:tcPr>
            <w:tcW w:w="1455" w:type="dxa"/>
            <w:noWrap/>
            <w:hideMark/>
          </w:tcPr>
          <w:p w14:paraId="73D7FD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$41,215,035</w:t>
            </w:r>
          </w:p>
        </w:tc>
        <w:tc>
          <w:tcPr>
            <w:tcW w:w="1440" w:type="dxa"/>
            <w:noWrap/>
            <w:hideMark/>
          </w:tcPr>
          <w:p w14:paraId="401DFE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147.8%</w:t>
            </w:r>
          </w:p>
        </w:tc>
        <w:tc>
          <w:tcPr>
            <w:tcW w:w="1440" w:type="dxa"/>
            <w:noWrap/>
            <w:hideMark/>
          </w:tcPr>
          <w:p w14:paraId="59CC25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7D1EC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2114A6D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984982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0097</w:t>
            </w:r>
          </w:p>
        </w:tc>
        <w:tc>
          <w:tcPr>
            <w:tcW w:w="2880" w:type="dxa"/>
            <w:noWrap/>
            <w:hideMark/>
          </w:tcPr>
          <w:p w14:paraId="4ECF287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Fitchburg</w:t>
            </w:r>
          </w:p>
        </w:tc>
        <w:tc>
          <w:tcPr>
            <w:tcW w:w="1455" w:type="dxa"/>
            <w:noWrap/>
            <w:hideMark/>
          </w:tcPr>
          <w:p w14:paraId="7C4FBA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$56,958,311</w:t>
            </w:r>
          </w:p>
        </w:tc>
        <w:tc>
          <w:tcPr>
            <w:tcW w:w="1440" w:type="dxa"/>
            <w:noWrap/>
            <w:hideMark/>
          </w:tcPr>
          <w:p w14:paraId="19BCB5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28.6%</w:t>
            </w:r>
          </w:p>
        </w:tc>
        <w:tc>
          <w:tcPr>
            <w:tcW w:w="1440" w:type="dxa"/>
            <w:noWrap/>
            <w:hideMark/>
          </w:tcPr>
          <w:p w14:paraId="7795DB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28.6%</w:t>
            </w:r>
          </w:p>
        </w:tc>
        <w:tc>
          <w:tcPr>
            <w:tcW w:w="1440" w:type="dxa"/>
            <w:noWrap/>
            <w:hideMark/>
          </w:tcPr>
          <w:p w14:paraId="4B117E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w:t>
            </w:r>
          </w:p>
        </w:tc>
        <w:tc>
          <w:tcPr>
            <w:tcW w:w="1455" w:type="dxa"/>
            <w:noWrap/>
            <w:hideMark/>
          </w:tcPr>
          <w:p w14:paraId="792C3B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$81,932,710</w:t>
            </w:r>
          </w:p>
        </w:tc>
        <w:tc>
          <w:tcPr>
            <w:tcW w:w="1440" w:type="dxa"/>
            <w:noWrap/>
            <w:hideMark/>
          </w:tcPr>
          <w:p w14:paraId="30EAA2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25.0%</w:t>
            </w:r>
          </w:p>
        </w:tc>
        <w:tc>
          <w:tcPr>
            <w:tcW w:w="1440" w:type="dxa"/>
            <w:noWrap/>
            <w:hideMark/>
          </w:tcPr>
          <w:p w14:paraId="347574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25.0%</w:t>
            </w:r>
          </w:p>
        </w:tc>
        <w:tc>
          <w:tcPr>
            <w:tcW w:w="1440" w:type="dxa"/>
            <w:noWrap/>
            <w:hideMark/>
          </w:tcPr>
          <w:p w14:paraId="18F243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24.7%</w:t>
            </w:r>
          </w:p>
        </w:tc>
      </w:tr>
      <w:tr w:rsidR="006253A9" w:rsidRPr="006253A9" w14:paraId="1150C90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50A2E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0098</w:t>
            </w:r>
          </w:p>
        </w:tc>
        <w:tc>
          <w:tcPr>
            <w:tcW w:w="2880" w:type="dxa"/>
            <w:noWrap/>
            <w:hideMark/>
          </w:tcPr>
          <w:p w14:paraId="20863EE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Florida</w:t>
            </w:r>
          </w:p>
        </w:tc>
        <w:tc>
          <w:tcPr>
            <w:tcW w:w="1455" w:type="dxa"/>
            <w:noWrap/>
            <w:hideMark/>
          </w:tcPr>
          <w:p w14:paraId="5926F1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$1,170,061</w:t>
            </w:r>
          </w:p>
        </w:tc>
        <w:tc>
          <w:tcPr>
            <w:tcW w:w="1440" w:type="dxa"/>
            <w:noWrap/>
            <w:hideMark/>
          </w:tcPr>
          <w:p w14:paraId="4614BBB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40.9%</w:t>
            </w:r>
          </w:p>
        </w:tc>
        <w:tc>
          <w:tcPr>
            <w:tcW w:w="1440" w:type="dxa"/>
            <w:noWrap/>
            <w:hideMark/>
          </w:tcPr>
          <w:p w14:paraId="247371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40.9%</w:t>
            </w:r>
          </w:p>
        </w:tc>
        <w:tc>
          <w:tcPr>
            <w:tcW w:w="1440" w:type="dxa"/>
            <w:noWrap/>
            <w:hideMark/>
          </w:tcPr>
          <w:p w14:paraId="7BCE1B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45.6%</w:t>
            </w:r>
          </w:p>
        </w:tc>
        <w:tc>
          <w:tcPr>
            <w:tcW w:w="1455" w:type="dxa"/>
            <w:noWrap/>
            <w:hideMark/>
          </w:tcPr>
          <w:p w14:paraId="2CF241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$1,056,873</w:t>
            </w:r>
          </w:p>
        </w:tc>
        <w:tc>
          <w:tcPr>
            <w:tcW w:w="1440" w:type="dxa"/>
            <w:noWrap/>
            <w:hideMark/>
          </w:tcPr>
          <w:p w14:paraId="64BB7D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59.6%</w:t>
            </w:r>
          </w:p>
        </w:tc>
        <w:tc>
          <w:tcPr>
            <w:tcW w:w="1440" w:type="dxa"/>
            <w:noWrap/>
            <w:hideMark/>
          </w:tcPr>
          <w:p w14:paraId="07C747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59.6%</w:t>
            </w:r>
          </w:p>
        </w:tc>
        <w:tc>
          <w:tcPr>
            <w:tcW w:w="1440" w:type="dxa"/>
            <w:noWrap/>
            <w:hideMark/>
          </w:tcPr>
          <w:p w14:paraId="030C7E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59.6%</w:t>
            </w:r>
          </w:p>
        </w:tc>
      </w:tr>
      <w:tr w:rsidR="006253A9" w:rsidRPr="006253A9" w14:paraId="4E2DC7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33C0A9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0099</w:t>
            </w:r>
          </w:p>
        </w:tc>
        <w:tc>
          <w:tcPr>
            <w:tcW w:w="2880" w:type="dxa"/>
            <w:noWrap/>
            <w:hideMark/>
          </w:tcPr>
          <w:p w14:paraId="116F7B4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Foxborough</w:t>
            </w:r>
          </w:p>
        </w:tc>
        <w:tc>
          <w:tcPr>
            <w:tcW w:w="1455" w:type="dxa"/>
            <w:noWrap/>
            <w:hideMark/>
          </w:tcPr>
          <w:p w14:paraId="7CD847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$24,191,967</w:t>
            </w:r>
          </w:p>
        </w:tc>
        <w:tc>
          <w:tcPr>
            <w:tcW w:w="1440" w:type="dxa"/>
            <w:noWrap/>
            <w:hideMark/>
          </w:tcPr>
          <w:p w14:paraId="102D80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65.9%</w:t>
            </w:r>
          </w:p>
        </w:tc>
        <w:tc>
          <w:tcPr>
            <w:tcW w:w="1440" w:type="dxa"/>
            <w:noWrap/>
            <w:hideMark/>
          </w:tcPr>
          <w:p w14:paraId="3CAD3B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65.9%</w:t>
            </w:r>
          </w:p>
        </w:tc>
        <w:tc>
          <w:tcPr>
            <w:tcW w:w="1440" w:type="dxa"/>
            <w:noWrap/>
            <w:hideMark/>
          </w:tcPr>
          <w:p w14:paraId="5CBEED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68.5%</w:t>
            </w:r>
          </w:p>
        </w:tc>
        <w:tc>
          <w:tcPr>
            <w:tcW w:w="1455" w:type="dxa"/>
            <w:noWrap/>
            <w:hideMark/>
          </w:tcPr>
          <w:p w14:paraId="23AC7B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$29,707,525</w:t>
            </w:r>
          </w:p>
        </w:tc>
        <w:tc>
          <w:tcPr>
            <w:tcW w:w="1440" w:type="dxa"/>
            <w:noWrap/>
            <w:hideMark/>
          </w:tcPr>
          <w:p w14:paraId="2B0F08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84.6%</w:t>
            </w:r>
          </w:p>
        </w:tc>
        <w:tc>
          <w:tcPr>
            <w:tcW w:w="1440" w:type="dxa"/>
            <w:noWrap/>
            <w:hideMark/>
          </w:tcPr>
          <w:p w14:paraId="7ACFC2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F5F18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82.2%</w:t>
            </w:r>
          </w:p>
        </w:tc>
      </w:tr>
      <w:tr w:rsidR="006253A9" w:rsidRPr="006253A9" w14:paraId="57E1C91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59384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0100</w:t>
            </w:r>
          </w:p>
        </w:tc>
        <w:tc>
          <w:tcPr>
            <w:tcW w:w="2880" w:type="dxa"/>
            <w:noWrap/>
            <w:hideMark/>
          </w:tcPr>
          <w:p w14:paraId="72D0270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Framingham</w:t>
            </w:r>
          </w:p>
        </w:tc>
        <w:tc>
          <w:tcPr>
            <w:tcW w:w="1455" w:type="dxa"/>
            <w:noWrap/>
            <w:hideMark/>
          </w:tcPr>
          <w:p w14:paraId="3676E6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$76,386,707</w:t>
            </w:r>
          </w:p>
        </w:tc>
        <w:tc>
          <w:tcPr>
            <w:tcW w:w="1440" w:type="dxa"/>
            <w:noWrap/>
            <w:hideMark/>
          </w:tcPr>
          <w:p w14:paraId="0A831D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72.6%</w:t>
            </w:r>
          </w:p>
        </w:tc>
        <w:tc>
          <w:tcPr>
            <w:tcW w:w="1440" w:type="dxa"/>
            <w:noWrap/>
            <w:hideMark/>
          </w:tcPr>
          <w:p w14:paraId="631BFF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72.6%</w:t>
            </w:r>
          </w:p>
        </w:tc>
        <w:tc>
          <w:tcPr>
            <w:tcW w:w="1440" w:type="dxa"/>
            <w:noWrap/>
            <w:hideMark/>
          </w:tcPr>
          <w:p w14:paraId="441EB4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88.9%</w:t>
            </w:r>
          </w:p>
        </w:tc>
        <w:tc>
          <w:tcPr>
            <w:tcW w:w="1455" w:type="dxa"/>
            <w:noWrap/>
            <w:hideMark/>
          </w:tcPr>
          <w:p w14:paraId="68F3BF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$124,155,630</w:t>
            </w:r>
          </w:p>
        </w:tc>
        <w:tc>
          <w:tcPr>
            <w:tcW w:w="1440" w:type="dxa"/>
            <w:noWrap/>
            <w:hideMark/>
          </w:tcPr>
          <w:p w14:paraId="6A189D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57.3%</w:t>
            </w:r>
          </w:p>
        </w:tc>
        <w:tc>
          <w:tcPr>
            <w:tcW w:w="1440" w:type="dxa"/>
            <w:noWrap/>
            <w:hideMark/>
          </w:tcPr>
          <w:p w14:paraId="4D52D2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57.3%</w:t>
            </w:r>
          </w:p>
        </w:tc>
        <w:tc>
          <w:tcPr>
            <w:tcW w:w="1440" w:type="dxa"/>
            <w:noWrap/>
            <w:hideMark/>
          </w:tcPr>
          <w:p w14:paraId="7D704A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55.4%</w:t>
            </w:r>
          </w:p>
        </w:tc>
      </w:tr>
      <w:tr w:rsidR="006253A9" w:rsidRPr="006253A9" w14:paraId="7D7F97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EB97F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0101</w:t>
            </w:r>
          </w:p>
        </w:tc>
        <w:tc>
          <w:tcPr>
            <w:tcW w:w="2880" w:type="dxa"/>
            <w:noWrap/>
            <w:hideMark/>
          </w:tcPr>
          <w:p w14:paraId="6831FC8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Franklin</w:t>
            </w:r>
          </w:p>
        </w:tc>
        <w:tc>
          <w:tcPr>
            <w:tcW w:w="1455" w:type="dxa"/>
            <w:noWrap/>
            <w:hideMark/>
          </w:tcPr>
          <w:p w14:paraId="60B1B5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$50,421,238</w:t>
            </w:r>
          </w:p>
        </w:tc>
        <w:tc>
          <w:tcPr>
            <w:tcW w:w="1440" w:type="dxa"/>
            <w:noWrap/>
            <w:hideMark/>
          </w:tcPr>
          <w:p w14:paraId="1C896C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56.3%</w:t>
            </w:r>
          </w:p>
        </w:tc>
        <w:tc>
          <w:tcPr>
            <w:tcW w:w="1440" w:type="dxa"/>
            <w:noWrap/>
            <w:hideMark/>
          </w:tcPr>
          <w:p w14:paraId="5F0E0E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56.3%</w:t>
            </w:r>
          </w:p>
        </w:tc>
        <w:tc>
          <w:tcPr>
            <w:tcW w:w="1440" w:type="dxa"/>
            <w:noWrap/>
            <w:hideMark/>
          </w:tcPr>
          <w:p w14:paraId="3949C7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47.5%</w:t>
            </w:r>
          </w:p>
        </w:tc>
        <w:tc>
          <w:tcPr>
            <w:tcW w:w="1455" w:type="dxa"/>
            <w:noWrap/>
            <w:hideMark/>
          </w:tcPr>
          <w:p w14:paraId="5E7A18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$63,388,509</w:t>
            </w:r>
          </w:p>
        </w:tc>
        <w:tc>
          <w:tcPr>
            <w:tcW w:w="1440" w:type="dxa"/>
            <w:noWrap/>
            <w:hideMark/>
          </w:tcPr>
          <w:p w14:paraId="0D037A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67.7%</w:t>
            </w:r>
          </w:p>
        </w:tc>
        <w:tc>
          <w:tcPr>
            <w:tcW w:w="1440" w:type="dxa"/>
            <w:noWrap/>
            <w:hideMark/>
          </w:tcPr>
          <w:p w14:paraId="598308A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67.7%</w:t>
            </w:r>
          </w:p>
        </w:tc>
        <w:tc>
          <w:tcPr>
            <w:tcW w:w="1440" w:type="dxa"/>
            <w:noWrap/>
            <w:hideMark/>
          </w:tcPr>
          <w:p w14:paraId="12EF32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67.2%</w:t>
            </w:r>
          </w:p>
        </w:tc>
      </w:tr>
      <w:tr w:rsidR="006253A9" w:rsidRPr="006253A9" w14:paraId="411881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D6ED4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0102</w:t>
            </w:r>
          </w:p>
        </w:tc>
        <w:tc>
          <w:tcPr>
            <w:tcW w:w="2880" w:type="dxa"/>
            <w:noWrap/>
            <w:hideMark/>
          </w:tcPr>
          <w:p w14:paraId="2A5A113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Freetown</w:t>
            </w:r>
          </w:p>
        </w:tc>
        <w:tc>
          <w:tcPr>
            <w:tcW w:w="1455" w:type="dxa"/>
            <w:noWrap/>
            <w:hideMark/>
          </w:tcPr>
          <w:p w14:paraId="5C5342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$11,013,199</w:t>
            </w:r>
          </w:p>
        </w:tc>
        <w:tc>
          <w:tcPr>
            <w:tcW w:w="1440" w:type="dxa"/>
            <w:noWrap/>
            <w:hideMark/>
          </w:tcPr>
          <w:p w14:paraId="013C21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63.7%</w:t>
            </w:r>
          </w:p>
        </w:tc>
        <w:tc>
          <w:tcPr>
            <w:tcW w:w="1440" w:type="dxa"/>
            <w:noWrap/>
            <w:hideMark/>
          </w:tcPr>
          <w:p w14:paraId="7AD248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63.7%</w:t>
            </w:r>
          </w:p>
        </w:tc>
        <w:tc>
          <w:tcPr>
            <w:tcW w:w="1440" w:type="dxa"/>
            <w:noWrap/>
            <w:hideMark/>
          </w:tcPr>
          <w:p w14:paraId="7033CE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70.2%</w:t>
            </w:r>
          </w:p>
        </w:tc>
        <w:tc>
          <w:tcPr>
            <w:tcW w:w="1455" w:type="dxa"/>
            <w:noWrap/>
            <w:hideMark/>
          </w:tcPr>
          <w:p w14:paraId="0E8AFF8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$14,329,953</w:t>
            </w:r>
          </w:p>
        </w:tc>
        <w:tc>
          <w:tcPr>
            <w:tcW w:w="1440" w:type="dxa"/>
            <w:noWrap/>
            <w:hideMark/>
          </w:tcPr>
          <w:p w14:paraId="0579E6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68.6%</w:t>
            </w:r>
          </w:p>
        </w:tc>
        <w:tc>
          <w:tcPr>
            <w:tcW w:w="1440" w:type="dxa"/>
            <w:noWrap/>
            <w:hideMark/>
          </w:tcPr>
          <w:p w14:paraId="309799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68.6%</w:t>
            </w:r>
          </w:p>
        </w:tc>
        <w:tc>
          <w:tcPr>
            <w:tcW w:w="1440" w:type="dxa"/>
            <w:noWrap/>
            <w:hideMark/>
          </w:tcPr>
          <w:p w14:paraId="42F4B6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67.3%</w:t>
            </w:r>
          </w:p>
        </w:tc>
      </w:tr>
      <w:tr w:rsidR="006253A9" w:rsidRPr="006253A9" w14:paraId="57388DC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3E013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0103</w:t>
            </w:r>
          </w:p>
        </w:tc>
        <w:tc>
          <w:tcPr>
            <w:tcW w:w="2880" w:type="dxa"/>
            <w:noWrap/>
            <w:hideMark/>
          </w:tcPr>
          <w:p w14:paraId="39C0C4A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Gardner</w:t>
            </w:r>
          </w:p>
        </w:tc>
        <w:tc>
          <w:tcPr>
            <w:tcW w:w="1455" w:type="dxa"/>
            <w:noWrap/>
            <w:hideMark/>
          </w:tcPr>
          <w:p w14:paraId="33457E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$25,954,965</w:t>
            </w:r>
          </w:p>
        </w:tc>
        <w:tc>
          <w:tcPr>
            <w:tcW w:w="1440" w:type="dxa"/>
            <w:noWrap/>
            <w:hideMark/>
          </w:tcPr>
          <w:p w14:paraId="0BFFDA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34.9%</w:t>
            </w:r>
          </w:p>
        </w:tc>
        <w:tc>
          <w:tcPr>
            <w:tcW w:w="1440" w:type="dxa"/>
            <w:noWrap/>
            <w:hideMark/>
          </w:tcPr>
          <w:p w14:paraId="717A06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34.9%</w:t>
            </w:r>
          </w:p>
        </w:tc>
        <w:tc>
          <w:tcPr>
            <w:tcW w:w="1440" w:type="dxa"/>
            <w:noWrap/>
            <w:hideMark/>
          </w:tcPr>
          <w:p w14:paraId="716B4F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24.0%</w:t>
            </w:r>
          </w:p>
        </w:tc>
        <w:tc>
          <w:tcPr>
            <w:tcW w:w="1455" w:type="dxa"/>
            <w:noWrap/>
            <w:hideMark/>
          </w:tcPr>
          <w:p w14:paraId="3CDAE2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$33,733,578</w:t>
            </w:r>
          </w:p>
        </w:tc>
        <w:tc>
          <w:tcPr>
            <w:tcW w:w="1440" w:type="dxa"/>
            <w:noWrap/>
            <w:hideMark/>
          </w:tcPr>
          <w:p w14:paraId="342B65B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31.8%</w:t>
            </w:r>
          </w:p>
        </w:tc>
        <w:tc>
          <w:tcPr>
            <w:tcW w:w="1440" w:type="dxa"/>
            <w:noWrap/>
            <w:hideMark/>
          </w:tcPr>
          <w:p w14:paraId="7FE962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31.8%</w:t>
            </w:r>
          </w:p>
        </w:tc>
        <w:tc>
          <w:tcPr>
            <w:tcW w:w="1440" w:type="dxa"/>
            <w:noWrap/>
            <w:hideMark/>
          </w:tcPr>
          <w:p w14:paraId="376C77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31.0%</w:t>
            </w:r>
          </w:p>
        </w:tc>
      </w:tr>
      <w:tr w:rsidR="006253A9" w:rsidRPr="006253A9" w14:paraId="7014787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A4DCC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0104</w:t>
            </w:r>
          </w:p>
        </w:tc>
        <w:tc>
          <w:tcPr>
            <w:tcW w:w="2880" w:type="dxa"/>
            <w:noWrap/>
            <w:hideMark/>
          </w:tcPr>
          <w:p w14:paraId="62B64F9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Aquinnah</w:t>
            </w:r>
          </w:p>
        </w:tc>
        <w:tc>
          <w:tcPr>
            <w:tcW w:w="1455" w:type="dxa"/>
            <w:noWrap/>
            <w:hideMark/>
          </w:tcPr>
          <w:p w14:paraId="07189F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$469,890</w:t>
            </w:r>
          </w:p>
        </w:tc>
        <w:tc>
          <w:tcPr>
            <w:tcW w:w="1440" w:type="dxa"/>
            <w:noWrap/>
            <w:hideMark/>
          </w:tcPr>
          <w:p w14:paraId="56A0B3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382.2%</w:t>
            </w:r>
          </w:p>
        </w:tc>
        <w:tc>
          <w:tcPr>
            <w:tcW w:w="1440" w:type="dxa"/>
            <w:noWrap/>
            <w:hideMark/>
          </w:tcPr>
          <w:p w14:paraId="6E0F7F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3ADD3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w:t>
            </w:r>
          </w:p>
        </w:tc>
        <w:tc>
          <w:tcPr>
            <w:tcW w:w="1455" w:type="dxa"/>
            <w:noWrap/>
            <w:hideMark/>
          </w:tcPr>
          <w:p w14:paraId="1E8EC7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$744,703</w:t>
            </w:r>
          </w:p>
        </w:tc>
        <w:tc>
          <w:tcPr>
            <w:tcW w:w="1440" w:type="dxa"/>
            <w:noWrap/>
            <w:hideMark/>
          </w:tcPr>
          <w:p w14:paraId="6679CD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379.9%</w:t>
            </w:r>
          </w:p>
        </w:tc>
        <w:tc>
          <w:tcPr>
            <w:tcW w:w="1440" w:type="dxa"/>
            <w:noWrap/>
            <w:hideMark/>
          </w:tcPr>
          <w:p w14:paraId="69DDB2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91685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058C65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C5DABD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0105</w:t>
            </w:r>
          </w:p>
        </w:tc>
        <w:tc>
          <w:tcPr>
            <w:tcW w:w="2880" w:type="dxa"/>
            <w:noWrap/>
            <w:hideMark/>
          </w:tcPr>
          <w:p w14:paraId="10955B4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Georgetown</w:t>
            </w:r>
          </w:p>
        </w:tc>
        <w:tc>
          <w:tcPr>
            <w:tcW w:w="1455" w:type="dxa"/>
            <w:noWrap/>
            <w:hideMark/>
          </w:tcPr>
          <w:p w14:paraId="4CDA76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$11,300,521</w:t>
            </w:r>
          </w:p>
        </w:tc>
        <w:tc>
          <w:tcPr>
            <w:tcW w:w="1440" w:type="dxa"/>
            <w:noWrap/>
            <w:hideMark/>
          </w:tcPr>
          <w:p w14:paraId="73FDF4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65.3%</w:t>
            </w:r>
          </w:p>
        </w:tc>
        <w:tc>
          <w:tcPr>
            <w:tcW w:w="1440" w:type="dxa"/>
            <w:noWrap/>
            <w:hideMark/>
          </w:tcPr>
          <w:p w14:paraId="70A1BE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65.3%</w:t>
            </w:r>
          </w:p>
        </w:tc>
        <w:tc>
          <w:tcPr>
            <w:tcW w:w="1440" w:type="dxa"/>
            <w:noWrap/>
            <w:hideMark/>
          </w:tcPr>
          <w:p w14:paraId="080449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w:t>
            </w:r>
          </w:p>
        </w:tc>
        <w:tc>
          <w:tcPr>
            <w:tcW w:w="1455" w:type="dxa"/>
            <w:noWrap/>
            <w:hideMark/>
          </w:tcPr>
          <w:p w14:paraId="27939B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$13,948,241</w:t>
            </w:r>
          </w:p>
        </w:tc>
        <w:tc>
          <w:tcPr>
            <w:tcW w:w="1440" w:type="dxa"/>
            <w:noWrap/>
            <w:hideMark/>
          </w:tcPr>
          <w:p w14:paraId="64D297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78.7%</w:t>
            </w:r>
          </w:p>
        </w:tc>
        <w:tc>
          <w:tcPr>
            <w:tcW w:w="1440" w:type="dxa"/>
            <w:noWrap/>
            <w:hideMark/>
          </w:tcPr>
          <w:p w14:paraId="7E00D0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78.7%</w:t>
            </w:r>
          </w:p>
        </w:tc>
        <w:tc>
          <w:tcPr>
            <w:tcW w:w="1440" w:type="dxa"/>
            <w:noWrap/>
            <w:hideMark/>
          </w:tcPr>
          <w:p w14:paraId="0049F5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77.0%</w:t>
            </w:r>
          </w:p>
        </w:tc>
      </w:tr>
      <w:tr w:rsidR="006253A9" w:rsidRPr="006253A9" w14:paraId="2E4C83A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BDC17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0106</w:t>
            </w:r>
          </w:p>
        </w:tc>
        <w:tc>
          <w:tcPr>
            <w:tcW w:w="2880" w:type="dxa"/>
            <w:noWrap/>
            <w:hideMark/>
          </w:tcPr>
          <w:p w14:paraId="02B49E0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Gill</w:t>
            </w:r>
          </w:p>
        </w:tc>
        <w:tc>
          <w:tcPr>
            <w:tcW w:w="1455" w:type="dxa"/>
            <w:noWrap/>
            <w:hideMark/>
          </w:tcPr>
          <w:p w14:paraId="661EF5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$1,798,771</w:t>
            </w:r>
          </w:p>
        </w:tc>
        <w:tc>
          <w:tcPr>
            <w:tcW w:w="1440" w:type="dxa"/>
            <w:noWrap/>
            <w:hideMark/>
          </w:tcPr>
          <w:p w14:paraId="4CCA12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41.8%</w:t>
            </w:r>
          </w:p>
        </w:tc>
        <w:tc>
          <w:tcPr>
            <w:tcW w:w="1440" w:type="dxa"/>
            <w:noWrap/>
            <w:hideMark/>
          </w:tcPr>
          <w:p w14:paraId="7F3A37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41.8%</w:t>
            </w:r>
          </w:p>
        </w:tc>
        <w:tc>
          <w:tcPr>
            <w:tcW w:w="1440" w:type="dxa"/>
            <w:noWrap/>
            <w:hideMark/>
          </w:tcPr>
          <w:p w14:paraId="7760E7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49.3%</w:t>
            </w:r>
          </w:p>
        </w:tc>
        <w:tc>
          <w:tcPr>
            <w:tcW w:w="1455" w:type="dxa"/>
            <w:noWrap/>
            <w:hideMark/>
          </w:tcPr>
          <w:p w14:paraId="5BA265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$1,765,279</w:t>
            </w:r>
          </w:p>
        </w:tc>
        <w:tc>
          <w:tcPr>
            <w:tcW w:w="1440" w:type="dxa"/>
            <w:noWrap/>
            <w:hideMark/>
          </w:tcPr>
          <w:p w14:paraId="002DF51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c>
          <w:tcPr>
            <w:tcW w:w="1440" w:type="dxa"/>
            <w:noWrap/>
            <w:hideMark/>
          </w:tcPr>
          <w:p w14:paraId="7E2151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c>
          <w:tcPr>
            <w:tcW w:w="1440" w:type="dxa"/>
            <w:noWrap/>
            <w:hideMark/>
          </w:tcPr>
          <w:p w14:paraId="5F4327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r>
      <w:tr w:rsidR="006253A9" w:rsidRPr="006253A9" w14:paraId="1B796A0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63453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0107</w:t>
            </w:r>
          </w:p>
        </w:tc>
        <w:tc>
          <w:tcPr>
            <w:tcW w:w="2880" w:type="dxa"/>
            <w:noWrap/>
            <w:hideMark/>
          </w:tcPr>
          <w:p w14:paraId="2363BEA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Gloucester</w:t>
            </w:r>
          </w:p>
        </w:tc>
        <w:tc>
          <w:tcPr>
            <w:tcW w:w="1455" w:type="dxa"/>
            <w:noWrap/>
            <w:hideMark/>
          </w:tcPr>
          <w:p w14:paraId="4496CF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$33,349,812</w:t>
            </w:r>
          </w:p>
        </w:tc>
        <w:tc>
          <w:tcPr>
            <w:tcW w:w="1440" w:type="dxa"/>
            <w:noWrap/>
            <w:hideMark/>
          </w:tcPr>
          <w:p w14:paraId="689BE9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85.9%</w:t>
            </w:r>
          </w:p>
        </w:tc>
        <w:tc>
          <w:tcPr>
            <w:tcW w:w="1440" w:type="dxa"/>
            <w:noWrap/>
            <w:hideMark/>
          </w:tcPr>
          <w:p w14:paraId="4049AD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587B2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84.6%</w:t>
            </w:r>
          </w:p>
        </w:tc>
        <w:tc>
          <w:tcPr>
            <w:tcW w:w="1455" w:type="dxa"/>
            <w:noWrap/>
            <w:hideMark/>
          </w:tcPr>
          <w:p w14:paraId="21C9AC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$39,503,073</w:t>
            </w:r>
          </w:p>
        </w:tc>
        <w:tc>
          <w:tcPr>
            <w:tcW w:w="1440" w:type="dxa"/>
            <w:noWrap/>
            <w:hideMark/>
          </w:tcPr>
          <w:p w14:paraId="50E3D9A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100.6%</w:t>
            </w:r>
          </w:p>
        </w:tc>
        <w:tc>
          <w:tcPr>
            <w:tcW w:w="1440" w:type="dxa"/>
            <w:noWrap/>
            <w:hideMark/>
          </w:tcPr>
          <w:p w14:paraId="50224AD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E9DEC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r>
      <w:tr w:rsidR="006253A9" w:rsidRPr="006253A9" w14:paraId="3C3CECC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BE5BB4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0108</w:t>
            </w:r>
          </w:p>
        </w:tc>
        <w:tc>
          <w:tcPr>
            <w:tcW w:w="2880" w:type="dxa"/>
            <w:noWrap/>
            <w:hideMark/>
          </w:tcPr>
          <w:p w14:paraId="574D7A3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Goshen</w:t>
            </w:r>
          </w:p>
        </w:tc>
        <w:tc>
          <w:tcPr>
            <w:tcW w:w="1455" w:type="dxa"/>
            <w:noWrap/>
            <w:hideMark/>
          </w:tcPr>
          <w:p w14:paraId="525756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$1,050,234</w:t>
            </w:r>
          </w:p>
        </w:tc>
        <w:tc>
          <w:tcPr>
            <w:tcW w:w="1440" w:type="dxa"/>
            <w:noWrap/>
            <w:hideMark/>
          </w:tcPr>
          <w:p w14:paraId="7BAD55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47.9%</w:t>
            </w:r>
          </w:p>
        </w:tc>
        <w:tc>
          <w:tcPr>
            <w:tcW w:w="1440" w:type="dxa"/>
            <w:noWrap/>
            <w:hideMark/>
          </w:tcPr>
          <w:p w14:paraId="43C06A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47.9%</w:t>
            </w:r>
          </w:p>
        </w:tc>
        <w:tc>
          <w:tcPr>
            <w:tcW w:w="1440" w:type="dxa"/>
            <w:noWrap/>
            <w:hideMark/>
          </w:tcPr>
          <w:p w14:paraId="47CE9E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61.3%</w:t>
            </w:r>
          </w:p>
        </w:tc>
        <w:tc>
          <w:tcPr>
            <w:tcW w:w="1455" w:type="dxa"/>
            <w:noWrap/>
            <w:hideMark/>
          </w:tcPr>
          <w:p w14:paraId="5C9CE4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$1,207,610</w:t>
            </w:r>
          </w:p>
        </w:tc>
        <w:tc>
          <w:tcPr>
            <w:tcW w:w="1440" w:type="dxa"/>
            <w:noWrap/>
            <w:hideMark/>
          </w:tcPr>
          <w:p w14:paraId="09F77A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c>
          <w:tcPr>
            <w:tcW w:w="1440" w:type="dxa"/>
            <w:noWrap/>
            <w:hideMark/>
          </w:tcPr>
          <w:p w14:paraId="761B36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c>
          <w:tcPr>
            <w:tcW w:w="1440" w:type="dxa"/>
            <w:noWrap/>
            <w:hideMark/>
          </w:tcPr>
          <w:p w14:paraId="0D0CB9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r>
      <w:tr w:rsidR="006253A9" w:rsidRPr="006253A9" w14:paraId="684452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55807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0109</w:t>
            </w:r>
          </w:p>
        </w:tc>
        <w:tc>
          <w:tcPr>
            <w:tcW w:w="2880" w:type="dxa"/>
            <w:noWrap/>
            <w:hideMark/>
          </w:tcPr>
          <w:p w14:paraId="532D2E3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Gosnold</w:t>
            </w:r>
          </w:p>
        </w:tc>
        <w:tc>
          <w:tcPr>
            <w:tcW w:w="1455" w:type="dxa"/>
            <w:noWrap/>
            <w:hideMark/>
          </w:tcPr>
          <w:p w14:paraId="0752D2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$51,911</w:t>
            </w:r>
          </w:p>
        </w:tc>
        <w:tc>
          <w:tcPr>
            <w:tcW w:w="1440" w:type="dxa"/>
            <w:noWrap/>
            <w:hideMark/>
          </w:tcPr>
          <w:p w14:paraId="0F63DA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1118.8%</w:t>
            </w:r>
          </w:p>
        </w:tc>
        <w:tc>
          <w:tcPr>
            <w:tcW w:w="1440" w:type="dxa"/>
            <w:noWrap/>
            <w:hideMark/>
          </w:tcPr>
          <w:p w14:paraId="04CE3F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7750D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67.9%</w:t>
            </w:r>
          </w:p>
        </w:tc>
        <w:tc>
          <w:tcPr>
            <w:tcW w:w="1455" w:type="dxa"/>
            <w:noWrap/>
            <w:hideMark/>
          </w:tcPr>
          <w:p w14:paraId="6092D5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$28,233</w:t>
            </w:r>
          </w:p>
        </w:tc>
        <w:tc>
          <w:tcPr>
            <w:tcW w:w="1440" w:type="dxa"/>
            <w:noWrap/>
            <w:hideMark/>
          </w:tcPr>
          <w:p w14:paraId="7C112F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2981.4%</w:t>
            </w:r>
          </w:p>
        </w:tc>
        <w:tc>
          <w:tcPr>
            <w:tcW w:w="1440" w:type="dxa"/>
            <w:noWrap/>
            <w:hideMark/>
          </w:tcPr>
          <w:p w14:paraId="3A5ECB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1A73F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75BBA11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2D58B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0110</w:t>
            </w:r>
          </w:p>
        </w:tc>
        <w:tc>
          <w:tcPr>
            <w:tcW w:w="2880" w:type="dxa"/>
            <w:noWrap/>
            <w:hideMark/>
          </w:tcPr>
          <w:p w14:paraId="06B0199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Grafton</w:t>
            </w:r>
          </w:p>
        </w:tc>
        <w:tc>
          <w:tcPr>
            <w:tcW w:w="1455" w:type="dxa"/>
            <w:noWrap/>
            <w:hideMark/>
          </w:tcPr>
          <w:p w14:paraId="2CD1FA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$19,985,452</w:t>
            </w:r>
          </w:p>
        </w:tc>
        <w:tc>
          <w:tcPr>
            <w:tcW w:w="1440" w:type="dxa"/>
            <w:noWrap/>
            <w:hideMark/>
          </w:tcPr>
          <w:p w14:paraId="0E8CF2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68.4%</w:t>
            </w:r>
          </w:p>
        </w:tc>
        <w:tc>
          <w:tcPr>
            <w:tcW w:w="1440" w:type="dxa"/>
            <w:noWrap/>
            <w:hideMark/>
          </w:tcPr>
          <w:p w14:paraId="503D7A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68.4%</w:t>
            </w:r>
          </w:p>
        </w:tc>
        <w:tc>
          <w:tcPr>
            <w:tcW w:w="1440" w:type="dxa"/>
            <w:noWrap/>
            <w:hideMark/>
          </w:tcPr>
          <w:p w14:paraId="61A446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65.1%</w:t>
            </w:r>
          </w:p>
        </w:tc>
        <w:tc>
          <w:tcPr>
            <w:tcW w:w="1455" w:type="dxa"/>
            <w:noWrap/>
            <w:hideMark/>
          </w:tcPr>
          <w:p w14:paraId="7643C3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$33,072,992</w:t>
            </w:r>
          </w:p>
        </w:tc>
        <w:tc>
          <w:tcPr>
            <w:tcW w:w="1440" w:type="dxa"/>
            <w:noWrap/>
            <w:hideMark/>
          </w:tcPr>
          <w:p w14:paraId="20AE22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c>
          <w:tcPr>
            <w:tcW w:w="1440" w:type="dxa"/>
            <w:noWrap/>
            <w:hideMark/>
          </w:tcPr>
          <w:p w14:paraId="53797D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c>
          <w:tcPr>
            <w:tcW w:w="1440" w:type="dxa"/>
            <w:noWrap/>
            <w:hideMark/>
          </w:tcPr>
          <w:p w14:paraId="76D8C9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r>
      <w:tr w:rsidR="006253A9" w:rsidRPr="006253A9" w14:paraId="2A4FC2D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A1EEDF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0111</w:t>
            </w:r>
          </w:p>
        </w:tc>
        <w:tc>
          <w:tcPr>
            <w:tcW w:w="2880" w:type="dxa"/>
            <w:noWrap/>
            <w:hideMark/>
          </w:tcPr>
          <w:p w14:paraId="4F9B8F5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Granby</w:t>
            </w:r>
          </w:p>
        </w:tc>
        <w:tc>
          <w:tcPr>
            <w:tcW w:w="1455" w:type="dxa"/>
            <w:noWrap/>
            <w:hideMark/>
          </w:tcPr>
          <w:p w14:paraId="1DD602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$8,438,603</w:t>
            </w:r>
          </w:p>
        </w:tc>
        <w:tc>
          <w:tcPr>
            <w:tcW w:w="1440" w:type="dxa"/>
            <w:noWrap/>
            <w:hideMark/>
          </w:tcPr>
          <w:p w14:paraId="363AF2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w:t>
            </w:r>
          </w:p>
        </w:tc>
        <w:tc>
          <w:tcPr>
            <w:tcW w:w="1440" w:type="dxa"/>
            <w:noWrap/>
            <w:hideMark/>
          </w:tcPr>
          <w:p w14:paraId="0E6965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w:t>
            </w:r>
          </w:p>
        </w:tc>
        <w:tc>
          <w:tcPr>
            <w:tcW w:w="1440" w:type="dxa"/>
            <w:noWrap/>
            <w:hideMark/>
          </w:tcPr>
          <w:p w14:paraId="7C560F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55" w:type="dxa"/>
            <w:noWrap/>
            <w:hideMark/>
          </w:tcPr>
          <w:p w14:paraId="0C9A4D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$8,224,880</w:t>
            </w:r>
          </w:p>
        </w:tc>
        <w:tc>
          <w:tcPr>
            <w:tcW w:w="1440" w:type="dxa"/>
            <w:noWrap/>
            <w:hideMark/>
          </w:tcPr>
          <w:p w14:paraId="168C67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64.0%</w:t>
            </w:r>
          </w:p>
        </w:tc>
        <w:tc>
          <w:tcPr>
            <w:tcW w:w="1440" w:type="dxa"/>
            <w:noWrap/>
            <w:hideMark/>
          </w:tcPr>
          <w:p w14:paraId="2371A5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64.0%</w:t>
            </w:r>
          </w:p>
        </w:tc>
        <w:tc>
          <w:tcPr>
            <w:tcW w:w="1440" w:type="dxa"/>
            <w:noWrap/>
            <w:hideMark/>
          </w:tcPr>
          <w:p w14:paraId="59E110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63.8%</w:t>
            </w:r>
          </w:p>
        </w:tc>
      </w:tr>
      <w:tr w:rsidR="006253A9" w:rsidRPr="006253A9" w14:paraId="5028019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F2E84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0112</w:t>
            </w:r>
          </w:p>
        </w:tc>
        <w:tc>
          <w:tcPr>
            <w:tcW w:w="2880" w:type="dxa"/>
            <w:noWrap/>
            <w:hideMark/>
          </w:tcPr>
          <w:p w14:paraId="11C4F54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Granville</w:t>
            </w:r>
          </w:p>
        </w:tc>
        <w:tc>
          <w:tcPr>
            <w:tcW w:w="1455" w:type="dxa"/>
            <w:noWrap/>
            <w:hideMark/>
          </w:tcPr>
          <w:p w14:paraId="4C01B1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$2,358,065</w:t>
            </w:r>
          </w:p>
        </w:tc>
        <w:tc>
          <w:tcPr>
            <w:tcW w:w="1440" w:type="dxa"/>
            <w:noWrap/>
            <w:hideMark/>
          </w:tcPr>
          <w:p w14:paraId="77F701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43.5%</w:t>
            </w:r>
          </w:p>
        </w:tc>
        <w:tc>
          <w:tcPr>
            <w:tcW w:w="1440" w:type="dxa"/>
            <w:noWrap/>
            <w:hideMark/>
          </w:tcPr>
          <w:p w14:paraId="59F363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43.5%</w:t>
            </w:r>
          </w:p>
        </w:tc>
        <w:tc>
          <w:tcPr>
            <w:tcW w:w="1440" w:type="dxa"/>
            <w:noWrap/>
            <w:hideMark/>
          </w:tcPr>
          <w:p w14:paraId="694B38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50.3%</w:t>
            </w:r>
          </w:p>
        </w:tc>
        <w:tc>
          <w:tcPr>
            <w:tcW w:w="1455" w:type="dxa"/>
            <w:noWrap/>
            <w:hideMark/>
          </w:tcPr>
          <w:p w14:paraId="05D0F1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$1,962,245</w:t>
            </w:r>
          </w:p>
        </w:tc>
        <w:tc>
          <w:tcPr>
            <w:tcW w:w="1440" w:type="dxa"/>
            <w:noWrap/>
            <w:hideMark/>
          </w:tcPr>
          <w:p w14:paraId="3BBBF1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76.7%</w:t>
            </w:r>
          </w:p>
        </w:tc>
        <w:tc>
          <w:tcPr>
            <w:tcW w:w="1440" w:type="dxa"/>
            <w:noWrap/>
            <w:hideMark/>
          </w:tcPr>
          <w:p w14:paraId="34292E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76.7%</w:t>
            </w:r>
          </w:p>
        </w:tc>
        <w:tc>
          <w:tcPr>
            <w:tcW w:w="1440" w:type="dxa"/>
            <w:noWrap/>
            <w:hideMark/>
          </w:tcPr>
          <w:p w14:paraId="2AF33A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76.7%</w:t>
            </w:r>
          </w:p>
        </w:tc>
      </w:tr>
      <w:tr w:rsidR="006253A9" w:rsidRPr="006253A9" w14:paraId="2CA1ACB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D0FA5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0113</w:t>
            </w:r>
          </w:p>
        </w:tc>
        <w:tc>
          <w:tcPr>
            <w:tcW w:w="2880" w:type="dxa"/>
            <w:noWrap/>
            <w:hideMark/>
          </w:tcPr>
          <w:p w14:paraId="5121575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Great Barrington</w:t>
            </w:r>
          </w:p>
        </w:tc>
        <w:tc>
          <w:tcPr>
            <w:tcW w:w="1455" w:type="dxa"/>
            <w:noWrap/>
            <w:hideMark/>
          </w:tcPr>
          <w:p w14:paraId="072170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$6,275,872</w:t>
            </w:r>
          </w:p>
        </w:tc>
        <w:tc>
          <w:tcPr>
            <w:tcW w:w="1440" w:type="dxa"/>
            <w:noWrap/>
            <w:hideMark/>
          </w:tcPr>
          <w:p w14:paraId="28EA0B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93.9%</w:t>
            </w:r>
          </w:p>
        </w:tc>
        <w:tc>
          <w:tcPr>
            <w:tcW w:w="1440" w:type="dxa"/>
            <w:noWrap/>
            <w:hideMark/>
          </w:tcPr>
          <w:p w14:paraId="35B8DD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00353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103.5%</w:t>
            </w:r>
          </w:p>
        </w:tc>
        <w:tc>
          <w:tcPr>
            <w:tcW w:w="1455" w:type="dxa"/>
            <w:noWrap/>
            <w:hideMark/>
          </w:tcPr>
          <w:p w14:paraId="6A9A70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$8,886,378</w:t>
            </w:r>
          </w:p>
        </w:tc>
        <w:tc>
          <w:tcPr>
            <w:tcW w:w="1440" w:type="dxa"/>
            <w:noWrap/>
            <w:hideMark/>
          </w:tcPr>
          <w:p w14:paraId="41D56E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104.0%</w:t>
            </w:r>
          </w:p>
        </w:tc>
        <w:tc>
          <w:tcPr>
            <w:tcW w:w="1440" w:type="dxa"/>
            <w:noWrap/>
            <w:hideMark/>
          </w:tcPr>
          <w:p w14:paraId="33EFF4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786E2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1CB6D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16B42D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0114</w:t>
            </w:r>
          </w:p>
        </w:tc>
        <w:tc>
          <w:tcPr>
            <w:tcW w:w="2880" w:type="dxa"/>
            <w:noWrap/>
            <w:hideMark/>
          </w:tcPr>
          <w:p w14:paraId="1AF1117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Greenfield</w:t>
            </w:r>
          </w:p>
        </w:tc>
        <w:tc>
          <w:tcPr>
            <w:tcW w:w="1455" w:type="dxa"/>
            <w:noWrap/>
            <w:hideMark/>
          </w:tcPr>
          <w:p w14:paraId="2D3711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$19,441,039</w:t>
            </w:r>
          </w:p>
        </w:tc>
        <w:tc>
          <w:tcPr>
            <w:tcW w:w="1440" w:type="dxa"/>
            <w:noWrap/>
            <w:hideMark/>
          </w:tcPr>
          <w:p w14:paraId="349D2E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c>
          <w:tcPr>
            <w:tcW w:w="1440" w:type="dxa"/>
            <w:noWrap/>
            <w:hideMark/>
          </w:tcPr>
          <w:p w14:paraId="0D05EA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c>
          <w:tcPr>
            <w:tcW w:w="1440" w:type="dxa"/>
            <w:noWrap/>
            <w:hideMark/>
          </w:tcPr>
          <w:p w14:paraId="371483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52.1%</w:t>
            </w:r>
          </w:p>
        </w:tc>
        <w:tc>
          <w:tcPr>
            <w:tcW w:w="1455" w:type="dxa"/>
            <w:noWrap/>
            <w:hideMark/>
          </w:tcPr>
          <w:p w14:paraId="28F4DB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$25,456,984</w:t>
            </w:r>
          </w:p>
        </w:tc>
        <w:tc>
          <w:tcPr>
            <w:tcW w:w="1440" w:type="dxa"/>
            <w:noWrap/>
            <w:hideMark/>
          </w:tcPr>
          <w:p w14:paraId="54966D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42.7%</w:t>
            </w:r>
          </w:p>
        </w:tc>
        <w:tc>
          <w:tcPr>
            <w:tcW w:w="1440" w:type="dxa"/>
            <w:noWrap/>
            <w:hideMark/>
          </w:tcPr>
          <w:p w14:paraId="2A0443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42.7%</w:t>
            </w:r>
          </w:p>
        </w:tc>
        <w:tc>
          <w:tcPr>
            <w:tcW w:w="1440" w:type="dxa"/>
            <w:noWrap/>
            <w:hideMark/>
          </w:tcPr>
          <w:p w14:paraId="00AD42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42.7%</w:t>
            </w:r>
          </w:p>
        </w:tc>
      </w:tr>
      <w:tr w:rsidR="006253A9" w:rsidRPr="006253A9" w14:paraId="2C060DE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224E8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0115</w:t>
            </w:r>
          </w:p>
        </w:tc>
        <w:tc>
          <w:tcPr>
            <w:tcW w:w="2880" w:type="dxa"/>
            <w:noWrap/>
            <w:hideMark/>
          </w:tcPr>
          <w:p w14:paraId="732B841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Groton</w:t>
            </w:r>
          </w:p>
        </w:tc>
        <w:tc>
          <w:tcPr>
            <w:tcW w:w="1455" w:type="dxa"/>
            <w:noWrap/>
            <w:hideMark/>
          </w:tcPr>
          <w:p w14:paraId="677776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$17,440,523</w:t>
            </w:r>
          </w:p>
        </w:tc>
        <w:tc>
          <w:tcPr>
            <w:tcW w:w="1440" w:type="dxa"/>
            <w:noWrap/>
            <w:hideMark/>
          </w:tcPr>
          <w:p w14:paraId="6CFF12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61.4%</w:t>
            </w:r>
          </w:p>
        </w:tc>
        <w:tc>
          <w:tcPr>
            <w:tcW w:w="1440" w:type="dxa"/>
            <w:noWrap/>
            <w:hideMark/>
          </w:tcPr>
          <w:p w14:paraId="107919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61.4%</w:t>
            </w:r>
          </w:p>
        </w:tc>
        <w:tc>
          <w:tcPr>
            <w:tcW w:w="1440" w:type="dxa"/>
            <w:noWrap/>
            <w:hideMark/>
          </w:tcPr>
          <w:p w14:paraId="10CC6E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52.5%</w:t>
            </w:r>
          </w:p>
        </w:tc>
        <w:tc>
          <w:tcPr>
            <w:tcW w:w="1455" w:type="dxa"/>
            <w:noWrap/>
            <w:hideMark/>
          </w:tcPr>
          <w:p w14:paraId="0DC826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$19,273,085</w:t>
            </w:r>
          </w:p>
        </w:tc>
        <w:tc>
          <w:tcPr>
            <w:tcW w:w="1440" w:type="dxa"/>
            <w:noWrap/>
            <w:hideMark/>
          </w:tcPr>
          <w:p w14:paraId="52725E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93.0%</w:t>
            </w:r>
          </w:p>
        </w:tc>
        <w:tc>
          <w:tcPr>
            <w:tcW w:w="1440" w:type="dxa"/>
            <w:noWrap/>
            <w:hideMark/>
          </w:tcPr>
          <w:p w14:paraId="08A4BC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2EF93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r>
      <w:tr w:rsidR="006253A9" w:rsidRPr="006253A9" w14:paraId="69E6E6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50C02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0116</w:t>
            </w:r>
          </w:p>
        </w:tc>
        <w:tc>
          <w:tcPr>
            <w:tcW w:w="2880" w:type="dxa"/>
            <w:noWrap/>
            <w:hideMark/>
          </w:tcPr>
          <w:p w14:paraId="57E91C9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Groveland</w:t>
            </w:r>
          </w:p>
        </w:tc>
        <w:tc>
          <w:tcPr>
            <w:tcW w:w="1455" w:type="dxa"/>
            <w:noWrap/>
            <w:hideMark/>
          </w:tcPr>
          <w:p w14:paraId="24FBC1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$9,168,081</w:t>
            </w:r>
          </w:p>
        </w:tc>
        <w:tc>
          <w:tcPr>
            <w:tcW w:w="1440" w:type="dxa"/>
            <w:noWrap/>
            <w:hideMark/>
          </w:tcPr>
          <w:p w14:paraId="694B63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57.7%</w:t>
            </w:r>
          </w:p>
        </w:tc>
        <w:tc>
          <w:tcPr>
            <w:tcW w:w="1440" w:type="dxa"/>
            <w:noWrap/>
            <w:hideMark/>
          </w:tcPr>
          <w:p w14:paraId="0C3463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57.7%</w:t>
            </w:r>
          </w:p>
        </w:tc>
        <w:tc>
          <w:tcPr>
            <w:tcW w:w="1440" w:type="dxa"/>
            <w:noWrap/>
            <w:hideMark/>
          </w:tcPr>
          <w:p w14:paraId="50D3CB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52.9%</w:t>
            </w:r>
          </w:p>
        </w:tc>
        <w:tc>
          <w:tcPr>
            <w:tcW w:w="1455" w:type="dxa"/>
            <w:noWrap/>
            <w:hideMark/>
          </w:tcPr>
          <w:p w14:paraId="683412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$10,215,865</w:t>
            </w:r>
          </w:p>
        </w:tc>
        <w:tc>
          <w:tcPr>
            <w:tcW w:w="1440" w:type="dxa"/>
            <w:noWrap/>
            <w:hideMark/>
          </w:tcPr>
          <w:p w14:paraId="30C2EA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71.5%</w:t>
            </w:r>
          </w:p>
        </w:tc>
        <w:tc>
          <w:tcPr>
            <w:tcW w:w="1440" w:type="dxa"/>
            <w:noWrap/>
            <w:hideMark/>
          </w:tcPr>
          <w:p w14:paraId="409D37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71.5%</w:t>
            </w:r>
          </w:p>
        </w:tc>
        <w:tc>
          <w:tcPr>
            <w:tcW w:w="1440" w:type="dxa"/>
            <w:noWrap/>
            <w:hideMark/>
          </w:tcPr>
          <w:p w14:paraId="6A6619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71.2%</w:t>
            </w:r>
          </w:p>
        </w:tc>
      </w:tr>
      <w:tr w:rsidR="006253A9" w:rsidRPr="006253A9" w14:paraId="2ADB906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A189EA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0117</w:t>
            </w:r>
          </w:p>
        </w:tc>
        <w:tc>
          <w:tcPr>
            <w:tcW w:w="2880" w:type="dxa"/>
            <w:noWrap/>
            <w:hideMark/>
          </w:tcPr>
          <w:p w14:paraId="7D8ADB0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Hadley</w:t>
            </w:r>
          </w:p>
        </w:tc>
        <w:tc>
          <w:tcPr>
            <w:tcW w:w="1455" w:type="dxa"/>
            <w:noWrap/>
            <w:hideMark/>
          </w:tcPr>
          <w:p w14:paraId="5302B4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$4,764,269</w:t>
            </w:r>
          </w:p>
        </w:tc>
        <w:tc>
          <w:tcPr>
            <w:tcW w:w="1440" w:type="dxa"/>
            <w:noWrap/>
            <w:hideMark/>
          </w:tcPr>
          <w:p w14:paraId="29CDBB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85.1%</w:t>
            </w:r>
          </w:p>
        </w:tc>
        <w:tc>
          <w:tcPr>
            <w:tcW w:w="1440" w:type="dxa"/>
            <w:noWrap/>
            <w:hideMark/>
          </w:tcPr>
          <w:p w14:paraId="54A7E9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8B0C5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110.1%</w:t>
            </w:r>
          </w:p>
        </w:tc>
        <w:tc>
          <w:tcPr>
            <w:tcW w:w="1455" w:type="dxa"/>
            <w:noWrap/>
            <w:hideMark/>
          </w:tcPr>
          <w:p w14:paraId="409CEB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$6,230,654</w:t>
            </w:r>
          </w:p>
        </w:tc>
        <w:tc>
          <w:tcPr>
            <w:tcW w:w="1440" w:type="dxa"/>
            <w:noWrap/>
            <w:hideMark/>
          </w:tcPr>
          <w:p w14:paraId="5F042D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100.1%</w:t>
            </w:r>
          </w:p>
        </w:tc>
        <w:tc>
          <w:tcPr>
            <w:tcW w:w="1440" w:type="dxa"/>
            <w:noWrap/>
            <w:hideMark/>
          </w:tcPr>
          <w:p w14:paraId="3E5070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EF292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79.7%</w:t>
            </w:r>
          </w:p>
        </w:tc>
      </w:tr>
      <w:tr w:rsidR="006253A9" w:rsidRPr="006253A9" w14:paraId="7A72EE1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40095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0118</w:t>
            </w:r>
          </w:p>
        </w:tc>
        <w:tc>
          <w:tcPr>
            <w:tcW w:w="2880" w:type="dxa"/>
            <w:noWrap/>
            <w:hideMark/>
          </w:tcPr>
          <w:p w14:paraId="67B3892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Halifax</w:t>
            </w:r>
          </w:p>
        </w:tc>
        <w:tc>
          <w:tcPr>
            <w:tcW w:w="1455" w:type="dxa"/>
            <w:noWrap/>
            <w:hideMark/>
          </w:tcPr>
          <w:p w14:paraId="6DA268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$9,911,667</w:t>
            </w:r>
          </w:p>
        </w:tc>
        <w:tc>
          <w:tcPr>
            <w:tcW w:w="1440" w:type="dxa"/>
            <w:noWrap/>
            <w:hideMark/>
          </w:tcPr>
          <w:p w14:paraId="0A8179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53.9%</w:t>
            </w:r>
          </w:p>
        </w:tc>
        <w:tc>
          <w:tcPr>
            <w:tcW w:w="1440" w:type="dxa"/>
            <w:noWrap/>
            <w:hideMark/>
          </w:tcPr>
          <w:p w14:paraId="24148B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53.9%</w:t>
            </w:r>
          </w:p>
        </w:tc>
        <w:tc>
          <w:tcPr>
            <w:tcW w:w="1440" w:type="dxa"/>
            <w:noWrap/>
            <w:hideMark/>
          </w:tcPr>
          <w:p w14:paraId="433C4B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53.7%</w:t>
            </w:r>
          </w:p>
        </w:tc>
        <w:tc>
          <w:tcPr>
            <w:tcW w:w="1455" w:type="dxa"/>
            <w:noWrap/>
            <w:hideMark/>
          </w:tcPr>
          <w:p w14:paraId="7B1B86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$13,044,643</w:t>
            </w:r>
          </w:p>
        </w:tc>
        <w:tc>
          <w:tcPr>
            <w:tcW w:w="1440" w:type="dxa"/>
            <w:noWrap/>
            <w:hideMark/>
          </w:tcPr>
          <w:p w14:paraId="6A0DA2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57.3%</w:t>
            </w:r>
          </w:p>
        </w:tc>
        <w:tc>
          <w:tcPr>
            <w:tcW w:w="1440" w:type="dxa"/>
            <w:noWrap/>
            <w:hideMark/>
          </w:tcPr>
          <w:p w14:paraId="282AB8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57.3%</w:t>
            </w:r>
          </w:p>
        </w:tc>
        <w:tc>
          <w:tcPr>
            <w:tcW w:w="1440" w:type="dxa"/>
            <w:noWrap/>
            <w:hideMark/>
          </w:tcPr>
          <w:p w14:paraId="09F4411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54.5%</w:t>
            </w:r>
          </w:p>
        </w:tc>
      </w:tr>
      <w:tr w:rsidR="006253A9" w:rsidRPr="006253A9" w14:paraId="3F1D48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624F28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0119</w:t>
            </w:r>
          </w:p>
        </w:tc>
        <w:tc>
          <w:tcPr>
            <w:tcW w:w="2880" w:type="dxa"/>
            <w:noWrap/>
            <w:hideMark/>
          </w:tcPr>
          <w:p w14:paraId="7278D66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Hamilton</w:t>
            </w:r>
          </w:p>
        </w:tc>
        <w:tc>
          <w:tcPr>
            <w:tcW w:w="1455" w:type="dxa"/>
            <w:noWrap/>
            <w:hideMark/>
          </w:tcPr>
          <w:p w14:paraId="20C6BB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$10,499,391</w:t>
            </w:r>
          </w:p>
        </w:tc>
        <w:tc>
          <w:tcPr>
            <w:tcW w:w="1440" w:type="dxa"/>
            <w:noWrap/>
            <w:hideMark/>
          </w:tcPr>
          <w:p w14:paraId="031829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92.5%</w:t>
            </w:r>
          </w:p>
        </w:tc>
        <w:tc>
          <w:tcPr>
            <w:tcW w:w="1440" w:type="dxa"/>
            <w:noWrap/>
            <w:hideMark/>
          </w:tcPr>
          <w:p w14:paraId="50FD58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22FDB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82.9%</w:t>
            </w:r>
          </w:p>
        </w:tc>
        <w:tc>
          <w:tcPr>
            <w:tcW w:w="1455" w:type="dxa"/>
            <w:noWrap/>
            <w:hideMark/>
          </w:tcPr>
          <w:p w14:paraId="210D7A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$11,561,562</w:t>
            </w:r>
          </w:p>
        </w:tc>
        <w:tc>
          <w:tcPr>
            <w:tcW w:w="1440" w:type="dxa"/>
            <w:noWrap/>
            <w:hideMark/>
          </w:tcPr>
          <w:p w14:paraId="1D145F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126.5%</w:t>
            </w:r>
          </w:p>
        </w:tc>
        <w:tc>
          <w:tcPr>
            <w:tcW w:w="1440" w:type="dxa"/>
            <w:noWrap/>
            <w:hideMark/>
          </w:tcPr>
          <w:p w14:paraId="31B193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47CB4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DFA423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170A41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0120</w:t>
            </w:r>
          </w:p>
        </w:tc>
        <w:tc>
          <w:tcPr>
            <w:tcW w:w="2880" w:type="dxa"/>
            <w:noWrap/>
            <w:hideMark/>
          </w:tcPr>
          <w:p w14:paraId="3953D10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Hampden</w:t>
            </w:r>
          </w:p>
        </w:tc>
        <w:tc>
          <w:tcPr>
            <w:tcW w:w="1455" w:type="dxa"/>
            <w:noWrap/>
            <w:hideMark/>
          </w:tcPr>
          <w:p w14:paraId="5F8809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$7,423,993</w:t>
            </w:r>
          </w:p>
        </w:tc>
        <w:tc>
          <w:tcPr>
            <w:tcW w:w="1440" w:type="dxa"/>
            <w:noWrap/>
            <w:hideMark/>
          </w:tcPr>
          <w:p w14:paraId="00F2F0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53.9%</w:t>
            </w:r>
          </w:p>
        </w:tc>
        <w:tc>
          <w:tcPr>
            <w:tcW w:w="1440" w:type="dxa"/>
            <w:noWrap/>
            <w:hideMark/>
          </w:tcPr>
          <w:p w14:paraId="02F663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53.9%</w:t>
            </w:r>
          </w:p>
        </w:tc>
        <w:tc>
          <w:tcPr>
            <w:tcW w:w="1440" w:type="dxa"/>
            <w:noWrap/>
            <w:hideMark/>
          </w:tcPr>
          <w:p w14:paraId="415884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64.3%</w:t>
            </w:r>
          </w:p>
        </w:tc>
        <w:tc>
          <w:tcPr>
            <w:tcW w:w="1455" w:type="dxa"/>
            <w:noWrap/>
            <w:hideMark/>
          </w:tcPr>
          <w:p w14:paraId="7BF27BB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$6,614,199</w:t>
            </w:r>
          </w:p>
        </w:tc>
        <w:tc>
          <w:tcPr>
            <w:tcW w:w="1440" w:type="dxa"/>
            <w:noWrap/>
            <w:hideMark/>
          </w:tcPr>
          <w:p w14:paraId="208013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81.2%</w:t>
            </w:r>
          </w:p>
        </w:tc>
        <w:tc>
          <w:tcPr>
            <w:tcW w:w="1440" w:type="dxa"/>
            <w:noWrap/>
            <w:hideMark/>
          </w:tcPr>
          <w:p w14:paraId="6C6A02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81.2%</w:t>
            </w:r>
          </w:p>
        </w:tc>
        <w:tc>
          <w:tcPr>
            <w:tcW w:w="1440" w:type="dxa"/>
            <w:noWrap/>
            <w:hideMark/>
          </w:tcPr>
          <w:p w14:paraId="39FDF0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81.2%</w:t>
            </w:r>
          </w:p>
        </w:tc>
      </w:tr>
      <w:tr w:rsidR="006253A9" w:rsidRPr="006253A9" w14:paraId="1A49920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CA7D6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0121</w:t>
            </w:r>
          </w:p>
        </w:tc>
        <w:tc>
          <w:tcPr>
            <w:tcW w:w="2880" w:type="dxa"/>
            <w:noWrap/>
            <w:hideMark/>
          </w:tcPr>
          <w:p w14:paraId="4739172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Hancock</w:t>
            </w:r>
          </w:p>
        </w:tc>
        <w:tc>
          <w:tcPr>
            <w:tcW w:w="1455" w:type="dxa"/>
            <w:noWrap/>
            <w:hideMark/>
          </w:tcPr>
          <w:p w14:paraId="743A2B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$880,073</w:t>
            </w:r>
          </w:p>
        </w:tc>
        <w:tc>
          <w:tcPr>
            <w:tcW w:w="1440" w:type="dxa"/>
            <w:noWrap/>
            <w:hideMark/>
          </w:tcPr>
          <w:p w14:paraId="769E03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86.4%</w:t>
            </w:r>
          </w:p>
        </w:tc>
        <w:tc>
          <w:tcPr>
            <w:tcW w:w="1440" w:type="dxa"/>
            <w:noWrap/>
            <w:hideMark/>
          </w:tcPr>
          <w:p w14:paraId="26E6C3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DDCCE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84.3%</w:t>
            </w:r>
          </w:p>
        </w:tc>
        <w:tc>
          <w:tcPr>
            <w:tcW w:w="1455" w:type="dxa"/>
            <w:noWrap/>
            <w:hideMark/>
          </w:tcPr>
          <w:p w14:paraId="1AF2BD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$800,339</w:t>
            </w:r>
          </w:p>
        </w:tc>
        <w:tc>
          <w:tcPr>
            <w:tcW w:w="1440" w:type="dxa"/>
            <w:noWrap/>
            <w:hideMark/>
          </w:tcPr>
          <w:p w14:paraId="6D5E0B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157.6%</w:t>
            </w:r>
          </w:p>
        </w:tc>
        <w:tc>
          <w:tcPr>
            <w:tcW w:w="1440" w:type="dxa"/>
            <w:noWrap/>
            <w:hideMark/>
          </w:tcPr>
          <w:p w14:paraId="4BE0D3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B175CA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76.1%</w:t>
            </w:r>
          </w:p>
        </w:tc>
      </w:tr>
      <w:tr w:rsidR="006253A9" w:rsidRPr="006253A9" w14:paraId="397109C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3734AC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0122</w:t>
            </w:r>
          </w:p>
        </w:tc>
        <w:tc>
          <w:tcPr>
            <w:tcW w:w="2880" w:type="dxa"/>
            <w:noWrap/>
            <w:hideMark/>
          </w:tcPr>
          <w:p w14:paraId="49090F1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Hanover</w:t>
            </w:r>
          </w:p>
        </w:tc>
        <w:tc>
          <w:tcPr>
            <w:tcW w:w="1455" w:type="dxa"/>
            <w:noWrap/>
            <w:hideMark/>
          </w:tcPr>
          <w:p w14:paraId="7B9481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$20,663,459</w:t>
            </w:r>
          </w:p>
        </w:tc>
        <w:tc>
          <w:tcPr>
            <w:tcW w:w="1440" w:type="dxa"/>
            <w:noWrap/>
            <w:hideMark/>
          </w:tcPr>
          <w:p w14:paraId="0B371D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70.5%</w:t>
            </w:r>
          </w:p>
        </w:tc>
        <w:tc>
          <w:tcPr>
            <w:tcW w:w="1440" w:type="dxa"/>
            <w:noWrap/>
            <w:hideMark/>
          </w:tcPr>
          <w:p w14:paraId="5C6FBF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70.5%</w:t>
            </w:r>
          </w:p>
        </w:tc>
        <w:tc>
          <w:tcPr>
            <w:tcW w:w="1440" w:type="dxa"/>
            <w:noWrap/>
            <w:hideMark/>
          </w:tcPr>
          <w:p w14:paraId="460DA0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73.4%</w:t>
            </w:r>
          </w:p>
        </w:tc>
        <w:tc>
          <w:tcPr>
            <w:tcW w:w="1455" w:type="dxa"/>
            <w:noWrap/>
            <w:hideMark/>
          </w:tcPr>
          <w:p w14:paraId="13C920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$27,380,509</w:t>
            </w:r>
          </w:p>
        </w:tc>
        <w:tc>
          <w:tcPr>
            <w:tcW w:w="1440" w:type="dxa"/>
            <w:noWrap/>
            <w:hideMark/>
          </w:tcPr>
          <w:p w14:paraId="25E6F3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c>
          <w:tcPr>
            <w:tcW w:w="1440" w:type="dxa"/>
            <w:noWrap/>
            <w:hideMark/>
          </w:tcPr>
          <w:p w14:paraId="282383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c>
          <w:tcPr>
            <w:tcW w:w="1440" w:type="dxa"/>
            <w:noWrap/>
            <w:hideMark/>
          </w:tcPr>
          <w:p w14:paraId="757C37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76.9%</w:t>
            </w:r>
          </w:p>
        </w:tc>
      </w:tr>
      <w:tr w:rsidR="006253A9" w:rsidRPr="006253A9" w14:paraId="67C821C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90924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0123</w:t>
            </w:r>
          </w:p>
        </w:tc>
        <w:tc>
          <w:tcPr>
            <w:tcW w:w="2880" w:type="dxa"/>
            <w:noWrap/>
            <w:hideMark/>
          </w:tcPr>
          <w:p w14:paraId="05485AC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Hanson</w:t>
            </w:r>
          </w:p>
        </w:tc>
        <w:tc>
          <w:tcPr>
            <w:tcW w:w="1455" w:type="dxa"/>
            <w:noWrap/>
            <w:hideMark/>
          </w:tcPr>
          <w:p w14:paraId="43CE50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$15,440,128</w:t>
            </w:r>
          </w:p>
        </w:tc>
        <w:tc>
          <w:tcPr>
            <w:tcW w:w="1440" w:type="dxa"/>
            <w:noWrap/>
            <w:hideMark/>
          </w:tcPr>
          <w:p w14:paraId="5D05E0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49.9%</w:t>
            </w:r>
          </w:p>
        </w:tc>
        <w:tc>
          <w:tcPr>
            <w:tcW w:w="1440" w:type="dxa"/>
            <w:noWrap/>
            <w:hideMark/>
          </w:tcPr>
          <w:p w14:paraId="4584C8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49.9%</w:t>
            </w:r>
          </w:p>
        </w:tc>
        <w:tc>
          <w:tcPr>
            <w:tcW w:w="1440" w:type="dxa"/>
            <w:noWrap/>
            <w:hideMark/>
          </w:tcPr>
          <w:p w14:paraId="120549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28.1%</w:t>
            </w:r>
          </w:p>
        </w:tc>
        <w:tc>
          <w:tcPr>
            <w:tcW w:w="1455" w:type="dxa"/>
            <w:noWrap/>
            <w:hideMark/>
          </w:tcPr>
          <w:p w14:paraId="6FF1F1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$17,419,947</w:t>
            </w:r>
          </w:p>
        </w:tc>
        <w:tc>
          <w:tcPr>
            <w:tcW w:w="1440" w:type="dxa"/>
            <w:noWrap/>
            <w:hideMark/>
          </w:tcPr>
          <w:p w14:paraId="2FB84A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40" w:type="dxa"/>
            <w:noWrap/>
            <w:hideMark/>
          </w:tcPr>
          <w:p w14:paraId="4C10AE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40" w:type="dxa"/>
            <w:noWrap/>
            <w:hideMark/>
          </w:tcPr>
          <w:p w14:paraId="3712D0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w:t>
            </w:r>
          </w:p>
        </w:tc>
      </w:tr>
      <w:tr w:rsidR="006253A9" w:rsidRPr="006253A9" w14:paraId="0D6C4D3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C5100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0124</w:t>
            </w:r>
          </w:p>
        </w:tc>
        <w:tc>
          <w:tcPr>
            <w:tcW w:w="2880" w:type="dxa"/>
            <w:noWrap/>
            <w:hideMark/>
          </w:tcPr>
          <w:p w14:paraId="3A03FD7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Hardwick</w:t>
            </w:r>
          </w:p>
        </w:tc>
        <w:tc>
          <w:tcPr>
            <w:tcW w:w="1455" w:type="dxa"/>
            <w:noWrap/>
            <w:hideMark/>
          </w:tcPr>
          <w:p w14:paraId="461F5E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$3,848,984</w:t>
            </w:r>
          </w:p>
        </w:tc>
        <w:tc>
          <w:tcPr>
            <w:tcW w:w="1440" w:type="dxa"/>
            <w:noWrap/>
            <w:hideMark/>
          </w:tcPr>
          <w:p w14:paraId="3C773F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31.6%</w:t>
            </w:r>
          </w:p>
        </w:tc>
        <w:tc>
          <w:tcPr>
            <w:tcW w:w="1440" w:type="dxa"/>
            <w:noWrap/>
            <w:hideMark/>
          </w:tcPr>
          <w:p w14:paraId="45D227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31.6%</w:t>
            </w:r>
          </w:p>
        </w:tc>
        <w:tc>
          <w:tcPr>
            <w:tcW w:w="1440" w:type="dxa"/>
            <w:noWrap/>
            <w:hideMark/>
          </w:tcPr>
          <w:p w14:paraId="2A3258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27.7%</w:t>
            </w:r>
          </w:p>
        </w:tc>
        <w:tc>
          <w:tcPr>
            <w:tcW w:w="1455" w:type="dxa"/>
            <w:noWrap/>
            <w:hideMark/>
          </w:tcPr>
          <w:p w14:paraId="6867C0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$3,930,433</w:t>
            </w:r>
          </w:p>
        </w:tc>
        <w:tc>
          <w:tcPr>
            <w:tcW w:w="1440" w:type="dxa"/>
            <w:noWrap/>
            <w:hideMark/>
          </w:tcPr>
          <w:p w14:paraId="6F55FA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w:t>
            </w:r>
          </w:p>
        </w:tc>
        <w:tc>
          <w:tcPr>
            <w:tcW w:w="1440" w:type="dxa"/>
            <w:noWrap/>
            <w:hideMark/>
          </w:tcPr>
          <w:p w14:paraId="507C4B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w:t>
            </w:r>
          </w:p>
        </w:tc>
        <w:tc>
          <w:tcPr>
            <w:tcW w:w="1440" w:type="dxa"/>
            <w:noWrap/>
            <w:hideMark/>
          </w:tcPr>
          <w:p w14:paraId="4B5EC3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41.7%</w:t>
            </w:r>
          </w:p>
        </w:tc>
      </w:tr>
      <w:tr w:rsidR="006253A9" w:rsidRPr="006253A9" w14:paraId="5B1114D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DB0BE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0125</w:t>
            </w:r>
          </w:p>
        </w:tc>
        <w:tc>
          <w:tcPr>
            <w:tcW w:w="2880" w:type="dxa"/>
            <w:noWrap/>
            <w:hideMark/>
          </w:tcPr>
          <w:p w14:paraId="0463628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Harvard</w:t>
            </w:r>
          </w:p>
        </w:tc>
        <w:tc>
          <w:tcPr>
            <w:tcW w:w="1455" w:type="dxa"/>
            <w:noWrap/>
            <w:hideMark/>
          </w:tcPr>
          <w:p w14:paraId="73C67E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$9,486,073</w:t>
            </w:r>
          </w:p>
        </w:tc>
        <w:tc>
          <w:tcPr>
            <w:tcW w:w="1440" w:type="dxa"/>
            <w:noWrap/>
            <w:hideMark/>
          </w:tcPr>
          <w:p w14:paraId="2101F2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88.3%</w:t>
            </w:r>
          </w:p>
        </w:tc>
        <w:tc>
          <w:tcPr>
            <w:tcW w:w="1440" w:type="dxa"/>
            <w:noWrap/>
            <w:hideMark/>
          </w:tcPr>
          <w:p w14:paraId="62BA01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4E93F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85.2%</w:t>
            </w:r>
          </w:p>
        </w:tc>
        <w:tc>
          <w:tcPr>
            <w:tcW w:w="1455" w:type="dxa"/>
            <w:noWrap/>
            <w:hideMark/>
          </w:tcPr>
          <w:p w14:paraId="532F96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$9,531,757</w:t>
            </w:r>
          </w:p>
        </w:tc>
        <w:tc>
          <w:tcPr>
            <w:tcW w:w="1440" w:type="dxa"/>
            <w:noWrap/>
            <w:hideMark/>
          </w:tcPr>
          <w:p w14:paraId="63A768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118.7%</w:t>
            </w:r>
          </w:p>
        </w:tc>
        <w:tc>
          <w:tcPr>
            <w:tcW w:w="1440" w:type="dxa"/>
            <w:noWrap/>
            <w:hideMark/>
          </w:tcPr>
          <w:p w14:paraId="2851F8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BBA09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05D47F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95A9AA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0126</w:t>
            </w:r>
          </w:p>
        </w:tc>
        <w:tc>
          <w:tcPr>
            <w:tcW w:w="2880" w:type="dxa"/>
            <w:noWrap/>
            <w:hideMark/>
          </w:tcPr>
          <w:p w14:paraId="63ED061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Harwich</w:t>
            </w:r>
          </w:p>
        </w:tc>
        <w:tc>
          <w:tcPr>
            <w:tcW w:w="1455" w:type="dxa"/>
            <w:noWrap/>
            <w:hideMark/>
          </w:tcPr>
          <w:p w14:paraId="170F64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$12,578,163</w:t>
            </w:r>
          </w:p>
        </w:tc>
        <w:tc>
          <w:tcPr>
            <w:tcW w:w="1440" w:type="dxa"/>
            <w:noWrap/>
            <w:hideMark/>
          </w:tcPr>
          <w:p w14:paraId="447CC8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149.4%</w:t>
            </w:r>
          </w:p>
        </w:tc>
        <w:tc>
          <w:tcPr>
            <w:tcW w:w="1440" w:type="dxa"/>
            <w:noWrap/>
            <w:hideMark/>
          </w:tcPr>
          <w:p w14:paraId="0215F8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FEAF2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98.2%</w:t>
            </w:r>
          </w:p>
        </w:tc>
        <w:tc>
          <w:tcPr>
            <w:tcW w:w="1455" w:type="dxa"/>
            <w:noWrap/>
            <w:hideMark/>
          </w:tcPr>
          <w:p w14:paraId="13682A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$16,948,920</w:t>
            </w:r>
          </w:p>
        </w:tc>
        <w:tc>
          <w:tcPr>
            <w:tcW w:w="1440" w:type="dxa"/>
            <w:noWrap/>
            <w:hideMark/>
          </w:tcPr>
          <w:p w14:paraId="1E2B87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154.9%</w:t>
            </w:r>
          </w:p>
        </w:tc>
        <w:tc>
          <w:tcPr>
            <w:tcW w:w="1440" w:type="dxa"/>
            <w:noWrap/>
            <w:hideMark/>
          </w:tcPr>
          <w:p w14:paraId="070CE1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43BAC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81.5%</w:t>
            </w:r>
          </w:p>
        </w:tc>
      </w:tr>
      <w:tr w:rsidR="006253A9" w:rsidRPr="006253A9" w14:paraId="1DF6E81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59E88A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0127</w:t>
            </w:r>
          </w:p>
        </w:tc>
        <w:tc>
          <w:tcPr>
            <w:tcW w:w="2880" w:type="dxa"/>
            <w:noWrap/>
            <w:hideMark/>
          </w:tcPr>
          <w:p w14:paraId="4DED31C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Hatfield</w:t>
            </w:r>
          </w:p>
        </w:tc>
        <w:tc>
          <w:tcPr>
            <w:tcW w:w="1455" w:type="dxa"/>
            <w:noWrap/>
            <w:hideMark/>
          </w:tcPr>
          <w:p w14:paraId="1F9C7C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$3,642,953</w:t>
            </w:r>
          </w:p>
        </w:tc>
        <w:tc>
          <w:tcPr>
            <w:tcW w:w="1440" w:type="dxa"/>
            <w:noWrap/>
            <w:hideMark/>
          </w:tcPr>
          <w:p w14:paraId="515120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71.0%</w:t>
            </w:r>
          </w:p>
        </w:tc>
        <w:tc>
          <w:tcPr>
            <w:tcW w:w="1440" w:type="dxa"/>
            <w:noWrap/>
            <w:hideMark/>
          </w:tcPr>
          <w:p w14:paraId="304848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71.0%</w:t>
            </w:r>
          </w:p>
        </w:tc>
        <w:tc>
          <w:tcPr>
            <w:tcW w:w="1440" w:type="dxa"/>
            <w:noWrap/>
            <w:hideMark/>
          </w:tcPr>
          <w:p w14:paraId="6019E6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80.7%</w:t>
            </w:r>
          </w:p>
        </w:tc>
        <w:tc>
          <w:tcPr>
            <w:tcW w:w="1455" w:type="dxa"/>
            <w:noWrap/>
            <w:hideMark/>
          </w:tcPr>
          <w:p w14:paraId="5C9A5C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$3,779,441</w:t>
            </w:r>
          </w:p>
        </w:tc>
        <w:tc>
          <w:tcPr>
            <w:tcW w:w="1440" w:type="dxa"/>
            <w:noWrap/>
            <w:hideMark/>
          </w:tcPr>
          <w:p w14:paraId="28E34E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95.3%</w:t>
            </w:r>
          </w:p>
        </w:tc>
        <w:tc>
          <w:tcPr>
            <w:tcW w:w="1440" w:type="dxa"/>
            <w:noWrap/>
            <w:hideMark/>
          </w:tcPr>
          <w:p w14:paraId="333992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2B111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80.8%</w:t>
            </w:r>
          </w:p>
        </w:tc>
      </w:tr>
      <w:tr w:rsidR="006253A9" w:rsidRPr="006253A9" w14:paraId="50F66E4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33154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0128</w:t>
            </w:r>
          </w:p>
        </w:tc>
        <w:tc>
          <w:tcPr>
            <w:tcW w:w="2880" w:type="dxa"/>
            <w:noWrap/>
            <w:hideMark/>
          </w:tcPr>
          <w:p w14:paraId="56C4D50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Haverhill</w:t>
            </w:r>
          </w:p>
        </w:tc>
        <w:tc>
          <w:tcPr>
            <w:tcW w:w="1455" w:type="dxa"/>
            <w:noWrap/>
            <w:hideMark/>
          </w:tcPr>
          <w:p w14:paraId="582C83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$71,023,885</w:t>
            </w:r>
          </w:p>
        </w:tc>
        <w:tc>
          <w:tcPr>
            <w:tcW w:w="1440" w:type="dxa"/>
            <w:noWrap/>
            <w:hideMark/>
          </w:tcPr>
          <w:p w14:paraId="3EC6FD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w:t>
            </w:r>
          </w:p>
        </w:tc>
        <w:tc>
          <w:tcPr>
            <w:tcW w:w="1440" w:type="dxa"/>
            <w:noWrap/>
            <w:hideMark/>
          </w:tcPr>
          <w:p w14:paraId="7308F2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w:t>
            </w:r>
          </w:p>
        </w:tc>
        <w:tc>
          <w:tcPr>
            <w:tcW w:w="1440" w:type="dxa"/>
            <w:noWrap/>
            <w:hideMark/>
          </w:tcPr>
          <w:p w14:paraId="39442F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52.5%</w:t>
            </w:r>
          </w:p>
        </w:tc>
        <w:tc>
          <w:tcPr>
            <w:tcW w:w="1455" w:type="dxa"/>
            <w:noWrap/>
            <w:hideMark/>
          </w:tcPr>
          <w:p w14:paraId="07CF6B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$114,944,046</w:t>
            </w:r>
          </w:p>
        </w:tc>
        <w:tc>
          <w:tcPr>
            <w:tcW w:w="1440" w:type="dxa"/>
            <w:noWrap/>
            <w:hideMark/>
          </w:tcPr>
          <w:p w14:paraId="3B557D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43.2%</w:t>
            </w:r>
          </w:p>
        </w:tc>
        <w:tc>
          <w:tcPr>
            <w:tcW w:w="1440" w:type="dxa"/>
            <w:noWrap/>
            <w:hideMark/>
          </w:tcPr>
          <w:p w14:paraId="59CB37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43.2%</w:t>
            </w:r>
          </w:p>
        </w:tc>
        <w:tc>
          <w:tcPr>
            <w:tcW w:w="1440" w:type="dxa"/>
            <w:noWrap/>
            <w:hideMark/>
          </w:tcPr>
          <w:p w14:paraId="6419E8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41.9%</w:t>
            </w:r>
          </w:p>
        </w:tc>
      </w:tr>
      <w:tr w:rsidR="006253A9" w:rsidRPr="006253A9" w14:paraId="78FCB74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F2252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0129</w:t>
            </w:r>
          </w:p>
        </w:tc>
        <w:tc>
          <w:tcPr>
            <w:tcW w:w="2880" w:type="dxa"/>
            <w:noWrap/>
            <w:hideMark/>
          </w:tcPr>
          <w:p w14:paraId="1C878D2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Hawley</w:t>
            </w:r>
          </w:p>
        </w:tc>
        <w:tc>
          <w:tcPr>
            <w:tcW w:w="1455" w:type="dxa"/>
            <w:noWrap/>
            <w:hideMark/>
          </w:tcPr>
          <w:p w14:paraId="173ED8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$282,160</w:t>
            </w:r>
          </w:p>
        </w:tc>
        <w:tc>
          <w:tcPr>
            <w:tcW w:w="1440" w:type="dxa"/>
            <w:noWrap/>
            <w:hideMark/>
          </w:tcPr>
          <w:p w14:paraId="60F33E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53.6%</w:t>
            </w:r>
          </w:p>
        </w:tc>
        <w:tc>
          <w:tcPr>
            <w:tcW w:w="1440" w:type="dxa"/>
            <w:noWrap/>
            <w:hideMark/>
          </w:tcPr>
          <w:p w14:paraId="6EA2E5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53.6%</w:t>
            </w:r>
          </w:p>
        </w:tc>
        <w:tc>
          <w:tcPr>
            <w:tcW w:w="1440" w:type="dxa"/>
            <w:noWrap/>
            <w:hideMark/>
          </w:tcPr>
          <w:p w14:paraId="7A3C1F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71.3%</w:t>
            </w:r>
          </w:p>
        </w:tc>
        <w:tc>
          <w:tcPr>
            <w:tcW w:w="1455" w:type="dxa"/>
            <w:noWrap/>
            <w:hideMark/>
          </w:tcPr>
          <w:p w14:paraId="6F8B21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$395,350</w:t>
            </w:r>
          </w:p>
        </w:tc>
        <w:tc>
          <w:tcPr>
            <w:tcW w:w="1440" w:type="dxa"/>
            <w:noWrap/>
            <w:hideMark/>
          </w:tcPr>
          <w:p w14:paraId="477FBE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64.9%</w:t>
            </w:r>
          </w:p>
        </w:tc>
        <w:tc>
          <w:tcPr>
            <w:tcW w:w="1440" w:type="dxa"/>
            <w:noWrap/>
            <w:hideMark/>
          </w:tcPr>
          <w:p w14:paraId="0ABAFE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64.9%</w:t>
            </w:r>
          </w:p>
        </w:tc>
        <w:tc>
          <w:tcPr>
            <w:tcW w:w="1440" w:type="dxa"/>
            <w:noWrap/>
            <w:hideMark/>
          </w:tcPr>
          <w:p w14:paraId="42B6C6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64.9%</w:t>
            </w:r>
          </w:p>
        </w:tc>
      </w:tr>
      <w:tr w:rsidR="006253A9" w:rsidRPr="006253A9" w14:paraId="68429C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2109AD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0130</w:t>
            </w:r>
          </w:p>
        </w:tc>
        <w:tc>
          <w:tcPr>
            <w:tcW w:w="2880" w:type="dxa"/>
            <w:noWrap/>
            <w:hideMark/>
          </w:tcPr>
          <w:p w14:paraId="2211788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Heath</w:t>
            </w:r>
          </w:p>
        </w:tc>
        <w:tc>
          <w:tcPr>
            <w:tcW w:w="1455" w:type="dxa"/>
            <w:noWrap/>
            <w:hideMark/>
          </w:tcPr>
          <w:p w14:paraId="1349E3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$1,043,868</w:t>
            </w:r>
          </w:p>
        </w:tc>
        <w:tc>
          <w:tcPr>
            <w:tcW w:w="1440" w:type="dxa"/>
            <w:noWrap/>
            <w:hideMark/>
          </w:tcPr>
          <w:p w14:paraId="14A3ED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31.7%</w:t>
            </w:r>
          </w:p>
        </w:tc>
        <w:tc>
          <w:tcPr>
            <w:tcW w:w="1440" w:type="dxa"/>
            <w:noWrap/>
            <w:hideMark/>
          </w:tcPr>
          <w:p w14:paraId="6FE4DA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31.7%</w:t>
            </w:r>
          </w:p>
        </w:tc>
        <w:tc>
          <w:tcPr>
            <w:tcW w:w="1440" w:type="dxa"/>
            <w:noWrap/>
            <w:hideMark/>
          </w:tcPr>
          <w:p w14:paraId="39ABEF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48.6%</w:t>
            </w:r>
          </w:p>
        </w:tc>
        <w:tc>
          <w:tcPr>
            <w:tcW w:w="1455" w:type="dxa"/>
            <w:noWrap/>
            <w:hideMark/>
          </w:tcPr>
          <w:p w14:paraId="140CFE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$1,139,711</w:t>
            </w:r>
          </w:p>
        </w:tc>
        <w:tc>
          <w:tcPr>
            <w:tcW w:w="1440" w:type="dxa"/>
            <w:noWrap/>
            <w:hideMark/>
          </w:tcPr>
          <w:p w14:paraId="518DDB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40.1%</w:t>
            </w:r>
          </w:p>
        </w:tc>
        <w:tc>
          <w:tcPr>
            <w:tcW w:w="1440" w:type="dxa"/>
            <w:noWrap/>
            <w:hideMark/>
          </w:tcPr>
          <w:p w14:paraId="4A1AA4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40.1%</w:t>
            </w:r>
          </w:p>
        </w:tc>
        <w:tc>
          <w:tcPr>
            <w:tcW w:w="1440" w:type="dxa"/>
            <w:noWrap/>
            <w:hideMark/>
          </w:tcPr>
          <w:p w14:paraId="7B257D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40.1%</w:t>
            </w:r>
          </w:p>
        </w:tc>
      </w:tr>
      <w:tr w:rsidR="006253A9" w:rsidRPr="006253A9" w14:paraId="0351709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E8BDFA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0131</w:t>
            </w:r>
          </w:p>
        </w:tc>
        <w:tc>
          <w:tcPr>
            <w:tcW w:w="2880" w:type="dxa"/>
            <w:noWrap/>
            <w:hideMark/>
          </w:tcPr>
          <w:p w14:paraId="370F1D0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Hingham</w:t>
            </w:r>
          </w:p>
        </w:tc>
        <w:tc>
          <w:tcPr>
            <w:tcW w:w="1455" w:type="dxa"/>
            <w:noWrap/>
            <w:hideMark/>
          </w:tcPr>
          <w:p w14:paraId="59D93A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$27,560,965</w:t>
            </w:r>
          </w:p>
        </w:tc>
        <w:tc>
          <w:tcPr>
            <w:tcW w:w="1440" w:type="dxa"/>
            <w:noWrap/>
            <w:hideMark/>
          </w:tcPr>
          <w:p w14:paraId="7DA56F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115.8%</w:t>
            </w:r>
          </w:p>
        </w:tc>
        <w:tc>
          <w:tcPr>
            <w:tcW w:w="1440" w:type="dxa"/>
            <w:noWrap/>
            <w:hideMark/>
          </w:tcPr>
          <w:p w14:paraId="4EB654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3C1C9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85.5%</w:t>
            </w:r>
          </w:p>
        </w:tc>
        <w:tc>
          <w:tcPr>
            <w:tcW w:w="1455" w:type="dxa"/>
            <w:noWrap/>
            <w:hideMark/>
          </w:tcPr>
          <w:p w14:paraId="7C5999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$43,961,797</w:t>
            </w:r>
          </w:p>
        </w:tc>
        <w:tc>
          <w:tcPr>
            <w:tcW w:w="1440" w:type="dxa"/>
            <w:noWrap/>
            <w:hideMark/>
          </w:tcPr>
          <w:p w14:paraId="1451F0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141.8%</w:t>
            </w:r>
          </w:p>
        </w:tc>
        <w:tc>
          <w:tcPr>
            <w:tcW w:w="1440" w:type="dxa"/>
            <w:noWrap/>
            <w:hideMark/>
          </w:tcPr>
          <w:p w14:paraId="268AEC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A8E61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C81AC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659103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0132</w:t>
            </w:r>
          </w:p>
        </w:tc>
        <w:tc>
          <w:tcPr>
            <w:tcW w:w="2880" w:type="dxa"/>
            <w:noWrap/>
            <w:hideMark/>
          </w:tcPr>
          <w:p w14:paraId="01D10DF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Hinsdale</w:t>
            </w:r>
          </w:p>
        </w:tc>
        <w:tc>
          <w:tcPr>
            <w:tcW w:w="1455" w:type="dxa"/>
            <w:noWrap/>
            <w:hideMark/>
          </w:tcPr>
          <w:p w14:paraId="4C1290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$2,344,380</w:t>
            </w:r>
          </w:p>
        </w:tc>
        <w:tc>
          <w:tcPr>
            <w:tcW w:w="1440" w:type="dxa"/>
            <w:noWrap/>
            <w:hideMark/>
          </w:tcPr>
          <w:p w14:paraId="7F3401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52.9%</w:t>
            </w:r>
          </w:p>
        </w:tc>
        <w:tc>
          <w:tcPr>
            <w:tcW w:w="1440" w:type="dxa"/>
            <w:noWrap/>
            <w:hideMark/>
          </w:tcPr>
          <w:p w14:paraId="0935E2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52.9%</w:t>
            </w:r>
          </w:p>
        </w:tc>
        <w:tc>
          <w:tcPr>
            <w:tcW w:w="1440" w:type="dxa"/>
            <w:noWrap/>
            <w:hideMark/>
          </w:tcPr>
          <w:p w14:paraId="733398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56.3%</w:t>
            </w:r>
          </w:p>
        </w:tc>
        <w:tc>
          <w:tcPr>
            <w:tcW w:w="1455" w:type="dxa"/>
            <w:noWrap/>
            <w:hideMark/>
          </w:tcPr>
          <w:p w14:paraId="1D691F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$2,222,456</w:t>
            </w:r>
          </w:p>
        </w:tc>
        <w:tc>
          <w:tcPr>
            <w:tcW w:w="1440" w:type="dxa"/>
            <w:noWrap/>
            <w:hideMark/>
          </w:tcPr>
          <w:p w14:paraId="64F694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91.7%</w:t>
            </w:r>
          </w:p>
        </w:tc>
        <w:tc>
          <w:tcPr>
            <w:tcW w:w="1440" w:type="dxa"/>
            <w:noWrap/>
            <w:hideMark/>
          </w:tcPr>
          <w:p w14:paraId="62B865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70E59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6754CD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C0F82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0133</w:t>
            </w:r>
          </w:p>
        </w:tc>
        <w:tc>
          <w:tcPr>
            <w:tcW w:w="2880" w:type="dxa"/>
            <w:noWrap/>
            <w:hideMark/>
          </w:tcPr>
          <w:p w14:paraId="06FD34E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Holbrook</w:t>
            </w:r>
          </w:p>
        </w:tc>
        <w:tc>
          <w:tcPr>
            <w:tcW w:w="1455" w:type="dxa"/>
            <w:noWrap/>
            <w:hideMark/>
          </w:tcPr>
          <w:p w14:paraId="3AE468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$12,725,492</w:t>
            </w:r>
          </w:p>
        </w:tc>
        <w:tc>
          <w:tcPr>
            <w:tcW w:w="1440" w:type="dxa"/>
            <w:noWrap/>
            <w:hideMark/>
          </w:tcPr>
          <w:p w14:paraId="6776A4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56.8%</w:t>
            </w:r>
          </w:p>
        </w:tc>
        <w:tc>
          <w:tcPr>
            <w:tcW w:w="1440" w:type="dxa"/>
            <w:noWrap/>
            <w:hideMark/>
          </w:tcPr>
          <w:p w14:paraId="4D84A2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56.8%</w:t>
            </w:r>
          </w:p>
        </w:tc>
        <w:tc>
          <w:tcPr>
            <w:tcW w:w="1440" w:type="dxa"/>
            <w:noWrap/>
            <w:hideMark/>
          </w:tcPr>
          <w:p w14:paraId="74652C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60.2%</w:t>
            </w:r>
          </w:p>
        </w:tc>
        <w:tc>
          <w:tcPr>
            <w:tcW w:w="1455" w:type="dxa"/>
            <w:noWrap/>
            <w:hideMark/>
          </w:tcPr>
          <w:p w14:paraId="686113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$17,576,787</w:t>
            </w:r>
          </w:p>
        </w:tc>
        <w:tc>
          <w:tcPr>
            <w:tcW w:w="1440" w:type="dxa"/>
            <w:noWrap/>
            <w:hideMark/>
          </w:tcPr>
          <w:p w14:paraId="6F2604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53.1%</w:t>
            </w:r>
          </w:p>
        </w:tc>
        <w:tc>
          <w:tcPr>
            <w:tcW w:w="1440" w:type="dxa"/>
            <w:noWrap/>
            <w:hideMark/>
          </w:tcPr>
          <w:p w14:paraId="2090A7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53.1%</w:t>
            </w:r>
          </w:p>
        </w:tc>
        <w:tc>
          <w:tcPr>
            <w:tcW w:w="1440" w:type="dxa"/>
            <w:noWrap/>
            <w:hideMark/>
          </w:tcPr>
          <w:p w14:paraId="686435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r>
      <w:tr w:rsidR="006253A9" w:rsidRPr="006253A9" w14:paraId="3D56A64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60738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0134</w:t>
            </w:r>
          </w:p>
        </w:tc>
        <w:tc>
          <w:tcPr>
            <w:tcW w:w="2880" w:type="dxa"/>
            <w:noWrap/>
            <w:hideMark/>
          </w:tcPr>
          <w:p w14:paraId="7E3CA8B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Holden</w:t>
            </w:r>
          </w:p>
        </w:tc>
        <w:tc>
          <w:tcPr>
            <w:tcW w:w="1455" w:type="dxa"/>
            <w:noWrap/>
            <w:hideMark/>
          </w:tcPr>
          <w:p w14:paraId="7820F7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$22,071,768</w:t>
            </w:r>
          </w:p>
        </w:tc>
        <w:tc>
          <w:tcPr>
            <w:tcW w:w="1440" w:type="dxa"/>
            <w:noWrap/>
            <w:hideMark/>
          </w:tcPr>
          <w:p w14:paraId="23B488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c>
          <w:tcPr>
            <w:tcW w:w="1440" w:type="dxa"/>
            <w:noWrap/>
            <w:hideMark/>
          </w:tcPr>
          <w:p w14:paraId="5FD4FC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c>
          <w:tcPr>
            <w:tcW w:w="1440" w:type="dxa"/>
            <w:noWrap/>
            <w:hideMark/>
          </w:tcPr>
          <w:p w14:paraId="08E670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75.6%</w:t>
            </w:r>
          </w:p>
        </w:tc>
        <w:tc>
          <w:tcPr>
            <w:tcW w:w="1455" w:type="dxa"/>
            <w:noWrap/>
            <w:hideMark/>
          </w:tcPr>
          <w:p w14:paraId="0B87B6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$34,247,004</w:t>
            </w:r>
          </w:p>
        </w:tc>
        <w:tc>
          <w:tcPr>
            <w:tcW w:w="1440" w:type="dxa"/>
            <w:noWrap/>
            <w:hideMark/>
          </w:tcPr>
          <w:p w14:paraId="70669F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59.3%</w:t>
            </w:r>
          </w:p>
        </w:tc>
        <w:tc>
          <w:tcPr>
            <w:tcW w:w="1440" w:type="dxa"/>
            <w:noWrap/>
            <w:hideMark/>
          </w:tcPr>
          <w:p w14:paraId="2BFDB4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59.3%</w:t>
            </w:r>
          </w:p>
        </w:tc>
        <w:tc>
          <w:tcPr>
            <w:tcW w:w="1440" w:type="dxa"/>
            <w:noWrap/>
            <w:hideMark/>
          </w:tcPr>
          <w:p w14:paraId="3F0BA8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r>
      <w:tr w:rsidR="006253A9" w:rsidRPr="006253A9" w14:paraId="06CEBE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3585F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0135</w:t>
            </w:r>
          </w:p>
        </w:tc>
        <w:tc>
          <w:tcPr>
            <w:tcW w:w="2880" w:type="dxa"/>
            <w:noWrap/>
            <w:hideMark/>
          </w:tcPr>
          <w:p w14:paraId="60608FC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Holland</w:t>
            </w:r>
          </w:p>
        </w:tc>
        <w:tc>
          <w:tcPr>
            <w:tcW w:w="1455" w:type="dxa"/>
            <w:noWrap/>
            <w:hideMark/>
          </w:tcPr>
          <w:p w14:paraId="73795A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$3,748,093</w:t>
            </w:r>
          </w:p>
        </w:tc>
        <w:tc>
          <w:tcPr>
            <w:tcW w:w="1440" w:type="dxa"/>
            <w:noWrap/>
            <w:hideMark/>
          </w:tcPr>
          <w:p w14:paraId="119B69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w:t>
            </w:r>
          </w:p>
        </w:tc>
        <w:tc>
          <w:tcPr>
            <w:tcW w:w="1440" w:type="dxa"/>
            <w:noWrap/>
            <w:hideMark/>
          </w:tcPr>
          <w:p w14:paraId="121F56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w:t>
            </w:r>
          </w:p>
        </w:tc>
        <w:tc>
          <w:tcPr>
            <w:tcW w:w="1440" w:type="dxa"/>
            <w:noWrap/>
            <w:hideMark/>
          </w:tcPr>
          <w:p w14:paraId="575722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53.4%</w:t>
            </w:r>
          </w:p>
        </w:tc>
        <w:tc>
          <w:tcPr>
            <w:tcW w:w="1455" w:type="dxa"/>
            <w:noWrap/>
            <w:hideMark/>
          </w:tcPr>
          <w:p w14:paraId="44DC4F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$4,158,830</w:t>
            </w:r>
          </w:p>
        </w:tc>
        <w:tc>
          <w:tcPr>
            <w:tcW w:w="1440" w:type="dxa"/>
            <w:noWrap/>
            <w:hideMark/>
          </w:tcPr>
          <w:p w14:paraId="52D74D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55.6%</w:t>
            </w:r>
          </w:p>
        </w:tc>
        <w:tc>
          <w:tcPr>
            <w:tcW w:w="1440" w:type="dxa"/>
            <w:noWrap/>
            <w:hideMark/>
          </w:tcPr>
          <w:p w14:paraId="28C964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55.6%</w:t>
            </w:r>
          </w:p>
        </w:tc>
        <w:tc>
          <w:tcPr>
            <w:tcW w:w="1440" w:type="dxa"/>
            <w:noWrap/>
            <w:hideMark/>
          </w:tcPr>
          <w:p w14:paraId="5110A67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55.6%</w:t>
            </w:r>
          </w:p>
        </w:tc>
      </w:tr>
      <w:tr w:rsidR="006253A9" w:rsidRPr="006253A9" w14:paraId="7483779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7D988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0136</w:t>
            </w:r>
          </w:p>
        </w:tc>
        <w:tc>
          <w:tcPr>
            <w:tcW w:w="2880" w:type="dxa"/>
            <w:noWrap/>
            <w:hideMark/>
          </w:tcPr>
          <w:p w14:paraId="215238C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Holliston</w:t>
            </w:r>
          </w:p>
        </w:tc>
        <w:tc>
          <w:tcPr>
            <w:tcW w:w="1455" w:type="dxa"/>
            <w:noWrap/>
            <w:hideMark/>
          </w:tcPr>
          <w:p w14:paraId="6A5834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$21,569,039</w:t>
            </w:r>
          </w:p>
        </w:tc>
        <w:tc>
          <w:tcPr>
            <w:tcW w:w="1440" w:type="dxa"/>
            <w:noWrap/>
            <w:hideMark/>
          </w:tcPr>
          <w:p w14:paraId="54E8E4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67.9%</w:t>
            </w:r>
          </w:p>
        </w:tc>
        <w:tc>
          <w:tcPr>
            <w:tcW w:w="1440" w:type="dxa"/>
            <w:noWrap/>
            <w:hideMark/>
          </w:tcPr>
          <w:p w14:paraId="05848A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67.9%</w:t>
            </w:r>
          </w:p>
        </w:tc>
        <w:tc>
          <w:tcPr>
            <w:tcW w:w="1440" w:type="dxa"/>
            <w:noWrap/>
            <w:hideMark/>
          </w:tcPr>
          <w:p w14:paraId="48BB5E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77.4%</w:t>
            </w:r>
          </w:p>
        </w:tc>
        <w:tc>
          <w:tcPr>
            <w:tcW w:w="1455" w:type="dxa"/>
            <w:noWrap/>
            <w:hideMark/>
          </w:tcPr>
          <w:p w14:paraId="5730D7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$29,151,170</w:t>
            </w:r>
          </w:p>
        </w:tc>
        <w:tc>
          <w:tcPr>
            <w:tcW w:w="1440" w:type="dxa"/>
            <w:noWrap/>
            <w:hideMark/>
          </w:tcPr>
          <w:p w14:paraId="07D010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72.4%</w:t>
            </w:r>
          </w:p>
        </w:tc>
        <w:tc>
          <w:tcPr>
            <w:tcW w:w="1440" w:type="dxa"/>
            <w:noWrap/>
            <w:hideMark/>
          </w:tcPr>
          <w:p w14:paraId="5417A3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72.4%</w:t>
            </w:r>
          </w:p>
        </w:tc>
        <w:tc>
          <w:tcPr>
            <w:tcW w:w="1440" w:type="dxa"/>
            <w:noWrap/>
            <w:hideMark/>
          </w:tcPr>
          <w:p w14:paraId="29F69A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72.4%</w:t>
            </w:r>
          </w:p>
        </w:tc>
      </w:tr>
      <w:tr w:rsidR="006253A9" w:rsidRPr="006253A9" w14:paraId="76860E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90D8D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0137</w:t>
            </w:r>
          </w:p>
        </w:tc>
        <w:tc>
          <w:tcPr>
            <w:tcW w:w="2880" w:type="dxa"/>
            <w:noWrap/>
            <w:hideMark/>
          </w:tcPr>
          <w:p w14:paraId="39DC88D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Holyoke</w:t>
            </w:r>
          </w:p>
        </w:tc>
        <w:tc>
          <w:tcPr>
            <w:tcW w:w="1455" w:type="dxa"/>
            <w:noWrap/>
            <w:hideMark/>
          </w:tcPr>
          <w:p w14:paraId="5C7AE2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$72,388,532</w:t>
            </w:r>
          </w:p>
        </w:tc>
        <w:tc>
          <w:tcPr>
            <w:tcW w:w="1440" w:type="dxa"/>
            <w:noWrap/>
            <w:hideMark/>
          </w:tcPr>
          <w:p w14:paraId="715795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w:t>
            </w:r>
          </w:p>
        </w:tc>
        <w:tc>
          <w:tcPr>
            <w:tcW w:w="1440" w:type="dxa"/>
            <w:noWrap/>
            <w:hideMark/>
          </w:tcPr>
          <w:p w14:paraId="481A39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w:t>
            </w:r>
          </w:p>
        </w:tc>
        <w:tc>
          <w:tcPr>
            <w:tcW w:w="1440" w:type="dxa"/>
            <w:noWrap/>
            <w:hideMark/>
          </w:tcPr>
          <w:p w14:paraId="310AA8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w:t>
            </w:r>
          </w:p>
        </w:tc>
        <w:tc>
          <w:tcPr>
            <w:tcW w:w="1455" w:type="dxa"/>
            <w:noWrap/>
            <w:hideMark/>
          </w:tcPr>
          <w:p w14:paraId="00FD39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$88,111,146</w:t>
            </w:r>
          </w:p>
        </w:tc>
        <w:tc>
          <w:tcPr>
            <w:tcW w:w="1440" w:type="dxa"/>
            <w:noWrap/>
            <w:hideMark/>
          </w:tcPr>
          <w:p w14:paraId="0D805B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19.8%</w:t>
            </w:r>
          </w:p>
        </w:tc>
        <w:tc>
          <w:tcPr>
            <w:tcW w:w="1440" w:type="dxa"/>
            <w:noWrap/>
            <w:hideMark/>
          </w:tcPr>
          <w:p w14:paraId="103539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19.8%</w:t>
            </w:r>
          </w:p>
        </w:tc>
        <w:tc>
          <w:tcPr>
            <w:tcW w:w="1440" w:type="dxa"/>
            <w:noWrap/>
            <w:hideMark/>
          </w:tcPr>
          <w:p w14:paraId="64D911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12.6%</w:t>
            </w:r>
          </w:p>
        </w:tc>
      </w:tr>
      <w:tr w:rsidR="006253A9" w:rsidRPr="006253A9" w14:paraId="04D6F6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FD56EC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0138</w:t>
            </w:r>
          </w:p>
        </w:tc>
        <w:tc>
          <w:tcPr>
            <w:tcW w:w="2880" w:type="dxa"/>
            <w:noWrap/>
            <w:hideMark/>
          </w:tcPr>
          <w:p w14:paraId="0A0867F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Hopedale</w:t>
            </w:r>
          </w:p>
        </w:tc>
        <w:tc>
          <w:tcPr>
            <w:tcW w:w="1455" w:type="dxa"/>
            <w:noWrap/>
            <w:hideMark/>
          </w:tcPr>
          <w:p w14:paraId="7F886E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$8,569,539</w:t>
            </w:r>
          </w:p>
        </w:tc>
        <w:tc>
          <w:tcPr>
            <w:tcW w:w="1440" w:type="dxa"/>
            <w:noWrap/>
            <w:hideMark/>
          </w:tcPr>
          <w:p w14:paraId="3007F2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57.6%</w:t>
            </w:r>
          </w:p>
        </w:tc>
        <w:tc>
          <w:tcPr>
            <w:tcW w:w="1440" w:type="dxa"/>
            <w:noWrap/>
            <w:hideMark/>
          </w:tcPr>
          <w:p w14:paraId="3BFF0D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57.6%</w:t>
            </w:r>
          </w:p>
        </w:tc>
        <w:tc>
          <w:tcPr>
            <w:tcW w:w="1440" w:type="dxa"/>
            <w:noWrap/>
            <w:hideMark/>
          </w:tcPr>
          <w:p w14:paraId="42BB38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32.3%</w:t>
            </w:r>
          </w:p>
        </w:tc>
        <w:tc>
          <w:tcPr>
            <w:tcW w:w="1455" w:type="dxa"/>
            <w:noWrap/>
            <w:hideMark/>
          </w:tcPr>
          <w:p w14:paraId="237269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$10,695,576</w:t>
            </w:r>
          </w:p>
        </w:tc>
        <w:tc>
          <w:tcPr>
            <w:tcW w:w="1440" w:type="dxa"/>
            <w:noWrap/>
            <w:hideMark/>
          </w:tcPr>
          <w:p w14:paraId="774165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58.9%</w:t>
            </w:r>
          </w:p>
        </w:tc>
        <w:tc>
          <w:tcPr>
            <w:tcW w:w="1440" w:type="dxa"/>
            <w:noWrap/>
            <w:hideMark/>
          </w:tcPr>
          <w:p w14:paraId="22E114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58.9%</w:t>
            </w:r>
          </w:p>
        </w:tc>
        <w:tc>
          <w:tcPr>
            <w:tcW w:w="1440" w:type="dxa"/>
            <w:noWrap/>
            <w:hideMark/>
          </w:tcPr>
          <w:p w14:paraId="2FDE79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r>
      <w:tr w:rsidR="006253A9" w:rsidRPr="006253A9" w14:paraId="6B198DB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5B707C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0139</w:t>
            </w:r>
          </w:p>
        </w:tc>
        <w:tc>
          <w:tcPr>
            <w:tcW w:w="2880" w:type="dxa"/>
            <w:noWrap/>
            <w:hideMark/>
          </w:tcPr>
          <w:p w14:paraId="19B373D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Hopkinton</w:t>
            </w:r>
          </w:p>
        </w:tc>
        <w:tc>
          <w:tcPr>
            <w:tcW w:w="1455" w:type="dxa"/>
            <w:noWrap/>
            <w:hideMark/>
          </w:tcPr>
          <w:p w14:paraId="147062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$26,173,696</w:t>
            </w:r>
          </w:p>
        </w:tc>
        <w:tc>
          <w:tcPr>
            <w:tcW w:w="1440" w:type="dxa"/>
            <w:noWrap/>
            <w:hideMark/>
          </w:tcPr>
          <w:p w14:paraId="367A60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c>
          <w:tcPr>
            <w:tcW w:w="1440" w:type="dxa"/>
            <w:noWrap/>
            <w:hideMark/>
          </w:tcPr>
          <w:p w14:paraId="0FD128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c>
          <w:tcPr>
            <w:tcW w:w="1440" w:type="dxa"/>
            <w:noWrap/>
            <w:hideMark/>
          </w:tcPr>
          <w:p w14:paraId="66061C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79.3%</w:t>
            </w:r>
          </w:p>
        </w:tc>
        <w:tc>
          <w:tcPr>
            <w:tcW w:w="1455" w:type="dxa"/>
            <w:noWrap/>
            <w:hideMark/>
          </w:tcPr>
          <w:p w14:paraId="1374B5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$39,808,491</w:t>
            </w:r>
          </w:p>
        </w:tc>
        <w:tc>
          <w:tcPr>
            <w:tcW w:w="1440" w:type="dxa"/>
            <w:noWrap/>
            <w:hideMark/>
          </w:tcPr>
          <w:p w14:paraId="7F50D7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86.4%</w:t>
            </w:r>
          </w:p>
        </w:tc>
        <w:tc>
          <w:tcPr>
            <w:tcW w:w="1440" w:type="dxa"/>
            <w:noWrap/>
            <w:hideMark/>
          </w:tcPr>
          <w:p w14:paraId="5B6673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45C7C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82.2%</w:t>
            </w:r>
          </w:p>
        </w:tc>
      </w:tr>
      <w:tr w:rsidR="006253A9" w:rsidRPr="006253A9" w14:paraId="4BF4469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5E3CA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0140</w:t>
            </w:r>
          </w:p>
        </w:tc>
        <w:tc>
          <w:tcPr>
            <w:tcW w:w="2880" w:type="dxa"/>
            <w:noWrap/>
            <w:hideMark/>
          </w:tcPr>
          <w:p w14:paraId="1048F1A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Hubbardston</w:t>
            </w:r>
          </w:p>
        </w:tc>
        <w:tc>
          <w:tcPr>
            <w:tcW w:w="1455" w:type="dxa"/>
            <w:noWrap/>
            <w:hideMark/>
          </w:tcPr>
          <w:p w14:paraId="596ACB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$7,117,469</w:t>
            </w:r>
          </w:p>
        </w:tc>
        <w:tc>
          <w:tcPr>
            <w:tcW w:w="1440" w:type="dxa"/>
            <w:noWrap/>
            <w:hideMark/>
          </w:tcPr>
          <w:p w14:paraId="710B5D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5C13D0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7F3048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27.2%</w:t>
            </w:r>
          </w:p>
        </w:tc>
        <w:tc>
          <w:tcPr>
            <w:tcW w:w="1455" w:type="dxa"/>
            <w:noWrap/>
            <w:hideMark/>
          </w:tcPr>
          <w:p w14:paraId="7A6210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$6,764,342</w:t>
            </w:r>
          </w:p>
        </w:tc>
        <w:tc>
          <w:tcPr>
            <w:tcW w:w="1440" w:type="dxa"/>
            <w:noWrap/>
            <w:hideMark/>
          </w:tcPr>
          <w:p w14:paraId="1F1D53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58.9%</w:t>
            </w:r>
          </w:p>
        </w:tc>
        <w:tc>
          <w:tcPr>
            <w:tcW w:w="1440" w:type="dxa"/>
            <w:noWrap/>
            <w:hideMark/>
          </w:tcPr>
          <w:p w14:paraId="431F2C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58.9%</w:t>
            </w:r>
          </w:p>
        </w:tc>
        <w:tc>
          <w:tcPr>
            <w:tcW w:w="1440" w:type="dxa"/>
            <w:noWrap/>
            <w:hideMark/>
          </w:tcPr>
          <w:p w14:paraId="1DEA98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56.5%</w:t>
            </w:r>
          </w:p>
        </w:tc>
      </w:tr>
      <w:tr w:rsidR="006253A9" w:rsidRPr="006253A9" w14:paraId="0DBBA7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44D41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0141</w:t>
            </w:r>
          </w:p>
        </w:tc>
        <w:tc>
          <w:tcPr>
            <w:tcW w:w="2880" w:type="dxa"/>
            <w:noWrap/>
            <w:hideMark/>
          </w:tcPr>
          <w:p w14:paraId="6C8949E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Hudson</w:t>
            </w:r>
          </w:p>
        </w:tc>
        <w:tc>
          <w:tcPr>
            <w:tcW w:w="1455" w:type="dxa"/>
            <w:noWrap/>
            <w:hideMark/>
          </w:tcPr>
          <w:p w14:paraId="69E4EA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$22,731,716</w:t>
            </w:r>
          </w:p>
        </w:tc>
        <w:tc>
          <w:tcPr>
            <w:tcW w:w="1440" w:type="dxa"/>
            <w:noWrap/>
            <w:hideMark/>
          </w:tcPr>
          <w:p w14:paraId="0E0F8F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67.2%</w:t>
            </w:r>
          </w:p>
        </w:tc>
        <w:tc>
          <w:tcPr>
            <w:tcW w:w="1440" w:type="dxa"/>
            <w:noWrap/>
            <w:hideMark/>
          </w:tcPr>
          <w:p w14:paraId="05F7D5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67.2%</w:t>
            </w:r>
          </w:p>
        </w:tc>
        <w:tc>
          <w:tcPr>
            <w:tcW w:w="1440" w:type="dxa"/>
            <w:noWrap/>
            <w:hideMark/>
          </w:tcPr>
          <w:p w14:paraId="0FBEF4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72.1%</w:t>
            </w:r>
          </w:p>
        </w:tc>
        <w:tc>
          <w:tcPr>
            <w:tcW w:w="1455" w:type="dxa"/>
            <w:noWrap/>
            <w:hideMark/>
          </w:tcPr>
          <w:p w14:paraId="2BBB1E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$33,749,566</w:t>
            </w:r>
          </w:p>
        </w:tc>
        <w:tc>
          <w:tcPr>
            <w:tcW w:w="1440" w:type="dxa"/>
            <w:noWrap/>
            <w:hideMark/>
          </w:tcPr>
          <w:p w14:paraId="44968A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60.9%</w:t>
            </w:r>
          </w:p>
        </w:tc>
        <w:tc>
          <w:tcPr>
            <w:tcW w:w="1440" w:type="dxa"/>
            <w:noWrap/>
            <w:hideMark/>
          </w:tcPr>
          <w:p w14:paraId="5E4975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60.9%</w:t>
            </w:r>
          </w:p>
        </w:tc>
        <w:tc>
          <w:tcPr>
            <w:tcW w:w="1440" w:type="dxa"/>
            <w:noWrap/>
            <w:hideMark/>
          </w:tcPr>
          <w:p w14:paraId="431B69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60.2%</w:t>
            </w:r>
          </w:p>
        </w:tc>
      </w:tr>
      <w:tr w:rsidR="006253A9" w:rsidRPr="006253A9" w14:paraId="6387173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324231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0142</w:t>
            </w:r>
          </w:p>
        </w:tc>
        <w:tc>
          <w:tcPr>
            <w:tcW w:w="2880" w:type="dxa"/>
            <w:noWrap/>
            <w:hideMark/>
          </w:tcPr>
          <w:p w14:paraId="4C63776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Hull</w:t>
            </w:r>
          </w:p>
        </w:tc>
        <w:tc>
          <w:tcPr>
            <w:tcW w:w="1455" w:type="dxa"/>
            <w:noWrap/>
            <w:hideMark/>
          </w:tcPr>
          <w:p w14:paraId="1EE8BE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$11,214,367</w:t>
            </w:r>
          </w:p>
        </w:tc>
        <w:tc>
          <w:tcPr>
            <w:tcW w:w="1440" w:type="dxa"/>
            <w:noWrap/>
            <w:hideMark/>
          </w:tcPr>
          <w:p w14:paraId="61DD45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95.2%</w:t>
            </w:r>
          </w:p>
        </w:tc>
        <w:tc>
          <w:tcPr>
            <w:tcW w:w="1440" w:type="dxa"/>
            <w:noWrap/>
            <w:hideMark/>
          </w:tcPr>
          <w:p w14:paraId="00B819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1C47E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83.7%</w:t>
            </w:r>
          </w:p>
        </w:tc>
        <w:tc>
          <w:tcPr>
            <w:tcW w:w="1455" w:type="dxa"/>
            <w:noWrap/>
            <w:hideMark/>
          </w:tcPr>
          <w:p w14:paraId="5A2BAC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$10,718,332</w:t>
            </w:r>
          </w:p>
        </w:tc>
        <w:tc>
          <w:tcPr>
            <w:tcW w:w="1440" w:type="dxa"/>
            <w:noWrap/>
            <w:hideMark/>
          </w:tcPr>
          <w:p w14:paraId="5895B90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129.8%</w:t>
            </w:r>
          </w:p>
        </w:tc>
        <w:tc>
          <w:tcPr>
            <w:tcW w:w="1440" w:type="dxa"/>
            <w:noWrap/>
            <w:hideMark/>
          </w:tcPr>
          <w:p w14:paraId="02E746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D8E9F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81.6%</w:t>
            </w:r>
          </w:p>
        </w:tc>
      </w:tr>
      <w:tr w:rsidR="006253A9" w:rsidRPr="006253A9" w14:paraId="6F6FFA3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92FBF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0143</w:t>
            </w:r>
          </w:p>
        </w:tc>
        <w:tc>
          <w:tcPr>
            <w:tcW w:w="2880" w:type="dxa"/>
            <w:noWrap/>
            <w:hideMark/>
          </w:tcPr>
          <w:p w14:paraId="31D8074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Huntington</w:t>
            </w:r>
          </w:p>
        </w:tc>
        <w:tc>
          <w:tcPr>
            <w:tcW w:w="1455" w:type="dxa"/>
            <w:noWrap/>
            <w:hideMark/>
          </w:tcPr>
          <w:p w14:paraId="479CB1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$3,256,273</w:t>
            </w:r>
          </w:p>
        </w:tc>
        <w:tc>
          <w:tcPr>
            <w:tcW w:w="1440" w:type="dxa"/>
            <w:noWrap/>
            <w:hideMark/>
          </w:tcPr>
          <w:p w14:paraId="6158DC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38.3%</w:t>
            </w:r>
          </w:p>
        </w:tc>
        <w:tc>
          <w:tcPr>
            <w:tcW w:w="1440" w:type="dxa"/>
            <w:noWrap/>
            <w:hideMark/>
          </w:tcPr>
          <w:p w14:paraId="291A17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38.3%</w:t>
            </w:r>
          </w:p>
        </w:tc>
        <w:tc>
          <w:tcPr>
            <w:tcW w:w="1440" w:type="dxa"/>
            <w:noWrap/>
            <w:hideMark/>
          </w:tcPr>
          <w:p w14:paraId="6900C0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35.0%</w:t>
            </w:r>
          </w:p>
        </w:tc>
        <w:tc>
          <w:tcPr>
            <w:tcW w:w="1455" w:type="dxa"/>
            <w:noWrap/>
            <w:hideMark/>
          </w:tcPr>
          <w:p w14:paraId="5CDA79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$3,452,432</w:t>
            </w:r>
          </w:p>
        </w:tc>
        <w:tc>
          <w:tcPr>
            <w:tcW w:w="1440" w:type="dxa"/>
            <w:noWrap/>
            <w:hideMark/>
          </w:tcPr>
          <w:p w14:paraId="447087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47.7%</w:t>
            </w:r>
          </w:p>
        </w:tc>
        <w:tc>
          <w:tcPr>
            <w:tcW w:w="1440" w:type="dxa"/>
            <w:noWrap/>
            <w:hideMark/>
          </w:tcPr>
          <w:p w14:paraId="2C1ADC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47.7%</w:t>
            </w:r>
          </w:p>
        </w:tc>
        <w:tc>
          <w:tcPr>
            <w:tcW w:w="1440" w:type="dxa"/>
            <w:noWrap/>
            <w:hideMark/>
          </w:tcPr>
          <w:p w14:paraId="1D8AC3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47.7%</w:t>
            </w:r>
          </w:p>
        </w:tc>
      </w:tr>
      <w:tr w:rsidR="006253A9" w:rsidRPr="006253A9" w14:paraId="0FBEAE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DEAC4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0144</w:t>
            </w:r>
          </w:p>
        </w:tc>
        <w:tc>
          <w:tcPr>
            <w:tcW w:w="2880" w:type="dxa"/>
            <w:noWrap/>
            <w:hideMark/>
          </w:tcPr>
          <w:p w14:paraId="3A84F94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Ipswich</w:t>
            </w:r>
          </w:p>
        </w:tc>
        <w:tc>
          <w:tcPr>
            <w:tcW w:w="1455" w:type="dxa"/>
            <w:noWrap/>
            <w:hideMark/>
          </w:tcPr>
          <w:p w14:paraId="1A5C54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$15,447,097</w:t>
            </w:r>
          </w:p>
        </w:tc>
        <w:tc>
          <w:tcPr>
            <w:tcW w:w="1440" w:type="dxa"/>
            <w:noWrap/>
            <w:hideMark/>
          </w:tcPr>
          <w:p w14:paraId="63197A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95.5%</w:t>
            </w:r>
          </w:p>
        </w:tc>
        <w:tc>
          <w:tcPr>
            <w:tcW w:w="1440" w:type="dxa"/>
            <w:noWrap/>
            <w:hideMark/>
          </w:tcPr>
          <w:p w14:paraId="636A9F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C79C0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87.7%</w:t>
            </w:r>
          </w:p>
        </w:tc>
        <w:tc>
          <w:tcPr>
            <w:tcW w:w="1455" w:type="dxa"/>
            <w:noWrap/>
            <w:hideMark/>
          </w:tcPr>
          <w:p w14:paraId="35ECC4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$18,789,939</w:t>
            </w:r>
          </w:p>
        </w:tc>
        <w:tc>
          <w:tcPr>
            <w:tcW w:w="1440" w:type="dxa"/>
            <w:noWrap/>
            <w:hideMark/>
          </w:tcPr>
          <w:p w14:paraId="574518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110.1%</w:t>
            </w:r>
          </w:p>
        </w:tc>
        <w:tc>
          <w:tcPr>
            <w:tcW w:w="1440" w:type="dxa"/>
            <w:noWrap/>
            <w:hideMark/>
          </w:tcPr>
          <w:p w14:paraId="10B963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32439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FB7A7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47BD3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0145</w:t>
            </w:r>
          </w:p>
        </w:tc>
        <w:tc>
          <w:tcPr>
            <w:tcW w:w="2880" w:type="dxa"/>
            <w:noWrap/>
            <w:hideMark/>
          </w:tcPr>
          <w:p w14:paraId="58339C4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Kingston</w:t>
            </w:r>
          </w:p>
        </w:tc>
        <w:tc>
          <w:tcPr>
            <w:tcW w:w="1455" w:type="dxa"/>
            <w:noWrap/>
            <w:hideMark/>
          </w:tcPr>
          <w:p w14:paraId="4EFF6F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$15,751,077</w:t>
            </w:r>
          </w:p>
        </w:tc>
        <w:tc>
          <w:tcPr>
            <w:tcW w:w="1440" w:type="dxa"/>
            <w:noWrap/>
            <w:hideMark/>
          </w:tcPr>
          <w:p w14:paraId="385885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c>
          <w:tcPr>
            <w:tcW w:w="1440" w:type="dxa"/>
            <w:noWrap/>
            <w:hideMark/>
          </w:tcPr>
          <w:p w14:paraId="3706B1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c>
          <w:tcPr>
            <w:tcW w:w="1440" w:type="dxa"/>
            <w:noWrap/>
            <w:hideMark/>
          </w:tcPr>
          <w:p w14:paraId="16D857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60.1%</w:t>
            </w:r>
          </w:p>
        </w:tc>
        <w:tc>
          <w:tcPr>
            <w:tcW w:w="1455" w:type="dxa"/>
            <w:noWrap/>
            <w:hideMark/>
          </w:tcPr>
          <w:p w14:paraId="04B230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$23,149,457</w:t>
            </w:r>
          </w:p>
        </w:tc>
        <w:tc>
          <w:tcPr>
            <w:tcW w:w="1440" w:type="dxa"/>
            <w:noWrap/>
            <w:hideMark/>
          </w:tcPr>
          <w:p w14:paraId="42F701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67.5%</w:t>
            </w:r>
          </w:p>
        </w:tc>
        <w:tc>
          <w:tcPr>
            <w:tcW w:w="1440" w:type="dxa"/>
            <w:noWrap/>
            <w:hideMark/>
          </w:tcPr>
          <w:p w14:paraId="18F448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67.5%</w:t>
            </w:r>
          </w:p>
        </w:tc>
        <w:tc>
          <w:tcPr>
            <w:tcW w:w="1440" w:type="dxa"/>
            <w:noWrap/>
            <w:hideMark/>
          </w:tcPr>
          <w:p w14:paraId="6E8A6E5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64.5%</w:t>
            </w:r>
          </w:p>
        </w:tc>
      </w:tr>
      <w:tr w:rsidR="006253A9" w:rsidRPr="006253A9" w14:paraId="126005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A9120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0146</w:t>
            </w:r>
          </w:p>
        </w:tc>
        <w:tc>
          <w:tcPr>
            <w:tcW w:w="2880" w:type="dxa"/>
            <w:noWrap/>
            <w:hideMark/>
          </w:tcPr>
          <w:p w14:paraId="1825A9D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Lakeville</w:t>
            </w:r>
          </w:p>
        </w:tc>
        <w:tc>
          <w:tcPr>
            <w:tcW w:w="1455" w:type="dxa"/>
            <w:noWrap/>
            <w:hideMark/>
          </w:tcPr>
          <w:p w14:paraId="77F1EE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$14,302,607</w:t>
            </w:r>
          </w:p>
        </w:tc>
        <w:tc>
          <w:tcPr>
            <w:tcW w:w="1440" w:type="dxa"/>
            <w:noWrap/>
            <w:hideMark/>
          </w:tcPr>
          <w:p w14:paraId="174765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61.6%</w:t>
            </w:r>
          </w:p>
        </w:tc>
        <w:tc>
          <w:tcPr>
            <w:tcW w:w="1440" w:type="dxa"/>
            <w:noWrap/>
            <w:hideMark/>
          </w:tcPr>
          <w:p w14:paraId="291F49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61.6%</w:t>
            </w:r>
          </w:p>
        </w:tc>
        <w:tc>
          <w:tcPr>
            <w:tcW w:w="1440" w:type="dxa"/>
            <w:noWrap/>
            <w:hideMark/>
          </w:tcPr>
          <w:p w14:paraId="3041C0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55.9%</w:t>
            </w:r>
          </w:p>
        </w:tc>
        <w:tc>
          <w:tcPr>
            <w:tcW w:w="1455" w:type="dxa"/>
            <w:noWrap/>
            <w:hideMark/>
          </w:tcPr>
          <w:p w14:paraId="658B6C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$19,109,511</w:t>
            </w:r>
          </w:p>
        </w:tc>
        <w:tc>
          <w:tcPr>
            <w:tcW w:w="1440" w:type="dxa"/>
            <w:noWrap/>
            <w:hideMark/>
          </w:tcPr>
          <w:p w14:paraId="30E058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67.0%</w:t>
            </w:r>
          </w:p>
        </w:tc>
        <w:tc>
          <w:tcPr>
            <w:tcW w:w="1440" w:type="dxa"/>
            <w:noWrap/>
            <w:hideMark/>
          </w:tcPr>
          <w:p w14:paraId="29A7BB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67.0%</w:t>
            </w:r>
          </w:p>
        </w:tc>
        <w:tc>
          <w:tcPr>
            <w:tcW w:w="1440" w:type="dxa"/>
            <w:noWrap/>
            <w:hideMark/>
          </w:tcPr>
          <w:p w14:paraId="22CFA0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64.6%</w:t>
            </w:r>
          </w:p>
        </w:tc>
      </w:tr>
      <w:tr w:rsidR="006253A9" w:rsidRPr="006253A9" w14:paraId="732600F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B314B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0147</w:t>
            </w:r>
          </w:p>
        </w:tc>
        <w:tc>
          <w:tcPr>
            <w:tcW w:w="2880" w:type="dxa"/>
            <w:noWrap/>
            <w:hideMark/>
          </w:tcPr>
          <w:p w14:paraId="592F99D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Lancaster</w:t>
            </w:r>
          </w:p>
        </w:tc>
        <w:tc>
          <w:tcPr>
            <w:tcW w:w="1455" w:type="dxa"/>
            <w:noWrap/>
            <w:hideMark/>
          </w:tcPr>
          <w:p w14:paraId="122E68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$8,322,818</w:t>
            </w:r>
          </w:p>
        </w:tc>
        <w:tc>
          <w:tcPr>
            <w:tcW w:w="1440" w:type="dxa"/>
            <w:noWrap/>
            <w:hideMark/>
          </w:tcPr>
          <w:p w14:paraId="1976B5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w:t>
            </w:r>
          </w:p>
        </w:tc>
        <w:tc>
          <w:tcPr>
            <w:tcW w:w="1440" w:type="dxa"/>
            <w:noWrap/>
            <w:hideMark/>
          </w:tcPr>
          <w:p w14:paraId="7A0B5E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w:t>
            </w:r>
          </w:p>
        </w:tc>
        <w:tc>
          <w:tcPr>
            <w:tcW w:w="1440" w:type="dxa"/>
            <w:noWrap/>
            <w:hideMark/>
          </w:tcPr>
          <w:p w14:paraId="21230A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63.7%</w:t>
            </w:r>
          </w:p>
        </w:tc>
        <w:tc>
          <w:tcPr>
            <w:tcW w:w="1455" w:type="dxa"/>
            <w:noWrap/>
            <w:hideMark/>
          </w:tcPr>
          <w:p w14:paraId="58655F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$10,913,049</w:t>
            </w:r>
          </w:p>
        </w:tc>
        <w:tc>
          <w:tcPr>
            <w:tcW w:w="1440" w:type="dxa"/>
            <w:noWrap/>
            <w:hideMark/>
          </w:tcPr>
          <w:p w14:paraId="441E39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69.8%</w:t>
            </w:r>
          </w:p>
        </w:tc>
        <w:tc>
          <w:tcPr>
            <w:tcW w:w="1440" w:type="dxa"/>
            <w:noWrap/>
            <w:hideMark/>
          </w:tcPr>
          <w:p w14:paraId="569F2F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69.8%</w:t>
            </w:r>
          </w:p>
        </w:tc>
        <w:tc>
          <w:tcPr>
            <w:tcW w:w="1440" w:type="dxa"/>
            <w:noWrap/>
            <w:hideMark/>
          </w:tcPr>
          <w:p w14:paraId="33E855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68.7%</w:t>
            </w:r>
          </w:p>
        </w:tc>
      </w:tr>
      <w:tr w:rsidR="006253A9" w:rsidRPr="006253A9" w14:paraId="10CC9EE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001DA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0148</w:t>
            </w:r>
          </w:p>
        </w:tc>
        <w:tc>
          <w:tcPr>
            <w:tcW w:w="2880" w:type="dxa"/>
            <w:noWrap/>
            <w:hideMark/>
          </w:tcPr>
          <w:p w14:paraId="637DAD4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Lanesborough</w:t>
            </w:r>
          </w:p>
        </w:tc>
        <w:tc>
          <w:tcPr>
            <w:tcW w:w="1455" w:type="dxa"/>
            <w:noWrap/>
            <w:hideMark/>
          </w:tcPr>
          <w:p w14:paraId="676DB6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$3,739,875</w:t>
            </w:r>
          </w:p>
        </w:tc>
        <w:tc>
          <w:tcPr>
            <w:tcW w:w="1440" w:type="dxa"/>
            <w:noWrap/>
            <w:hideMark/>
          </w:tcPr>
          <w:p w14:paraId="770950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52.6%</w:t>
            </w:r>
          </w:p>
        </w:tc>
        <w:tc>
          <w:tcPr>
            <w:tcW w:w="1440" w:type="dxa"/>
            <w:noWrap/>
            <w:hideMark/>
          </w:tcPr>
          <w:p w14:paraId="3B65DD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52.6%</w:t>
            </w:r>
          </w:p>
        </w:tc>
        <w:tc>
          <w:tcPr>
            <w:tcW w:w="1440" w:type="dxa"/>
            <w:noWrap/>
            <w:hideMark/>
          </w:tcPr>
          <w:p w14:paraId="4DFA70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55" w:type="dxa"/>
            <w:noWrap/>
            <w:hideMark/>
          </w:tcPr>
          <w:p w14:paraId="1BCA95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$4,405,343</w:t>
            </w:r>
          </w:p>
        </w:tc>
        <w:tc>
          <w:tcPr>
            <w:tcW w:w="1440" w:type="dxa"/>
            <w:noWrap/>
            <w:hideMark/>
          </w:tcPr>
          <w:p w14:paraId="45D171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c>
          <w:tcPr>
            <w:tcW w:w="1440" w:type="dxa"/>
            <w:noWrap/>
            <w:hideMark/>
          </w:tcPr>
          <w:p w14:paraId="0F0D24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c>
          <w:tcPr>
            <w:tcW w:w="1440" w:type="dxa"/>
            <w:noWrap/>
            <w:hideMark/>
          </w:tcPr>
          <w:p w14:paraId="0633EB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r>
      <w:tr w:rsidR="006253A9" w:rsidRPr="006253A9" w14:paraId="20F1D5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F997B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0149</w:t>
            </w:r>
          </w:p>
        </w:tc>
        <w:tc>
          <w:tcPr>
            <w:tcW w:w="2880" w:type="dxa"/>
            <w:noWrap/>
            <w:hideMark/>
          </w:tcPr>
          <w:p w14:paraId="463EAC2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Lawrence</w:t>
            </w:r>
          </w:p>
        </w:tc>
        <w:tc>
          <w:tcPr>
            <w:tcW w:w="1455" w:type="dxa"/>
            <w:noWrap/>
            <w:hideMark/>
          </w:tcPr>
          <w:p w14:paraId="6D5F88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$148,148,048</w:t>
            </w:r>
          </w:p>
        </w:tc>
        <w:tc>
          <w:tcPr>
            <w:tcW w:w="1440" w:type="dxa"/>
            <w:noWrap/>
            <w:hideMark/>
          </w:tcPr>
          <w:p w14:paraId="0510B7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15.3%</w:t>
            </w:r>
          </w:p>
        </w:tc>
        <w:tc>
          <w:tcPr>
            <w:tcW w:w="1440" w:type="dxa"/>
            <w:noWrap/>
            <w:hideMark/>
          </w:tcPr>
          <w:p w14:paraId="6D627A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15.3%</w:t>
            </w:r>
          </w:p>
        </w:tc>
        <w:tc>
          <w:tcPr>
            <w:tcW w:w="1440" w:type="dxa"/>
            <w:noWrap/>
            <w:hideMark/>
          </w:tcPr>
          <w:p w14:paraId="75F227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w:t>
            </w:r>
          </w:p>
        </w:tc>
        <w:tc>
          <w:tcPr>
            <w:tcW w:w="1455" w:type="dxa"/>
            <w:noWrap/>
            <w:hideMark/>
          </w:tcPr>
          <w:p w14:paraId="65D423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$236,181,726</w:t>
            </w:r>
          </w:p>
        </w:tc>
        <w:tc>
          <w:tcPr>
            <w:tcW w:w="1440" w:type="dxa"/>
            <w:noWrap/>
            <w:hideMark/>
          </w:tcPr>
          <w:p w14:paraId="166227B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w:t>
            </w:r>
          </w:p>
        </w:tc>
        <w:tc>
          <w:tcPr>
            <w:tcW w:w="1440" w:type="dxa"/>
            <w:noWrap/>
            <w:hideMark/>
          </w:tcPr>
          <w:p w14:paraId="4E99440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w:t>
            </w:r>
          </w:p>
        </w:tc>
        <w:tc>
          <w:tcPr>
            <w:tcW w:w="1440" w:type="dxa"/>
            <w:noWrap/>
            <w:hideMark/>
          </w:tcPr>
          <w:p w14:paraId="68D3D0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w:t>
            </w:r>
          </w:p>
        </w:tc>
      </w:tr>
      <w:tr w:rsidR="006253A9" w:rsidRPr="006253A9" w14:paraId="07967E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8A7C2E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0150</w:t>
            </w:r>
          </w:p>
        </w:tc>
        <w:tc>
          <w:tcPr>
            <w:tcW w:w="2880" w:type="dxa"/>
            <w:noWrap/>
            <w:hideMark/>
          </w:tcPr>
          <w:p w14:paraId="56EC01E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Lee</w:t>
            </w:r>
          </w:p>
        </w:tc>
        <w:tc>
          <w:tcPr>
            <w:tcW w:w="1455" w:type="dxa"/>
            <w:noWrap/>
            <w:hideMark/>
          </w:tcPr>
          <w:p w14:paraId="37122F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$6,350,292</w:t>
            </w:r>
          </w:p>
        </w:tc>
        <w:tc>
          <w:tcPr>
            <w:tcW w:w="1440" w:type="dxa"/>
            <w:noWrap/>
            <w:hideMark/>
          </w:tcPr>
          <w:p w14:paraId="4FAC4B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40" w:type="dxa"/>
            <w:noWrap/>
            <w:hideMark/>
          </w:tcPr>
          <w:p w14:paraId="1FE97F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40" w:type="dxa"/>
            <w:noWrap/>
            <w:hideMark/>
          </w:tcPr>
          <w:p w14:paraId="5BBE68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81.5%</w:t>
            </w:r>
          </w:p>
        </w:tc>
        <w:tc>
          <w:tcPr>
            <w:tcW w:w="1455" w:type="dxa"/>
            <w:noWrap/>
            <w:hideMark/>
          </w:tcPr>
          <w:p w14:paraId="32B554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$7,374,238</w:t>
            </w:r>
          </w:p>
        </w:tc>
        <w:tc>
          <w:tcPr>
            <w:tcW w:w="1440" w:type="dxa"/>
            <w:noWrap/>
            <w:hideMark/>
          </w:tcPr>
          <w:p w14:paraId="71841B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79.5%</w:t>
            </w:r>
          </w:p>
        </w:tc>
        <w:tc>
          <w:tcPr>
            <w:tcW w:w="1440" w:type="dxa"/>
            <w:noWrap/>
            <w:hideMark/>
          </w:tcPr>
          <w:p w14:paraId="742329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79.5%</w:t>
            </w:r>
          </w:p>
        </w:tc>
        <w:tc>
          <w:tcPr>
            <w:tcW w:w="1440" w:type="dxa"/>
            <w:noWrap/>
            <w:hideMark/>
          </w:tcPr>
          <w:p w14:paraId="04067A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79.5%</w:t>
            </w:r>
          </w:p>
        </w:tc>
      </w:tr>
      <w:tr w:rsidR="006253A9" w:rsidRPr="006253A9" w14:paraId="421BF3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728F7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0151</w:t>
            </w:r>
          </w:p>
        </w:tc>
        <w:tc>
          <w:tcPr>
            <w:tcW w:w="2880" w:type="dxa"/>
            <w:noWrap/>
            <w:hideMark/>
          </w:tcPr>
          <w:p w14:paraId="4CF66DE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Leicester</w:t>
            </w:r>
          </w:p>
        </w:tc>
        <w:tc>
          <w:tcPr>
            <w:tcW w:w="1455" w:type="dxa"/>
            <w:noWrap/>
            <w:hideMark/>
          </w:tcPr>
          <w:p w14:paraId="24E3B8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$14,951,710</w:t>
            </w:r>
          </w:p>
        </w:tc>
        <w:tc>
          <w:tcPr>
            <w:tcW w:w="1440" w:type="dxa"/>
            <w:noWrap/>
            <w:hideMark/>
          </w:tcPr>
          <w:p w14:paraId="4F1F33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42.0%</w:t>
            </w:r>
          </w:p>
        </w:tc>
        <w:tc>
          <w:tcPr>
            <w:tcW w:w="1440" w:type="dxa"/>
            <w:noWrap/>
            <w:hideMark/>
          </w:tcPr>
          <w:p w14:paraId="7AF868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42.0%</w:t>
            </w:r>
          </w:p>
        </w:tc>
        <w:tc>
          <w:tcPr>
            <w:tcW w:w="1440" w:type="dxa"/>
            <w:noWrap/>
            <w:hideMark/>
          </w:tcPr>
          <w:p w14:paraId="26DA54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40.2%</w:t>
            </w:r>
          </w:p>
        </w:tc>
        <w:tc>
          <w:tcPr>
            <w:tcW w:w="1455" w:type="dxa"/>
            <w:noWrap/>
            <w:hideMark/>
          </w:tcPr>
          <w:p w14:paraId="20EB50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$17,701,915</w:t>
            </w:r>
          </w:p>
        </w:tc>
        <w:tc>
          <w:tcPr>
            <w:tcW w:w="1440" w:type="dxa"/>
            <w:noWrap/>
            <w:hideMark/>
          </w:tcPr>
          <w:p w14:paraId="7E89F0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40" w:type="dxa"/>
            <w:noWrap/>
            <w:hideMark/>
          </w:tcPr>
          <w:p w14:paraId="0CD74E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40" w:type="dxa"/>
            <w:noWrap/>
            <w:hideMark/>
          </w:tcPr>
          <w:p w14:paraId="3AE36E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r>
      <w:tr w:rsidR="006253A9" w:rsidRPr="006253A9" w14:paraId="6D0339C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5658AB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0152</w:t>
            </w:r>
          </w:p>
        </w:tc>
        <w:tc>
          <w:tcPr>
            <w:tcW w:w="2880" w:type="dxa"/>
            <w:noWrap/>
            <w:hideMark/>
          </w:tcPr>
          <w:p w14:paraId="6388717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Lenox</w:t>
            </w:r>
          </w:p>
        </w:tc>
        <w:tc>
          <w:tcPr>
            <w:tcW w:w="1455" w:type="dxa"/>
            <w:noWrap/>
            <w:hideMark/>
          </w:tcPr>
          <w:p w14:paraId="0476B9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$5,557,058</w:t>
            </w:r>
          </w:p>
        </w:tc>
        <w:tc>
          <w:tcPr>
            <w:tcW w:w="1440" w:type="dxa"/>
            <w:noWrap/>
            <w:hideMark/>
          </w:tcPr>
          <w:p w14:paraId="59C1DA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100.9%</w:t>
            </w:r>
          </w:p>
        </w:tc>
        <w:tc>
          <w:tcPr>
            <w:tcW w:w="1440" w:type="dxa"/>
            <w:noWrap/>
            <w:hideMark/>
          </w:tcPr>
          <w:p w14:paraId="7CE112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19AC6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103.6%</w:t>
            </w:r>
          </w:p>
        </w:tc>
        <w:tc>
          <w:tcPr>
            <w:tcW w:w="1455" w:type="dxa"/>
            <w:noWrap/>
            <w:hideMark/>
          </w:tcPr>
          <w:p w14:paraId="09BEAE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$5,511,982</w:t>
            </w:r>
          </w:p>
        </w:tc>
        <w:tc>
          <w:tcPr>
            <w:tcW w:w="1440" w:type="dxa"/>
            <w:noWrap/>
            <w:hideMark/>
          </w:tcPr>
          <w:p w14:paraId="734AFA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140.9%</w:t>
            </w:r>
          </w:p>
        </w:tc>
        <w:tc>
          <w:tcPr>
            <w:tcW w:w="1440" w:type="dxa"/>
            <w:noWrap/>
            <w:hideMark/>
          </w:tcPr>
          <w:p w14:paraId="1E7D64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B8FF6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6DA251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CD4AE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0153</w:t>
            </w:r>
          </w:p>
        </w:tc>
        <w:tc>
          <w:tcPr>
            <w:tcW w:w="2880" w:type="dxa"/>
            <w:noWrap/>
            <w:hideMark/>
          </w:tcPr>
          <w:p w14:paraId="71BF939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Leominster</w:t>
            </w:r>
          </w:p>
        </w:tc>
        <w:tc>
          <w:tcPr>
            <w:tcW w:w="1455" w:type="dxa"/>
            <w:noWrap/>
            <w:hideMark/>
          </w:tcPr>
          <w:p w14:paraId="5D8E55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$52,403,637</w:t>
            </w:r>
          </w:p>
        </w:tc>
        <w:tc>
          <w:tcPr>
            <w:tcW w:w="1440" w:type="dxa"/>
            <w:noWrap/>
            <w:hideMark/>
          </w:tcPr>
          <w:p w14:paraId="386B93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47.0%</w:t>
            </w:r>
          </w:p>
        </w:tc>
        <w:tc>
          <w:tcPr>
            <w:tcW w:w="1440" w:type="dxa"/>
            <w:noWrap/>
            <w:hideMark/>
          </w:tcPr>
          <w:p w14:paraId="121728A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47.0%</w:t>
            </w:r>
          </w:p>
        </w:tc>
        <w:tc>
          <w:tcPr>
            <w:tcW w:w="1440" w:type="dxa"/>
            <w:noWrap/>
            <w:hideMark/>
          </w:tcPr>
          <w:p w14:paraId="1D7FF0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35.2%</w:t>
            </w:r>
          </w:p>
        </w:tc>
        <w:tc>
          <w:tcPr>
            <w:tcW w:w="1455" w:type="dxa"/>
            <w:noWrap/>
            <w:hideMark/>
          </w:tcPr>
          <w:p w14:paraId="5042E9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$77,172,703</w:t>
            </w:r>
          </w:p>
        </w:tc>
        <w:tc>
          <w:tcPr>
            <w:tcW w:w="1440" w:type="dxa"/>
            <w:noWrap/>
            <w:hideMark/>
          </w:tcPr>
          <w:p w14:paraId="320F92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1A6766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0BDE63A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39.0%</w:t>
            </w:r>
          </w:p>
        </w:tc>
      </w:tr>
      <w:tr w:rsidR="006253A9" w:rsidRPr="006253A9" w14:paraId="0014B8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71475B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0154</w:t>
            </w:r>
          </w:p>
        </w:tc>
        <w:tc>
          <w:tcPr>
            <w:tcW w:w="2880" w:type="dxa"/>
            <w:noWrap/>
            <w:hideMark/>
          </w:tcPr>
          <w:p w14:paraId="36F5E45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Leverett</w:t>
            </w:r>
          </w:p>
        </w:tc>
        <w:tc>
          <w:tcPr>
            <w:tcW w:w="1455" w:type="dxa"/>
            <w:noWrap/>
            <w:hideMark/>
          </w:tcPr>
          <w:p w14:paraId="1245FA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$2,003,054</w:t>
            </w:r>
          </w:p>
        </w:tc>
        <w:tc>
          <w:tcPr>
            <w:tcW w:w="1440" w:type="dxa"/>
            <w:noWrap/>
            <w:hideMark/>
          </w:tcPr>
          <w:p w14:paraId="21A80E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67.4%</w:t>
            </w:r>
          </w:p>
        </w:tc>
        <w:tc>
          <w:tcPr>
            <w:tcW w:w="1440" w:type="dxa"/>
            <w:noWrap/>
            <w:hideMark/>
          </w:tcPr>
          <w:p w14:paraId="473AF3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67.4%</w:t>
            </w:r>
          </w:p>
        </w:tc>
        <w:tc>
          <w:tcPr>
            <w:tcW w:w="1440" w:type="dxa"/>
            <w:noWrap/>
            <w:hideMark/>
          </w:tcPr>
          <w:p w14:paraId="3B9D46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91.7%</w:t>
            </w:r>
          </w:p>
        </w:tc>
        <w:tc>
          <w:tcPr>
            <w:tcW w:w="1455" w:type="dxa"/>
            <w:noWrap/>
            <w:hideMark/>
          </w:tcPr>
          <w:p w14:paraId="1B9EE4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$2,419,876</w:t>
            </w:r>
          </w:p>
        </w:tc>
        <w:tc>
          <w:tcPr>
            <w:tcW w:w="1440" w:type="dxa"/>
            <w:noWrap/>
            <w:hideMark/>
          </w:tcPr>
          <w:p w14:paraId="399E6A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85.2%</w:t>
            </w:r>
          </w:p>
        </w:tc>
        <w:tc>
          <w:tcPr>
            <w:tcW w:w="1440" w:type="dxa"/>
            <w:noWrap/>
            <w:hideMark/>
          </w:tcPr>
          <w:p w14:paraId="0D745C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411F5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75.9%</w:t>
            </w:r>
          </w:p>
        </w:tc>
      </w:tr>
      <w:tr w:rsidR="006253A9" w:rsidRPr="006253A9" w14:paraId="7899E2E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EA74D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0155</w:t>
            </w:r>
          </w:p>
        </w:tc>
        <w:tc>
          <w:tcPr>
            <w:tcW w:w="2880" w:type="dxa"/>
            <w:noWrap/>
            <w:hideMark/>
          </w:tcPr>
          <w:p w14:paraId="7E90EB1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Lexington</w:t>
            </w:r>
          </w:p>
        </w:tc>
        <w:tc>
          <w:tcPr>
            <w:tcW w:w="1455" w:type="dxa"/>
            <w:noWrap/>
            <w:hideMark/>
          </w:tcPr>
          <w:p w14:paraId="1897C5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$48,840,910</w:t>
            </w:r>
          </w:p>
        </w:tc>
        <w:tc>
          <w:tcPr>
            <w:tcW w:w="1440" w:type="dxa"/>
            <w:noWrap/>
            <w:hideMark/>
          </w:tcPr>
          <w:p w14:paraId="117D81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109.0%</w:t>
            </w:r>
          </w:p>
        </w:tc>
        <w:tc>
          <w:tcPr>
            <w:tcW w:w="1440" w:type="dxa"/>
            <w:noWrap/>
            <w:hideMark/>
          </w:tcPr>
          <w:p w14:paraId="16E386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1B4B4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100.0%</w:t>
            </w:r>
          </w:p>
        </w:tc>
        <w:tc>
          <w:tcPr>
            <w:tcW w:w="1455" w:type="dxa"/>
            <w:noWrap/>
            <w:hideMark/>
          </w:tcPr>
          <w:p w14:paraId="7C7AF3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$81,235,892</w:t>
            </w:r>
          </w:p>
        </w:tc>
        <w:tc>
          <w:tcPr>
            <w:tcW w:w="1440" w:type="dxa"/>
            <w:noWrap/>
            <w:hideMark/>
          </w:tcPr>
          <w:p w14:paraId="13EA7A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116.4%</w:t>
            </w:r>
          </w:p>
        </w:tc>
        <w:tc>
          <w:tcPr>
            <w:tcW w:w="1440" w:type="dxa"/>
            <w:noWrap/>
            <w:hideMark/>
          </w:tcPr>
          <w:p w14:paraId="257A59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1BBB1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7CF8124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2A3607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0156</w:t>
            </w:r>
          </w:p>
        </w:tc>
        <w:tc>
          <w:tcPr>
            <w:tcW w:w="2880" w:type="dxa"/>
            <w:noWrap/>
            <w:hideMark/>
          </w:tcPr>
          <w:p w14:paraId="10B94C7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Leyden</w:t>
            </w:r>
          </w:p>
        </w:tc>
        <w:tc>
          <w:tcPr>
            <w:tcW w:w="1455" w:type="dxa"/>
            <w:noWrap/>
            <w:hideMark/>
          </w:tcPr>
          <w:p w14:paraId="2FB830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$807,279</w:t>
            </w:r>
          </w:p>
        </w:tc>
        <w:tc>
          <w:tcPr>
            <w:tcW w:w="1440" w:type="dxa"/>
            <w:noWrap/>
            <w:hideMark/>
          </w:tcPr>
          <w:p w14:paraId="4820D7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59.7%</w:t>
            </w:r>
          </w:p>
        </w:tc>
        <w:tc>
          <w:tcPr>
            <w:tcW w:w="1440" w:type="dxa"/>
            <w:noWrap/>
            <w:hideMark/>
          </w:tcPr>
          <w:p w14:paraId="2EFC17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59.7%</w:t>
            </w:r>
          </w:p>
        </w:tc>
        <w:tc>
          <w:tcPr>
            <w:tcW w:w="1440" w:type="dxa"/>
            <w:noWrap/>
            <w:hideMark/>
          </w:tcPr>
          <w:p w14:paraId="18201F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74.8%</w:t>
            </w:r>
          </w:p>
        </w:tc>
        <w:tc>
          <w:tcPr>
            <w:tcW w:w="1455" w:type="dxa"/>
            <w:noWrap/>
            <w:hideMark/>
          </w:tcPr>
          <w:p w14:paraId="235A54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$702,392</w:t>
            </w:r>
          </w:p>
        </w:tc>
        <w:tc>
          <w:tcPr>
            <w:tcW w:w="1440" w:type="dxa"/>
            <w:noWrap/>
            <w:hideMark/>
          </w:tcPr>
          <w:p w14:paraId="5B5B27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99.0%</w:t>
            </w:r>
          </w:p>
        </w:tc>
        <w:tc>
          <w:tcPr>
            <w:tcW w:w="1440" w:type="dxa"/>
            <w:noWrap/>
            <w:hideMark/>
          </w:tcPr>
          <w:p w14:paraId="530615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B732F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D6A0E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E2FEB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0157</w:t>
            </w:r>
          </w:p>
        </w:tc>
        <w:tc>
          <w:tcPr>
            <w:tcW w:w="2880" w:type="dxa"/>
            <w:noWrap/>
            <w:hideMark/>
          </w:tcPr>
          <w:p w14:paraId="4653B91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Lincoln</w:t>
            </w:r>
          </w:p>
        </w:tc>
        <w:tc>
          <w:tcPr>
            <w:tcW w:w="1455" w:type="dxa"/>
            <w:noWrap/>
            <w:hideMark/>
          </w:tcPr>
          <w:p w14:paraId="14F030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$7,308,329</w:t>
            </w:r>
          </w:p>
        </w:tc>
        <w:tc>
          <w:tcPr>
            <w:tcW w:w="1440" w:type="dxa"/>
            <w:noWrap/>
            <w:hideMark/>
          </w:tcPr>
          <w:p w14:paraId="5D7B98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197.7%</w:t>
            </w:r>
          </w:p>
        </w:tc>
        <w:tc>
          <w:tcPr>
            <w:tcW w:w="1440" w:type="dxa"/>
            <w:noWrap/>
            <w:hideMark/>
          </w:tcPr>
          <w:p w14:paraId="699197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15EC6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103.5%</w:t>
            </w:r>
          </w:p>
        </w:tc>
        <w:tc>
          <w:tcPr>
            <w:tcW w:w="1455" w:type="dxa"/>
            <w:noWrap/>
            <w:hideMark/>
          </w:tcPr>
          <w:p w14:paraId="7BFD27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$8,782,087</w:t>
            </w:r>
          </w:p>
        </w:tc>
        <w:tc>
          <w:tcPr>
            <w:tcW w:w="1440" w:type="dxa"/>
            <w:noWrap/>
            <w:hideMark/>
          </w:tcPr>
          <w:p w14:paraId="39DC48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252.3%</w:t>
            </w:r>
          </w:p>
        </w:tc>
        <w:tc>
          <w:tcPr>
            <w:tcW w:w="1440" w:type="dxa"/>
            <w:noWrap/>
            <w:hideMark/>
          </w:tcPr>
          <w:p w14:paraId="52CC5F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57A3C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DECCD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CA955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0158</w:t>
            </w:r>
          </w:p>
        </w:tc>
        <w:tc>
          <w:tcPr>
            <w:tcW w:w="2880" w:type="dxa"/>
            <w:noWrap/>
            <w:hideMark/>
          </w:tcPr>
          <w:p w14:paraId="7ECF701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Littleton</w:t>
            </w:r>
          </w:p>
        </w:tc>
        <w:tc>
          <w:tcPr>
            <w:tcW w:w="1455" w:type="dxa"/>
            <w:noWrap/>
            <w:hideMark/>
          </w:tcPr>
          <w:p w14:paraId="770BDB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$12,529,004</w:t>
            </w:r>
          </w:p>
        </w:tc>
        <w:tc>
          <w:tcPr>
            <w:tcW w:w="1440" w:type="dxa"/>
            <w:noWrap/>
            <w:hideMark/>
          </w:tcPr>
          <w:p w14:paraId="1CE335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73.3%</w:t>
            </w:r>
          </w:p>
        </w:tc>
        <w:tc>
          <w:tcPr>
            <w:tcW w:w="1440" w:type="dxa"/>
            <w:noWrap/>
            <w:hideMark/>
          </w:tcPr>
          <w:p w14:paraId="5375D0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73.3%</w:t>
            </w:r>
          </w:p>
        </w:tc>
        <w:tc>
          <w:tcPr>
            <w:tcW w:w="1440" w:type="dxa"/>
            <w:noWrap/>
            <w:hideMark/>
          </w:tcPr>
          <w:p w14:paraId="69BFC2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86.0%</w:t>
            </w:r>
          </w:p>
        </w:tc>
        <w:tc>
          <w:tcPr>
            <w:tcW w:w="1455" w:type="dxa"/>
            <w:noWrap/>
            <w:hideMark/>
          </w:tcPr>
          <w:p w14:paraId="7CA15A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$17,126,757</w:t>
            </w:r>
          </w:p>
        </w:tc>
        <w:tc>
          <w:tcPr>
            <w:tcW w:w="1440" w:type="dxa"/>
            <w:noWrap/>
            <w:hideMark/>
          </w:tcPr>
          <w:p w14:paraId="5509E4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82.7%</w:t>
            </w:r>
          </w:p>
        </w:tc>
        <w:tc>
          <w:tcPr>
            <w:tcW w:w="1440" w:type="dxa"/>
            <w:noWrap/>
            <w:hideMark/>
          </w:tcPr>
          <w:p w14:paraId="778FA2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C4E2B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r>
      <w:tr w:rsidR="006253A9" w:rsidRPr="006253A9" w14:paraId="52E0B7B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8823B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0159</w:t>
            </w:r>
          </w:p>
        </w:tc>
        <w:tc>
          <w:tcPr>
            <w:tcW w:w="2880" w:type="dxa"/>
            <w:noWrap/>
            <w:hideMark/>
          </w:tcPr>
          <w:p w14:paraId="41CE302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Longmeadow</w:t>
            </w:r>
          </w:p>
        </w:tc>
        <w:tc>
          <w:tcPr>
            <w:tcW w:w="1455" w:type="dxa"/>
            <w:noWrap/>
            <w:hideMark/>
          </w:tcPr>
          <w:p w14:paraId="1E1AA6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$23,361,828</w:t>
            </w:r>
          </w:p>
        </w:tc>
        <w:tc>
          <w:tcPr>
            <w:tcW w:w="1440" w:type="dxa"/>
            <w:noWrap/>
            <w:hideMark/>
          </w:tcPr>
          <w:p w14:paraId="7F7473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77.1%</w:t>
            </w:r>
          </w:p>
        </w:tc>
        <w:tc>
          <w:tcPr>
            <w:tcW w:w="1440" w:type="dxa"/>
            <w:noWrap/>
            <w:hideMark/>
          </w:tcPr>
          <w:p w14:paraId="318473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77.1%</w:t>
            </w:r>
          </w:p>
        </w:tc>
        <w:tc>
          <w:tcPr>
            <w:tcW w:w="1440" w:type="dxa"/>
            <w:noWrap/>
            <w:hideMark/>
          </w:tcPr>
          <w:p w14:paraId="413DAC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90.1%</w:t>
            </w:r>
          </w:p>
        </w:tc>
        <w:tc>
          <w:tcPr>
            <w:tcW w:w="1455" w:type="dxa"/>
            <w:noWrap/>
            <w:hideMark/>
          </w:tcPr>
          <w:p w14:paraId="760EDB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$29,113,308</w:t>
            </w:r>
          </w:p>
        </w:tc>
        <w:tc>
          <w:tcPr>
            <w:tcW w:w="1440" w:type="dxa"/>
            <w:noWrap/>
            <w:hideMark/>
          </w:tcPr>
          <w:p w14:paraId="331412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84.2%</w:t>
            </w:r>
          </w:p>
        </w:tc>
        <w:tc>
          <w:tcPr>
            <w:tcW w:w="1440" w:type="dxa"/>
            <w:noWrap/>
            <w:hideMark/>
          </w:tcPr>
          <w:p w14:paraId="24086C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22A11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80.6%</w:t>
            </w:r>
          </w:p>
        </w:tc>
      </w:tr>
      <w:tr w:rsidR="006253A9" w:rsidRPr="006253A9" w14:paraId="09ACDB4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F5E53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0160</w:t>
            </w:r>
          </w:p>
        </w:tc>
        <w:tc>
          <w:tcPr>
            <w:tcW w:w="2880" w:type="dxa"/>
            <w:noWrap/>
            <w:hideMark/>
          </w:tcPr>
          <w:p w14:paraId="2168409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Lowell</w:t>
            </w:r>
          </w:p>
        </w:tc>
        <w:tc>
          <w:tcPr>
            <w:tcW w:w="1455" w:type="dxa"/>
            <w:noWrap/>
            <w:hideMark/>
          </w:tcPr>
          <w:p w14:paraId="378366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$160,744,295</w:t>
            </w:r>
          </w:p>
        </w:tc>
        <w:tc>
          <w:tcPr>
            <w:tcW w:w="1440" w:type="dxa"/>
            <w:noWrap/>
            <w:hideMark/>
          </w:tcPr>
          <w:p w14:paraId="46F7A8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w:t>
            </w:r>
          </w:p>
        </w:tc>
        <w:tc>
          <w:tcPr>
            <w:tcW w:w="1440" w:type="dxa"/>
            <w:noWrap/>
            <w:hideMark/>
          </w:tcPr>
          <w:p w14:paraId="25FBC6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28.2%</w:t>
            </w:r>
          </w:p>
        </w:tc>
        <w:tc>
          <w:tcPr>
            <w:tcW w:w="1440" w:type="dxa"/>
            <w:noWrap/>
            <w:hideMark/>
          </w:tcPr>
          <w:p w14:paraId="46F161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22.4%</w:t>
            </w:r>
          </w:p>
        </w:tc>
        <w:tc>
          <w:tcPr>
            <w:tcW w:w="1455" w:type="dxa"/>
            <w:noWrap/>
            <w:hideMark/>
          </w:tcPr>
          <w:p w14:paraId="3532E3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$244,799,668</w:t>
            </w:r>
          </w:p>
        </w:tc>
        <w:tc>
          <w:tcPr>
            <w:tcW w:w="1440" w:type="dxa"/>
            <w:noWrap/>
            <w:hideMark/>
          </w:tcPr>
          <w:p w14:paraId="7C3C03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w:t>
            </w:r>
          </w:p>
        </w:tc>
        <w:tc>
          <w:tcPr>
            <w:tcW w:w="1440" w:type="dxa"/>
            <w:noWrap/>
            <w:hideMark/>
          </w:tcPr>
          <w:p w14:paraId="2560C5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w:t>
            </w:r>
          </w:p>
        </w:tc>
        <w:tc>
          <w:tcPr>
            <w:tcW w:w="1440" w:type="dxa"/>
            <w:noWrap/>
            <w:hideMark/>
          </w:tcPr>
          <w:p w14:paraId="0C7F45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23.4%</w:t>
            </w:r>
          </w:p>
        </w:tc>
      </w:tr>
      <w:tr w:rsidR="006253A9" w:rsidRPr="006253A9" w14:paraId="33CFE2B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64B02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0161</w:t>
            </w:r>
          </w:p>
        </w:tc>
        <w:tc>
          <w:tcPr>
            <w:tcW w:w="2880" w:type="dxa"/>
            <w:noWrap/>
            <w:hideMark/>
          </w:tcPr>
          <w:p w14:paraId="7CC7541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Ludlow</w:t>
            </w:r>
          </w:p>
        </w:tc>
        <w:tc>
          <w:tcPr>
            <w:tcW w:w="1455" w:type="dxa"/>
            <w:noWrap/>
            <w:hideMark/>
          </w:tcPr>
          <w:p w14:paraId="05F2A4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$24,089,448</w:t>
            </w:r>
          </w:p>
        </w:tc>
        <w:tc>
          <w:tcPr>
            <w:tcW w:w="1440" w:type="dxa"/>
            <w:noWrap/>
            <w:hideMark/>
          </w:tcPr>
          <w:p w14:paraId="48B070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40" w:type="dxa"/>
            <w:noWrap/>
            <w:hideMark/>
          </w:tcPr>
          <w:p w14:paraId="33DD87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40" w:type="dxa"/>
            <w:noWrap/>
            <w:hideMark/>
          </w:tcPr>
          <w:p w14:paraId="54A386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56.1%</w:t>
            </w:r>
          </w:p>
        </w:tc>
        <w:tc>
          <w:tcPr>
            <w:tcW w:w="1455" w:type="dxa"/>
            <w:noWrap/>
            <w:hideMark/>
          </w:tcPr>
          <w:p w14:paraId="2064F5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$29,028,174</w:t>
            </w:r>
          </w:p>
        </w:tc>
        <w:tc>
          <w:tcPr>
            <w:tcW w:w="1440" w:type="dxa"/>
            <w:noWrap/>
            <w:hideMark/>
          </w:tcPr>
          <w:p w14:paraId="5C3180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55.8%</w:t>
            </w:r>
          </w:p>
        </w:tc>
        <w:tc>
          <w:tcPr>
            <w:tcW w:w="1440" w:type="dxa"/>
            <w:noWrap/>
            <w:hideMark/>
          </w:tcPr>
          <w:p w14:paraId="722CF6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55.8%</w:t>
            </w:r>
          </w:p>
        </w:tc>
        <w:tc>
          <w:tcPr>
            <w:tcW w:w="1440" w:type="dxa"/>
            <w:noWrap/>
            <w:hideMark/>
          </w:tcPr>
          <w:p w14:paraId="4200CD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55.8%</w:t>
            </w:r>
          </w:p>
        </w:tc>
      </w:tr>
      <w:tr w:rsidR="006253A9" w:rsidRPr="006253A9" w14:paraId="76D8605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38D8E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0162</w:t>
            </w:r>
          </w:p>
        </w:tc>
        <w:tc>
          <w:tcPr>
            <w:tcW w:w="2880" w:type="dxa"/>
            <w:noWrap/>
            <w:hideMark/>
          </w:tcPr>
          <w:p w14:paraId="24E6C52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Lunenburg</w:t>
            </w:r>
          </w:p>
        </w:tc>
        <w:tc>
          <w:tcPr>
            <w:tcW w:w="1455" w:type="dxa"/>
            <w:noWrap/>
            <w:hideMark/>
          </w:tcPr>
          <w:p w14:paraId="442646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$13,008,230</w:t>
            </w:r>
          </w:p>
        </w:tc>
        <w:tc>
          <w:tcPr>
            <w:tcW w:w="1440" w:type="dxa"/>
            <w:noWrap/>
            <w:hideMark/>
          </w:tcPr>
          <w:p w14:paraId="0B780E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62.0%</w:t>
            </w:r>
          </w:p>
        </w:tc>
        <w:tc>
          <w:tcPr>
            <w:tcW w:w="1440" w:type="dxa"/>
            <w:noWrap/>
            <w:hideMark/>
          </w:tcPr>
          <w:p w14:paraId="17DCBB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62.0%</w:t>
            </w:r>
          </w:p>
        </w:tc>
        <w:tc>
          <w:tcPr>
            <w:tcW w:w="1440" w:type="dxa"/>
            <w:noWrap/>
            <w:hideMark/>
          </w:tcPr>
          <w:p w14:paraId="0A2014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72.1%</w:t>
            </w:r>
          </w:p>
        </w:tc>
        <w:tc>
          <w:tcPr>
            <w:tcW w:w="1455" w:type="dxa"/>
            <w:noWrap/>
            <w:hideMark/>
          </w:tcPr>
          <w:p w14:paraId="0BD1B9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$19,205,112</w:t>
            </w:r>
          </w:p>
        </w:tc>
        <w:tc>
          <w:tcPr>
            <w:tcW w:w="1440" w:type="dxa"/>
            <w:noWrap/>
            <w:hideMark/>
          </w:tcPr>
          <w:p w14:paraId="07B8CA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57.7%</w:t>
            </w:r>
          </w:p>
        </w:tc>
        <w:tc>
          <w:tcPr>
            <w:tcW w:w="1440" w:type="dxa"/>
            <w:noWrap/>
            <w:hideMark/>
          </w:tcPr>
          <w:p w14:paraId="572D7B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57.7%</w:t>
            </w:r>
          </w:p>
        </w:tc>
        <w:tc>
          <w:tcPr>
            <w:tcW w:w="1440" w:type="dxa"/>
            <w:noWrap/>
            <w:hideMark/>
          </w:tcPr>
          <w:p w14:paraId="06E0BD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r>
      <w:tr w:rsidR="006253A9" w:rsidRPr="006253A9" w14:paraId="1B7A62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5F5F8E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0163</w:t>
            </w:r>
          </w:p>
        </w:tc>
        <w:tc>
          <w:tcPr>
            <w:tcW w:w="2880" w:type="dxa"/>
            <w:noWrap/>
            <w:hideMark/>
          </w:tcPr>
          <w:p w14:paraId="285A680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Lynn</w:t>
            </w:r>
          </w:p>
        </w:tc>
        <w:tc>
          <w:tcPr>
            <w:tcW w:w="1455" w:type="dxa"/>
            <w:noWrap/>
            <w:hideMark/>
          </w:tcPr>
          <w:p w14:paraId="2F565B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$135,804,284</w:t>
            </w:r>
          </w:p>
        </w:tc>
        <w:tc>
          <w:tcPr>
            <w:tcW w:w="1440" w:type="dxa"/>
            <w:noWrap/>
            <w:hideMark/>
          </w:tcPr>
          <w:p w14:paraId="1F086C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30.8%</w:t>
            </w:r>
          </w:p>
        </w:tc>
        <w:tc>
          <w:tcPr>
            <w:tcW w:w="1440" w:type="dxa"/>
            <w:noWrap/>
            <w:hideMark/>
          </w:tcPr>
          <w:p w14:paraId="21298E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30.8%</w:t>
            </w:r>
          </w:p>
        </w:tc>
        <w:tc>
          <w:tcPr>
            <w:tcW w:w="1440" w:type="dxa"/>
            <w:noWrap/>
            <w:hideMark/>
          </w:tcPr>
          <w:p w14:paraId="525CD8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23.8%</w:t>
            </w:r>
          </w:p>
        </w:tc>
        <w:tc>
          <w:tcPr>
            <w:tcW w:w="1455" w:type="dxa"/>
            <w:noWrap/>
            <w:hideMark/>
          </w:tcPr>
          <w:p w14:paraId="4EEAFF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$238,010,020</w:t>
            </w:r>
          </w:p>
        </w:tc>
        <w:tc>
          <w:tcPr>
            <w:tcW w:w="1440" w:type="dxa"/>
            <w:noWrap/>
            <w:hideMark/>
          </w:tcPr>
          <w:p w14:paraId="284CE05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23.7%</w:t>
            </w:r>
          </w:p>
        </w:tc>
        <w:tc>
          <w:tcPr>
            <w:tcW w:w="1440" w:type="dxa"/>
            <w:noWrap/>
            <w:hideMark/>
          </w:tcPr>
          <w:p w14:paraId="2846D5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23.7%</w:t>
            </w:r>
          </w:p>
        </w:tc>
        <w:tc>
          <w:tcPr>
            <w:tcW w:w="1440" w:type="dxa"/>
            <w:noWrap/>
            <w:hideMark/>
          </w:tcPr>
          <w:p w14:paraId="40691C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21.9%</w:t>
            </w:r>
          </w:p>
        </w:tc>
      </w:tr>
      <w:tr w:rsidR="006253A9" w:rsidRPr="006253A9" w14:paraId="46C148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1F222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0164</w:t>
            </w:r>
          </w:p>
        </w:tc>
        <w:tc>
          <w:tcPr>
            <w:tcW w:w="2880" w:type="dxa"/>
            <w:noWrap/>
            <w:hideMark/>
          </w:tcPr>
          <w:p w14:paraId="626E063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Lynnfield</w:t>
            </w:r>
          </w:p>
        </w:tc>
        <w:tc>
          <w:tcPr>
            <w:tcW w:w="1455" w:type="dxa"/>
            <w:noWrap/>
            <w:hideMark/>
          </w:tcPr>
          <w:p w14:paraId="31F224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$15,873,144</w:t>
            </w:r>
          </w:p>
        </w:tc>
        <w:tc>
          <w:tcPr>
            <w:tcW w:w="1440" w:type="dxa"/>
            <w:noWrap/>
            <w:hideMark/>
          </w:tcPr>
          <w:p w14:paraId="31699A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96.6%</w:t>
            </w:r>
          </w:p>
        </w:tc>
        <w:tc>
          <w:tcPr>
            <w:tcW w:w="1440" w:type="dxa"/>
            <w:noWrap/>
            <w:hideMark/>
          </w:tcPr>
          <w:p w14:paraId="3B66E8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5E022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85.5%</w:t>
            </w:r>
          </w:p>
        </w:tc>
        <w:tc>
          <w:tcPr>
            <w:tcW w:w="1455" w:type="dxa"/>
            <w:noWrap/>
            <w:hideMark/>
          </w:tcPr>
          <w:p w14:paraId="32A86B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$23,512,343</w:t>
            </w:r>
          </w:p>
        </w:tc>
        <w:tc>
          <w:tcPr>
            <w:tcW w:w="1440" w:type="dxa"/>
            <w:noWrap/>
            <w:hideMark/>
          </w:tcPr>
          <w:p w14:paraId="022008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109.9%</w:t>
            </w:r>
          </w:p>
        </w:tc>
        <w:tc>
          <w:tcPr>
            <w:tcW w:w="1440" w:type="dxa"/>
            <w:noWrap/>
            <w:hideMark/>
          </w:tcPr>
          <w:p w14:paraId="21F7A4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4694D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81.5%</w:t>
            </w:r>
          </w:p>
        </w:tc>
      </w:tr>
      <w:tr w:rsidR="006253A9" w:rsidRPr="006253A9" w14:paraId="2D804E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FDA7D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0165</w:t>
            </w:r>
          </w:p>
        </w:tc>
        <w:tc>
          <w:tcPr>
            <w:tcW w:w="2880" w:type="dxa"/>
            <w:noWrap/>
            <w:hideMark/>
          </w:tcPr>
          <w:p w14:paraId="411D1F8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Malden</w:t>
            </w:r>
          </w:p>
        </w:tc>
        <w:tc>
          <w:tcPr>
            <w:tcW w:w="1455" w:type="dxa"/>
            <w:noWrap/>
            <w:hideMark/>
          </w:tcPr>
          <w:p w14:paraId="155037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$61,300,858</w:t>
            </w:r>
          </w:p>
        </w:tc>
        <w:tc>
          <w:tcPr>
            <w:tcW w:w="1440" w:type="dxa"/>
            <w:noWrap/>
            <w:hideMark/>
          </w:tcPr>
          <w:p w14:paraId="416CC8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55.2%</w:t>
            </w:r>
          </w:p>
        </w:tc>
        <w:tc>
          <w:tcPr>
            <w:tcW w:w="1440" w:type="dxa"/>
            <w:noWrap/>
            <w:hideMark/>
          </w:tcPr>
          <w:p w14:paraId="0562B1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55.2%</w:t>
            </w:r>
          </w:p>
        </w:tc>
        <w:tc>
          <w:tcPr>
            <w:tcW w:w="1440" w:type="dxa"/>
            <w:noWrap/>
            <w:hideMark/>
          </w:tcPr>
          <w:p w14:paraId="362F60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40.3%</w:t>
            </w:r>
          </w:p>
        </w:tc>
        <w:tc>
          <w:tcPr>
            <w:tcW w:w="1455" w:type="dxa"/>
            <w:noWrap/>
            <w:hideMark/>
          </w:tcPr>
          <w:p w14:paraId="528561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$97,560,846</w:t>
            </w:r>
          </w:p>
        </w:tc>
        <w:tc>
          <w:tcPr>
            <w:tcW w:w="1440" w:type="dxa"/>
            <w:noWrap/>
            <w:hideMark/>
          </w:tcPr>
          <w:p w14:paraId="61F22A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c>
          <w:tcPr>
            <w:tcW w:w="1440" w:type="dxa"/>
            <w:noWrap/>
            <w:hideMark/>
          </w:tcPr>
          <w:p w14:paraId="22440A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c>
          <w:tcPr>
            <w:tcW w:w="1440" w:type="dxa"/>
            <w:noWrap/>
            <w:hideMark/>
          </w:tcPr>
          <w:p w14:paraId="2748C3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46.1%</w:t>
            </w:r>
          </w:p>
        </w:tc>
      </w:tr>
      <w:tr w:rsidR="006253A9" w:rsidRPr="006253A9" w14:paraId="373818B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47D8A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0166</w:t>
            </w:r>
          </w:p>
        </w:tc>
        <w:tc>
          <w:tcPr>
            <w:tcW w:w="2880" w:type="dxa"/>
            <w:noWrap/>
            <w:hideMark/>
          </w:tcPr>
          <w:p w14:paraId="154F56D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Manchester</w:t>
            </w:r>
          </w:p>
        </w:tc>
        <w:tc>
          <w:tcPr>
            <w:tcW w:w="1455" w:type="dxa"/>
            <w:noWrap/>
            <w:hideMark/>
          </w:tcPr>
          <w:p w14:paraId="1FC407B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$5,455,058</w:t>
            </w:r>
          </w:p>
        </w:tc>
        <w:tc>
          <w:tcPr>
            <w:tcW w:w="1440" w:type="dxa"/>
            <w:noWrap/>
            <w:hideMark/>
          </w:tcPr>
          <w:p w14:paraId="3E69EB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221.9%</w:t>
            </w:r>
          </w:p>
        </w:tc>
        <w:tc>
          <w:tcPr>
            <w:tcW w:w="1440" w:type="dxa"/>
            <w:noWrap/>
            <w:hideMark/>
          </w:tcPr>
          <w:p w14:paraId="0076A1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2255C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106.1%</w:t>
            </w:r>
          </w:p>
        </w:tc>
        <w:tc>
          <w:tcPr>
            <w:tcW w:w="1455" w:type="dxa"/>
            <w:noWrap/>
            <w:hideMark/>
          </w:tcPr>
          <w:p w14:paraId="4E629D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$9,000,481</w:t>
            </w:r>
          </w:p>
        </w:tc>
        <w:tc>
          <w:tcPr>
            <w:tcW w:w="1440" w:type="dxa"/>
            <w:noWrap/>
            <w:hideMark/>
          </w:tcPr>
          <w:p w14:paraId="383DD5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214.0%</w:t>
            </w:r>
          </w:p>
        </w:tc>
        <w:tc>
          <w:tcPr>
            <w:tcW w:w="1440" w:type="dxa"/>
            <w:noWrap/>
            <w:hideMark/>
          </w:tcPr>
          <w:p w14:paraId="37217D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AEAA7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646F4A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E190F7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0167</w:t>
            </w:r>
          </w:p>
        </w:tc>
        <w:tc>
          <w:tcPr>
            <w:tcW w:w="2880" w:type="dxa"/>
            <w:noWrap/>
            <w:hideMark/>
          </w:tcPr>
          <w:p w14:paraId="2273A3D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Mansfield</w:t>
            </w:r>
          </w:p>
        </w:tc>
        <w:tc>
          <w:tcPr>
            <w:tcW w:w="1455" w:type="dxa"/>
            <w:noWrap/>
            <w:hideMark/>
          </w:tcPr>
          <w:p w14:paraId="49617E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$37,628,719</w:t>
            </w:r>
          </w:p>
        </w:tc>
        <w:tc>
          <w:tcPr>
            <w:tcW w:w="1440" w:type="dxa"/>
            <w:noWrap/>
            <w:hideMark/>
          </w:tcPr>
          <w:p w14:paraId="3C36E1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55.4%</w:t>
            </w:r>
          </w:p>
        </w:tc>
        <w:tc>
          <w:tcPr>
            <w:tcW w:w="1440" w:type="dxa"/>
            <w:noWrap/>
            <w:hideMark/>
          </w:tcPr>
          <w:p w14:paraId="2075FF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55.4%</w:t>
            </w:r>
          </w:p>
        </w:tc>
        <w:tc>
          <w:tcPr>
            <w:tcW w:w="1440" w:type="dxa"/>
            <w:noWrap/>
            <w:hideMark/>
          </w:tcPr>
          <w:p w14:paraId="69C5C8B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c>
          <w:tcPr>
            <w:tcW w:w="1455" w:type="dxa"/>
            <w:noWrap/>
            <w:hideMark/>
          </w:tcPr>
          <w:p w14:paraId="63B138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$43,917,066</w:t>
            </w:r>
          </w:p>
        </w:tc>
        <w:tc>
          <w:tcPr>
            <w:tcW w:w="1440" w:type="dxa"/>
            <w:noWrap/>
            <w:hideMark/>
          </w:tcPr>
          <w:p w14:paraId="20E44A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67.7%</w:t>
            </w:r>
          </w:p>
        </w:tc>
        <w:tc>
          <w:tcPr>
            <w:tcW w:w="1440" w:type="dxa"/>
            <w:noWrap/>
            <w:hideMark/>
          </w:tcPr>
          <w:p w14:paraId="710835D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67.7%</w:t>
            </w:r>
          </w:p>
        </w:tc>
        <w:tc>
          <w:tcPr>
            <w:tcW w:w="1440" w:type="dxa"/>
            <w:noWrap/>
            <w:hideMark/>
          </w:tcPr>
          <w:p w14:paraId="6306C8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67.7%</w:t>
            </w:r>
          </w:p>
        </w:tc>
      </w:tr>
      <w:tr w:rsidR="006253A9" w:rsidRPr="006253A9" w14:paraId="294ED2A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25555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0168</w:t>
            </w:r>
          </w:p>
        </w:tc>
        <w:tc>
          <w:tcPr>
            <w:tcW w:w="2880" w:type="dxa"/>
            <w:noWrap/>
            <w:hideMark/>
          </w:tcPr>
          <w:p w14:paraId="2247787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Marblehead</w:t>
            </w:r>
          </w:p>
        </w:tc>
        <w:tc>
          <w:tcPr>
            <w:tcW w:w="1455" w:type="dxa"/>
            <w:noWrap/>
            <w:hideMark/>
          </w:tcPr>
          <w:p w14:paraId="2AE55E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$23,960,000</w:t>
            </w:r>
          </w:p>
        </w:tc>
        <w:tc>
          <w:tcPr>
            <w:tcW w:w="1440" w:type="dxa"/>
            <w:noWrap/>
            <w:hideMark/>
          </w:tcPr>
          <w:p w14:paraId="3C5C87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146.5%</w:t>
            </w:r>
          </w:p>
        </w:tc>
        <w:tc>
          <w:tcPr>
            <w:tcW w:w="1440" w:type="dxa"/>
            <w:noWrap/>
            <w:hideMark/>
          </w:tcPr>
          <w:p w14:paraId="44BD74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3207D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83.3%</w:t>
            </w:r>
          </w:p>
        </w:tc>
        <w:tc>
          <w:tcPr>
            <w:tcW w:w="1455" w:type="dxa"/>
            <w:noWrap/>
            <w:hideMark/>
          </w:tcPr>
          <w:p w14:paraId="007F87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$33,225,425</w:t>
            </w:r>
          </w:p>
        </w:tc>
        <w:tc>
          <w:tcPr>
            <w:tcW w:w="1440" w:type="dxa"/>
            <w:noWrap/>
            <w:hideMark/>
          </w:tcPr>
          <w:p w14:paraId="377ABA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140.3%</w:t>
            </w:r>
          </w:p>
        </w:tc>
        <w:tc>
          <w:tcPr>
            <w:tcW w:w="1440" w:type="dxa"/>
            <w:noWrap/>
            <w:hideMark/>
          </w:tcPr>
          <w:p w14:paraId="7A5B88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49954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r>
      <w:tr w:rsidR="006253A9" w:rsidRPr="006253A9" w14:paraId="1BBBF2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F3906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0169</w:t>
            </w:r>
          </w:p>
        </w:tc>
        <w:tc>
          <w:tcPr>
            <w:tcW w:w="2880" w:type="dxa"/>
            <w:noWrap/>
            <w:hideMark/>
          </w:tcPr>
          <w:p w14:paraId="4DF6B8E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Marion</w:t>
            </w:r>
          </w:p>
        </w:tc>
        <w:tc>
          <w:tcPr>
            <w:tcW w:w="1455" w:type="dxa"/>
            <w:noWrap/>
            <w:hideMark/>
          </w:tcPr>
          <w:p w14:paraId="0D210D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$6,224,699</w:t>
            </w:r>
          </w:p>
        </w:tc>
        <w:tc>
          <w:tcPr>
            <w:tcW w:w="1440" w:type="dxa"/>
            <w:noWrap/>
            <w:hideMark/>
          </w:tcPr>
          <w:p w14:paraId="481D2F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123.0%</w:t>
            </w:r>
          </w:p>
        </w:tc>
        <w:tc>
          <w:tcPr>
            <w:tcW w:w="1440" w:type="dxa"/>
            <w:noWrap/>
            <w:hideMark/>
          </w:tcPr>
          <w:p w14:paraId="22A2CA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A4B2C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94.2%</w:t>
            </w:r>
          </w:p>
        </w:tc>
        <w:tc>
          <w:tcPr>
            <w:tcW w:w="1455" w:type="dxa"/>
            <w:noWrap/>
            <w:hideMark/>
          </w:tcPr>
          <w:p w14:paraId="1102D1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$8,384,746</w:t>
            </w:r>
          </w:p>
        </w:tc>
        <w:tc>
          <w:tcPr>
            <w:tcW w:w="1440" w:type="dxa"/>
            <w:noWrap/>
            <w:hideMark/>
          </w:tcPr>
          <w:p w14:paraId="342151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119.8%</w:t>
            </w:r>
          </w:p>
        </w:tc>
        <w:tc>
          <w:tcPr>
            <w:tcW w:w="1440" w:type="dxa"/>
            <w:noWrap/>
            <w:hideMark/>
          </w:tcPr>
          <w:p w14:paraId="7D36BA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78C48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r>
      <w:tr w:rsidR="006253A9" w:rsidRPr="006253A9" w14:paraId="4862E9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56B86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0170</w:t>
            </w:r>
          </w:p>
        </w:tc>
        <w:tc>
          <w:tcPr>
            <w:tcW w:w="2880" w:type="dxa"/>
            <w:noWrap/>
            <w:hideMark/>
          </w:tcPr>
          <w:p w14:paraId="5DECA1E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Marlborough</w:t>
            </w:r>
          </w:p>
        </w:tc>
        <w:tc>
          <w:tcPr>
            <w:tcW w:w="1455" w:type="dxa"/>
            <w:noWrap/>
            <w:hideMark/>
          </w:tcPr>
          <w:p w14:paraId="5A0B0E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$43,833,241</w:t>
            </w:r>
          </w:p>
        </w:tc>
        <w:tc>
          <w:tcPr>
            <w:tcW w:w="1440" w:type="dxa"/>
            <w:noWrap/>
            <w:hideMark/>
          </w:tcPr>
          <w:p w14:paraId="753835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71.0%</w:t>
            </w:r>
          </w:p>
        </w:tc>
        <w:tc>
          <w:tcPr>
            <w:tcW w:w="1440" w:type="dxa"/>
            <w:noWrap/>
            <w:hideMark/>
          </w:tcPr>
          <w:p w14:paraId="086BD9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71.0%</w:t>
            </w:r>
          </w:p>
        </w:tc>
        <w:tc>
          <w:tcPr>
            <w:tcW w:w="1440" w:type="dxa"/>
            <w:noWrap/>
            <w:hideMark/>
          </w:tcPr>
          <w:p w14:paraId="2C77D4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84.6%</w:t>
            </w:r>
          </w:p>
        </w:tc>
        <w:tc>
          <w:tcPr>
            <w:tcW w:w="1455" w:type="dxa"/>
            <w:noWrap/>
            <w:hideMark/>
          </w:tcPr>
          <w:p w14:paraId="0C17EA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$71,802,369</w:t>
            </w:r>
          </w:p>
        </w:tc>
        <w:tc>
          <w:tcPr>
            <w:tcW w:w="1440" w:type="dxa"/>
            <w:noWrap/>
            <w:hideMark/>
          </w:tcPr>
          <w:p w14:paraId="0C7EE1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58.0%</w:t>
            </w:r>
          </w:p>
        </w:tc>
        <w:tc>
          <w:tcPr>
            <w:tcW w:w="1440" w:type="dxa"/>
            <w:noWrap/>
            <w:hideMark/>
          </w:tcPr>
          <w:p w14:paraId="7A8EF4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58.0%</w:t>
            </w:r>
          </w:p>
        </w:tc>
        <w:tc>
          <w:tcPr>
            <w:tcW w:w="1440" w:type="dxa"/>
            <w:noWrap/>
            <w:hideMark/>
          </w:tcPr>
          <w:p w14:paraId="59485E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w:t>
            </w:r>
          </w:p>
        </w:tc>
      </w:tr>
      <w:tr w:rsidR="006253A9" w:rsidRPr="006253A9" w14:paraId="2287C65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5AF665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0171</w:t>
            </w:r>
          </w:p>
        </w:tc>
        <w:tc>
          <w:tcPr>
            <w:tcW w:w="2880" w:type="dxa"/>
            <w:noWrap/>
            <w:hideMark/>
          </w:tcPr>
          <w:p w14:paraId="04F5D26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Marshfield</w:t>
            </w:r>
          </w:p>
        </w:tc>
        <w:tc>
          <w:tcPr>
            <w:tcW w:w="1455" w:type="dxa"/>
            <w:noWrap/>
            <w:hideMark/>
          </w:tcPr>
          <w:p w14:paraId="659669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$34,872,556</w:t>
            </w:r>
          </w:p>
        </w:tc>
        <w:tc>
          <w:tcPr>
            <w:tcW w:w="1440" w:type="dxa"/>
            <w:noWrap/>
            <w:hideMark/>
          </w:tcPr>
          <w:p w14:paraId="565F0A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71.9%</w:t>
            </w:r>
          </w:p>
        </w:tc>
        <w:tc>
          <w:tcPr>
            <w:tcW w:w="1440" w:type="dxa"/>
            <w:noWrap/>
            <w:hideMark/>
          </w:tcPr>
          <w:p w14:paraId="17284E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71.9%</w:t>
            </w:r>
          </w:p>
        </w:tc>
        <w:tc>
          <w:tcPr>
            <w:tcW w:w="1440" w:type="dxa"/>
            <w:noWrap/>
            <w:hideMark/>
          </w:tcPr>
          <w:p w14:paraId="006700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60.9%</w:t>
            </w:r>
          </w:p>
        </w:tc>
        <w:tc>
          <w:tcPr>
            <w:tcW w:w="1455" w:type="dxa"/>
            <w:noWrap/>
            <w:hideMark/>
          </w:tcPr>
          <w:p w14:paraId="0A7800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$43,523,658</w:t>
            </w:r>
          </w:p>
        </w:tc>
        <w:tc>
          <w:tcPr>
            <w:tcW w:w="1440" w:type="dxa"/>
            <w:noWrap/>
            <w:hideMark/>
          </w:tcPr>
          <w:p w14:paraId="38AF7C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c>
          <w:tcPr>
            <w:tcW w:w="1440" w:type="dxa"/>
            <w:noWrap/>
            <w:hideMark/>
          </w:tcPr>
          <w:p w14:paraId="3F4591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c>
          <w:tcPr>
            <w:tcW w:w="1440" w:type="dxa"/>
            <w:noWrap/>
            <w:hideMark/>
          </w:tcPr>
          <w:p w14:paraId="6AFDB7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r>
      <w:tr w:rsidR="006253A9" w:rsidRPr="006253A9" w14:paraId="448CF0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D0CD3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0172</w:t>
            </w:r>
          </w:p>
        </w:tc>
        <w:tc>
          <w:tcPr>
            <w:tcW w:w="2880" w:type="dxa"/>
            <w:noWrap/>
            <w:hideMark/>
          </w:tcPr>
          <w:p w14:paraId="5E5EDB5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Mashpee</w:t>
            </w:r>
          </w:p>
        </w:tc>
        <w:tc>
          <w:tcPr>
            <w:tcW w:w="1455" w:type="dxa"/>
            <w:noWrap/>
            <w:hideMark/>
          </w:tcPr>
          <w:p w14:paraId="7810FF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$16,062,651</w:t>
            </w:r>
          </w:p>
        </w:tc>
        <w:tc>
          <w:tcPr>
            <w:tcW w:w="1440" w:type="dxa"/>
            <w:noWrap/>
            <w:hideMark/>
          </w:tcPr>
          <w:p w14:paraId="3F26D7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111.6%</w:t>
            </w:r>
          </w:p>
        </w:tc>
        <w:tc>
          <w:tcPr>
            <w:tcW w:w="1440" w:type="dxa"/>
            <w:noWrap/>
            <w:hideMark/>
          </w:tcPr>
          <w:p w14:paraId="50250E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89AF0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83.1%</w:t>
            </w:r>
          </w:p>
        </w:tc>
        <w:tc>
          <w:tcPr>
            <w:tcW w:w="1455" w:type="dxa"/>
            <w:noWrap/>
            <w:hideMark/>
          </w:tcPr>
          <w:p w14:paraId="2B1413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$19,507,075</w:t>
            </w:r>
          </w:p>
        </w:tc>
        <w:tc>
          <w:tcPr>
            <w:tcW w:w="1440" w:type="dxa"/>
            <w:noWrap/>
            <w:hideMark/>
          </w:tcPr>
          <w:p w14:paraId="3C45B6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140.4%</w:t>
            </w:r>
          </w:p>
        </w:tc>
        <w:tc>
          <w:tcPr>
            <w:tcW w:w="1440" w:type="dxa"/>
            <w:noWrap/>
            <w:hideMark/>
          </w:tcPr>
          <w:p w14:paraId="596668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8C18E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81.2%</w:t>
            </w:r>
          </w:p>
        </w:tc>
      </w:tr>
      <w:tr w:rsidR="006253A9" w:rsidRPr="006253A9" w14:paraId="0205856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E9A50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0173</w:t>
            </w:r>
          </w:p>
        </w:tc>
        <w:tc>
          <w:tcPr>
            <w:tcW w:w="2880" w:type="dxa"/>
            <w:noWrap/>
            <w:hideMark/>
          </w:tcPr>
          <w:p w14:paraId="376E1A2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Mattapoisett</w:t>
            </w:r>
          </w:p>
        </w:tc>
        <w:tc>
          <w:tcPr>
            <w:tcW w:w="1455" w:type="dxa"/>
            <w:noWrap/>
            <w:hideMark/>
          </w:tcPr>
          <w:p w14:paraId="15EEEF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$7,088,819</w:t>
            </w:r>
          </w:p>
        </w:tc>
        <w:tc>
          <w:tcPr>
            <w:tcW w:w="1440" w:type="dxa"/>
            <w:noWrap/>
            <w:hideMark/>
          </w:tcPr>
          <w:p w14:paraId="0A5BD3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102.9%</w:t>
            </w:r>
          </w:p>
        </w:tc>
        <w:tc>
          <w:tcPr>
            <w:tcW w:w="1440" w:type="dxa"/>
            <w:noWrap/>
            <w:hideMark/>
          </w:tcPr>
          <w:p w14:paraId="7FD413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60D25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96.6%</w:t>
            </w:r>
          </w:p>
        </w:tc>
        <w:tc>
          <w:tcPr>
            <w:tcW w:w="1455" w:type="dxa"/>
            <w:noWrap/>
            <w:hideMark/>
          </w:tcPr>
          <w:p w14:paraId="416613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$9,342,938</w:t>
            </w:r>
          </w:p>
        </w:tc>
        <w:tc>
          <w:tcPr>
            <w:tcW w:w="1440" w:type="dxa"/>
            <w:noWrap/>
            <w:hideMark/>
          </w:tcPr>
          <w:p w14:paraId="03F58D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123.5%</w:t>
            </w:r>
          </w:p>
        </w:tc>
        <w:tc>
          <w:tcPr>
            <w:tcW w:w="1440" w:type="dxa"/>
            <w:noWrap/>
            <w:hideMark/>
          </w:tcPr>
          <w:p w14:paraId="7E33CF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4A5A7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C8290D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DB42F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0174</w:t>
            </w:r>
          </w:p>
        </w:tc>
        <w:tc>
          <w:tcPr>
            <w:tcW w:w="2880" w:type="dxa"/>
            <w:noWrap/>
            <w:hideMark/>
          </w:tcPr>
          <w:p w14:paraId="7EA4DE5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Maynard</w:t>
            </w:r>
          </w:p>
        </w:tc>
        <w:tc>
          <w:tcPr>
            <w:tcW w:w="1455" w:type="dxa"/>
            <w:noWrap/>
            <w:hideMark/>
          </w:tcPr>
          <w:p w14:paraId="15F199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$11,772,499</w:t>
            </w:r>
          </w:p>
        </w:tc>
        <w:tc>
          <w:tcPr>
            <w:tcW w:w="1440" w:type="dxa"/>
            <w:noWrap/>
            <w:hideMark/>
          </w:tcPr>
          <w:p w14:paraId="708A4B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71.4%</w:t>
            </w:r>
          </w:p>
        </w:tc>
        <w:tc>
          <w:tcPr>
            <w:tcW w:w="1440" w:type="dxa"/>
            <w:noWrap/>
            <w:hideMark/>
          </w:tcPr>
          <w:p w14:paraId="046D90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71.4%</w:t>
            </w:r>
          </w:p>
        </w:tc>
        <w:tc>
          <w:tcPr>
            <w:tcW w:w="1440" w:type="dxa"/>
            <w:noWrap/>
            <w:hideMark/>
          </w:tcPr>
          <w:p w14:paraId="7A3A5A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80.0%</w:t>
            </w:r>
          </w:p>
        </w:tc>
        <w:tc>
          <w:tcPr>
            <w:tcW w:w="1455" w:type="dxa"/>
            <w:noWrap/>
            <w:hideMark/>
          </w:tcPr>
          <w:p w14:paraId="2BAA9A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$16,624,834</w:t>
            </w:r>
          </w:p>
        </w:tc>
        <w:tc>
          <w:tcPr>
            <w:tcW w:w="1440" w:type="dxa"/>
            <w:noWrap/>
            <w:hideMark/>
          </w:tcPr>
          <w:p w14:paraId="4B082A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65.4%</w:t>
            </w:r>
          </w:p>
        </w:tc>
        <w:tc>
          <w:tcPr>
            <w:tcW w:w="1440" w:type="dxa"/>
            <w:noWrap/>
            <w:hideMark/>
          </w:tcPr>
          <w:p w14:paraId="1365C7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65.4%</w:t>
            </w:r>
          </w:p>
        </w:tc>
        <w:tc>
          <w:tcPr>
            <w:tcW w:w="1440" w:type="dxa"/>
            <w:noWrap/>
            <w:hideMark/>
          </w:tcPr>
          <w:p w14:paraId="42B3F3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65.4%</w:t>
            </w:r>
          </w:p>
        </w:tc>
      </w:tr>
      <w:tr w:rsidR="006253A9" w:rsidRPr="006253A9" w14:paraId="76FEC47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7FAE11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0175</w:t>
            </w:r>
          </w:p>
        </w:tc>
        <w:tc>
          <w:tcPr>
            <w:tcW w:w="2880" w:type="dxa"/>
            <w:noWrap/>
            <w:hideMark/>
          </w:tcPr>
          <w:p w14:paraId="3E99310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Medfield</w:t>
            </w:r>
          </w:p>
        </w:tc>
        <w:tc>
          <w:tcPr>
            <w:tcW w:w="1455" w:type="dxa"/>
            <w:noWrap/>
            <w:hideMark/>
          </w:tcPr>
          <w:p w14:paraId="15FAA9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$22,434,317</w:t>
            </w:r>
          </w:p>
        </w:tc>
        <w:tc>
          <w:tcPr>
            <w:tcW w:w="1440" w:type="dxa"/>
            <w:noWrap/>
            <w:hideMark/>
          </w:tcPr>
          <w:p w14:paraId="4C5658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75.7%</w:t>
            </w:r>
          </w:p>
        </w:tc>
        <w:tc>
          <w:tcPr>
            <w:tcW w:w="1440" w:type="dxa"/>
            <w:noWrap/>
            <w:hideMark/>
          </w:tcPr>
          <w:p w14:paraId="2790A0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75.7%</w:t>
            </w:r>
          </w:p>
        </w:tc>
        <w:tc>
          <w:tcPr>
            <w:tcW w:w="1440" w:type="dxa"/>
            <w:noWrap/>
            <w:hideMark/>
          </w:tcPr>
          <w:p w14:paraId="726DD2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76.9%</w:t>
            </w:r>
          </w:p>
        </w:tc>
        <w:tc>
          <w:tcPr>
            <w:tcW w:w="1455" w:type="dxa"/>
            <w:noWrap/>
            <w:hideMark/>
          </w:tcPr>
          <w:p w14:paraId="7A432F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$26,296,794</w:t>
            </w:r>
          </w:p>
        </w:tc>
        <w:tc>
          <w:tcPr>
            <w:tcW w:w="1440" w:type="dxa"/>
            <w:noWrap/>
            <w:hideMark/>
          </w:tcPr>
          <w:p w14:paraId="7E7710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105.7%</w:t>
            </w:r>
          </w:p>
        </w:tc>
        <w:tc>
          <w:tcPr>
            <w:tcW w:w="1440" w:type="dxa"/>
            <w:noWrap/>
            <w:hideMark/>
          </w:tcPr>
          <w:p w14:paraId="38C479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46E4F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81.3%</w:t>
            </w:r>
          </w:p>
        </w:tc>
      </w:tr>
      <w:tr w:rsidR="006253A9" w:rsidRPr="006253A9" w14:paraId="785895A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6C5091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0176</w:t>
            </w:r>
          </w:p>
        </w:tc>
        <w:tc>
          <w:tcPr>
            <w:tcW w:w="2880" w:type="dxa"/>
            <w:noWrap/>
            <w:hideMark/>
          </w:tcPr>
          <w:p w14:paraId="6FFA7FC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Medford</w:t>
            </w:r>
          </w:p>
        </w:tc>
        <w:tc>
          <w:tcPr>
            <w:tcW w:w="1455" w:type="dxa"/>
            <w:noWrap/>
            <w:hideMark/>
          </w:tcPr>
          <w:p w14:paraId="78061A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$43,002,390</w:t>
            </w:r>
          </w:p>
        </w:tc>
        <w:tc>
          <w:tcPr>
            <w:tcW w:w="1440" w:type="dxa"/>
            <w:noWrap/>
            <w:hideMark/>
          </w:tcPr>
          <w:p w14:paraId="1D4080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96.6%</w:t>
            </w:r>
          </w:p>
        </w:tc>
        <w:tc>
          <w:tcPr>
            <w:tcW w:w="1440" w:type="dxa"/>
            <w:noWrap/>
            <w:hideMark/>
          </w:tcPr>
          <w:p w14:paraId="4E9432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65C7C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79.9%</w:t>
            </w:r>
          </w:p>
        </w:tc>
        <w:tc>
          <w:tcPr>
            <w:tcW w:w="1455" w:type="dxa"/>
            <w:noWrap/>
            <w:hideMark/>
          </w:tcPr>
          <w:p w14:paraId="452380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$58,384,770</w:t>
            </w:r>
          </w:p>
        </w:tc>
        <w:tc>
          <w:tcPr>
            <w:tcW w:w="1440" w:type="dxa"/>
            <w:noWrap/>
            <w:hideMark/>
          </w:tcPr>
          <w:p w14:paraId="7DFDB1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117.7%</w:t>
            </w:r>
          </w:p>
        </w:tc>
        <w:tc>
          <w:tcPr>
            <w:tcW w:w="1440" w:type="dxa"/>
            <w:noWrap/>
            <w:hideMark/>
          </w:tcPr>
          <w:p w14:paraId="08852B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7E3C7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20A9408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972877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0177</w:t>
            </w:r>
          </w:p>
        </w:tc>
        <w:tc>
          <w:tcPr>
            <w:tcW w:w="2880" w:type="dxa"/>
            <w:noWrap/>
            <w:hideMark/>
          </w:tcPr>
          <w:p w14:paraId="39C442B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Medway</w:t>
            </w:r>
          </w:p>
        </w:tc>
        <w:tc>
          <w:tcPr>
            <w:tcW w:w="1455" w:type="dxa"/>
            <w:noWrap/>
            <w:hideMark/>
          </w:tcPr>
          <w:p w14:paraId="39412A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$21,482,552</w:t>
            </w:r>
          </w:p>
        </w:tc>
        <w:tc>
          <w:tcPr>
            <w:tcW w:w="1440" w:type="dxa"/>
            <w:noWrap/>
            <w:hideMark/>
          </w:tcPr>
          <w:p w14:paraId="140447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54.6%</w:t>
            </w:r>
          </w:p>
        </w:tc>
        <w:tc>
          <w:tcPr>
            <w:tcW w:w="1440" w:type="dxa"/>
            <w:noWrap/>
            <w:hideMark/>
          </w:tcPr>
          <w:p w14:paraId="0335C9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54.6%</w:t>
            </w:r>
          </w:p>
        </w:tc>
        <w:tc>
          <w:tcPr>
            <w:tcW w:w="1440" w:type="dxa"/>
            <w:noWrap/>
            <w:hideMark/>
          </w:tcPr>
          <w:p w14:paraId="418746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64.3%</w:t>
            </w:r>
          </w:p>
        </w:tc>
        <w:tc>
          <w:tcPr>
            <w:tcW w:w="1455" w:type="dxa"/>
            <w:noWrap/>
            <w:hideMark/>
          </w:tcPr>
          <w:p w14:paraId="7DADFC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$24,708,152</w:t>
            </w:r>
          </w:p>
        </w:tc>
        <w:tc>
          <w:tcPr>
            <w:tcW w:w="1440" w:type="dxa"/>
            <w:noWrap/>
            <w:hideMark/>
          </w:tcPr>
          <w:p w14:paraId="16B847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69.7%</w:t>
            </w:r>
          </w:p>
        </w:tc>
        <w:tc>
          <w:tcPr>
            <w:tcW w:w="1440" w:type="dxa"/>
            <w:noWrap/>
            <w:hideMark/>
          </w:tcPr>
          <w:p w14:paraId="36A14B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69.7%</w:t>
            </w:r>
          </w:p>
        </w:tc>
        <w:tc>
          <w:tcPr>
            <w:tcW w:w="1440" w:type="dxa"/>
            <w:noWrap/>
            <w:hideMark/>
          </w:tcPr>
          <w:p w14:paraId="64CCD2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68.9%</w:t>
            </w:r>
          </w:p>
        </w:tc>
      </w:tr>
      <w:tr w:rsidR="006253A9" w:rsidRPr="006253A9" w14:paraId="53D763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1E406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0178</w:t>
            </w:r>
          </w:p>
        </w:tc>
        <w:tc>
          <w:tcPr>
            <w:tcW w:w="2880" w:type="dxa"/>
            <w:noWrap/>
            <w:hideMark/>
          </w:tcPr>
          <w:p w14:paraId="5B98BD4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Melrose</w:t>
            </w:r>
          </w:p>
        </w:tc>
        <w:tc>
          <w:tcPr>
            <w:tcW w:w="1455" w:type="dxa"/>
            <w:noWrap/>
            <w:hideMark/>
          </w:tcPr>
          <w:p w14:paraId="0DA31A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$26,796,452</w:t>
            </w:r>
          </w:p>
        </w:tc>
        <w:tc>
          <w:tcPr>
            <w:tcW w:w="1440" w:type="dxa"/>
            <w:noWrap/>
            <w:hideMark/>
          </w:tcPr>
          <w:p w14:paraId="454321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89.2%</w:t>
            </w:r>
          </w:p>
        </w:tc>
        <w:tc>
          <w:tcPr>
            <w:tcW w:w="1440" w:type="dxa"/>
            <w:noWrap/>
            <w:hideMark/>
          </w:tcPr>
          <w:p w14:paraId="3B61B1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DF4F1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82.0%</w:t>
            </w:r>
          </w:p>
        </w:tc>
        <w:tc>
          <w:tcPr>
            <w:tcW w:w="1455" w:type="dxa"/>
            <w:noWrap/>
            <w:hideMark/>
          </w:tcPr>
          <w:p w14:paraId="28D517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$42,770,327</w:t>
            </w:r>
          </w:p>
        </w:tc>
        <w:tc>
          <w:tcPr>
            <w:tcW w:w="1440" w:type="dxa"/>
            <w:noWrap/>
            <w:hideMark/>
          </w:tcPr>
          <w:p w14:paraId="11FDEB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90.6%</w:t>
            </w:r>
          </w:p>
        </w:tc>
        <w:tc>
          <w:tcPr>
            <w:tcW w:w="1440" w:type="dxa"/>
            <w:noWrap/>
            <w:hideMark/>
          </w:tcPr>
          <w:p w14:paraId="553725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F9861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80.2%</w:t>
            </w:r>
          </w:p>
        </w:tc>
      </w:tr>
      <w:tr w:rsidR="006253A9" w:rsidRPr="006253A9" w14:paraId="5CF9B8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91DDA3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0179</w:t>
            </w:r>
          </w:p>
        </w:tc>
        <w:tc>
          <w:tcPr>
            <w:tcW w:w="2880" w:type="dxa"/>
            <w:noWrap/>
            <w:hideMark/>
          </w:tcPr>
          <w:p w14:paraId="59484E4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Mendon</w:t>
            </w:r>
          </w:p>
        </w:tc>
        <w:tc>
          <w:tcPr>
            <w:tcW w:w="1455" w:type="dxa"/>
            <w:noWrap/>
            <w:hideMark/>
          </w:tcPr>
          <w:p w14:paraId="45F021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$9,299,140</w:t>
            </w:r>
          </w:p>
        </w:tc>
        <w:tc>
          <w:tcPr>
            <w:tcW w:w="1440" w:type="dxa"/>
            <w:noWrap/>
            <w:hideMark/>
          </w:tcPr>
          <w:p w14:paraId="2832F9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64.9%</w:t>
            </w:r>
          </w:p>
        </w:tc>
        <w:tc>
          <w:tcPr>
            <w:tcW w:w="1440" w:type="dxa"/>
            <w:noWrap/>
            <w:hideMark/>
          </w:tcPr>
          <w:p w14:paraId="46A604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64.9%</w:t>
            </w:r>
          </w:p>
        </w:tc>
        <w:tc>
          <w:tcPr>
            <w:tcW w:w="1440" w:type="dxa"/>
            <w:noWrap/>
            <w:hideMark/>
          </w:tcPr>
          <w:p w14:paraId="69F4DF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42.9%</w:t>
            </w:r>
          </w:p>
        </w:tc>
        <w:tc>
          <w:tcPr>
            <w:tcW w:w="1455" w:type="dxa"/>
            <w:noWrap/>
            <w:hideMark/>
          </w:tcPr>
          <w:p w14:paraId="722C27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$11,378,867</w:t>
            </w:r>
          </w:p>
        </w:tc>
        <w:tc>
          <w:tcPr>
            <w:tcW w:w="1440" w:type="dxa"/>
            <w:noWrap/>
            <w:hideMark/>
          </w:tcPr>
          <w:p w14:paraId="22F417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75.5%</w:t>
            </w:r>
          </w:p>
        </w:tc>
        <w:tc>
          <w:tcPr>
            <w:tcW w:w="1440" w:type="dxa"/>
            <w:noWrap/>
            <w:hideMark/>
          </w:tcPr>
          <w:p w14:paraId="092C72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75.5%</w:t>
            </w:r>
          </w:p>
        </w:tc>
        <w:tc>
          <w:tcPr>
            <w:tcW w:w="1440" w:type="dxa"/>
            <w:noWrap/>
            <w:hideMark/>
          </w:tcPr>
          <w:p w14:paraId="093BFA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72.6%</w:t>
            </w:r>
          </w:p>
        </w:tc>
      </w:tr>
      <w:tr w:rsidR="006253A9" w:rsidRPr="006253A9" w14:paraId="326BCB9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31EBE5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0180</w:t>
            </w:r>
          </w:p>
        </w:tc>
        <w:tc>
          <w:tcPr>
            <w:tcW w:w="2880" w:type="dxa"/>
            <w:noWrap/>
            <w:hideMark/>
          </w:tcPr>
          <w:p w14:paraId="7D795EA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Merrimac</w:t>
            </w:r>
          </w:p>
        </w:tc>
        <w:tc>
          <w:tcPr>
            <w:tcW w:w="1455" w:type="dxa"/>
            <w:noWrap/>
            <w:hideMark/>
          </w:tcPr>
          <w:p w14:paraId="343041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$9,940,996</w:t>
            </w:r>
          </w:p>
        </w:tc>
        <w:tc>
          <w:tcPr>
            <w:tcW w:w="1440" w:type="dxa"/>
            <w:noWrap/>
            <w:hideMark/>
          </w:tcPr>
          <w:p w14:paraId="3A5CCE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46.6%</w:t>
            </w:r>
          </w:p>
        </w:tc>
        <w:tc>
          <w:tcPr>
            <w:tcW w:w="1440" w:type="dxa"/>
            <w:noWrap/>
            <w:hideMark/>
          </w:tcPr>
          <w:p w14:paraId="156421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46.6%</w:t>
            </w:r>
          </w:p>
        </w:tc>
        <w:tc>
          <w:tcPr>
            <w:tcW w:w="1440" w:type="dxa"/>
            <w:noWrap/>
            <w:hideMark/>
          </w:tcPr>
          <w:p w14:paraId="3D6E41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40.5%</w:t>
            </w:r>
          </w:p>
        </w:tc>
        <w:tc>
          <w:tcPr>
            <w:tcW w:w="1455" w:type="dxa"/>
            <w:noWrap/>
            <w:hideMark/>
          </w:tcPr>
          <w:p w14:paraId="49E5B4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$9,967,556</w:t>
            </w:r>
          </w:p>
        </w:tc>
        <w:tc>
          <w:tcPr>
            <w:tcW w:w="1440" w:type="dxa"/>
            <w:noWrap/>
            <w:hideMark/>
          </w:tcPr>
          <w:p w14:paraId="0C5580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66.9%</w:t>
            </w:r>
          </w:p>
        </w:tc>
        <w:tc>
          <w:tcPr>
            <w:tcW w:w="1440" w:type="dxa"/>
            <w:noWrap/>
            <w:hideMark/>
          </w:tcPr>
          <w:p w14:paraId="4724F8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66.9%</w:t>
            </w:r>
          </w:p>
        </w:tc>
        <w:tc>
          <w:tcPr>
            <w:tcW w:w="1440" w:type="dxa"/>
            <w:noWrap/>
            <w:hideMark/>
          </w:tcPr>
          <w:p w14:paraId="70601E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64.0%</w:t>
            </w:r>
          </w:p>
        </w:tc>
      </w:tr>
      <w:tr w:rsidR="006253A9" w:rsidRPr="006253A9" w14:paraId="0976A9C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C6EB87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0181</w:t>
            </w:r>
          </w:p>
        </w:tc>
        <w:tc>
          <w:tcPr>
            <w:tcW w:w="2880" w:type="dxa"/>
            <w:noWrap/>
            <w:hideMark/>
          </w:tcPr>
          <w:p w14:paraId="6EA7D88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Methuen</w:t>
            </w:r>
          </w:p>
        </w:tc>
        <w:tc>
          <w:tcPr>
            <w:tcW w:w="1455" w:type="dxa"/>
            <w:noWrap/>
            <w:hideMark/>
          </w:tcPr>
          <w:p w14:paraId="382A22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$64,149,360</w:t>
            </w:r>
          </w:p>
        </w:tc>
        <w:tc>
          <w:tcPr>
            <w:tcW w:w="1440" w:type="dxa"/>
            <w:noWrap/>
            <w:hideMark/>
          </w:tcPr>
          <w:p w14:paraId="438542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46.5%</w:t>
            </w:r>
          </w:p>
        </w:tc>
        <w:tc>
          <w:tcPr>
            <w:tcW w:w="1440" w:type="dxa"/>
            <w:noWrap/>
            <w:hideMark/>
          </w:tcPr>
          <w:p w14:paraId="6A672F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46.5%</w:t>
            </w:r>
          </w:p>
        </w:tc>
        <w:tc>
          <w:tcPr>
            <w:tcW w:w="1440" w:type="dxa"/>
            <w:noWrap/>
            <w:hideMark/>
          </w:tcPr>
          <w:p w14:paraId="138356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45.3%</w:t>
            </w:r>
          </w:p>
        </w:tc>
        <w:tc>
          <w:tcPr>
            <w:tcW w:w="1455" w:type="dxa"/>
            <w:noWrap/>
            <w:hideMark/>
          </w:tcPr>
          <w:p w14:paraId="30A54E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$91,730,440</w:t>
            </w:r>
          </w:p>
        </w:tc>
        <w:tc>
          <w:tcPr>
            <w:tcW w:w="1440" w:type="dxa"/>
            <w:noWrap/>
            <w:hideMark/>
          </w:tcPr>
          <w:p w14:paraId="50D11E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45.9%</w:t>
            </w:r>
          </w:p>
        </w:tc>
        <w:tc>
          <w:tcPr>
            <w:tcW w:w="1440" w:type="dxa"/>
            <w:noWrap/>
            <w:hideMark/>
          </w:tcPr>
          <w:p w14:paraId="017BD2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45.9%</w:t>
            </w:r>
          </w:p>
        </w:tc>
        <w:tc>
          <w:tcPr>
            <w:tcW w:w="1440" w:type="dxa"/>
            <w:noWrap/>
            <w:hideMark/>
          </w:tcPr>
          <w:p w14:paraId="0647BE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45.0%</w:t>
            </w:r>
          </w:p>
        </w:tc>
      </w:tr>
      <w:tr w:rsidR="006253A9" w:rsidRPr="006253A9" w14:paraId="4163E2A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5B3F2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0182</w:t>
            </w:r>
          </w:p>
        </w:tc>
        <w:tc>
          <w:tcPr>
            <w:tcW w:w="2880" w:type="dxa"/>
            <w:noWrap/>
            <w:hideMark/>
          </w:tcPr>
          <w:p w14:paraId="4F92237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Middleborough</w:t>
            </w:r>
          </w:p>
        </w:tc>
        <w:tc>
          <w:tcPr>
            <w:tcW w:w="1455" w:type="dxa"/>
            <w:noWrap/>
            <w:hideMark/>
          </w:tcPr>
          <w:p w14:paraId="3467AB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$30,510,786</w:t>
            </w:r>
          </w:p>
        </w:tc>
        <w:tc>
          <w:tcPr>
            <w:tcW w:w="1440" w:type="dxa"/>
            <w:noWrap/>
            <w:hideMark/>
          </w:tcPr>
          <w:p w14:paraId="08267A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46.5%</w:t>
            </w:r>
          </w:p>
        </w:tc>
        <w:tc>
          <w:tcPr>
            <w:tcW w:w="1440" w:type="dxa"/>
            <w:noWrap/>
            <w:hideMark/>
          </w:tcPr>
          <w:p w14:paraId="473997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46.5%</w:t>
            </w:r>
          </w:p>
        </w:tc>
        <w:tc>
          <w:tcPr>
            <w:tcW w:w="1440" w:type="dxa"/>
            <w:noWrap/>
            <w:hideMark/>
          </w:tcPr>
          <w:p w14:paraId="078415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c>
          <w:tcPr>
            <w:tcW w:w="1455" w:type="dxa"/>
            <w:noWrap/>
            <w:hideMark/>
          </w:tcPr>
          <w:p w14:paraId="713A11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$38,977,009</w:t>
            </w:r>
          </w:p>
        </w:tc>
        <w:tc>
          <w:tcPr>
            <w:tcW w:w="1440" w:type="dxa"/>
            <w:noWrap/>
            <w:hideMark/>
          </w:tcPr>
          <w:p w14:paraId="5BC66C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51.1%</w:t>
            </w:r>
          </w:p>
        </w:tc>
        <w:tc>
          <w:tcPr>
            <w:tcW w:w="1440" w:type="dxa"/>
            <w:noWrap/>
            <w:hideMark/>
          </w:tcPr>
          <w:p w14:paraId="662EEE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51.1%</w:t>
            </w:r>
          </w:p>
        </w:tc>
        <w:tc>
          <w:tcPr>
            <w:tcW w:w="1440" w:type="dxa"/>
            <w:noWrap/>
            <w:hideMark/>
          </w:tcPr>
          <w:p w14:paraId="3191CC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49.7%</w:t>
            </w:r>
          </w:p>
        </w:tc>
      </w:tr>
      <w:tr w:rsidR="006253A9" w:rsidRPr="006253A9" w14:paraId="506B5C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F9FF6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0183</w:t>
            </w:r>
          </w:p>
        </w:tc>
        <w:tc>
          <w:tcPr>
            <w:tcW w:w="2880" w:type="dxa"/>
            <w:noWrap/>
            <w:hideMark/>
          </w:tcPr>
          <w:p w14:paraId="24C8B04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Middlefield</w:t>
            </w:r>
          </w:p>
        </w:tc>
        <w:tc>
          <w:tcPr>
            <w:tcW w:w="1455" w:type="dxa"/>
            <w:noWrap/>
            <w:hideMark/>
          </w:tcPr>
          <w:p w14:paraId="421F1F5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$690,240</w:t>
            </w:r>
          </w:p>
        </w:tc>
        <w:tc>
          <w:tcPr>
            <w:tcW w:w="1440" w:type="dxa"/>
            <w:noWrap/>
            <w:hideMark/>
          </w:tcPr>
          <w:p w14:paraId="3F01D8A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35.9%</w:t>
            </w:r>
          </w:p>
        </w:tc>
        <w:tc>
          <w:tcPr>
            <w:tcW w:w="1440" w:type="dxa"/>
            <w:noWrap/>
            <w:hideMark/>
          </w:tcPr>
          <w:p w14:paraId="44E1FB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35.9%</w:t>
            </w:r>
          </w:p>
        </w:tc>
        <w:tc>
          <w:tcPr>
            <w:tcW w:w="1440" w:type="dxa"/>
            <w:noWrap/>
            <w:hideMark/>
          </w:tcPr>
          <w:p w14:paraId="2C738B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w:t>
            </w:r>
          </w:p>
        </w:tc>
        <w:tc>
          <w:tcPr>
            <w:tcW w:w="1455" w:type="dxa"/>
            <w:noWrap/>
            <w:hideMark/>
          </w:tcPr>
          <w:p w14:paraId="67C9D9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$487,930</w:t>
            </w:r>
          </w:p>
        </w:tc>
        <w:tc>
          <w:tcPr>
            <w:tcW w:w="1440" w:type="dxa"/>
            <w:noWrap/>
            <w:hideMark/>
          </w:tcPr>
          <w:p w14:paraId="45A44E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83.0%</w:t>
            </w:r>
          </w:p>
        </w:tc>
        <w:tc>
          <w:tcPr>
            <w:tcW w:w="1440" w:type="dxa"/>
            <w:noWrap/>
            <w:hideMark/>
          </w:tcPr>
          <w:p w14:paraId="4B6DFB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55C49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79.5%</w:t>
            </w:r>
          </w:p>
        </w:tc>
      </w:tr>
      <w:tr w:rsidR="006253A9" w:rsidRPr="006253A9" w14:paraId="4DBF37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CB5FF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0184</w:t>
            </w:r>
          </w:p>
        </w:tc>
        <w:tc>
          <w:tcPr>
            <w:tcW w:w="2880" w:type="dxa"/>
            <w:noWrap/>
            <w:hideMark/>
          </w:tcPr>
          <w:p w14:paraId="322DB4D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Middleton</w:t>
            </w:r>
          </w:p>
        </w:tc>
        <w:tc>
          <w:tcPr>
            <w:tcW w:w="1455" w:type="dxa"/>
            <w:noWrap/>
            <w:hideMark/>
          </w:tcPr>
          <w:p w14:paraId="1E8061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$10,997,603</w:t>
            </w:r>
          </w:p>
        </w:tc>
        <w:tc>
          <w:tcPr>
            <w:tcW w:w="1440" w:type="dxa"/>
            <w:noWrap/>
            <w:hideMark/>
          </w:tcPr>
          <w:p w14:paraId="3E1E80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78.3%</w:t>
            </w:r>
          </w:p>
        </w:tc>
        <w:tc>
          <w:tcPr>
            <w:tcW w:w="1440" w:type="dxa"/>
            <w:noWrap/>
            <w:hideMark/>
          </w:tcPr>
          <w:p w14:paraId="3334A2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78.3%</w:t>
            </w:r>
          </w:p>
        </w:tc>
        <w:tc>
          <w:tcPr>
            <w:tcW w:w="1440" w:type="dxa"/>
            <w:noWrap/>
            <w:hideMark/>
          </w:tcPr>
          <w:p w14:paraId="054D56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74.3%</w:t>
            </w:r>
          </w:p>
        </w:tc>
        <w:tc>
          <w:tcPr>
            <w:tcW w:w="1455" w:type="dxa"/>
            <w:noWrap/>
            <w:hideMark/>
          </w:tcPr>
          <w:p w14:paraId="02E999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$14,511,078</w:t>
            </w:r>
          </w:p>
        </w:tc>
        <w:tc>
          <w:tcPr>
            <w:tcW w:w="1440" w:type="dxa"/>
            <w:noWrap/>
            <w:hideMark/>
          </w:tcPr>
          <w:p w14:paraId="56C284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103.1%</w:t>
            </w:r>
          </w:p>
        </w:tc>
        <w:tc>
          <w:tcPr>
            <w:tcW w:w="1440" w:type="dxa"/>
            <w:noWrap/>
            <w:hideMark/>
          </w:tcPr>
          <w:p w14:paraId="7F5911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70FA1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r>
      <w:tr w:rsidR="006253A9" w:rsidRPr="006253A9" w14:paraId="7B57F6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B47CE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0185</w:t>
            </w:r>
          </w:p>
        </w:tc>
        <w:tc>
          <w:tcPr>
            <w:tcW w:w="2880" w:type="dxa"/>
            <w:noWrap/>
            <w:hideMark/>
          </w:tcPr>
          <w:p w14:paraId="1629B08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Milford</w:t>
            </w:r>
          </w:p>
        </w:tc>
        <w:tc>
          <w:tcPr>
            <w:tcW w:w="1455" w:type="dxa"/>
            <w:noWrap/>
            <w:hideMark/>
          </w:tcPr>
          <w:p w14:paraId="5865B4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$34,912,782</w:t>
            </w:r>
          </w:p>
        </w:tc>
        <w:tc>
          <w:tcPr>
            <w:tcW w:w="1440" w:type="dxa"/>
            <w:noWrap/>
            <w:hideMark/>
          </w:tcPr>
          <w:p w14:paraId="50B88F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c>
          <w:tcPr>
            <w:tcW w:w="1440" w:type="dxa"/>
            <w:noWrap/>
            <w:hideMark/>
          </w:tcPr>
          <w:p w14:paraId="535EEC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c>
          <w:tcPr>
            <w:tcW w:w="1440" w:type="dxa"/>
            <w:noWrap/>
            <w:hideMark/>
          </w:tcPr>
          <w:p w14:paraId="7B9BD9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67.7%</w:t>
            </w:r>
          </w:p>
        </w:tc>
        <w:tc>
          <w:tcPr>
            <w:tcW w:w="1455" w:type="dxa"/>
            <w:noWrap/>
            <w:hideMark/>
          </w:tcPr>
          <w:p w14:paraId="24E97A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$54,656,413</w:t>
            </w:r>
          </w:p>
        </w:tc>
        <w:tc>
          <w:tcPr>
            <w:tcW w:w="1440" w:type="dxa"/>
            <w:noWrap/>
            <w:hideMark/>
          </w:tcPr>
          <w:p w14:paraId="2BFC72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w:t>
            </w:r>
          </w:p>
        </w:tc>
        <w:tc>
          <w:tcPr>
            <w:tcW w:w="1440" w:type="dxa"/>
            <w:noWrap/>
            <w:hideMark/>
          </w:tcPr>
          <w:p w14:paraId="0EB53B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w:t>
            </w:r>
          </w:p>
        </w:tc>
        <w:tc>
          <w:tcPr>
            <w:tcW w:w="1440" w:type="dxa"/>
            <w:noWrap/>
            <w:hideMark/>
          </w:tcPr>
          <w:p w14:paraId="59BE79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47.6%</w:t>
            </w:r>
          </w:p>
        </w:tc>
      </w:tr>
      <w:tr w:rsidR="006253A9" w:rsidRPr="006253A9" w14:paraId="0A7D09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8A0120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0186</w:t>
            </w:r>
          </w:p>
        </w:tc>
        <w:tc>
          <w:tcPr>
            <w:tcW w:w="2880" w:type="dxa"/>
            <w:noWrap/>
            <w:hideMark/>
          </w:tcPr>
          <w:p w14:paraId="2FE1ABF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Millbury</w:t>
            </w:r>
          </w:p>
        </w:tc>
        <w:tc>
          <w:tcPr>
            <w:tcW w:w="1455" w:type="dxa"/>
            <w:noWrap/>
            <w:hideMark/>
          </w:tcPr>
          <w:p w14:paraId="7F8F90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$16,318,061</w:t>
            </w:r>
          </w:p>
        </w:tc>
        <w:tc>
          <w:tcPr>
            <w:tcW w:w="1440" w:type="dxa"/>
            <w:noWrap/>
            <w:hideMark/>
          </w:tcPr>
          <w:p w14:paraId="41AC3F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07FFFD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02B10A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58.3%</w:t>
            </w:r>
          </w:p>
        </w:tc>
        <w:tc>
          <w:tcPr>
            <w:tcW w:w="1455" w:type="dxa"/>
            <w:noWrap/>
            <w:hideMark/>
          </w:tcPr>
          <w:p w14:paraId="5CFA74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$20,541,738</w:t>
            </w:r>
          </w:p>
        </w:tc>
        <w:tc>
          <w:tcPr>
            <w:tcW w:w="1440" w:type="dxa"/>
            <w:noWrap/>
            <w:hideMark/>
          </w:tcPr>
          <w:p w14:paraId="0F600F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60.0%</w:t>
            </w:r>
          </w:p>
        </w:tc>
        <w:tc>
          <w:tcPr>
            <w:tcW w:w="1440" w:type="dxa"/>
            <w:noWrap/>
            <w:hideMark/>
          </w:tcPr>
          <w:p w14:paraId="734749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60.0%</w:t>
            </w:r>
          </w:p>
        </w:tc>
        <w:tc>
          <w:tcPr>
            <w:tcW w:w="1440" w:type="dxa"/>
            <w:noWrap/>
            <w:hideMark/>
          </w:tcPr>
          <w:p w14:paraId="10D9B1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r>
      <w:tr w:rsidR="006253A9" w:rsidRPr="006253A9" w14:paraId="61A4BC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9E50B5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0187</w:t>
            </w:r>
          </w:p>
        </w:tc>
        <w:tc>
          <w:tcPr>
            <w:tcW w:w="2880" w:type="dxa"/>
            <w:noWrap/>
            <w:hideMark/>
          </w:tcPr>
          <w:p w14:paraId="62F0F89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Millis</w:t>
            </w:r>
          </w:p>
        </w:tc>
        <w:tc>
          <w:tcPr>
            <w:tcW w:w="1455" w:type="dxa"/>
            <w:noWrap/>
            <w:hideMark/>
          </w:tcPr>
          <w:p w14:paraId="517EDA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$10,119,157</w:t>
            </w:r>
          </w:p>
        </w:tc>
        <w:tc>
          <w:tcPr>
            <w:tcW w:w="1440" w:type="dxa"/>
            <w:noWrap/>
            <w:hideMark/>
          </w:tcPr>
          <w:p w14:paraId="0A9FD1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68.6%</w:t>
            </w:r>
          </w:p>
        </w:tc>
        <w:tc>
          <w:tcPr>
            <w:tcW w:w="1440" w:type="dxa"/>
            <w:noWrap/>
            <w:hideMark/>
          </w:tcPr>
          <w:p w14:paraId="3043DD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68.6%</w:t>
            </w:r>
          </w:p>
        </w:tc>
        <w:tc>
          <w:tcPr>
            <w:tcW w:w="1440" w:type="dxa"/>
            <w:noWrap/>
            <w:hideMark/>
          </w:tcPr>
          <w:p w14:paraId="369E61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78.1%</w:t>
            </w:r>
          </w:p>
        </w:tc>
        <w:tc>
          <w:tcPr>
            <w:tcW w:w="1455" w:type="dxa"/>
            <w:noWrap/>
            <w:hideMark/>
          </w:tcPr>
          <w:p w14:paraId="750384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$13,389,620</w:t>
            </w:r>
          </w:p>
        </w:tc>
        <w:tc>
          <w:tcPr>
            <w:tcW w:w="1440" w:type="dxa"/>
            <w:noWrap/>
            <w:hideMark/>
          </w:tcPr>
          <w:p w14:paraId="22F436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0DC8A0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64BA7E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r>
      <w:tr w:rsidR="006253A9" w:rsidRPr="006253A9" w14:paraId="5FA91B8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7E5B84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0188</w:t>
            </w:r>
          </w:p>
        </w:tc>
        <w:tc>
          <w:tcPr>
            <w:tcW w:w="2880" w:type="dxa"/>
            <w:noWrap/>
            <w:hideMark/>
          </w:tcPr>
          <w:p w14:paraId="12DBF17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Millville</w:t>
            </w:r>
          </w:p>
        </w:tc>
        <w:tc>
          <w:tcPr>
            <w:tcW w:w="1455" w:type="dxa"/>
            <w:noWrap/>
            <w:hideMark/>
          </w:tcPr>
          <w:p w14:paraId="1ACBEC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$5,014,716</w:t>
            </w:r>
          </w:p>
        </w:tc>
        <w:tc>
          <w:tcPr>
            <w:tcW w:w="1440" w:type="dxa"/>
            <w:noWrap/>
            <w:hideMark/>
          </w:tcPr>
          <w:p w14:paraId="1C3DBF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38.1%</w:t>
            </w:r>
          </w:p>
        </w:tc>
        <w:tc>
          <w:tcPr>
            <w:tcW w:w="1440" w:type="dxa"/>
            <w:noWrap/>
            <w:hideMark/>
          </w:tcPr>
          <w:p w14:paraId="07EE1D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38.1%</w:t>
            </w:r>
          </w:p>
        </w:tc>
        <w:tc>
          <w:tcPr>
            <w:tcW w:w="1440" w:type="dxa"/>
            <w:noWrap/>
            <w:hideMark/>
          </w:tcPr>
          <w:p w14:paraId="54EF457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27.8%</w:t>
            </w:r>
          </w:p>
        </w:tc>
        <w:tc>
          <w:tcPr>
            <w:tcW w:w="1455" w:type="dxa"/>
            <w:noWrap/>
            <w:hideMark/>
          </w:tcPr>
          <w:p w14:paraId="7A48D1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$5,903,772</w:t>
            </w:r>
          </w:p>
        </w:tc>
        <w:tc>
          <w:tcPr>
            <w:tcW w:w="1440" w:type="dxa"/>
            <w:noWrap/>
            <w:hideMark/>
          </w:tcPr>
          <w:p w14:paraId="569546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43.5%</w:t>
            </w:r>
          </w:p>
        </w:tc>
        <w:tc>
          <w:tcPr>
            <w:tcW w:w="1440" w:type="dxa"/>
            <w:noWrap/>
            <w:hideMark/>
          </w:tcPr>
          <w:p w14:paraId="37B831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43.5%</w:t>
            </w:r>
          </w:p>
        </w:tc>
        <w:tc>
          <w:tcPr>
            <w:tcW w:w="1440" w:type="dxa"/>
            <w:noWrap/>
            <w:hideMark/>
          </w:tcPr>
          <w:p w14:paraId="305C4A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42.2%</w:t>
            </w:r>
          </w:p>
        </w:tc>
      </w:tr>
      <w:tr w:rsidR="006253A9" w:rsidRPr="006253A9" w14:paraId="35CE3D2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91AD4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0189</w:t>
            </w:r>
          </w:p>
        </w:tc>
        <w:tc>
          <w:tcPr>
            <w:tcW w:w="2880" w:type="dxa"/>
            <w:noWrap/>
            <w:hideMark/>
          </w:tcPr>
          <w:p w14:paraId="70B0A50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Milton</w:t>
            </w:r>
          </w:p>
        </w:tc>
        <w:tc>
          <w:tcPr>
            <w:tcW w:w="1455" w:type="dxa"/>
            <w:noWrap/>
            <w:hideMark/>
          </w:tcPr>
          <w:p w14:paraId="43B8C9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$27,803,117</w:t>
            </w:r>
          </w:p>
        </w:tc>
        <w:tc>
          <w:tcPr>
            <w:tcW w:w="1440" w:type="dxa"/>
            <w:noWrap/>
            <w:hideMark/>
          </w:tcPr>
          <w:p w14:paraId="2307BB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112.9%</w:t>
            </w:r>
          </w:p>
        </w:tc>
        <w:tc>
          <w:tcPr>
            <w:tcW w:w="1440" w:type="dxa"/>
            <w:noWrap/>
            <w:hideMark/>
          </w:tcPr>
          <w:p w14:paraId="7AA345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4C018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94.2%</w:t>
            </w:r>
          </w:p>
        </w:tc>
        <w:tc>
          <w:tcPr>
            <w:tcW w:w="1455" w:type="dxa"/>
            <w:noWrap/>
            <w:hideMark/>
          </w:tcPr>
          <w:p w14:paraId="3879E0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$45,226,903</w:t>
            </w:r>
          </w:p>
        </w:tc>
        <w:tc>
          <w:tcPr>
            <w:tcW w:w="1440" w:type="dxa"/>
            <w:noWrap/>
            <w:hideMark/>
          </w:tcPr>
          <w:p w14:paraId="36A12A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108.7%</w:t>
            </w:r>
          </w:p>
        </w:tc>
        <w:tc>
          <w:tcPr>
            <w:tcW w:w="1440" w:type="dxa"/>
            <w:noWrap/>
            <w:hideMark/>
          </w:tcPr>
          <w:p w14:paraId="5FDACF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86640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79.8%</w:t>
            </w:r>
          </w:p>
        </w:tc>
      </w:tr>
      <w:tr w:rsidR="006253A9" w:rsidRPr="006253A9" w14:paraId="5AAC017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0C8DE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0190</w:t>
            </w:r>
          </w:p>
        </w:tc>
        <w:tc>
          <w:tcPr>
            <w:tcW w:w="2880" w:type="dxa"/>
            <w:noWrap/>
            <w:hideMark/>
          </w:tcPr>
          <w:p w14:paraId="30ACD27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Monroe</w:t>
            </w:r>
          </w:p>
        </w:tc>
        <w:tc>
          <w:tcPr>
            <w:tcW w:w="1455" w:type="dxa"/>
            <w:noWrap/>
            <w:hideMark/>
          </w:tcPr>
          <w:p w14:paraId="711359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$92,256</w:t>
            </w:r>
          </w:p>
        </w:tc>
        <w:tc>
          <w:tcPr>
            <w:tcW w:w="1440" w:type="dxa"/>
            <w:noWrap/>
            <w:hideMark/>
          </w:tcPr>
          <w:p w14:paraId="0E6EB1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69.3%</w:t>
            </w:r>
          </w:p>
        </w:tc>
        <w:tc>
          <w:tcPr>
            <w:tcW w:w="1440" w:type="dxa"/>
            <w:noWrap/>
            <w:hideMark/>
          </w:tcPr>
          <w:p w14:paraId="47AF3A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69.3%</w:t>
            </w:r>
          </w:p>
        </w:tc>
        <w:tc>
          <w:tcPr>
            <w:tcW w:w="1440" w:type="dxa"/>
            <w:noWrap/>
            <w:hideMark/>
          </w:tcPr>
          <w:p w14:paraId="286C1F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112.1%</w:t>
            </w:r>
          </w:p>
        </w:tc>
        <w:tc>
          <w:tcPr>
            <w:tcW w:w="1455" w:type="dxa"/>
            <w:noWrap/>
            <w:hideMark/>
          </w:tcPr>
          <w:p w14:paraId="56EE16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$136,650</w:t>
            </w:r>
          </w:p>
        </w:tc>
        <w:tc>
          <w:tcPr>
            <w:tcW w:w="1440" w:type="dxa"/>
            <w:noWrap/>
            <w:hideMark/>
          </w:tcPr>
          <w:p w14:paraId="06DE00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40" w:type="dxa"/>
            <w:noWrap/>
            <w:hideMark/>
          </w:tcPr>
          <w:p w14:paraId="0DD55A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40" w:type="dxa"/>
            <w:noWrap/>
            <w:hideMark/>
          </w:tcPr>
          <w:p w14:paraId="4CEDD2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73.6%</w:t>
            </w:r>
          </w:p>
        </w:tc>
      </w:tr>
      <w:tr w:rsidR="006253A9" w:rsidRPr="006253A9" w14:paraId="3A612A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3C2121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0191</w:t>
            </w:r>
          </w:p>
        </w:tc>
        <w:tc>
          <w:tcPr>
            <w:tcW w:w="2880" w:type="dxa"/>
            <w:noWrap/>
            <w:hideMark/>
          </w:tcPr>
          <w:p w14:paraId="173CFBF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Monson</w:t>
            </w:r>
          </w:p>
        </w:tc>
        <w:tc>
          <w:tcPr>
            <w:tcW w:w="1455" w:type="dxa"/>
            <w:noWrap/>
            <w:hideMark/>
          </w:tcPr>
          <w:p w14:paraId="199ACC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$13,156,609</w:t>
            </w:r>
          </w:p>
        </w:tc>
        <w:tc>
          <w:tcPr>
            <w:tcW w:w="1440" w:type="dxa"/>
            <w:noWrap/>
            <w:hideMark/>
          </w:tcPr>
          <w:p w14:paraId="62AA1D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36.6%</w:t>
            </w:r>
          </w:p>
        </w:tc>
        <w:tc>
          <w:tcPr>
            <w:tcW w:w="1440" w:type="dxa"/>
            <w:noWrap/>
            <w:hideMark/>
          </w:tcPr>
          <w:p w14:paraId="332860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36.6%</w:t>
            </w:r>
          </w:p>
        </w:tc>
        <w:tc>
          <w:tcPr>
            <w:tcW w:w="1440" w:type="dxa"/>
            <w:noWrap/>
            <w:hideMark/>
          </w:tcPr>
          <w:p w14:paraId="2F154D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40.6%</w:t>
            </w:r>
          </w:p>
        </w:tc>
        <w:tc>
          <w:tcPr>
            <w:tcW w:w="1455" w:type="dxa"/>
            <w:noWrap/>
            <w:hideMark/>
          </w:tcPr>
          <w:p w14:paraId="5F4AB22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$11,773,915</w:t>
            </w:r>
          </w:p>
        </w:tc>
        <w:tc>
          <w:tcPr>
            <w:tcW w:w="1440" w:type="dxa"/>
            <w:noWrap/>
            <w:hideMark/>
          </w:tcPr>
          <w:p w14:paraId="4FA0E0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w:t>
            </w:r>
          </w:p>
        </w:tc>
        <w:tc>
          <w:tcPr>
            <w:tcW w:w="1440" w:type="dxa"/>
            <w:noWrap/>
            <w:hideMark/>
          </w:tcPr>
          <w:p w14:paraId="69E39E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w:t>
            </w:r>
          </w:p>
        </w:tc>
        <w:tc>
          <w:tcPr>
            <w:tcW w:w="1440" w:type="dxa"/>
            <w:noWrap/>
            <w:hideMark/>
          </w:tcPr>
          <w:p w14:paraId="5C4E13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w:t>
            </w:r>
          </w:p>
        </w:tc>
      </w:tr>
      <w:tr w:rsidR="006253A9" w:rsidRPr="006253A9" w14:paraId="511F26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CAFD67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0192</w:t>
            </w:r>
          </w:p>
        </w:tc>
        <w:tc>
          <w:tcPr>
            <w:tcW w:w="2880" w:type="dxa"/>
            <w:noWrap/>
            <w:hideMark/>
          </w:tcPr>
          <w:p w14:paraId="40C2767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Montague</w:t>
            </w:r>
          </w:p>
        </w:tc>
        <w:tc>
          <w:tcPr>
            <w:tcW w:w="1455" w:type="dxa"/>
            <w:noWrap/>
            <w:hideMark/>
          </w:tcPr>
          <w:p w14:paraId="7F4826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$9,576,128</w:t>
            </w:r>
          </w:p>
        </w:tc>
        <w:tc>
          <w:tcPr>
            <w:tcW w:w="1440" w:type="dxa"/>
            <w:noWrap/>
            <w:hideMark/>
          </w:tcPr>
          <w:p w14:paraId="0E0633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40" w:type="dxa"/>
            <w:noWrap/>
            <w:hideMark/>
          </w:tcPr>
          <w:p w14:paraId="1EFF61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40" w:type="dxa"/>
            <w:noWrap/>
            <w:hideMark/>
          </w:tcPr>
          <w:p w14:paraId="4657AC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49.7%</w:t>
            </w:r>
          </w:p>
        </w:tc>
        <w:tc>
          <w:tcPr>
            <w:tcW w:w="1455" w:type="dxa"/>
            <w:noWrap/>
            <w:hideMark/>
          </w:tcPr>
          <w:p w14:paraId="2C8BDD5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$12,662,573</w:t>
            </w:r>
          </w:p>
        </w:tc>
        <w:tc>
          <w:tcPr>
            <w:tcW w:w="1440" w:type="dxa"/>
            <w:noWrap/>
            <w:hideMark/>
          </w:tcPr>
          <w:p w14:paraId="0CB7B3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46.3%</w:t>
            </w:r>
          </w:p>
        </w:tc>
        <w:tc>
          <w:tcPr>
            <w:tcW w:w="1440" w:type="dxa"/>
            <w:noWrap/>
            <w:hideMark/>
          </w:tcPr>
          <w:p w14:paraId="7E5E5A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46.3%</w:t>
            </w:r>
          </w:p>
        </w:tc>
        <w:tc>
          <w:tcPr>
            <w:tcW w:w="1440" w:type="dxa"/>
            <w:noWrap/>
            <w:hideMark/>
          </w:tcPr>
          <w:p w14:paraId="04C9E9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46.3%</w:t>
            </w:r>
          </w:p>
        </w:tc>
      </w:tr>
      <w:tr w:rsidR="006253A9" w:rsidRPr="006253A9" w14:paraId="4FFCEA0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0EFF9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0193</w:t>
            </w:r>
          </w:p>
        </w:tc>
        <w:tc>
          <w:tcPr>
            <w:tcW w:w="2880" w:type="dxa"/>
            <w:noWrap/>
            <w:hideMark/>
          </w:tcPr>
          <w:p w14:paraId="61704D3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Monterey</w:t>
            </w:r>
          </w:p>
        </w:tc>
        <w:tc>
          <w:tcPr>
            <w:tcW w:w="1455" w:type="dxa"/>
            <w:noWrap/>
            <w:hideMark/>
          </w:tcPr>
          <w:p w14:paraId="2C4E75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$633,818</w:t>
            </w:r>
          </w:p>
        </w:tc>
        <w:tc>
          <w:tcPr>
            <w:tcW w:w="1440" w:type="dxa"/>
            <w:noWrap/>
            <w:hideMark/>
          </w:tcPr>
          <w:p w14:paraId="58F886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217.4%</w:t>
            </w:r>
          </w:p>
        </w:tc>
        <w:tc>
          <w:tcPr>
            <w:tcW w:w="1440" w:type="dxa"/>
            <w:noWrap/>
            <w:hideMark/>
          </w:tcPr>
          <w:p w14:paraId="514580A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2648A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107.4%</w:t>
            </w:r>
          </w:p>
        </w:tc>
        <w:tc>
          <w:tcPr>
            <w:tcW w:w="1455" w:type="dxa"/>
            <w:noWrap/>
            <w:hideMark/>
          </w:tcPr>
          <w:p w14:paraId="1633DD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$926,499</w:t>
            </w:r>
          </w:p>
        </w:tc>
        <w:tc>
          <w:tcPr>
            <w:tcW w:w="1440" w:type="dxa"/>
            <w:noWrap/>
            <w:hideMark/>
          </w:tcPr>
          <w:p w14:paraId="5EC470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242.9%</w:t>
            </w:r>
          </w:p>
        </w:tc>
        <w:tc>
          <w:tcPr>
            <w:tcW w:w="1440" w:type="dxa"/>
            <w:noWrap/>
            <w:hideMark/>
          </w:tcPr>
          <w:p w14:paraId="311ECC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58EBD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F9C26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A9DCB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0194</w:t>
            </w:r>
          </w:p>
        </w:tc>
        <w:tc>
          <w:tcPr>
            <w:tcW w:w="2880" w:type="dxa"/>
            <w:noWrap/>
            <w:hideMark/>
          </w:tcPr>
          <w:p w14:paraId="7386173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Montgomery</w:t>
            </w:r>
          </w:p>
        </w:tc>
        <w:tc>
          <w:tcPr>
            <w:tcW w:w="1455" w:type="dxa"/>
            <w:noWrap/>
            <w:hideMark/>
          </w:tcPr>
          <w:p w14:paraId="7A35DA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$831,366</w:t>
            </w:r>
          </w:p>
        </w:tc>
        <w:tc>
          <w:tcPr>
            <w:tcW w:w="1440" w:type="dxa"/>
            <w:noWrap/>
            <w:hideMark/>
          </w:tcPr>
          <w:p w14:paraId="7F0741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c>
          <w:tcPr>
            <w:tcW w:w="1440" w:type="dxa"/>
            <w:noWrap/>
            <w:hideMark/>
          </w:tcPr>
          <w:p w14:paraId="546142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c>
          <w:tcPr>
            <w:tcW w:w="1440" w:type="dxa"/>
            <w:noWrap/>
            <w:hideMark/>
          </w:tcPr>
          <w:p w14:paraId="3244CB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73.1%</w:t>
            </w:r>
          </w:p>
        </w:tc>
        <w:tc>
          <w:tcPr>
            <w:tcW w:w="1455" w:type="dxa"/>
            <w:noWrap/>
            <w:hideMark/>
          </w:tcPr>
          <w:p w14:paraId="1449CC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$826,678</w:t>
            </w:r>
          </w:p>
        </w:tc>
        <w:tc>
          <w:tcPr>
            <w:tcW w:w="1440" w:type="dxa"/>
            <w:noWrap/>
            <w:hideMark/>
          </w:tcPr>
          <w:p w14:paraId="6E263B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101.2%</w:t>
            </w:r>
          </w:p>
        </w:tc>
        <w:tc>
          <w:tcPr>
            <w:tcW w:w="1440" w:type="dxa"/>
            <w:noWrap/>
            <w:hideMark/>
          </w:tcPr>
          <w:p w14:paraId="4BC89E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A7CC4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84BA4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8A14E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0195</w:t>
            </w:r>
          </w:p>
        </w:tc>
        <w:tc>
          <w:tcPr>
            <w:tcW w:w="2880" w:type="dxa"/>
            <w:noWrap/>
            <w:hideMark/>
          </w:tcPr>
          <w:p w14:paraId="3050370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Mount Washington</w:t>
            </w:r>
          </w:p>
        </w:tc>
        <w:tc>
          <w:tcPr>
            <w:tcW w:w="1455" w:type="dxa"/>
            <w:noWrap/>
            <w:hideMark/>
          </w:tcPr>
          <w:p w14:paraId="105D18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$144,190</w:t>
            </w:r>
          </w:p>
        </w:tc>
        <w:tc>
          <w:tcPr>
            <w:tcW w:w="1440" w:type="dxa"/>
            <w:noWrap/>
            <w:hideMark/>
          </w:tcPr>
          <w:p w14:paraId="5E75A5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174.6%</w:t>
            </w:r>
          </w:p>
        </w:tc>
        <w:tc>
          <w:tcPr>
            <w:tcW w:w="1440" w:type="dxa"/>
            <w:noWrap/>
            <w:hideMark/>
          </w:tcPr>
          <w:p w14:paraId="62679F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C56BB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77.1%</w:t>
            </w:r>
          </w:p>
        </w:tc>
        <w:tc>
          <w:tcPr>
            <w:tcW w:w="1455" w:type="dxa"/>
            <w:noWrap/>
            <w:hideMark/>
          </w:tcPr>
          <w:p w14:paraId="666764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$7,756</w:t>
            </w:r>
          </w:p>
        </w:tc>
        <w:tc>
          <w:tcPr>
            <w:tcW w:w="1440" w:type="dxa"/>
            <w:noWrap/>
            <w:hideMark/>
          </w:tcPr>
          <w:p w14:paraId="277FAC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4741.4%</w:t>
            </w:r>
          </w:p>
        </w:tc>
        <w:tc>
          <w:tcPr>
            <w:tcW w:w="1440" w:type="dxa"/>
            <w:noWrap/>
            <w:hideMark/>
          </w:tcPr>
          <w:p w14:paraId="680F2B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904CD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2FB463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F0B58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0196</w:t>
            </w:r>
          </w:p>
        </w:tc>
        <w:tc>
          <w:tcPr>
            <w:tcW w:w="2880" w:type="dxa"/>
            <w:noWrap/>
            <w:hideMark/>
          </w:tcPr>
          <w:p w14:paraId="5570EF8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Nahant</w:t>
            </w:r>
          </w:p>
        </w:tc>
        <w:tc>
          <w:tcPr>
            <w:tcW w:w="1455" w:type="dxa"/>
            <w:noWrap/>
            <w:hideMark/>
          </w:tcPr>
          <w:p w14:paraId="68A124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$2,949,335</w:t>
            </w:r>
          </w:p>
        </w:tc>
        <w:tc>
          <w:tcPr>
            <w:tcW w:w="1440" w:type="dxa"/>
            <w:noWrap/>
            <w:hideMark/>
          </w:tcPr>
          <w:p w14:paraId="0903CB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154.0%</w:t>
            </w:r>
          </w:p>
        </w:tc>
        <w:tc>
          <w:tcPr>
            <w:tcW w:w="1440" w:type="dxa"/>
            <w:noWrap/>
            <w:hideMark/>
          </w:tcPr>
          <w:p w14:paraId="71B31E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FA0926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99.6%</w:t>
            </w:r>
          </w:p>
        </w:tc>
        <w:tc>
          <w:tcPr>
            <w:tcW w:w="1455" w:type="dxa"/>
            <w:noWrap/>
            <w:hideMark/>
          </w:tcPr>
          <w:p w14:paraId="4E1D51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$2,753,000</w:t>
            </w:r>
          </w:p>
        </w:tc>
        <w:tc>
          <w:tcPr>
            <w:tcW w:w="1440" w:type="dxa"/>
            <w:noWrap/>
            <w:hideMark/>
          </w:tcPr>
          <w:p w14:paraId="55C520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227.7%</w:t>
            </w:r>
          </w:p>
        </w:tc>
        <w:tc>
          <w:tcPr>
            <w:tcW w:w="1440" w:type="dxa"/>
            <w:noWrap/>
            <w:hideMark/>
          </w:tcPr>
          <w:p w14:paraId="066CC4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5B7B0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D1110B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CC08CE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0197</w:t>
            </w:r>
          </w:p>
        </w:tc>
        <w:tc>
          <w:tcPr>
            <w:tcW w:w="2880" w:type="dxa"/>
            <w:noWrap/>
            <w:hideMark/>
          </w:tcPr>
          <w:p w14:paraId="41EA889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Nantucket</w:t>
            </w:r>
          </w:p>
        </w:tc>
        <w:tc>
          <w:tcPr>
            <w:tcW w:w="1455" w:type="dxa"/>
            <w:noWrap/>
            <w:hideMark/>
          </w:tcPr>
          <w:p w14:paraId="5D868F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$9,230,081</w:t>
            </w:r>
          </w:p>
        </w:tc>
        <w:tc>
          <w:tcPr>
            <w:tcW w:w="1440" w:type="dxa"/>
            <w:noWrap/>
            <w:hideMark/>
          </w:tcPr>
          <w:p w14:paraId="0E4E27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562.1%</w:t>
            </w:r>
          </w:p>
        </w:tc>
        <w:tc>
          <w:tcPr>
            <w:tcW w:w="1440" w:type="dxa"/>
            <w:noWrap/>
            <w:hideMark/>
          </w:tcPr>
          <w:p w14:paraId="673F4D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286D9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138.9%</w:t>
            </w:r>
          </w:p>
        </w:tc>
        <w:tc>
          <w:tcPr>
            <w:tcW w:w="1455" w:type="dxa"/>
            <w:noWrap/>
            <w:hideMark/>
          </w:tcPr>
          <w:p w14:paraId="0A4838A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$19,008,237</w:t>
            </w:r>
          </w:p>
        </w:tc>
        <w:tc>
          <w:tcPr>
            <w:tcW w:w="1440" w:type="dxa"/>
            <w:noWrap/>
            <w:hideMark/>
          </w:tcPr>
          <w:p w14:paraId="0FB203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487.8%</w:t>
            </w:r>
          </w:p>
        </w:tc>
        <w:tc>
          <w:tcPr>
            <w:tcW w:w="1440" w:type="dxa"/>
            <w:noWrap/>
            <w:hideMark/>
          </w:tcPr>
          <w:p w14:paraId="3B2D38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0CE15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39087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BAEA4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0198</w:t>
            </w:r>
          </w:p>
        </w:tc>
        <w:tc>
          <w:tcPr>
            <w:tcW w:w="2880" w:type="dxa"/>
            <w:noWrap/>
            <w:hideMark/>
          </w:tcPr>
          <w:p w14:paraId="37B9E58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Natick</w:t>
            </w:r>
          </w:p>
        </w:tc>
        <w:tc>
          <w:tcPr>
            <w:tcW w:w="1455" w:type="dxa"/>
            <w:noWrap/>
            <w:hideMark/>
          </w:tcPr>
          <w:p w14:paraId="71A665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$37,366,742</w:t>
            </w:r>
          </w:p>
        </w:tc>
        <w:tc>
          <w:tcPr>
            <w:tcW w:w="1440" w:type="dxa"/>
            <w:noWrap/>
            <w:hideMark/>
          </w:tcPr>
          <w:p w14:paraId="179283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101.5%</w:t>
            </w:r>
          </w:p>
        </w:tc>
        <w:tc>
          <w:tcPr>
            <w:tcW w:w="1440" w:type="dxa"/>
            <w:noWrap/>
            <w:hideMark/>
          </w:tcPr>
          <w:p w14:paraId="6ADDD8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BCE29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94.9%</w:t>
            </w:r>
          </w:p>
        </w:tc>
        <w:tc>
          <w:tcPr>
            <w:tcW w:w="1455" w:type="dxa"/>
            <w:noWrap/>
            <w:hideMark/>
          </w:tcPr>
          <w:p w14:paraId="0F2B7B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$59,078,334</w:t>
            </w:r>
          </w:p>
        </w:tc>
        <w:tc>
          <w:tcPr>
            <w:tcW w:w="1440" w:type="dxa"/>
            <w:noWrap/>
            <w:hideMark/>
          </w:tcPr>
          <w:p w14:paraId="1230E1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101.3%</w:t>
            </w:r>
          </w:p>
        </w:tc>
        <w:tc>
          <w:tcPr>
            <w:tcW w:w="1440" w:type="dxa"/>
            <w:noWrap/>
            <w:hideMark/>
          </w:tcPr>
          <w:p w14:paraId="783800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77DE3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67B0E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AAEC27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0199</w:t>
            </w:r>
          </w:p>
        </w:tc>
        <w:tc>
          <w:tcPr>
            <w:tcW w:w="2880" w:type="dxa"/>
            <w:noWrap/>
            <w:hideMark/>
          </w:tcPr>
          <w:p w14:paraId="4D67067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Needham</w:t>
            </w:r>
          </w:p>
        </w:tc>
        <w:tc>
          <w:tcPr>
            <w:tcW w:w="1455" w:type="dxa"/>
            <w:noWrap/>
            <w:hideMark/>
          </w:tcPr>
          <w:p w14:paraId="046F64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$37,533,483</w:t>
            </w:r>
          </w:p>
        </w:tc>
        <w:tc>
          <w:tcPr>
            <w:tcW w:w="1440" w:type="dxa"/>
            <w:noWrap/>
            <w:hideMark/>
          </w:tcPr>
          <w:p w14:paraId="4080FC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119.7%</w:t>
            </w:r>
          </w:p>
        </w:tc>
        <w:tc>
          <w:tcPr>
            <w:tcW w:w="1440" w:type="dxa"/>
            <w:noWrap/>
            <w:hideMark/>
          </w:tcPr>
          <w:p w14:paraId="2F645B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80E67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91.6%</w:t>
            </w:r>
          </w:p>
        </w:tc>
        <w:tc>
          <w:tcPr>
            <w:tcW w:w="1455" w:type="dxa"/>
            <w:noWrap/>
            <w:hideMark/>
          </w:tcPr>
          <w:p w14:paraId="1BB573E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$60,153,107</w:t>
            </w:r>
          </w:p>
        </w:tc>
        <w:tc>
          <w:tcPr>
            <w:tcW w:w="1440" w:type="dxa"/>
            <w:noWrap/>
            <w:hideMark/>
          </w:tcPr>
          <w:p w14:paraId="1B2BE3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139.7%</w:t>
            </w:r>
          </w:p>
        </w:tc>
        <w:tc>
          <w:tcPr>
            <w:tcW w:w="1440" w:type="dxa"/>
            <w:noWrap/>
            <w:hideMark/>
          </w:tcPr>
          <w:p w14:paraId="7DC907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42E12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6B7A267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9F7784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0200</w:t>
            </w:r>
          </w:p>
        </w:tc>
        <w:tc>
          <w:tcPr>
            <w:tcW w:w="2880" w:type="dxa"/>
            <w:noWrap/>
            <w:hideMark/>
          </w:tcPr>
          <w:p w14:paraId="75CD224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Ashford</w:t>
            </w:r>
          </w:p>
        </w:tc>
        <w:tc>
          <w:tcPr>
            <w:tcW w:w="1455" w:type="dxa"/>
            <w:noWrap/>
            <w:hideMark/>
          </w:tcPr>
          <w:p w14:paraId="59A85D9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$313,210</w:t>
            </w:r>
          </w:p>
        </w:tc>
        <w:tc>
          <w:tcPr>
            <w:tcW w:w="1440" w:type="dxa"/>
            <w:noWrap/>
            <w:hideMark/>
          </w:tcPr>
          <w:p w14:paraId="2B1AA6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43.8%</w:t>
            </w:r>
          </w:p>
        </w:tc>
        <w:tc>
          <w:tcPr>
            <w:tcW w:w="1440" w:type="dxa"/>
            <w:noWrap/>
            <w:hideMark/>
          </w:tcPr>
          <w:p w14:paraId="386C64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43.8%</w:t>
            </w:r>
          </w:p>
        </w:tc>
        <w:tc>
          <w:tcPr>
            <w:tcW w:w="1440" w:type="dxa"/>
            <w:noWrap/>
            <w:hideMark/>
          </w:tcPr>
          <w:p w14:paraId="31687B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52.2%</w:t>
            </w:r>
          </w:p>
        </w:tc>
        <w:tc>
          <w:tcPr>
            <w:tcW w:w="1455" w:type="dxa"/>
            <w:noWrap/>
            <w:hideMark/>
          </w:tcPr>
          <w:p w14:paraId="104CB4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$289,597</w:t>
            </w:r>
          </w:p>
        </w:tc>
        <w:tc>
          <w:tcPr>
            <w:tcW w:w="1440" w:type="dxa"/>
            <w:noWrap/>
            <w:hideMark/>
          </w:tcPr>
          <w:p w14:paraId="69AC7E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c>
          <w:tcPr>
            <w:tcW w:w="1440" w:type="dxa"/>
            <w:noWrap/>
            <w:hideMark/>
          </w:tcPr>
          <w:p w14:paraId="196F81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c>
          <w:tcPr>
            <w:tcW w:w="1440" w:type="dxa"/>
            <w:noWrap/>
            <w:hideMark/>
          </w:tcPr>
          <w:p w14:paraId="65BF00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76.3%</w:t>
            </w:r>
          </w:p>
        </w:tc>
      </w:tr>
      <w:tr w:rsidR="006253A9" w:rsidRPr="006253A9" w14:paraId="2CF701F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2377E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0201</w:t>
            </w:r>
          </w:p>
        </w:tc>
        <w:tc>
          <w:tcPr>
            <w:tcW w:w="2880" w:type="dxa"/>
            <w:noWrap/>
            <w:hideMark/>
          </w:tcPr>
          <w:p w14:paraId="13BCBC4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Bedford</w:t>
            </w:r>
          </w:p>
        </w:tc>
        <w:tc>
          <w:tcPr>
            <w:tcW w:w="1455" w:type="dxa"/>
            <w:noWrap/>
            <w:hideMark/>
          </w:tcPr>
          <w:p w14:paraId="4A90C3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$141,535,147</w:t>
            </w:r>
          </w:p>
        </w:tc>
        <w:tc>
          <w:tcPr>
            <w:tcW w:w="1440" w:type="dxa"/>
            <w:noWrap/>
            <w:hideMark/>
          </w:tcPr>
          <w:p w14:paraId="2EB50D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25.4%</w:t>
            </w:r>
          </w:p>
        </w:tc>
        <w:tc>
          <w:tcPr>
            <w:tcW w:w="1440" w:type="dxa"/>
            <w:noWrap/>
            <w:hideMark/>
          </w:tcPr>
          <w:p w14:paraId="72DB97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25.4%</w:t>
            </w:r>
          </w:p>
        </w:tc>
        <w:tc>
          <w:tcPr>
            <w:tcW w:w="1440" w:type="dxa"/>
            <w:noWrap/>
            <w:hideMark/>
          </w:tcPr>
          <w:p w14:paraId="6D62D0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14.0%</w:t>
            </w:r>
          </w:p>
        </w:tc>
        <w:tc>
          <w:tcPr>
            <w:tcW w:w="1455" w:type="dxa"/>
            <w:noWrap/>
            <w:hideMark/>
          </w:tcPr>
          <w:p w14:paraId="02F127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$219,898,593</w:t>
            </w:r>
          </w:p>
        </w:tc>
        <w:tc>
          <w:tcPr>
            <w:tcW w:w="1440" w:type="dxa"/>
            <w:noWrap/>
            <w:hideMark/>
          </w:tcPr>
          <w:p w14:paraId="787620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20.8%</w:t>
            </w:r>
          </w:p>
        </w:tc>
        <w:tc>
          <w:tcPr>
            <w:tcW w:w="1440" w:type="dxa"/>
            <w:noWrap/>
            <w:hideMark/>
          </w:tcPr>
          <w:p w14:paraId="66CAE6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20.8%</w:t>
            </w:r>
          </w:p>
        </w:tc>
        <w:tc>
          <w:tcPr>
            <w:tcW w:w="1440" w:type="dxa"/>
            <w:noWrap/>
            <w:hideMark/>
          </w:tcPr>
          <w:p w14:paraId="10FBF5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15.8%</w:t>
            </w:r>
          </w:p>
        </w:tc>
      </w:tr>
      <w:tr w:rsidR="006253A9" w:rsidRPr="006253A9" w14:paraId="20E2D0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B1470C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0202</w:t>
            </w:r>
          </w:p>
        </w:tc>
        <w:tc>
          <w:tcPr>
            <w:tcW w:w="2880" w:type="dxa"/>
            <w:noWrap/>
            <w:hideMark/>
          </w:tcPr>
          <w:p w14:paraId="7A372D4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Braintree</w:t>
            </w:r>
          </w:p>
        </w:tc>
        <w:tc>
          <w:tcPr>
            <w:tcW w:w="1455" w:type="dxa"/>
            <w:noWrap/>
            <w:hideMark/>
          </w:tcPr>
          <w:p w14:paraId="31D1C6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$1,527,710</w:t>
            </w:r>
          </w:p>
        </w:tc>
        <w:tc>
          <w:tcPr>
            <w:tcW w:w="1440" w:type="dxa"/>
            <w:noWrap/>
            <w:hideMark/>
          </w:tcPr>
          <w:p w14:paraId="57C677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46.7%</w:t>
            </w:r>
          </w:p>
        </w:tc>
        <w:tc>
          <w:tcPr>
            <w:tcW w:w="1440" w:type="dxa"/>
            <w:noWrap/>
            <w:hideMark/>
          </w:tcPr>
          <w:p w14:paraId="73F5A9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46.7%</w:t>
            </w:r>
          </w:p>
        </w:tc>
        <w:tc>
          <w:tcPr>
            <w:tcW w:w="1440" w:type="dxa"/>
            <w:noWrap/>
            <w:hideMark/>
          </w:tcPr>
          <w:p w14:paraId="3270D0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40.4%</w:t>
            </w:r>
          </w:p>
        </w:tc>
        <w:tc>
          <w:tcPr>
            <w:tcW w:w="1455" w:type="dxa"/>
            <w:noWrap/>
            <w:hideMark/>
          </w:tcPr>
          <w:p w14:paraId="2D0430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$1,699,371</w:t>
            </w:r>
          </w:p>
        </w:tc>
        <w:tc>
          <w:tcPr>
            <w:tcW w:w="1440" w:type="dxa"/>
            <w:noWrap/>
            <w:hideMark/>
          </w:tcPr>
          <w:p w14:paraId="14BB3E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56.2%</w:t>
            </w:r>
          </w:p>
        </w:tc>
        <w:tc>
          <w:tcPr>
            <w:tcW w:w="1440" w:type="dxa"/>
            <w:noWrap/>
            <w:hideMark/>
          </w:tcPr>
          <w:p w14:paraId="6E50BA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56.2%</w:t>
            </w:r>
          </w:p>
        </w:tc>
        <w:tc>
          <w:tcPr>
            <w:tcW w:w="1440" w:type="dxa"/>
            <w:noWrap/>
            <w:hideMark/>
          </w:tcPr>
          <w:p w14:paraId="29FE6E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55.7%</w:t>
            </w:r>
          </w:p>
        </w:tc>
      </w:tr>
      <w:tr w:rsidR="006253A9" w:rsidRPr="006253A9" w14:paraId="1379488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6336A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0203</w:t>
            </w:r>
          </w:p>
        </w:tc>
        <w:tc>
          <w:tcPr>
            <w:tcW w:w="2880" w:type="dxa"/>
            <w:noWrap/>
            <w:hideMark/>
          </w:tcPr>
          <w:p w14:paraId="51344F9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Newbury</w:t>
            </w:r>
          </w:p>
        </w:tc>
        <w:tc>
          <w:tcPr>
            <w:tcW w:w="1455" w:type="dxa"/>
            <w:noWrap/>
            <w:hideMark/>
          </w:tcPr>
          <w:p w14:paraId="5EDEA3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$8,478,118</w:t>
            </w:r>
          </w:p>
        </w:tc>
        <w:tc>
          <w:tcPr>
            <w:tcW w:w="1440" w:type="dxa"/>
            <w:noWrap/>
            <w:hideMark/>
          </w:tcPr>
          <w:p w14:paraId="1E40EB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90.2%</w:t>
            </w:r>
          </w:p>
        </w:tc>
        <w:tc>
          <w:tcPr>
            <w:tcW w:w="1440" w:type="dxa"/>
            <w:noWrap/>
            <w:hideMark/>
          </w:tcPr>
          <w:p w14:paraId="3B9325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7073F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74.7%</w:t>
            </w:r>
          </w:p>
        </w:tc>
        <w:tc>
          <w:tcPr>
            <w:tcW w:w="1455" w:type="dxa"/>
            <w:noWrap/>
            <w:hideMark/>
          </w:tcPr>
          <w:p w14:paraId="0C28EF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$7,872,977</w:t>
            </w:r>
          </w:p>
        </w:tc>
        <w:tc>
          <w:tcPr>
            <w:tcW w:w="1440" w:type="dxa"/>
            <w:noWrap/>
            <w:hideMark/>
          </w:tcPr>
          <w:p w14:paraId="198922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151.1%</w:t>
            </w:r>
          </w:p>
        </w:tc>
        <w:tc>
          <w:tcPr>
            <w:tcW w:w="1440" w:type="dxa"/>
            <w:noWrap/>
            <w:hideMark/>
          </w:tcPr>
          <w:p w14:paraId="3CF3D2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0D416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F8E18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E0EE5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0204</w:t>
            </w:r>
          </w:p>
        </w:tc>
        <w:tc>
          <w:tcPr>
            <w:tcW w:w="2880" w:type="dxa"/>
            <w:noWrap/>
            <w:hideMark/>
          </w:tcPr>
          <w:p w14:paraId="0623498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Newburyport</w:t>
            </w:r>
          </w:p>
        </w:tc>
        <w:tc>
          <w:tcPr>
            <w:tcW w:w="1455" w:type="dxa"/>
            <w:noWrap/>
            <w:hideMark/>
          </w:tcPr>
          <w:p w14:paraId="12C8B1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$17,685,501</w:t>
            </w:r>
          </w:p>
        </w:tc>
        <w:tc>
          <w:tcPr>
            <w:tcW w:w="1440" w:type="dxa"/>
            <w:noWrap/>
            <w:hideMark/>
          </w:tcPr>
          <w:p w14:paraId="384ADC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107.0%</w:t>
            </w:r>
          </w:p>
        </w:tc>
        <w:tc>
          <w:tcPr>
            <w:tcW w:w="1440" w:type="dxa"/>
            <w:noWrap/>
            <w:hideMark/>
          </w:tcPr>
          <w:p w14:paraId="2AED1A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5312C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105.7%</w:t>
            </w:r>
          </w:p>
        </w:tc>
        <w:tc>
          <w:tcPr>
            <w:tcW w:w="1455" w:type="dxa"/>
            <w:noWrap/>
            <w:hideMark/>
          </w:tcPr>
          <w:p w14:paraId="2A8C08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$24,516,146</w:t>
            </w:r>
          </w:p>
        </w:tc>
        <w:tc>
          <w:tcPr>
            <w:tcW w:w="1440" w:type="dxa"/>
            <w:noWrap/>
            <w:hideMark/>
          </w:tcPr>
          <w:p w14:paraId="591E73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124.4%</w:t>
            </w:r>
          </w:p>
        </w:tc>
        <w:tc>
          <w:tcPr>
            <w:tcW w:w="1440" w:type="dxa"/>
            <w:noWrap/>
            <w:hideMark/>
          </w:tcPr>
          <w:p w14:paraId="004F5F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01BA4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0AAF63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3E83A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0205</w:t>
            </w:r>
          </w:p>
        </w:tc>
        <w:tc>
          <w:tcPr>
            <w:tcW w:w="2880" w:type="dxa"/>
            <w:noWrap/>
            <w:hideMark/>
          </w:tcPr>
          <w:p w14:paraId="7E4E88E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Marlborough</w:t>
            </w:r>
          </w:p>
        </w:tc>
        <w:tc>
          <w:tcPr>
            <w:tcW w:w="1455" w:type="dxa"/>
            <w:noWrap/>
            <w:hideMark/>
          </w:tcPr>
          <w:p w14:paraId="25E78F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$1,395,910</w:t>
            </w:r>
          </w:p>
        </w:tc>
        <w:tc>
          <w:tcPr>
            <w:tcW w:w="1440" w:type="dxa"/>
            <w:noWrap/>
            <w:hideMark/>
          </w:tcPr>
          <w:p w14:paraId="3F8BB7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117.9%</w:t>
            </w:r>
          </w:p>
        </w:tc>
        <w:tc>
          <w:tcPr>
            <w:tcW w:w="1440" w:type="dxa"/>
            <w:noWrap/>
            <w:hideMark/>
          </w:tcPr>
          <w:p w14:paraId="6DFA34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2CC71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100.3%</w:t>
            </w:r>
          </w:p>
        </w:tc>
        <w:tc>
          <w:tcPr>
            <w:tcW w:w="1455" w:type="dxa"/>
            <w:noWrap/>
            <w:hideMark/>
          </w:tcPr>
          <w:p w14:paraId="681F0E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$1,521,288</w:t>
            </w:r>
          </w:p>
        </w:tc>
        <w:tc>
          <w:tcPr>
            <w:tcW w:w="1440" w:type="dxa"/>
            <w:noWrap/>
            <w:hideMark/>
          </w:tcPr>
          <w:p w14:paraId="0A71FE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153.5%</w:t>
            </w:r>
          </w:p>
        </w:tc>
        <w:tc>
          <w:tcPr>
            <w:tcW w:w="1440" w:type="dxa"/>
            <w:noWrap/>
            <w:hideMark/>
          </w:tcPr>
          <w:p w14:paraId="52489A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65331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w:t>
            </w:r>
          </w:p>
        </w:tc>
      </w:tr>
      <w:tr w:rsidR="006253A9" w:rsidRPr="006253A9" w14:paraId="1A27CAC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9B48D4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0206</w:t>
            </w:r>
          </w:p>
        </w:tc>
        <w:tc>
          <w:tcPr>
            <w:tcW w:w="2880" w:type="dxa"/>
            <w:noWrap/>
            <w:hideMark/>
          </w:tcPr>
          <w:p w14:paraId="5E9C827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Salem</w:t>
            </w:r>
          </w:p>
        </w:tc>
        <w:tc>
          <w:tcPr>
            <w:tcW w:w="1455" w:type="dxa"/>
            <w:noWrap/>
            <w:hideMark/>
          </w:tcPr>
          <w:p w14:paraId="35469C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$1,290,429</w:t>
            </w:r>
          </w:p>
        </w:tc>
        <w:tc>
          <w:tcPr>
            <w:tcW w:w="1440" w:type="dxa"/>
            <w:noWrap/>
            <w:hideMark/>
          </w:tcPr>
          <w:p w14:paraId="70DB74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42.8%</w:t>
            </w:r>
          </w:p>
        </w:tc>
        <w:tc>
          <w:tcPr>
            <w:tcW w:w="1440" w:type="dxa"/>
            <w:noWrap/>
            <w:hideMark/>
          </w:tcPr>
          <w:p w14:paraId="2E0C98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42.8%</w:t>
            </w:r>
          </w:p>
        </w:tc>
        <w:tc>
          <w:tcPr>
            <w:tcW w:w="1440" w:type="dxa"/>
            <w:noWrap/>
            <w:hideMark/>
          </w:tcPr>
          <w:p w14:paraId="3452FD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50.7%</w:t>
            </w:r>
          </w:p>
        </w:tc>
        <w:tc>
          <w:tcPr>
            <w:tcW w:w="1455" w:type="dxa"/>
            <w:noWrap/>
            <w:hideMark/>
          </w:tcPr>
          <w:p w14:paraId="6EC9B1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$1,301,499</w:t>
            </w:r>
          </w:p>
        </w:tc>
        <w:tc>
          <w:tcPr>
            <w:tcW w:w="1440" w:type="dxa"/>
            <w:noWrap/>
            <w:hideMark/>
          </w:tcPr>
          <w:p w14:paraId="4AA879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c>
          <w:tcPr>
            <w:tcW w:w="1440" w:type="dxa"/>
            <w:noWrap/>
            <w:hideMark/>
          </w:tcPr>
          <w:p w14:paraId="3C3C2C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c>
          <w:tcPr>
            <w:tcW w:w="1440" w:type="dxa"/>
            <w:noWrap/>
            <w:hideMark/>
          </w:tcPr>
          <w:p w14:paraId="6B759D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r>
      <w:tr w:rsidR="006253A9" w:rsidRPr="006253A9" w14:paraId="4DED422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9A422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0207</w:t>
            </w:r>
          </w:p>
        </w:tc>
        <w:tc>
          <w:tcPr>
            <w:tcW w:w="2880" w:type="dxa"/>
            <w:noWrap/>
            <w:hideMark/>
          </w:tcPr>
          <w:p w14:paraId="4FE9A00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Newton</w:t>
            </w:r>
          </w:p>
        </w:tc>
        <w:tc>
          <w:tcPr>
            <w:tcW w:w="1455" w:type="dxa"/>
            <w:noWrap/>
            <w:hideMark/>
          </w:tcPr>
          <w:p w14:paraId="50ADD5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$91,783,005</w:t>
            </w:r>
          </w:p>
        </w:tc>
        <w:tc>
          <w:tcPr>
            <w:tcW w:w="1440" w:type="dxa"/>
            <w:noWrap/>
            <w:hideMark/>
          </w:tcPr>
          <w:p w14:paraId="37D84A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164.6%</w:t>
            </w:r>
          </w:p>
        </w:tc>
        <w:tc>
          <w:tcPr>
            <w:tcW w:w="1440" w:type="dxa"/>
            <w:noWrap/>
            <w:hideMark/>
          </w:tcPr>
          <w:p w14:paraId="7FA88C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0119B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104.0%</w:t>
            </w:r>
          </w:p>
        </w:tc>
        <w:tc>
          <w:tcPr>
            <w:tcW w:w="1455" w:type="dxa"/>
            <w:noWrap/>
            <w:hideMark/>
          </w:tcPr>
          <w:p w14:paraId="3E79E5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$141,578,979</w:t>
            </w:r>
          </w:p>
        </w:tc>
        <w:tc>
          <w:tcPr>
            <w:tcW w:w="1440" w:type="dxa"/>
            <w:noWrap/>
            <w:hideMark/>
          </w:tcPr>
          <w:p w14:paraId="65582B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190.9%</w:t>
            </w:r>
          </w:p>
        </w:tc>
        <w:tc>
          <w:tcPr>
            <w:tcW w:w="1440" w:type="dxa"/>
            <w:noWrap/>
            <w:hideMark/>
          </w:tcPr>
          <w:p w14:paraId="0289FF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3256D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43B358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103E9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0208</w:t>
            </w:r>
          </w:p>
        </w:tc>
        <w:tc>
          <w:tcPr>
            <w:tcW w:w="2880" w:type="dxa"/>
            <w:noWrap/>
            <w:hideMark/>
          </w:tcPr>
          <w:p w14:paraId="643CEF6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Norfolk</w:t>
            </w:r>
          </w:p>
        </w:tc>
        <w:tc>
          <w:tcPr>
            <w:tcW w:w="1455" w:type="dxa"/>
            <w:noWrap/>
            <w:hideMark/>
          </w:tcPr>
          <w:p w14:paraId="10BA35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$13,724,349</w:t>
            </w:r>
          </w:p>
        </w:tc>
        <w:tc>
          <w:tcPr>
            <w:tcW w:w="1440" w:type="dxa"/>
            <w:noWrap/>
            <w:hideMark/>
          </w:tcPr>
          <w:p w14:paraId="52B5FB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73.0%</w:t>
            </w:r>
          </w:p>
        </w:tc>
        <w:tc>
          <w:tcPr>
            <w:tcW w:w="1440" w:type="dxa"/>
            <w:noWrap/>
            <w:hideMark/>
          </w:tcPr>
          <w:p w14:paraId="2A79BB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73.0%</w:t>
            </w:r>
          </w:p>
        </w:tc>
        <w:tc>
          <w:tcPr>
            <w:tcW w:w="1440" w:type="dxa"/>
            <w:noWrap/>
            <w:hideMark/>
          </w:tcPr>
          <w:p w14:paraId="1B1E53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61.9%</w:t>
            </w:r>
          </w:p>
        </w:tc>
        <w:tc>
          <w:tcPr>
            <w:tcW w:w="1455" w:type="dxa"/>
            <w:noWrap/>
            <w:hideMark/>
          </w:tcPr>
          <w:p w14:paraId="756E2A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$17,583,320</w:t>
            </w:r>
          </w:p>
        </w:tc>
        <w:tc>
          <w:tcPr>
            <w:tcW w:w="1440" w:type="dxa"/>
            <w:noWrap/>
            <w:hideMark/>
          </w:tcPr>
          <w:p w14:paraId="1E4E46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87.9%</w:t>
            </w:r>
          </w:p>
        </w:tc>
        <w:tc>
          <w:tcPr>
            <w:tcW w:w="1440" w:type="dxa"/>
            <w:noWrap/>
            <w:hideMark/>
          </w:tcPr>
          <w:p w14:paraId="3BECAF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2196B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736FBF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822CD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0209</w:t>
            </w:r>
          </w:p>
        </w:tc>
        <w:tc>
          <w:tcPr>
            <w:tcW w:w="2880" w:type="dxa"/>
            <w:noWrap/>
            <w:hideMark/>
          </w:tcPr>
          <w:p w14:paraId="32FF94B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Adams</w:t>
            </w:r>
          </w:p>
        </w:tc>
        <w:tc>
          <w:tcPr>
            <w:tcW w:w="1455" w:type="dxa"/>
            <w:noWrap/>
            <w:hideMark/>
          </w:tcPr>
          <w:p w14:paraId="11FA05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$17,973,335</w:t>
            </w:r>
          </w:p>
        </w:tc>
        <w:tc>
          <w:tcPr>
            <w:tcW w:w="1440" w:type="dxa"/>
            <w:noWrap/>
            <w:hideMark/>
          </w:tcPr>
          <w:p w14:paraId="3FC24B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w:t>
            </w:r>
          </w:p>
        </w:tc>
        <w:tc>
          <w:tcPr>
            <w:tcW w:w="1440" w:type="dxa"/>
            <w:noWrap/>
            <w:hideMark/>
          </w:tcPr>
          <w:p w14:paraId="1BCB2E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w:t>
            </w:r>
          </w:p>
        </w:tc>
        <w:tc>
          <w:tcPr>
            <w:tcW w:w="1440" w:type="dxa"/>
            <w:noWrap/>
            <w:hideMark/>
          </w:tcPr>
          <w:p w14:paraId="5CB4881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19.7%</w:t>
            </w:r>
          </w:p>
        </w:tc>
        <w:tc>
          <w:tcPr>
            <w:tcW w:w="1455" w:type="dxa"/>
            <w:noWrap/>
            <w:hideMark/>
          </w:tcPr>
          <w:p w14:paraId="14D5C2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$20,304,477</w:t>
            </w:r>
          </w:p>
        </w:tc>
        <w:tc>
          <w:tcPr>
            <w:tcW w:w="1440" w:type="dxa"/>
            <w:noWrap/>
            <w:hideMark/>
          </w:tcPr>
          <w:p w14:paraId="679C5AB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28.3%</w:t>
            </w:r>
          </w:p>
        </w:tc>
        <w:tc>
          <w:tcPr>
            <w:tcW w:w="1440" w:type="dxa"/>
            <w:noWrap/>
            <w:hideMark/>
          </w:tcPr>
          <w:p w14:paraId="745230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28.3%</w:t>
            </w:r>
          </w:p>
        </w:tc>
        <w:tc>
          <w:tcPr>
            <w:tcW w:w="1440" w:type="dxa"/>
            <w:noWrap/>
            <w:hideMark/>
          </w:tcPr>
          <w:p w14:paraId="102B97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28.3%</w:t>
            </w:r>
          </w:p>
        </w:tc>
      </w:tr>
      <w:tr w:rsidR="006253A9" w:rsidRPr="006253A9" w14:paraId="074F7B7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08F2E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0210</w:t>
            </w:r>
          </w:p>
        </w:tc>
        <w:tc>
          <w:tcPr>
            <w:tcW w:w="2880" w:type="dxa"/>
            <w:noWrap/>
            <w:hideMark/>
          </w:tcPr>
          <w:p w14:paraId="6F5AB30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Northampton</w:t>
            </w:r>
          </w:p>
        </w:tc>
        <w:tc>
          <w:tcPr>
            <w:tcW w:w="1455" w:type="dxa"/>
            <w:noWrap/>
            <w:hideMark/>
          </w:tcPr>
          <w:p w14:paraId="0592CE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$25,540,636</w:t>
            </w:r>
          </w:p>
        </w:tc>
        <w:tc>
          <w:tcPr>
            <w:tcW w:w="1440" w:type="dxa"/>
            <w:noWrap/>
            <w:hideMark/>
          </w:tcPr>
          <w:p w14:paraId="6C11EF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70.1%</w:t>
            </w:r>
          </w:p>
        </w:tc>
        <w:tc>
          <w:tcPr>
            <w:tcW w:w="1440" w:type="dxa"/>
            <w:noWrap/>
            <w:hideMark/>
          </w:tcPr>
          <w:p w14:paraId="0716DB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70.1%</w:t>
            </w:r>
          </w:p>
        </w:tc>
        <w:tc>
          <w:tcPr>
            <w:tcW w:w="1440" w:type="dxa"/>
            <w:noWrap/>
            <w:hideMark/>
          </w:tcPr>
          <w:p w14:paraId="12E71F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55" w:type="dxa"/>
            <w:noWrap/>
            <w:hideMark/>
          </w:tcPr>
          <w:p w14:paraId="47B0D3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$32,566,094</w:t>
            </w:r>
          </w:p>
        </w:tc>
        <w:tc>
          <w:tcPr>
            <w:tcW w:w="1440" w:type="dxa"/>
            <w:noWrap/>
            <w:hideMark/>
          </w:tcPr>
          <w:p w14:paraId="65BF4E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83.7%</w:t>
            </w:r>
          </w:p>
        </w:tc>
        <w:tc>
          <w:tcPr>
            <w:tcW w:w="1440" w:type="dxa"/>
            <w:noWrap/>
            <w:hideMark/>
          </w:tcPr>
          <w:p w14:paraId="7733FDD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09ECD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81.7%</w:t>
            </w:r>
          </w:p>
        </w:tc>
      </w:tr>
      <w:tr w:rsidR="006253A9" w:rsidRPr="006253A9" w14:paraId="1CC9870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F40EAD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0211</w:t>
            </w:r>
          </w:p>
        </w:tc>
        <w:tc>
          <w:tcPr>
            <w:tcW w:w="2880" w:type="dxa"/>
            <w:noWrap/>
            <w:hideMark/>
          </w:tcPr>
          <w:p w14:paraId="487ED73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Andover</w:t>
            </w:r>
          </w:p>
        </w:tc>
        <w:tc>
          <w:tcPr>
            <w:tcW w:w="1455" w:type="dxa"/>
            <w:noWrap/>
            <w:hideMark/>
          </w:tcPr>
          <w:p w14:paraId="4512EB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$33,851,282</w:t>
            </w:r>
          </w:p>
        </w:tc>
        <w:tc>
          <w:tcPr>
            <w:tcW w:w="1440" w:type="dxa"/>
            <w:noWrap/>
            <w:hideMark/>
          </w:tcPr>
          <w:p w14:paraId="01E3CE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89.7%</w:t>
            </w:r>
          </w:p>
        </w:tc>
        <w:tc>
          <w:tcPr>
            <w:tcW w:w="1440" w:type="dxa"/>
            <w:noWrap/>
            <w:hideMark/>
          </w:tcPr>
          <w:p w14:paraId="1B871F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9D958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89.0%</w:t>
            </w:r>
          </w:p>
        </w:tc>
        <w:tc>
          <w:tcPr>
            <w:tcW w:w="1455" w:type="dxa"/>
            <w:noWrap/>
            <w:hideMark/>
          </w:tcPr>
          <w:p w14:paraId="123351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$50,848,670</w:t>
            </w:r>
          </w:p>
        </w:tc>
        <w:tc>
          <w:tcPr>
            <w:tcW w:w="1440" w:type="dxa"/>
            <w:noWrap/>
            <w:hideMark/>
          </w:tcPr>
          <w:p w14:paraId="55C025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83.2%</w:t>
            </w:r>
          </w:p>
        </w:tc>
        <w:tc>
          <w:tcPr>
            <w:tcW w:w="1440" w:type="dxa"/>
            <w:noWrap/>
            <w:hideMark/>
          </w:tcPr>
          <w:p w14:paraId="4772C8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97AF3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82.0%</w:t>
            </w:r>
          </w:p>
        </w:tc>
      </w:tr>
      <w:tr w:rsidR="006253A9" w:rsidRPr="006253A9" w14:paraId="685441F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A4E796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0212</w:t>
            </w:r>
          </w:p>
        </w:tc>
        <w:tc>
          <w:tcPr>
            <w:tcW w:w="2880" w:type="dxa"/>
            <w:noWrap/>
            <w:hideMark/>
          </w:tcPr>
          <w:p w14:paraId="2F93438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Attleborough</w:t>
            </w:r>
          </w:p>
        </w:tc>
        <w:tc>
          <w:tcPr>
            <w:tcW w:w="1455" w:type="dxa"/>
            <w:noWrap/>
            <w:hideMark/>
          </w:tcPr>
          <w:p w14:paraId="3F932C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$38,101,047</w:t>
            </w:r>
          </w:p>
        </w:tc>
        <w:tc>
          <w:tcPr>
            <w:tcW w:w="1440" w:type="dxa"/>
            <w:noWrap/>
            <w:hideMark/>
          </w:tcPr>
          <w:p w14:paraId="0C1D02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c>
          <w:tcPr>
            <w:tcW w:w="1440" w:type="dxa"/>
            <w:noWrap/>
            <w:hideMark/>
          </w:tcPr>
          <w:p w14:paraId="4FF226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w:t>
            </w:r>
          </w:p>
        </w:tc>
        <w:tc>
          <w:tcPr>
            <w:tcW w:w="1440" w:type="dxa"/>
            <w:noWrap/>
            <w:hideMark/>
          </w:tcPr>
          <w:p w14:paraId="17B510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55" w:type="dxa"/>
            <w:noWrap/>
            <w:hideMark/>
          </w:tcPr>
          <w:p w14:paraId="18386A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$50,417,285</w:t>
            </w:r>
          </w:p>
        </w:tc>
        <w:tc>
          <w:tcPr>
            <w:tcW w:w="1440" w:type="dxa"/>
            <w:noWrap/>
            <w:hideMark/>
          </w:tcPr>
          <w:p w14:paraId="475B7A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61.1%</w:t>
            </w:r>
          </w:p>
        </w:tc>
        <w:tc>
          <w:tcPr>
            <w:tcW w:w="1440" w:type="dxa"/>
            <w:noWrap/>
            <w:hideMark/>
          </w:tcPr>
          <w:p w14:paraId="1B823E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61.1%</w:t>
            </w:r>
          </w:p>
        </w:tc>
        <w:tc>
          <w:tcPr>
            <w:tcW w:w="1440" w:type="dxa"/>
            <w:noWrap/>
            <w:hideMark/>
          </w:tcPr>
          <w:p w14:paraId="6E9BC1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61.1%</w:t>
            </w:r>
          </w:p>
        </w:tc>
      </w:tr>
      <w:tr w:rsidR="006253A9" w:rsidRPr="006253A9" w14:paraId="55239E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73EFE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0213</w:t>
            </w:r>
          </w:p>
        </w:tc>
        <w:tc>
          <w:tcPr>
            <w:tcW w:w="2880" w:type="dxa"/>
            <w:noWrap/>
            <w:hideMark/>
          </w:tcPr>
          <w:p w14:paraId="11C77A3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Northborough</w:t>
            </w:r>
          </w:p>
        </w:tc>
        <w:tc>
          <w:tcPr>
            <w:tcW w:w="1455" w:type="dxa"/>
            <w:noWrap/>
            <w:hideMark/>
          </w:tcPr>
          <w:p w14:paraId="2CA754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$20,510,045</w:t>
            </w:r>
          </w:p>
        </w:tc>
        <w:tc>
          <w:tcPr>
            <w:tcW w:w="1440" w:type="dxa"/>
            <w:noWrap/>
            <w:hideMark/>
          </w:tcPr>
          <w:p w14:paraId="2A594D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73.3%</w:t>
            </w:r>
          </w:p>
        </w:tc>
        <w:tc>
          <w:tcPr>
            <w:tcW w:w="1440" w:type="dxa"/>
            <w:noWrap/>
            <w:hideMark/>
          </w:tcPr>
          <w:p w14:paraId="3F1191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73.3%</w:t>
            </w:r>
          </w:p>
        </w:tc>
        <w:tc>
          <w:tcPr>
            <w:tcW w:w="1440" w:type="dxa"/>
            <w:noWrap/>
            <w:hideMark/>
          </w:tcPr>
          <w:p w14:paraId="2010ED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82.7%</w:t>
            </w:r>
          </w:p>
        </w:tc>
        <w:tc>
          <w:tcPr>
            <w:tcW w:w="1455" w:type="dxa"/>
            <w:noWrap/>
            <w:hideMark/>
          </w:tcPr>
          <w:p w14:paraId="447A12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$26,426,791</w:t>
            </w:r>
          </w:p>
        </w:tc>
        <w:tc>
          <w:tcPr>
            <w:tcW w:w="1440" w:type="dxa"/>
            <w:noWrap/>
            <w:hideMark/>
          </w:tcPr>
          <w:p w14:paraId="1A2016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85.9%</w:t>
            </w:r>
          </w:p>
        </w:tc>
        <w:tc>
          <w:tcPr>
            <w:tcW w:w="1440" w:type="dxa"/>
            <w:noWrap/>
            <w:hideMark/>
          </w:tcPr>
          <w:p w14:paraId="5C1DC1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C9AAE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EC2FA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27E2F5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0214</w:t>
            </w:r>
          </w:p>
        </w:tc>
        <w:tc>
          <w:tcPr>
            <w:tcW w:w="2880" w:type="dxa"/>
            <w:noWrap/>
            <w:hideMark/>
          </w:tcPr>
          <w:p w14:paraId="4DEC191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Northbridge</w:t>
            </w:r>
          </w:p>
        </w:tc>
        <w:tc>
          <w:tcPr>
            <w:tcW w:w="1455" w:type="dxa"/>
            <w:noWrap/>
            <w:hideMark/>
          </w:tcPr>
          <w:p w14:paraId="758B6F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$21,131,504</w:t>
            </w:r>
          </w:p>
        </w:tc>
        <w:tc>
          <w:tcPr>
            <w:tcW w:w="1440" w:type="dxa"/>
            <w:noWrap/>
            <w:hideMark/>
          </w:tcPr>
          <w:p w14:paraId="013EB4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44.7%</w:t>
            </w:r>
          </w:p>
        </w:tc>
        <w:tc>
          <w:tcPr>
            <w:tcW w:w="1440" w:type="dxa"/>
            <w:noWrap/>
            <w:hideMark/>
          </w:tcPr>
          <w:p w14:paraId="5D965E5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44.7%</w:t>
            </w:r>
          </w:p>
        </w:tc>
        <w:tc>
          <w:tcPr>
            <w:tcW w:w="1440" w:type="dxa"/>
            <w:noWrap/>
            <w:hideMark/>
          </w:tcPr>
          <w:p w14:paraId="6CAEB8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35.3%</w:t>
            </w:r>
          </w:p>
        </w:tc>
        <w:tc>
          <w:tcPr>
            <w:tcW w:w="1455" w:type="dxa"/>
            <w:noWrap/>
            <w:hideMark/>
          </w:tcPr>
          <w:p w14:paraId="05D9AA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$26,613,806</w:t>
            </w:r>
          </w:p>
        </w:tc>
        <w:tc>
          <w:tcPr>
            <w:tcW w:w="1440" w:type="dxa"/>
            <w:noWrap/>
            <w:hideMark/>
          </w:tcPr>
          <w:p w14:paraId="0A5F1C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40" w:type="dxa"/>
            <w:noWrap/>
            <w:hideMark/>
          </w:tcPr>
          <w:p w14:paraId="7DE3CC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40" w:type="dxa"/>
            <w:noWrap/>
            <w:hideMark/>
          </w:tcPr>
          <w:p w14:paraId="2728AE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50.7%</w:t>
            </w:r>
          </w:p>
        </w:tc>
      </w:tr>
      <w:tr w:rsidR="006253A9" w:rsidRPr="006253A9" w14:paraId="6FAB863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90CC7B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0215</w:t>
            </w:r>
          </w:p>
        </w:tc>
        <w:tc>
          <w:tcPr>
            <w:tcW w:w="2880" w:type="dxa"/>
            <w:noWrap/>
            <w:hideMark/>
          </w:tcPr>
          <w:p w14:paraId="7A5674D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Brookfield</w:t>
            </w:r>
          </w:p>
        </w:tc>
        <w:tc>
          <w:tcPr>
            <w:tcW w:w="1455" w:type="dxa"/>
            <w:noWrap/>
            <w:hideMark/>
          </w:tcPr>
          <w:p w14:paraId="61CD79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$6,932,522</w:t>
            </w:r>
          </w:p>
        </w:tc>
        <w:tc>
          <w:tcPr>
            <w:tcW w:w="1440" w:type="dxa"/>
            <w:noWrap/>
            <w:hideMark/>
          </w:tcPr>
          <w:p w14:paraId="22C1E1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37.1%</w:t>
            </w:r>
          </w:p>
        </w:tc>
        <w:tc>
          <w:tcPr>
            <w:tcW w:w="1440" w:type="dxa"/>
            <w:noWrap/>
            <w:hideMark/>
          </w:tcPr>
          <w:p w14:paraId="02FE5E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37.1%</w:t>
            </w:r>
          </w:p>
        </w:tc>
        <w:tc>
          <w:tcPr>
            <w:tcW w:w="1440" w:type="dxa"/>
            <w:noWrap/>
            <w:hideMark/>
          </w:tcPr>
          <w:p w14:paraId="738BFA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35.1%</w:t>
            </w:r>
          </w:p>
        </w:tc>
        <w:tc>
          <w:tcPr>
            <w:tcW w:w="1455" w:type="dxa"/>
            <w:noWrap/>
            <w:hideMark/>
          </w:tcPr>
          <w:p w14:paraId="5C168D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$7,755,183</w:t>
            </w:r>
          </w:p>
        </w:tc>
        <w:tc>
          <w:tcPr>
            <w:tcW w:w="1440" w:type="dxa"/>
            <w:noWrap/>
            <w:hideMark/>
          </w:tcPr>
          <w:p w14:paraId="682DCF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42.3%</w:t>
            </w:r>
          </w:p>
        </w:tc>
        <w:tc>
          <w:tcPr>
            <w:tcW w:w="1440" w:type="dxa"/>
            <w:noWrap/>
            <w:hideMark/>
          </w:tcPr>
          <w:p w14:paraId="408E13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42.3%</w:t>
            </w:r>
          </w:p>
        </w:tc>
        <w:tc>
          <w:tcPr>
            <w:tcW w:w="1440" w:type="dxa"/>
            <w:noWrap/>
            <w:hideMark/>
          </w:tcPr>
          <w:p w14:paraId="259211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42.3%</w:t>
            </w:r>
          </w:p>
        </w:tc>
      </w:tr>
      <w:tr w:rsidR="006253A9" w:rsidRPr="006253A9" w14:paraId="2C08D5F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496D1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0216</w:t>
            </w:r>
          </w:p>
        </w:tc>
        <w:tc>
          <w:tcPr>
            <w:tcW w:w="2880" w:type="dxa"/>
            <w:noWrap/>
            <w:hideMark/>
          </w:tcPr>
          <w:p w14:paraId="75E9BA6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Northfield</w:t>
            </w:r>
          </w:p>
        </w:tc>
        <w:tc>
          <w:tcPr>
            <w:tcW w:w="1455" w:type="dxa"/>
            <w:noWrap/>
            <w:hideMark/>
          </w:tcPr>
          <w:p w14:paraId="22A004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$4,019,380</w:t>
            </w:r>
          </w:p>
        </w:tc>
        <w:tc>
          <w:tcPr>
            <w:tcW w:w="1440" w:type="dxa"/>
            <w:noWrap/>
            <w:hideMark/>
          </w:tcPr>
          <w:p w14:paraId="6FDCD7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c>
          <w:tcPr>
            <w:tcW w:w="1440" w:type="dxa"/>
            <w:noWrap/>
            <w:hideMark/>
          </w:tcPr>
          <w:p w14:paraId="063D1CB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c>
          <w:tcPr>
            <w:tcW w:w="1440" w:type="dxa"/>
            <w:noWrap/>
            <w:hideMark/>
          </w:tcPr>
          <w:p w14:paraId="718252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55.3%</w:t>
            </w:r>
          </w:p>
        </w:tc>
        <w:tc>
          <w:tcPr>
            <w:tcW w:w="1455" w:type="dxa"/>
            <w:noWrap/>
            <w:hideMark/>
          </w:tcPr>
          <w:p w14:paraId="2FB2F5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$4,071,266</w:t>
            </w:r>
          </w:p>
        </w:tc>
        <w:tc>
          <w:tcPr>
            <w:tcW w:w="1440" w:type="dxa"/>
            <w:noWrap/>
            <w:hideMark/>
          </w:tcPr>
          <w:p w14:paraId="7F8324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69.9%</w:t>
            </w:r>
          </w:p>
        </w:tc>
        <w:tc>
          <w:tcPr>
            <w:tcW w:w="1440" w:type="dxa"/>
            <w:noWrap/>
            <w:hideMark/>
          </w:tcPr>
          <w:p w14:paraId="65287D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69.9%</w:t>
            </w:r>
          </w:p>
        </w:tc>
        <w:tc>
          <w:tcPr>
            <w:tcW w:w="1440" w:type="dxa"/>
            <w:noWrap/>
            <w:hideMark/>
          </w:tcPr>
          <w:p w14:paraId="5D554A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69.9%</w:t>
            </w:r>
          </w:p>
        </w:tc>
      </w:tr>
      <w:tr w:rsidR="006253A9" w:rsidRPr="006253A9" w14:paraId="391E5C3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A05044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0217</w:t>
            </w:r>
          </w:p>
        </w:tc>
        <w:tc>
          <w:tcPr>
            <w:tcW w:w="2880" w:type="dxa"/>
            <w:noWrap/>
            <w:hideMark/>
          </w:tcPr>
          <w:p w14:paraId="5D81DD5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Reading</w:t>
            </w:r>
          </w:p>
        </w:tc>
        <w:tc>
          <w:tcPr>
            <w:tcW w:w="1455" w:type="dxa"/>
            <w:noWrap/>
            <w:hideMark/>
          </w:tcPr>
          <w:p w14:paraId="5A14A8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$20,600,776</w:t>
            </w:r>
          </w:p>
        </w:tc>
        <w:tc>
          <w:tcPr>
            <w:tcW w:w="1440" w:type="dxa"/>
            <w:noWrap/>
            <w:hideMark/>
          </w:tcPr>
          <w:p w14:paraId="6593C6B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77.4%</w:t>
            </w:r>
          </w:p>
        </w:tc>
        <w:tc>
          <w:tcPr>
            <w:tcW w:w="1440" w:type="dxa"/>
            <w:noWrap/>
            <w:hideMark/>
          </w:tcPr>
          <w:p w14:paraId="713A9C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77.4%</w:t>
            </w:r>
          </w:p>
        </w:tc>
        <w:tc>
          <w:tcPr>
            <w:tcW w:w="1440" w:type="dxa"/>
            <w:noWrap/>
            <w:hideMark/>
          </w:tcPr>
          <w:p w14:paraId="709EC4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75.7%</w:t>
            </w:r>
          </w:p>
        </w:tc>
        <w:tc>
          <w:tcPr>
            <w:tcW w:w="1455" w:type="dxa"/>
            <w:noWrap/>
            <w:hideMark/>
          </w:tcPr>
          <w:p w14:paraId="15F6CC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$25,720,310</w:t>
            </w:r>
          </w:p>
        </w:tc>
        <w:tc>
          <w:tcPr>
            <w:tcW w:w="1440" w:type="dxa"/>
            <w:noWrap/>
            <w:hideMark/>
          </w:tcPr>
          <w:p w14:paraId="3809D7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94.6%</w:t>
            </w:r>
          </w:p>
        </w:tc>
        <w:tc>
          <w:tcPr>
            <w:tcW w:w="1440" w:type="dxa"/>
            <w:noWrap/>
            <w:hideMark/>
          </w:tcPr>
          <w:p w14:paraId="6C94CF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3E591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950E7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CC4AAD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0218</w:t>
            </w:r>
          </w:p>
        </w:tc>
        <w:tc>
          <w:tcPr>
            <w:tcW w:w="2880" w:type="dxa"/>
            <w:noWrap/>
            <w:hideMark/>
          </w:tcPr>
          <w:p w14:paraId="7FDB7D9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Norton</w:t>
            </w:r>
          </w:p>
        </w:tc>
        <w:tc>
          <w:tcPr>
            <w:tcW w:w="1455" w:type="dxa"/>
            <w:noWrap/>
            <w:hideMark/>
          </w:tcPr>
          <w:p w14:paraId="226D97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$25,143,662</w:t>
            </w:r>
          </w:p>
        </w:tc>
        <w:tc>
          <w:tcPr>
            <w:tcW w:w="1440" w:type="dxa"/>
            <w:noWrap/>
            <w:hideMark/>
          </w:tcPr>
          <w:p w14:paraId="616518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54.0%</w:t>
            </w:r>
          </w:p>
        </w:tc>
        <w:tc>
          <w:tcPr>
            <w:tcW w:w="1440" w:type="dxa"/>
            <w:noWrap/>
            <w:hideMark/>
          </w:tcPr>
          <w:p w14:paraId="7E697A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54.0%</w:t>
            </w:r>
          </w:p>
        </w:tc>
        <w:tc>
          <w:tcPr>
            <w:tcW w:w="1440" w:type="dxa"/>
            <w:noWrap/>
            <w:hideMark/>
          </w:tcPr>
          <w:p w14:paraId="2F7F347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49.5%</w:t>
            </w:r>
          </w:p>
        </w:tc>
        <w:tc>
          <w:tcPr>
            <w:tcW w:w="1455" w:type="dxa"/>
            <w:noWrap/>
            <w:hideMark/>
          </w:tcPr>
          <w:p w14:paraId="3E0C38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$27,774,695</w:t>
            </w:r>
          </w:p>
        </w:tc>
        <w:tc>
          <w:tcPr>
            <w:tcW w:w="1440" w:type="dxa"/>
            <w:noWrap/>
            <w:hideMark/>
          </w:tcPr>
          <w:p w14:paraId="75E847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c>
          <w:tcPr>
            <w:tcW w:w="1440" w:type="dxa"/>
            <w:noWrap/>
            <w:hideMark/>
          </w:tcPr>
          <w:p w14:paraId="6AFF77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c>
          <w:tcPr>
            <w:tcW w:w="1440" w:type="dxa"/>
            <w:noWrap/>
            <w:hideMark/>
          </w:tcPr>
          <w:p w14:paraId="65A656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67.0%</w:t>
            </w:r>
          </w:p>
        </w:tc>
      </w:tr>
      <w:tr w:rsidR="006253A9" w:rsidRPr="006253A9" w14:paraId="6D7422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C76D4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0219</w:t>
            </w:r>
          </w:p>
        </w:tc>
        <w:tc>
          <w:tcPr>
            <w:tcW w:w="2880" w:type="dxa"/>
            <w:noWrap/>
            <w:hideMark/>
          </w:tcPr>
          <w:p w14:paraId="50B784D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Norwell</w:t>
            </w:r>
          </w:p>
        </w:tc>
        <w:tc>
          <w:tcPr>
            <w:tcW w:w="1455" w:type="dxa"/>
            <w:noWrap/>
            <w:hideMark/>
          </w:tcPr>
          <w:p w14:paraId="2B6F52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$16,334,137</w:t>
            </w:r>
          </w:p>
        </w:tc>
        <w:tc>
          <w:tcPr>
            <w:tcW w:w="1440" w:type="dxa"/>
            <w:noWrap/>
            <w:hideMark/>
          </w:tcPr>
          <w:p w14:paraId="68B3DC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96.6%</w:t>
            </w:r>
          </w:p>
        </w:tc>
        <w:tc>
          <w:tcPr>
            <w:tcW w:w="1440" w:type="dxa"/>
            <w:noWrap/>
            <w:hideMark/>
          </w:tcPr>
          <w:p w14:paraId="5726FC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DA123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92.6%</w:t>
            </w:r>
          </w:p>
        </w:tc>
        <w:tc>
          <w:tcPr>
            <w:tcW w:w="1455" w:type="dxa"/>
            <w:noWrap/>
            <w:hideMark/>
          </w:tcPr>
          <w:p w14:paraId="79CC20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$22,648,243</w:t>
            </w:r>
          </w:p>
        </w:tc>
        <w:tc>
          <w:tcPr>
            <w:tcW w:w="1440" w:type="dxa"/>
            <w:noWrap/>
            <w:hideMark/>
          </w:tcPr>
          <w:p w14:paraId="270474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109.9%</w:t>
            </w:r>
          </w:p>
        </w:tc>
        <w:tc>
          <w:tcPr>
            <w:tcW w:w="1440" w:type="dxa"/>
            <w:noWrap/>
            <w:hideMark/>
          </w:tcPr>
          <w:p w14:paraId="70F24A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A208A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82.2%</w:t>
            </w:r>
          </w:p>
        </w:tc>
      </w:tr>
      <w:tr w:rsidR="006253A9" w:rsidRPr="006253A9" w14:paraId="41D142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B5F4F8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0220</w:t>
            </w:r>
          </w:p>
        </w:tc>
        <w:tc>
          <w:tcPr>
            <w:tcW w:w="2880" w:type="dxa"/>
            <w:noWrap/>
            <w:hideMark/>
          </w:tcPr>
          <w:p w14:paraId="327B884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Norwood</w:t>
            </w:r>
          </w:p>
        </w:tc>
        <w:tc>
          <w:tcPr>
            <w:tcW w:w="1455" w:type="dxa"/>
            <w:noWrap/>
            <w:hideMark/>
          </w:tcPr>
          <w:p w14:paraId="4828AE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$30,841,714</w:t>
            </w:r>
          </w:p>
        </w:tc>
        <w:tc>
          <w:tcPr>
            <w:tcW w:w="1440" w:type="dxa"/>
            <w:noWrap/>
            <w:hideMark/>
          </w:tcPr>
          <w:p w14:paraId="5BC18E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81.6%</w:t>
            </w:r>
          </w:p>
        </w:tc>
        <w:tc>
          <w:tcPr>
            <w:tcW w:w="1440" w:type="dxa"/>
            <w:noWrap/>
            <w:hideMark/>
          </w:tcPr>
          <w:p w14:paraId="2B863B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81.6%</w:t>
            </w:r>
          </w:p>
        </w:tc>
        <w:tc>
          <w:tcPr>
            <w:tcW w:w="1440" w:type="dxa"/>
            <w:noWrap/>
            <w:hideMark/>
          </w:tcPr>
          <w:p w14:paraId="57ADD7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92.6%</w:t>
            </w:r>
          </w:p>
        </w:tc>
        <w:tc>
          <w:tcPr>
            <w:tcW w:w="1455" w:type="dxa"/>
            <w:noWrap/>
            <w:hideMark/>
          </w:tcPr>
          <w:p w14:paraId="433C20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$41,784,743</w:t>
            </w:r>
          </w:p>
        </w:tc>
        <w:tc>
          <w:tcPr>
            <w:tcW w:w="1440" w:type="dxa"/>
            <w:noWrap/>
            <w:hideMark/>
          </w:tcPr>
          <w:p w14:paraId="74C9B9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89.9%</w:t>
            </w:r>
          </w:p>
        </w:tc>
        <w:tc>
          <w:tcPr>
            <w:tcW w:w="1440" w:type="dxa"/>
            <w:noWrap/>
            <w:hideMark/>
          </w:tcPr>
          <w:p w14:paraId="79EFF3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55C52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80.1%</w:t>
            </w:r>
          </w:p>
        </w:tc>
      </w:tr>
      <w:tr w:rsidR="006253A9" w:rsidRPr="006253A9" w14:paraId="32DF53E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02842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0221</w:t>
            </w:r>
          </w:p>
        </w:tc>
        <w:tc>
          <w:tcPr>
            <w:tcW w:w="2880" w:type="dxa"/>
            <w:noWrap/>
            <w:hideMark/>
          </w:tcPr>
          <w:p w14:paraId="3F957DA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Oak Bluffs</w:t>
            </w:r>
          </w:p>
        </w:tc>
        <w:tc>
          <w:tcPr>
            <w:tcW w:w="1455" w:type="dxa"/>
            <w:noWrap/>
            <w:hideMark/>
          </w:tcPr>
          <w:p w14:paraId="650238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$5,136,332</w:t>
            </w:r>
          </w:p>
        </w:tc>
        <w:tc>
          <w:tcPr>
            <w:tcW w:w="1440" w:type="dxa"/>
            <w:noWrap/>
            <w:hideMark/>
          </w:tcPr>
          <w:p w14:paraId="2132CF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161.6%</w:t>
            </w:r>
          </w:p>
        </w:tc>
        <w:tc>
          <w:tcPr>
            <w:tcW w:w="1440" w:type="dxa"/>
            <w:noWrap/>
            <w:hideMark/>
          </w:tcPr>
          <w:p w14:paraId="3559B1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CEFDC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85.9%</w:t>
            </w:r>
          </w:p>
        </w:tc>
        <w:tc>
          <w:tcPr>
            <w:tcW w:w="1455" w:type="dxa"/>
            <w:noWrap/>
            <w:hideMark/>
          </w:tcPr>
          <w:p w14:paraId="28E349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$7,448,753</w:t>
            </w:r>
          </w:p>
        </w:tc>
        <w:tc>
          <w:tcPr>
            <w:tcW w:w="1440" w:type="dxa"/>
            <w:noWrap/>
            <w:hideMark/>
          </w:tcPr>
          <w:p w14:paraId="328B1A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170.0%</w:t>
            </w:r>
          </w:p>
        </w:tc>
        <w:tc>
          <w:tcPr>
            <w:tcW w:w="1440" w:type="dxa"/>
            <w:noWrap/>
            <w:hideMark/>
          </w:tcPr>
          <w:p w14:paraId="1D9672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FAA49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80.0%</w:t>
            </w:r>
          </w:p>
        </w:tc>
      </w:tr>
      <w:tr w:rsidR="006253A9" w:rsidRPr="006253A9" w14:paraId="769BB2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CA1E75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0222</w:t>
            </w:r>
          </w:p>
        </w:tc>
        <w:tc>
          <w:tcPr>
            <w:tcW w:w="2880" w:type="dxa"/>
            <w:noWrap/>
            <w:hideMark/>
          </w:tcPr>
          <w:p w14:paraId="2A3486B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Oakham</w:t>
            </w:r>
          </w:p>
        </w:tc>
        <w:tc>
          <w:tcPr>
            <w:tcW w:w="1455" w:type="dxa"/>
            <w:noWrap/>
            <w:hideMark/>
          </w:tcPr>
          <w:p w14:paraId="3C21D8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$3,137,424</w:t>
            </w:r>
          </w:p>
        </w:tc>
        <w:tc>
          <w:tcPr>
            <w:tcW w:w="1440" w:type="dxa"/>
            <w:noWrap/>
            <w:hideMark/>
          </w:tcPr>
          <w:p w14:paraId="7988F5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40.8%</w:t>
            </w:r>
          </w:p>
        </w:tc>
        <w:tc>
          <w:tcPr>
            <w:tcW w:w="1440" w:type="dxa"/>
            <w:noWrap/>
            <w:hideMark/>
          </w:tcPr>
          <w:p w14:paraId="162C81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40.8%</w:t>
            </w:r>
          </w:p>
        </w:tc>
        <w:tc>
          <w:tcPr>
            <w:tcW w:w="1440" w:type="dxa"/>
            <w:noWrap/>
            <w:hideMark/>
          </w:tcPr>
          <w:p w14:paraId="447B9B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23.5%</w:t>
            </w:r>
          </w:p>
        </w:tc>
        <w:tc>
          <w:tcPr>
            <w:tcW w:w="1455" w:type="dxa"/>
            <w:noWrap/>
            <w:hideMark/>
          </w:tcPr>
          <w:p w14:paraId="55118E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$2,869,193</w:t>
            </w:r>
          </w:p>
        </w:tc>
        <w:tc>
          <w:tcPr>
            <w:tcW w:w="1440" w:type="dxa"/>
            <w:noWrap/>
            <w:hideMark/>
          </w:tcPr>
          <w:p w14:paraId="1DA5E77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59.3%</w:t>
            </w:r>
          </w:p>
        </w:tc>
        <w:tc>
          <w:tcPr>
            <w:tcW w:w="1440" w:type="dxa"/>
            <w:noWrap/>
            <w:hideMark/>
          </w:tcPr>
          <w:p w14:paraId="00AD2B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59.3%</w:t>
            </w:r>
          </w:p>
        </w:tc>
        <w:tc>
          <w:tcPr>
            <w:tcW w:w="1440" w:type="dxa"/>
            <w:noWrap/>
            <w:hideMark/>
          </w:tcPr>
          <w:p w14:paraId="0E6C94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59.3%</w:t>
            </w:r>
          </w:p>
        </w:tc>
      </w:tr>
      <w:tr w:rsidR="006253A9" w:rsidRPr="006253A9" w14:paraId="56770A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133E5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0223</w:t>
            </w:r>
          </w:p>
        </w:tc>
        <w:tc>
          <w:tcPr>
            <w:tcW w:w="2880" w:type="dxa"/>
            <w:noWrap/>
            <w:hideMark/>
          </w:tcPr>
          <w:p w14:paraId="534CAC6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Orange</w:t>
            </w:r>
          </w:p>
        </w:tc>
        <w:tc>
          <w:tcPr>
            <w:tcW w:w="1455" w:type="dxa"/>
            <w:noWrap/>
            <w:hideMark/>
          </w:tcPr>
          <w:p w14:paraId="3F7E1E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$11,954,230</w:t>
            </w:r>
          </w:p>
        </w:tc>
        <w:tc>
          <w:tcPr>
            <w:tcW w:w="1440" w:type="dxa"/>
            <w:noWrap/>
            <w:hideMark/>
          </w:tcPr>
          <w:p w14:paraId="646C462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25.8%</w:t>
            </w:r>
          </w:p>
        </w:tc>
        <w:tc>
          <w:tcPr>
            <w:tcW w:w="1440" w:type="dxa"/>
            <w:noWrap/>
            <w:hideMark/>
          </w:tcPr>
          <w:p w14:paraId="28CBA4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25.8%</w:t>
            </w:r>
          </w:p>
        </w:tc>
        <w:tc>
          <w:tcPr>
            <w:tcW w:w="1440" w:type="dxa"/>
            <w:noWrap/>
            <w:hideMark/>
          </w:tcPr>
          <w:p w14:paraId="277C33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24.5%</w:t>
            </w:r>
          </w:p>
        </w:tc>
        <w:tc>
          <w:tcPr>
            <w:tcW w:w="1455" w:type="dxa"/>
            <w:noWrap/>
            <w:hideMark/>
          </w:tcPr>
          <w:p w14:paraId="62C2BA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$14,636,556</w:t>
            </w:r>
          </w:p>
        </w:tc>
        <w:tc>
          <w:tcPr>
            <w:tcW w:w="1440" w:type="dxa"/>
            <w:noWrap/>
            <w:hideMark/>
          </w:tcPr>
          <w:p w14:paraId="63720E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27.6%</w:t>
            </w:r>
          </w:p>
        </w:tc>
        <w:tc>
          <w:tcPr>
            <w:tcW w:w="1440" w:type="dxa"/>
            <w:noWrap/>
            <w:hideMark/>
          </w:tcPr>
          <w:p w14:paraId="299354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27.6%</w:t>
            </w:r>
          </w:p>
        </w:tc>
        <w:tc>
          <w:tcPr>
            <w:tcW w:w="1440" w:type="dxa"/>
            <w:noWrap/>
            <w:hideMark/>
          </w:tcPr>
          <w:p w14:paraId="141721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26.8%</w:t>
            </w:r>
          </w:p>
        </w:tc>
      </w:tr>
      <w:tr w:rsidR="006253A9" w:rsidRPr="006253A9" w14:paraId="5D67D3F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D5411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0224</w:t>
            </w:r>
          </w:p>
        </w:tc>
        <w:tc>
          <w:tcPr>
            <w:tcW w:w="2880" w:type="dxa"/>
            <w:noWrap/>
            <w:hideMark/>
          </w:tcPr>
          <w:p w14:paraId="232DF44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Orleans</w:t>
            </w:r>
          </w:p>
        </w:tc>
        <w:tc>
          <w:tcPr>
            <w:tcW w:w="1455" w:type="dxa"/>
            <w:noWrap/>
            <w:hideMark/>
          </w:tcPr>
          <w:p w14:paraId="35003B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$4,549,818</w:t>
            </w:r>
          </w:p>
        </w:tc>
        <w:tc>
          <w:tcPr>
            <w:tcW w:w="1440" w:type="dxa"/>
            <w:noWrap/>
            <w:hideMark/>
          </w:tcPr>
          <w:p w14:paraId="64FB62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312.1%</w:t>
            </w:r>
          </w:p>
        </w:tc>
        <w:tc>
          <w:tcPr>
            <w:tcW w:w="1440" w:type="dxa"/>
            <w:noWrap/>
            <w:hideMark/>
          </w:tcPr>
          <w:p w14:paraId="1B00B2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4D5A5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113.5%</w:t>
            </w:r>
          </w:p>
        </w:tc>
        <w:tc>
          <w:tcPr>
            <w:tcW w:w="1455" w:type="dxa"/>
            <w:noWrap/>
            <w:hideMark/>
          </w:tcPr>
          <w:p w14:paraId="133233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$5,293,563</w:t>
            </w:r>
          </w:p>
        </w:tc>
        <w:tc>
          <w:tcPr>
            <w:tcW w:w="1440" w:type="dxa"/>
            <w:noWrap/>
            <w:hideMark/>
          </w:tcPr>
          <w:p w14:paraId="07E0B5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357.6%</w:t>
            </w:r>
          </w:p>
        </w:tc>
        <w:tc>
          <w:tcPr>
            <w:tcW w:w="1440" w:type="dxa"/>
            <w:noWrap/>
            <w:hideMark/>
          </w:tcPr>
          <w:p w14:paraId="529496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96D33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F06DB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33BD54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0225</w:t>
            </w:r>
          </w:p>
        </w:tc>
        <w:tc>
          <w:tcPr>
            <w:tcW w:w="2880" w:type="dxa"/>
            <w:noWrap/>
            <w:hideMark/>
          </w:tcPr>
          <w:p w14:paraId="59717B6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Otis</w:t>
            </w:r>
          </w:p>
        </w:tc>
        <w:tc>
          <w:tcPr>
            <w:tcW w:w="1455" w:type="dxa"/>
            <w:noWrap/>
            <w:hideMark/>
          </w:tcPr>
          <w:p w14:paraId="7198E9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$1,422,339</w:t>
            </w:r>
          </w:p>
        </w:tc>
        <w:tc>
          <w:tcPr>
            <w:tcW w:w="1440" w:type="dxa"/>
            <w:noWrap/>
            <w:hideMark/>
          </w:tcPr>
          <w:p w14:paraId="124F2C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129.2%</w:t>
            </w:r>
          </w:p>
        </w:tc>
        <w:tc>
          <w:tcPr>
            <w:tcW w:w="1440" w:type="dxa"/>
            <w:noWrap/>
            <w:hideMark/>
          </w:tcPr>
          <w:p w14:paraId="0272C2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79672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99.5%</w:t>
            </w:r>
          </w:p>
        </w:tc>
        <w:tc>
          <w:tcPr>
            <w:tcW w:w="1455" w:type="dxa"/>
            <w:noWrap/>
            <w:hideMark/>
          </w:tcPr>
          <w:p w14:paraId="31ADAC0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$1,384,011</w:t>
            </w:r>
          </w:p>
        </w:tc>
        <w:tc>
          <w:tcPr>
            <w:tcW w:w="1440" w:type="dxa"/>
            <w:noWrap/>
            <w:hideMark/>
          </w:tcPr>
          <w:p w14:paraId="6EAC93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216.2%</w:t>
            </w:r>
          </w:p>
        </w:tc>
        <w:tc>
          <w:tcPr>
            <w:tcW w:w="1440" w:type="dxa"/>
            <w:noWrap/>
            <w:hideMark/>
          </w:tcPr>
          <w:p w14:paraId="6DB1A3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2E2BA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0D992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52A679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0226</w:t>
            </w:r>
          </w:p>
        </w:tc>
        <w:tc>
          <w:tcPr>
            <w:tcW w:w="2880" w:type="dxa"/>
            <w:noWrap/>
            <w:hideMark/>
          </w:tcPr>
          <w:p w14:paraId="66D3EC5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Oxford</w:t>
            </w:r>
          </w:p>
        </w:tc>
        <w:tc>
          <w:tcPr>
            <w:tcW w:w="1455" w:type="dxa"/>
            <w:noWrap/>
            <w:hideMark/>
          </w:tcPr>
          <w:p w14:paraId="6B1E5D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$17,867,923</w:t>
            </w:r>
          </w:p>
        </w:tc>
        <w:tc>
          <w:tcPr>
            <w:tcW w:w="1440" w:type="dxa"/>
            <w:noWrap/>
            <w:hideMark/>
          </w:tcPr>
          <w:p w14:paraId="06FEBB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46.4%</w:t>
            </w:r>
          </w:p>
        </w:tc>
        <w:tc>
          <w:tcPr>
            <w:tcW w:w="1440" w:type="dxa"/>
            <w:noWrap/>
            <w:hideMark/>
          </w:tcPr>
          <w:p w14:paraId="756C25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46.4%</w:t>
            </w:r>
          </w:p>
        </w:tc>
        <w:tc>
          <w:tcPr>
            <w:tcW w:w="1440" w:type="dxa"/>
            <w:noWrap/>
            <w:hideMark/>
          </w:tcPr>
          <w:p w14:paraId="50E186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46.4%</w:t>
            </w:r>
          </w:p>
        </w:tc>
        <w:tc>
          <w:tcPr>
            <w:tcW w:w="1455" w:type="dxa"/>
            <w:noWrap/>
            <w:hideMark/>
          </w:tcPr>
          <w:p w14:paraId="76FFF4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$22,262,242</w:t>
            </w:r>
          </w:p>
        </w:tc>
        <w:tc>
          <w:tcPr>
            <w:tcW w:w="1440" w:type="dxa"/>
            <w:noWrap/>
            <w:hideMark/>
          </w:tcPr>
          <w:p w14:paraId="544264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w:t>
            </w:r>
          </w:p>
        </w:tc>
        <w:tc>
          <w:tcPr>
            <w:tcW w:w="1440" w:type="dxa"/>
            <w:noWrap/>
            <w:hideMark/>
          </w:tcPr>
          <w:p w14:paraId="1221CA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w:t>
            </w:r>
          </w:p>
        </w:tc>
        <w:tc>
          <w:tcPr>
            <w:tcW w:w="1440" w:type="dxa"/>
            <w:noWrap/>
            <w:hideMark/>
          </w:tcPr>
          <w:p w14:paraId="35600C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48.8%</w:t>
            </w:r>
          </w:p>
        </w:tc>
      </w:tr>
      <w:tr w:rsidR="006253A9" w:rsidRPr="006253A9" w14:paraId="2E74535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D0AFB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0227</w:t>
            </w:r>
          </w:p>
        </w:tc>
        <w:tc>
          <w:tcPr>
            <w:tcW w:w="2880" w:type="dxa"/>
            <w:noWrap/>
            <w:hideMark/>
          </w:tcPr>
          <w:p w14:paraId="61F290B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Palmer</w:t>
            </w:r>
          </w:p>
        </w:tc>
        <w:tc>
          <w:tcPr>
            <w:tcW w:w="1455" w:type="dxa"/>
            <w:noWrap/>
            <w:hideMark/>
          </w:tcPr>
          <w:p w14:paraId="31A7B3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$18,619,537</w:t>
            </w:r>
          </w:p>
        </w:tc>
        <w:tc>
          <w:tcPr>
            <w:tcW w:w="1440" w:type="dxa"/>
            <w:noWrap/>
            <w:hideMark/>
          </w:tcPr>
          <w:p w14:paraId="09AF2C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34.6%</w:t>
            </w:r>
          </w:p>
        </w:tc>
        <w:tc>
          <w:tcPr>
            <w:tcW w:w="1440" w:type="dxa"/>
            <w:noWrap/>
            <w:hideMark/>
          </w:tcPr>
          <w:p w14:paraId="2049E4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34.6%</w:t>
            </w:r>
          </w:p>
        </w:tc>
        <w:tc>
          <w:tcPr>
            <w:tcW w:w="1440" w:type="dxa"/>
            <w:noWrap/>
            <w:hideMark/>
          </w:tcPr>
          <w:p w14:paraId="4DCE80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33.6%</w:t>
            </w:r>
          </w:p>
        </w:tc>
        <w:tc>
          <w:tcPr>
            <w:tcW w:w="1455" w:type="dxa"/>
            <w:noWrap/>
            <w:hideMark/>
          </w:tcPr>
          <w:p w14:paraId="061700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$19,506,870</w:t>
            </w:r>
          </w:p>
        </w:tc>
        <w:tc>
          <w:tcPr>
            <w:tcW w:w="1440" w:type="dxa"/>
            <w:noWrap/>
            <w:hideMark/>
          </w:tcPr>
          <w:p w14:paraId="3B719E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w:t>
            </w:r>
          </w:p>
        </w:tc>
        <w:tc>
          <w:tcPr>
            <w:tcW w:w="1440" w:type="dxa"/>
            <w:noWrap/>
            <w:hideMark/>
          </w:tcPr>
          <w:p w14:paraId="10D1A3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w:t>
            </w:r>
          </w:p>
        </w:tc>
        <w:tc>
          <w:tcPr>
            <w:tcW w:w="1440" w:type="dxa"/>
            <w:noWrap/>
            <w:hideMark/>
          </w:tcPr>
          <w:p w14:paraId="5568BF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w:t>
            </w:r>
          </w:p>
        </w:tc>
      </w:tr>
      <w:tr w:rsidR="006253A9" w:rsidRPr="006253A9" w14:paraId="5E282E5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FAD2EF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0228</w:t>
            </w:r>
          </w:p>
        </w:tc>
        <w:tc>
          <w:tcPr>
            <w:tcW w:w="2880" w:type="dxa"/>
            <w:noWrap/>
            <w:hideMark/>
          </w:tcPr>
          <w:p w14:paraId="71F023E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Paxton</w:t>
            </w:r>
          </w:p>
        </w:tc>
        <w:tc>
          <w:tcPr>
            <w:tcW w:w="1455" w:type="dxa"/>
            <w:noWrap/>
            <w:hideMark/>
          </w:tcPr>
          <w:p w14:paraId="249D60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$5,183,973</w:t>
            </w:r>
          </w:p>
        </w:tc>
        <w:tc>
          <w:tcPr>
            <w:tcW w:w="1440" w:type="dxa"/>
            <w:noWrap/>
            <w:hideMark/>
          </w:tcPr>
          <w:p w14:paraId="4490DD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71.9%</w:t>
            </w:r>
          </w:p>
        </w:tc>
        <w:tc>
          <w:tcPr>
            <w:tcW w:w="1440" w:type="dxa"/>
            <w:noWrap/>
            <w:hideMark/>
          </w:tcPr>
          <w:p w14:paraId="049E93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71.9%</w:t>
            </w:r>
          </w:p>
        </w:tc>
        <w:tc>
          <w:tcPr>
            <w:tcW w:w="1440" w:type="dxa"/>
            <w:noWrap/>
            <w:hideMark/>
          </w:tcPr>
          <w:p w14:paraId="529FD7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74.5%</w:t>
            </w:r>
          </w:p>
        </w:tc>
        <w:tc>
          <w:tcPr>
            <w:tcW w:w="1455" w:type="dxa"/>
            <w:noWrap/>
            <w:hideMark/>
          </w:tcPr>
          <w:p w14:paraId="591E28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$6,946,633</w:t>
            </w:r>
          </w:p>
        </w:tc>
        <w:tc>
          <w:tcPr>
            <w:tcW w:w="1440" w:type="dxa"/>
            <w:noWrap/>
            <w:hideMark/>
          </w:tcPr>
          <w:p w14:paraId="7516BA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66.7%</w:t>
            </w:r>
          </w:p>
        </w:tc>
        <w:tc>
          <w:tcPr>
            <w:tcW w:w="1440" w:type="dxa"/>
            <w:noWrap/>
            <w:hideMark/>
          </w:tcPr>
          <w:p w14:paraId="041050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66.7%</w:t>
            </w:r>
          </w:p>
        </w:tc>
        <w:tc>
          <w:tcPr>
            <w:tcW w:w="1440" w:type="dxa"/>
            <w:noWrap/>
            <w:hideMark/>
          </w:tcPr>
          <w:p w14:paraId="00E4A2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65.8%</w:t>
            </w:r>
          </w:p>
        </w:tc>
      </w:tr>
      <w:tr w:rsidR="006253A9" w:rsidRPr="006253A9" w14:paraId="5145A4E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86DD5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0229</w:t>
            </w:r>
          </w:p>
        </w:tc>
        <w:tc>
          <w:tcPr>
            <w:tcW w:w="2880" w:type="dxa"/>
            <w:noWrap/>
            <w:hideMark/>
          </w:tcPr>
          <w:p w14:paraId="3EE5D26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Peabody</w:t>
            </w:r>
          </w:p>
        </w:tc>
        <w:tc>
          <w:tcPr>
            <w:tcW w:w="1455" w:type="dxa"/>
            <w:noWrap/>
            <w:hideMark/>
          </w:tcPr>
          <w:p w14:paraId="11C4BE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$55,287,918</w:t>
            </w:r>
          </w:p>
        </w:tc>
        <w:tc>
          <w:tcPr>
            <w:tcW w:w="1440" w:type="dxa"/>
            <w:noWrap/>
            <w:hideMark/>
          </w:tcPr>
          <w:p w14:paraId="43CE6B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72.9%</w:t>
            </w:r>
          </w:p>
        </w:tc>
        <w:tc>
          <w:tcPr>
            <w:tcW w:w="1440" w:type="dxa"/>
            <w:noWrap/>
            <w:hideMark/>
          </w:tcPr>
          <w:p w14:paraId="610A96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72.9%</w:t>
            </w:r>
          </w:p>
        </w:tc>
        <w:tc>
          <w:tcPr>
            <w:tcW w:w="1440" w:type="dxa"/>
            <w:noWrap/>
            <w:hideMark/>
          </w:tcPr>
          <w:p w14:paraId="6E2D3C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65.9%</w:t>
            </w:r>
          </w:p>
        </w:tc>
        <w:tc>
          <w:tcPr>
            <w:tcW w:w="1455" w:type="dxa"/>
            <w:noWrap/>
            <w:hideMark/>
          </w:tcPr>
          <w:p w14:paraId="586CAD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$74,497,666</w:t>
            </w:r>
          </w:p>
        </w:tc>
        <w:tc>
          <w:tcPr>
            <w:tcW w:w="1440" w:type="dxa"/>
            <w:noWrap/>
            <w:hideMark/>
          </w:tcPr>
          <w:p w14:paraId="5C35C5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70.6%</w:t>
            </w:r>
          </w:p>
        </w:tc>
        <w:tc>
          <w:tcPr>
            <w:tcW w:w="1440" w:type="dxa"/>
            <w:noWrap/>
            <w:hideMark/>
          </w:tcPr>
          <w:p w14:paraId="15EF13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70.6%</w:t>
            </w:r>
          </w:p>
        </w:tc>
        <w:tc>
          <w:tcPr>
            <w:tcW w:w="1440" w:type="dxa"/>
            <w:noWrap/>
            <w:hideMark/>
          </w:tcPr>
          <w:p w14:paraId="0FBFEF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69.6%</w:t>
            </w:r>
          </w:p>
        </w:tc>
      </w:tr>
      <w:tr w:rsidR="006253A9" w:rsidRPr="006253A9" w14:paraId="09A6EA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7D3D23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0230</w:t>
            </w:r>
          </w:p>
        </w:tc>
        <w:tc>
          <w:tcPr>
            <w:tcW w:w="2880" w:type="dxa"/>
            <w:noWrap/>
            <w:hideMark/>
          </w:tcPr>
          <w:p w14:paraId="1434467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Pelham</w:t>
            </w:r>
          </w:p>
        </w:tc>
        <w:tc>
          <w:tcPr>
            <w:tcW w:w="1455" w:type="dxa"/>
            <w:noWrap/>
            <w:hideMark/>
          </w:tcPr>
          <w:p w14:paraId="348056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$1,752,493</w:t>
            </w:r>
          </w:p>
        </w:tc>
        <w:tc>
          <w:tcPr>
            <w:tcW w:w="1440" w:type="dxa"/>
            <w:noWrap/>
            <w:hideMark/>
          </w:tcPr>
          <w:p w14:paraId="3A7C2A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40" w:type="dxa"/>
            <w:noWrap/>
            <w:hideMark/>
          </w:tcPr>
          <w:p w14:paraId="4873AE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53.2%</w:t>
            </w:r>
          </w:p>
        </w:tc>
        <w:tc>
          <w:tcPr>
            <w:tcW w:w="1440" w:type="dxa"/>
            <w:noWrap/>
            <w:hideMark/>
          </w:tcPr>
          <w:p w14:paraId="18F937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81.5%</w:t>
            </w:r>
          </w:p>
        </w:tc>
        <w:tc>
          <w:tcPr>
            <w:tcW w:w="1455" w:type="dxa"/>
            <w:noWrap/>
            <w:hideMark/>
          </w:tcPr>
          <w:p w14:paraId="2BE106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$1,650,555</w:t>
            </w:r>
          </w:p>
        </w:tc>
        <w:tc>
          <w:tcPr>
            <w:tcW w:w="1440" w:type="dxa"/>
            <w:noWrap/>
            <w:hideMark/>
          </w:tcPr>
          <w:p w14:paraId="72BBC3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c>
          <w:tcPr>
            <w:tcW w:w="1440" w:type="dxa"/>
            <w:noWrap/>
            <w:hideMark/>
          </w:tcPr>
          <w:p w14:paraId="283BF5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c>
          <w:tcPr>
            <w:tcW w:w="1440" w:type="dxa"/>
            <w:noWrap/>
            <w:hideMark/>
          </w:tcPr>
          <w:p w14:paraId="1F332F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75.9%</w:t>
            </w:r>
          </w:p>
        </w:tc>
      </w:tr>
      <w:tr w:rsidR="006253A9" w:rsidRPr="006253A9" w14:paraId="4A7D47A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371DB9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0231</w:t>
            </w:r>
          </w:p>
        </w:tc>
        <w:tc>
          <w:tcPr>
            <w:tcW w:w="2880" w:type="dxa"/>
            <w:noWrap/>
            <w:hideMark/>
          </w:tcPr>
          <w:p w14:paraId="22013E1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Pembroke</w:t>
            </w:r>
          </w:p>
        </w:tc>
        <w:tc>
          <w:tcPr>
            <w:tcW w:w="1455" w:type="dxa"/>
            <w:noWrap/>
            <w:hideMark/>
          </w:tcPr>
          <w:p w14:paraId="24B8C2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$24,815,140</w:t>
            </w:r>
          </w:p>
        </w:tc>
        <w:tc>
          <w:tcPr>
            <w:tcW w:w="1440" w:type="dxa"/>
            <w:noWrap/>
            <w:hideMark/>
          </w:tcPr>
          <w:p w14:paraId="5F12BAB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58.7%</w:t>
            </w:r>
          </w:p>
        </w:tc>
        <w:tc>
          <w:tcPr>
            <w:tcW w:w="1440" w:type="dxa"/>
            <w:noWrap/>
            <w:hideMark/>
          </w:tcPr>
          <w:p w14:paraId="6C9145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58.7%</w:t>
            </w:r>
          </w:p>
        </w:tc>
        <w:tc>
          <w:tcPr>
            <w:tcW w:w="1440" w:type="dxa"/>
            <w:noWrap/>
            <w:hideMark/>
          </w:tcPr>
          <w:p w14:paraId="1C1711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59.4%</w:t>
            </w:r>
          </w:p>
        </w:tc>
        <w:tc>
          <w:tcPr>
            <w:tcW w:w="1455" w:type="dxa"/>
            <w:noWrap/>
            <w:hideMark/>
          </w:tcPr>
          <w:p w14:paraId="3C058E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$31,408,204</w:t>
            </w:r>
          </w:p>
        </w:tc>
        <w:tc>
          <w:tcPr>
            <w:tcW w:w="1440" w:type="dxa"/>
            <w:noWrap/>
            <w:hideMark/>
          </w:tcPr>
          <w:p w14:paraId="3C2AF6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66.5%</w:t>
            </w:r>
          </w:p>
        </w:tc>
        <w:tc>
          <w:tcPr>
            <w:tcW w:w="1440" w:type="dxa"/>
            <w:noWrap/>
            <w:hideMark/>
          </w:tcPr>
          <w:p w14:paraId="574772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66.5%</w:t>
            </w:r>
          </w:p>
        </w:tc>
        <w:tc>
          <w:tcPr>
            <w:tcW w:w="1440" w:type="dxa"/>
            <w:noWrap/>
            <w:hideMark/>
          </w:tcPr>
          <w:p w14:paraId="6B08C5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66.0%</w:t>
            </w:r>
          </w:p>
        </w:tc>
      </w:tr>
      <w:tr w:rsidR="006253A9" w:rsidRPr="006253A9" w14:paraId="53D622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3321B0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0232</w:t>
            </w:r>
          </w:p>
        </w:tc>
        <w:tc>
          <w:tcPr>
            <w:tcW w:w="2880" w:type="dxa"/>
            <w:noWrap/>
            <w:hideMark/>
          </w:tcPr>
          <w:p w14:paraId="7444653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Pepperell</w:t>
            </w:r>
          </w:p>
        </w:tc>
        <w:tc>
          <w:tcPr>
            <w:tcW w:w="1455" w:type="dxa"/>
            <w:noWrap/>
            <w:hideMark/>
          </w:tcPr>
          <w:p w14:paraId="7EECB2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$17,450,735</w:t>
            </w:r>
          </w:p>
        </w:tc>
        <w:tc>
          <w:tcPr>
            <w:tcW w:w="1440" w:type="dxa"/>
            <w:noWrap/>
            <w:hideMark/>
          </w:tcPr>
          <w:p w14:paraId="59921E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w:t>
            </w:r>
          </w:p>
        </w:tc>
        <w:tc>
          <w:tcPr>
            <w:tcW w:w="1440" w:type="dxa"/>
            <w:noWrap/>
            <w:hideMark/>
          </w:tcPr>
          <w:p w14:paraId="55A082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w:t>
            </w:r>
          </w:p>
        </w:tc>
        <w:tc>
          <w:tcPr>
            <w:tcW w:w="1440" w:type="dxa"/>
            <w:noWrap/>
            <w:hideMark/>
          </w:tcPr>
          <w:p w14:paraId="09B59A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43.1%</w:t>
            </w:r>
          </w:p>
        </w:tc>
        <w:tc>
          <w:tcPr>
            <w:tcW w:w="1455" w:type="dxa"/>
            <w:noWrap/>
            <w:hideMark/>
          </w:tcPr>
          <w:p w14:paraId="16F4F8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$18,378,478</w:t>
            </w:r>
          </w:p>
        </w:tc>
        <w:tc>
          <w:tcPr>
            <w:tcW w:w="1440" w:type="dxa"/>
            <w:noWrap/>
            <w:hideMark/>
          </w:tcPr>
          <w:p w14:paraId="4EE430E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c>
          <w:tcPr>
            <w:tcW w:w="1440" w:type="dxa"/>
            <w:noWrap/>
            <w:hideMark/>
          </w:tcPr>
          <w:p w14:paraId="2334C1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c>
          <w:tcPr>
            <w:tcW w:w="1440" w:type="dxa"/>
            <w:noWrap/>
            <w:hideMark/>
          </w:tcPr>
          <w:p w14:paraId="39E651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59.1%</w:t>
            </w:r>
          </w:p>
        </w:tc>
      </w:tr>
      <w:tr w:rsidR="006253A9" w:rsidRPr="006253A9" w14:paraId="45A0086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F24A2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0233</w:t>
            </w:r>
          </w:p>
        </w:tc>
        <w:tc>
          <w:tcPr>
            <w:tcW w:w="2880" w:type="dxa"/>
            <w:noWrap/>
            <w:hideMark/>
          </w:tcPr>
          <w:p w14:paraId="6214266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Peru</w:t>
            </w:r>
          </w:p>
        </w:tc>
        <w:tc>
          <w:tcPr>
            <w:tcW w:w="1455" w:type="dxa"/>
            <w:noWrap/>
            <w:hideMark/>
          </w:tcPr>
          <w:p w14:paraId="3A12A5B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$1,314,627</w:t>
            </w:r>
          </w:p>
        </w:tc>
        <w:tc>
          <w:tcPr>
            <w:tcW w:w="1440" w:type="dxa"/>
            <w:noWrap/>
            <w:hideMark/>
          </w:tcPr>
          <w:p w14:paraId="786B7A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28.1%</w:t>
            </w:r>
          </w:p>
        </w:tc>
        <w:tc>
          <w:tcPr>
            <w:tcW w:w="1440" w:type="dxa"/>
            <w:noWrap/>
            <w:hideMark/>
          </w:tcPr>
          <w:p w14:paraId="4E52DB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28.1%</w:t>
            </w:r>
          </w:p>
        </w:tc>
        <w:tc>
          <w:tcPr>
            <w:tcW w:w="1440" w:type="dxa"/>
            <w:noWrap/>
            <w:hideMark/>
          </w:tcPr>
          <w:p w14:paraId="5BC8D1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36.2%</w:t>
            </w:r>
          </w:p>
        </w:tc>
        <w:tc>
          <w:tcPr>
            <w:tcW w:w="1455" w:type="dxa"/>
            <w:noWrap/>
            <w:hideMark/>
          </w:tcPr>
          <w:p w14:paraId="4219E1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$1,204,306</w:t>
            </w:r>
          </w:p>
        </w:tc>
        <w:tc>
          <w:tcPr>
            <w:tcW w:w="1440" w:type="dxa"/>
            <w:noWrap/>
            <w:hideMark/>
          </w:tcPr>
          <w:p w14:paraId="75F79E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47.8%</w:t>
            </w:r>
          </w:p>
        </w:tc>
        <w:tc>
          <w:tcPr>
            <w:tcW w:w="1440" w:type="dxa"/>
            <w:noWrap/>
            <w:hideMark/>
          </w:tcPr>
          <w:p w14:paraId="377673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47.8%</w:t>
            </w:r>
          </w:p>
        </w:tc>
        <w:tc>
          <w:tcPr>
            <w:tcW w:w="1440" w:type="dxa"/>
            <w:noWrap/>
            <w:hideMark/>
          </w:tcPr>
          <w:p w14:paraId="564239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45.8%</w:t>
            </w:r>
          </w:p>
        </w:tc>
      </w:tr>
      <w:tr w:rsidR="006253A9" w:rsidRPr="006253A9" w14:paraId="01A24D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6FC3F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0234</w:t>
            </w:r>
          </w:p>
        </w:tc>
        <w:tc>
          <w:tcPr>
            <w:tcW w:w="2880" w:type="dxa"/>
            <w:noWrap/>
            <w:hideMark/>
          </w:tcPr>
          <w:p w14:paraId="05BDC56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Petersham</w:t>
            </w:r>
          </w:p>
        </w:tc>
        <w:tc>
          <w:tcPr>
            <w:tcW w:w="1455" w:type="dxa"/>
            <w:noWrap/>
            <w:hideMark/>
          </w:tcPr>
          <w:p w14:paraId="5C4BD9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$1,651,947</w:t>
            </w:r>
          </w:p>
        </w:tc>
        <w:tc>
          <w:tcPr>
            <w:tcW w:w="1440" w:type="dxa"/>
            <w:noWrap/>
            <w:hideMark/>
          </w:tcPr>
          <w:p w14:paraId="64E82E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51.6%</w:t>
            </w:r>
          </w:p>
        </w:tc>
        <w:tc>
          <w:tcPr>
            <w:tcW w:w="1440" w:type="dxa"/>
            <w:noWrap/>
            <w:hideMark/>
          </w:tcPr>
          <w:p w14:paraId="3A5C50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51.6%</w:t>
            </w:r>
          </w:p>
        </w:tc>
        <w:tc>
          <w:tcPr>
            <w:tcW w:w="1440" w:type="dxa"/>
            <w:noWrap/>
            <w:hideMark/>
          </w:tcPr>
          <w:p w14:paraId="0278C1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54.3%</w:t>
            </w:r>
          </w:p>
        </w:tc>
        <w:tc>
          <w:tcPr>
            <w:tcW w:w="1455" w:type="dxa"/>
            <w:noWrap/>
            <w:hideMark/>
          </w:tcPr>
          <w:p w14:paraId="6DB426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$1,624,780</w:t>
            </w:r>
          </w:p>
        </w:tc>
        <w:tc>
          <w:tcPr>
            <w:tcW w:w="1440" w:type="dxa"/>
            <w:noWrap/>
            <w:hideMark/>
          </w:tcPr>
          <w:p w14:paraId="33272D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c>
          <w:tcPr>
            <w:tcW w:w="1440" w:type="dxa"/>
            <w:noWrap/>
            <w:hideMark/>
          </w:tcPr>
          <w:p w14:paraId="01001E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c>
          <w:tcPr>
            <w:tcW w:w="1440" w:type="dxa"/>
            <w:noWrap/>
            <w:hideMark/>
          </w:tcPr>
          <w:p w14:paraId="7C91D4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69.2%</w:t>
            </w:r>
          </w:p>
        </w:tc>
      </w:tr>
      <w:tr w:rsidR="006253A9" w:rsidRPr="006253A9" w14:paraId="4DC62E4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A7AB52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0235</w:t>
            </w:r>
          </w:p>
        </w:tc>
        <w:tc>
          <w:tcPr>
            <w:tcW w:w="2880" w:type="dxa"/>
            <w:noWrap/>
            <w:hideMark/>
          </w:tcPr>
          <w:p w14:paraId="6085047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Phillipston</w:t>
            </w:r>
          </w:p>
        </w:tc>
        <w:tc>
          <w:tcPr>
            <w:tcW w:w="1455" w:type="dxa"/>
            <w:noWrap/>
            <w:hideMark/>
          </w:tcPr>
          <w:p w14:paraId="6A0855D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$2,636,431</w:t>
            </w:r>
          </w:p>
        </w:tc>
        <w:tc>
          <w:tcPr>
            <w:tcW w:w="1440" w:type="dxa"/>
            <w:noWrap/>
            <w:hideMark/>
          </w:tcPr>
          <w:p w14:paraId="5CD1FD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38.5%</w:t>
            </w:r>
          </w:p>
        </w:tc>
        <w:tc>
          <w:tcPr>
            <w:tcW w:w="1440" w:type="dxa"/>
            <w:noWrap/>
            <w:hideMark/>
          </w:tcPr>
          <w:p w14:paraId="7EF46D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38.5%</w:t>
            </w:r>
          </w:p>
        </w:tc>
        <w:tc>
          <w:tcPr>
            <w:tcW w:w="1440" w:type="dxa"/>
            <w:noWrap/>
            <w:hideMark/>
          </w:tcPr>
          <w:p w14:paraId="0218DF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38.7%</w:t>
            </w:r>
          </w:p>
        </w:tc>
        <w:tc>
          <w:tcPr>
            <w:tcW w:w="1455" w:type="dxa"/>
            <w:noWrap/>
            <w:hideMark/>
          </w:tcPr>
          <w:p w14:paraId="0F45E6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$2,702,132</w:t>
            </w:r>
          </w:p>
        </w:tc>
        <w:tc>
          <w:tcPr>
            <w:tcW w:w="1440" w:type="dxa"/>
            <w:noWrap/>
            <w:hideMark/>
          </w:tcPr>
          <w:p w14:paraId="07B3AB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c>
          <w:tcPr>
            <w:tcW w:w="1440" w:type="dxa"/>
            <w:noWrap/>
            <w:hideMark/>
          </w:tcPr>
          <w:p w14:paraId="12D2AE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51.7%</w:t>
            </w:r>
          </w:p>
        </w:tc>
        <w:tc>
          <w:tcPr>
            <w:tcW w:w="1440" w:type="dxa"/>
            <w:noWrap/>
            <w:hideMark/>
          </w:tcPr>
          <w:p w14:paraId="378A400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51.2%</w:t>
            </w:r>
          </w:p>
        </w:tc>
      </w:tr>
      <w:tr w:rsidR="006253A9" w:rsidRPr="006253A9" w14:paraId="3932EB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EADB7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0236</w:t>
            </w:r>
          </w:p>
        </w:tc>
        <w:tc>
          <w:tcPr>
            <w:tcW w:w="2880" w:type="dxa"/>
            <w:noWrap/>
            <w:hideMark/>
          </w:tcPr>
          <w:p w14:paraId="3AF27DD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Pittsfield</w:t>
            </w:r>
          </w:p>
        </w:tc>
        <w:tc>
          <w:tcPr>
            <w:tcW w:w="1455" w:type="dxa"/>
            <w:noWrap/>
            <w:hideMark/>
          </w:tcPr>
          <w:p w14:paraId="03D23C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$57,082,753</w:t>
            </w:r>
          </w:p>
        </w:tc>
        <w:tc>
          <w:tcPr>
            <w:tcW w:w="1440" w:type="dxa"/>
            <w:noWrap/>
            <w:hideMark/>
          </w:tcPr>
          <w:p w14:paraId="335A93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39.1%</w:t>
            </w:r>
          </w:p>
        </w:tc>
        <w:tc>
          <w:tcPr>
            <w:tcW w:w="1440" w:type="dxa"/>
            <w:noWrap/>
            <w:hideMark/>
          </w:tcPr>
          <w:p w14:paraId="34EB1E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39.1%</w:t>
            </w:r>
          </w:p>
        </w:tc>
        <w:tc>
          <w:tcPr>
            <w:tcW w:w="1440" w:type="dxa"/>
            <w:noWrap/>
            <w:hideMark/>
          </w:tcPr>
          <w:p w14:paraId="3AFE28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55" w:type="dxa"/>
            <w:noWrap/>
            <w:hideMark/>
          </w:tcPr>
          <w:p w14:paraId="43610D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$75,857,281</w:t>
            </w:r>
          </w:p>
        </w:tc>
        <w:tc>
          <w:tcPr>
            <w:tcW w:w="1440" w:type="dxa"/>
            <w:noWrap/>
            <w:hideMark/>
          </w:tcPr>
          <w:p w14:paraId="7D3E7B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38.8%</w:t>
            </w:r>
          </w:p>
        </w:tc>
        <w:tc>
          <w:tcPr>
            <w:tcW w:w="1440" w:type="dxa"/>
            <w:noWrap/>
            <w:hideMark/>
          </w:tcPr>
          <w:p w14:paraId="6112A8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38.8%</w:t>
            </w:r>
          </w:p>
        </w:tc>
        <w:tc>
          <w:tcPr>
            <w:tcW w:w="1440" w:type="dxa"/>
            <w:noWrap/>
            <w:hideMark/>
          </w:tcPr>
          <w:p w14:paraId="23D4E3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37.1%</w:t>
            </w:r>
          </w:p>
        </w:tc>
      </w:tr>
      <w:tr w:rsidR="006253A9" w:rsidRPr="006253A9" w14:paraId="423D8D0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191205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0237</w:t>
            </w:r>
          </w:p>
        </w:tc>
        <w:tc>
          <w:tcPr>
            <w:tcW w:w="2880" w:type="dxa"/>
            <w:noWrap/>
            <w:hideMark/>
          </w:tcPr>
          <w:p w14:paraId="6792632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Plainfield</w:t>
            </w:r>
          </w:p>
        </w:tc>
        <w:tc>
          <w:tcPr>
            <w:tcW w:w="1455" w:type="dxa"/>
            <w:noWrap/>
            <w:hideMark/>
          </w:tcPr>
          <w:p w14:paraId="75F295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$690,794</w:t>
            </w:r>
          </w:p>
        </w:tc>
        <w:tc>
          <w:tcPr>
            <w:tcW w:w="1440" w:type="dxa"/>
            <w:noWrap/>
            <w:hideMark/>
          </w:tcPr>
          <w:p w14:paraId="766AA4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40" w:type="dxa"/>
            <w:noWrap/>
            <w:hideMark/>
          </w:tcPr>
          <w:p w14:paraId="7435D5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40" w:type="dxa"/>
            <w:noWrap/>
            <w:hideMark/>
          </w:tcPr>
          <w:p w14:paraId="504FA4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c>
          <w:tcPr>
            <w:tcW w:w="1455" w:type="dxa"/>
            <w:noWrap/>
            <w:hideMark/>
          </w:tcPr>
          <w:p w14:paraId="1A686C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$795,117</w:t>
            </w:r>
          </w:p>
        </w:tc>
        <w:tc>
          <w:tcPr>
            <w:tcW w:w="1440" w:type="dxa"/>
            <w:noWrap/>
            <w:hideMark/>
          </w:tcPr>
          <w:p w14:paraId="331AE5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67.2%</w:t>
            </w:r>
          </w:p>
        </w:tc>
        <w:tc>
          <w:tcPr>
            <w:tcW w:w="1440" w:type="dxa"/>
            <w:noWrap/>
            <w:hideMark/>
          </w:tcPr>
          <w:p w14:paraId="29F56A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67.2%</w:t>
            </w:r>
          </w:p>
        </w:tc>
        <w:tc>
          <w:tcPr>
            <w:tcW w:w="1440" w:type="dxa"/>
            <w:noWrap/>
            <w:hideMark/>
          </w:tcPr>
          <w:p w14:paraId="470C69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66.5%</w:t>
            </w:r>
          </w:p>
        </w:tc>
      </w:tr>
      <w:tr w:rsidR="006253A9" w:rsidRPr="006253A9" w14:paraId="09CEE8C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57EDD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0238</w:t>
            </w:r>
          </w:p>
        </w:tc>
        <w:tc>
          <w:tcPr>
            <w:tcW w:w="2880" w:type="dxa"/>
            <w:noWrap/>
            <w:hideMark/>
          </w:tcPr>
          <w:p w14:paraId="1E4CB9C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Plainville</w:t>
            </w:r>
          </w:p>
        </w:tc>
        <w:tc>
          <w:tcPr>
            <w:tcW w:w="1455" w:type="dxa"/>
            <w:noWrap/>
            <w:hideMark/>
          </w:tcPr>
          <w:p w14:paraId="007F21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$11,350,611</w:t>
            </w:r>
          </w:p>
        </w:tc>
        <w:tc>
          <w:tcPr>
            <w:tcW w:w="1440" w:type="dxa"/>
            <w:noWrap/>
            <w:hideMark/>
          </w:tcPr>
          <w:p w14:paraId="282552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56.0%</w:t>
            </w:r>
          </w:p>
        </w:tc>
        <w:tc>
          <w:tcPr>
            <w:tcW w:w="1440" w:type="dxa"/>
            <w:noWrap/>
            <w:hideMark/>
          </w:tcPr>
          <w:p w14:paraId="3ADA44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56.0%</w:t>
            </w:r>
          </w:p>
        </w:tc>
        <w:tc>
          <w:tcPr>
            <w:tcW w:w="1440" w:type="dxa"/>
            <w:noWrap/>
            <w:hideMark/>
          </w:tcPr>
          <w:p w14:paraId="628E45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57.4%</w:t>
            </w:r>
          </w:p>
        </w:tc>
        <w:tc>
          <w:tcPr>
            <w:tcW w:w="1455" w:type="dxa"/>
            <w:noWrap/>
            <w:hideMark/>
          </w:tcPr>
          <w:p w14:paraId="06FCCE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$14,993,404</w:t>
            </w:r>
          </w:p>
        </w:tc>
        <w:tc>
          <w:tcPr>
            <w:tcW w:w="1440" w:type="dxa"/>
            <w:noWrap/>
            <w:hideMark/>
          </w:tcPr>
          <w:p w14:paraId="2B9A6E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70.5%</w:t>
            </w:r>
          </w:p>
        </w:tc>
        <w:tc>
          <w:tcPr>
            <w:tcW w:w="1440" w:type="dxa"/>
            <w:noWrap/>
            <w:hideMark/>
          </w:tcPr>
          <w:p w14:paraId="5E8B24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70.5%</w:t>
            </w:r>
          </w:p>
        </w:tc>
        <w:tc>
          <w:tcPr>
            <w:tcW w:w="1440" w:type="dxa"/>
            <w:noWrap/>
            <w:hideMark/>
          </w:tcPr>
          <w:p w14:paraId="1B0E2C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70.5%</w:t>
            </w:r>
          </w:p>
        </w:tc>
      </w:tr>
      <w:tr w:rsidR="006253A9" w:rsidRPr="006253A9" w14:paraId="5F5C86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1C5A4F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0239</w:t>
            </w:r>
          </w:p>
        </w:tc>
        <w:tc>
          <w:tcPr>
            <w:tcW w:w="2880" w:type="dxa"/>
            <w:noWrap/>
            <w:hideMark/>
          </w:tcPr>
          <w:p w14:paraId="76565CD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Plymouth</w:t>
            </w:r>
          </w:p>
        </w:tc>
        <w:tc>
          <w:tcPr>
            <w:tcW w:w="1455" w:type="dxa"/>
            <w:noWrap/>
            <w:hideMark/>
          </w:tcPr>
          <w:p w14:paraId="6A3383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$70,785,948</w:t>
            </w:r>
          </w:p>
        </w:tc>
        <w:tc>
          <w:tcPr>
            <w:tcW w:w="1440" w:type="dxa"/>
            <w:noWrap/>
            <w:hideMark/>
          </w:tcPr>
          <w:p w14:paraId="5549EE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65.5%</w:t>
            </w:r>
          </w:p>
        </w:tc>
        <w:tc>
          <w:tcPr>
            <w:tcW w:w="1440" w:type="dxa"/>
            <w:noWrap/>
            <w:hideMark/>
          </w:tcPr>
          <w:p w14:paraId="105D9B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65.5%</w:t>
            </w:r>
          </w:p>
        </w:tc>
        <w:tc>
          <w:tcPr>
            <w:tcW w:w="1440" w:type="dxa"/>
            <w:noWrap/>
            <w:hideMark/>
          </w:tcPr>
          <w:p w14:paraId="721625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74.3%</w:t>
            </w:r>
          </w:p>
        </w:tc>
        <w:tc>
          <w:tcPr>
            <w:tcW w:w="1455" w:type="dxa"/>
            <w:noWrap/>
            <w:hideMark/>
          </w:tcPr>
          <w:p w14:paraId="56AC3C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$93,345,303</w:t>
            </w:r>
          </w:p>
        </w:tc>
        <w:tc>
          <w:tcPr>
            <w:tcW w:w="1440" w:type="dxa"/>
            <w:noWrap/>
            <w:hideMark/>
          </w:tcPr>
          <w:p w14:paraId="2891AC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75.9%</w:t>
            </w:r>
          </w:p>
        </w:tc>
        <w:tc>
          <w:tcPr>
            <w:tcW w:w="1440" w:type="dxa"/>
            <w:noWrap/>
            <w:hideMark/>
          </w:tcPr>
          <w:p w14:paraId="778973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75.9%</w:t>
            </w:r>
          </w:p>
        </w:tc>
        <w:tc>
          <w:tcPr>
            <w:tcW w:w="1440" w:type="dxa"/>
            <w:noWrap/>
            <w:hideMark/>
          </w:tcPr>
          <w:p w14:paraId="6F1A4F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73.6%</w:t>
            </w:r>
          </w:p>
        </w:tc>
      </w:tr>
      <w:tr w:rsidR="006253A9" w:rsidRPr="006253A9" w14:paraId="727B50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BA79B7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0240</w:t>
            </w:r>
          </w:p>
        </w:tc>
        <w:tc>
          <w:tcPr>
            <w:tcW w:w="2880" w:type="dxa"/>
            <w:noWrap/>
            <w:hideMark/>
          </w:tcPr>
          <w:p w14:paraId="6805529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Plympton</w:t>
            </w:r>
          </w:p>
        </w:tc>
        <w:tc>
          <w:tcPr>
            <w:tcW w:w="1455" w:type="dxa"/>
            <w:noWrap/>
            <w:hideMark/>
          </w:tcPr>
          <w:p w14:paraId="2F3F5E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$3,609,926</w:t>
            </w:r>
          </w:p>
        </w:tc>
        <w:tc>
          <w:tcPr>
            <w:tcW w:w="1440" w:type="dxa"/>
            <w:noWrap/>
            <w:hideMark/>
          </w:tcPr>
          <w:p w14:paraId="2D164C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64.5%</w:t>
            </w:r>
          </w:p>
        </w:tc>
        <w:tc>
          <w:tcPr>
            <w:tcW w:w="1440" w:type="dxa"/>
            <w:noWrap/>
            <w:hideMark/>
          </w:tcPr>
          <w:p w14:paraId="4B712B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64.5%</w:t>
            </w:r>
          </w:p>
        </w:tc>
        <w:tc>
          <w:tcPr>
            <w:tcW w:w="1440" w:type="dxa"/>
            <w:noWrap/>
            <w:hideMark/>
          </w:tcPr>
          <w:p w14:paraId="4F9F9D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77.8%</w:t>
            </w:r>
          </w:p>
        </w:tc>
        <w:tc>
          <w:tcPr>
            <w:tcW w:w="1455" w:type="dxa"/>
            <w:noWrap/>
            <w:hideMark/>
          </w:tcPr>
          <w:p w14:paraId="39693D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$4,779,378</w:t>
            </w:r>
          </w:p>
        </w:tc>
        <w:tc>
          <w:tcPr>
            <w:tcW w:w="1440" w:type="dxa"/>
            <w:noWrap/>
            <w:hideMark/>
          </w:tcPr>
          <w:p w14:paraId="1566F6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40" w:type="dxa"/>
            <w:noWrap/>
            <w:hideMark/>
          </w:tcPr>
          <w:p w14:paraId="29F8A2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c>
          <w:tcPr>
            <w:tcW w:w="1440" w:type="dxa"/>
            <w:noWrap/>
            <w:hideMark/>
          </w:tcPr>
          <w:p w14:paraId="427A8C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74.4%</w:t>
            </w:r>
          </w:p>
        </w:tc>
      </w:tr>
      <w:tr w:rsidR="006253A9" w:rsidRPr="006253A9" w14:paraId="2FDD33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C0CB2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0241</w:t>
            </w:r>
          </w:p>
        </w:tc>
        <w:tc>
          <w:tcPr>
            <w:tcW w:w="2880" w:type="dxa"/>
            <w:noWrap/>
            <w:hideMark/>
          </w:tcPr>
          <w:p w14:paraId="223DB51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Princeton</w:t>
            </w:r>
          </w:p>
        </w:tc>
        <w:tc>
          <w:tcPr>
            <w:tcW w:w="1455" w:type="dxa"/>
            <w:noWrap/>
            <w:hideMark/>
          </w:tcPr>
          <w:p w14:paraId="3458EF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$4,553,662</w:t>
            </w:r>
          </w:p>
        </w:tc>
        <w:tc>
          <w:tcPr>
            <w:tcW w:w="1440" w:type="dxa"/>
            <w:noWrap/>
            <w:hideMark/>
          </w:tcPr>
          <w:p w14:paraId="52F53B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79.3%</w:t>
            </w:r>
          </w:p>
        </w:tc>
        <w:tc>
          <w:tcPr>
            <w:tcW w:w="1440" w:type="dxa"/>
            <w:noWrap/>
            <w:hideMark/>
          </w:tcPr>
          <w:p w14:paraId="24F9AD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79.3%</w:t>
            </w:r>
          </w:p>
        </w:tc>
        <w:tc>
          <w:tcPr>
            <w:tcW w:w="1440" w:type="dxa"/>
            <w:noWrap/>
            <w:hideMark/>
          </w:tcPr>
          <w:p w14:paraId="1994BE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82.9%</w:t>
            </w:r>
          </w:p>
        </w:tc>
        <w:tc>
          <w:tcPr>
            <w:tcW w:w="1455" w:type="dxa"/>
            <w:noWrap/>
            <w:hideMark/>
          </w:tcPr>
          <w:p w14:paraId="7A4D69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$4,771,566</w:t>
            </w:r>
          </w:p>
        </w:tc>
        <w:tc>
          <w:tcPr>
            <w:tcW w:w="1440" w:type="dxa"/>
            <w:noWrap/>
            <w:hideMark/>
          </w:tcPr>
          <w:p w14:paraId="06E370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93.5%</w:t>
            </w:r>
          </w:p>
        </w:tc>
        <w:tc>
          <w:tcPr>
            <w:tcW w:w="1440" w:type="dxa"/>
            <w:noWrap/>
            <w:hideMark/>
          </w:tcPr>
          <w:p w14:paraId="5E71B5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B55A6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447D4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41CFC2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0242</w:t>
            </w:r>
          </w:p>
        </w:tc>
        <w:tc>
          <w:tcPr>
            <w:tcW w:w="2880" w:type="dxa"/>
            <w:noWrap/>
            <w:hideMark/>
          </w:tcPr>
          <w:p w14:paraId="77018EA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Provincetown</w:t>
            </w:r>
          </w:p>
        </w:tc>
        <w:tc>
          <w:tcPr>
            <w:tcW w:w="1455" w:type="dxa"/>
            <w:noWrap/>
            <w:hideMark/>
          </w:tcPr>
          <w:p w14:paraId="11CB53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$1,396,195</w:t>
            </w:r>
          </w:p>
        </w:tc>
        <w:tc>
          <w:tcPr>
            <w:tcW w:w="1440" w:type="dxa"/>
            <w:noWrap/>
            <w:hideMark/>
          </w:tcPr>
          <w:p w14:paraId="403CCE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571.7%</w:t>
            </w:r>
          </w:p>
        </w:tc>
        <w:tc>
          <w:tcPr>
            <w:tcW w:w="1440" w:type="dxa"/>
            <w:noWrap/>
            <w:hideMark/>
          </w:tcPr>
          <w:p w14:paraId="77C8A6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7B7F4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150.0%</w:t>
            </w:r>
          </w:p>
        </w:tc>
        <w:tc>
          <w:tcPr>
            <w:tcW w:w="1455" w:type="dxa"/>
            <w:noWrap/>
            <w:hideMark/>
          </w:tcPr>
          <w:p w14:paraId="1731E4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$1,584,351</w:t>
            </w:r>
          </w:p>
        </w:tc>
        <w:tc>
          <w:tcPr>
            <w:tcW w:w="1440" w:type="dxa"/>
            <w:noWrap/>
            <w:hideMark/>
          </w:tcPr>
          <w:p w14:paraId="700EDB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833.3%</w:t>
            </w:r>
          </w:p>
        </w:tc>
        <w:tc>
          <w:tcPr>
            <w:tcW w:w="1440" w:type="dxa"/>
            <w:noWrap/>
            <w:hideMark/>
          </w:tcPr>
          <w:p w14:paraId="050C31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FC8C5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1BB128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A785A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0243</w:t>
            </w:r>
          </w:p>
        </w:tc>
        <w:tc>
          <w:tcPr>
            <w:tcW w:w="2880" w:type="dxa"/>
            <w:noWrap/>
            <w:hideMark/>
          </w:tcPr>
          <w:p w14:paraId="0FC02E8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Quincy</w:t>
            </w:r>
          </w:p>
        </w:tc>
        <w:tc>
          <w:tcPr>
            <w:tcW w:w="1455" w:type="dxa"/>
            <w:noWrap/>
            <w:hideMark/>
          </w:tcPr>
          <w:p w14:paraId="5AC645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$78,243,742</w:t>
            </w:r>
          </w:p>
        </w:tc>
        <w:tc>
          <w:tcPr>
            <w:tcW w:w="1440" w:type="dxa"/>
            <w:noWrap/>
            <w:hideMark/>
          </w:tcPr>
          <w:p w14:paraId="03583E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86.5%</w:t>
            </w:r>
          </w:p>
        </w:tc>
        <w:tc>
          <w:tcPr>
            <w:tcW w:w="1440" w:type="dxa"/>
            <w:noWrap/>
            <w:hideMark/>
          </w:tcPr>
          <w:p w14:paraId="6B6ABF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9500C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87.0%</w:t>
            </w:r>
          </w:p>
        </w:tc>
        <w:tc>
          <w:tcPr>
            <w:tcW w:w="1455" w:type="dxa"/>
            <w:noWrap/>
            <w:hideMark/>
          </w:tcPr>
          <w:p w14:paraId="0F0CD9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$123,986,644</w:t>
            </w:r>
          </w:p>
        </w:tc>
        <w:tc>
          <w:tcPr>
            <w:tcW w:w="1440" w:type="dxa"/>
            <w:noWrap/>
            <w:hideMark/>
          </w:tcPr>
          <w:p w14:paraId="7AFD47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82.9%</w:t>
            </w:r>
          </w:p>
        </w:tc>
        <w:tc>
          <w:tcPr>
            <w:tcW w:w="1440" w:type="dxa"/>
            <w:noWrap/>
            <w:hideMark/>
          </w:tcPr>
          <w:p w14:paraId="61B154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AFA5C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77.4%</w:t>
            </w:r>
          </w:p>
        </w:tc>
      </w:tr>
      <w:tr w:rsidR="006253A9" w:rsidRPr="006253A9" w14:paraId="095A940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C3C83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0244</w:t>
            </w:r>
          </w:p>
        </w:tc>
        <w:tc>
          <w:tcPr>
            <w:tcW w:w="2880" w:type="dxa"/>
            <w:noWrap/>
            <w:hideMark/>
          </w:tcPr>
          <w:p w14:paraId="11E4149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Randolph</w:t>
            </w:r>
          </w:p>
        </w:tc>
        <w:tc>
          <w:tcPr>
            <w:tcW w:w="1455" w:type="dxa"/>
            <w:noWrap/>
            <w:hideMark/>
          </w:tcPr>
          <w:p w14:paraId="75F774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$34,530,908</w:t>
            </w:r>
          </w:p>
        </w:tc>
        <w:tc>
          <w:tcPr>
            <w:tcW w:w="1440" w:type="dxa"/>
            <w:noWrap/>
            <w:hideMark/>
          </w:tcPr>
          <w:p w14:paraId="313C0A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60.0%</w:t>
            </w:r>
          </w:p>
        </w:tc>
        <w:tc>
          <w:tcPr>
            <w:tcW w:w="1440" w:type="dxa"/>
            <w:noWrap/>
            <w:hideMark/>
          </w:tcPr>
          <w:p w14:paraId="676F2B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60.0%</w:t>
            </w:r>
          </w:p>
        </w:tc>
        <w:tc>
          <w:tcPr>
            <w:tcW w:w="1440" w:type="dxa"/>
            <w:noWrap/>
            <w:hideMark/>
          </w:tcPr>
          <w:p w14:paraId="2EE010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68.0%</w:t>
            </w:r>
          </w:p>
        </w:tc>
        <w:tc>
          <w:tcPr>
            <w:tcW w:w="1455" w:type="dxa"/>
            <w:noWrap/>
            <w:hideMark/>
          </w:tcPr>
          <w:p w14:paraId="64F8913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$46,278,467</w:t>
            </w:r>
          </w:p>
        </w:tc>
        <w:tc>
          <w:tcPr>
            <w:tcW w:w="1440" w:type="dxa"/>
            <w:noWrap/>
            <w:hideMark/>
          </w:tcPr>
          <w:p w14:paraId="2EE742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w:t>
            </w:r>
          </w:p>
        </w:tc>
        <w:tc>
          <w:tcPr>
            <w:tcW w:w="1440" w:type="dxa"/>
            <w:noWrap/>
            <w:hideMark/>
          </w:tcPr>
          <w:p w14:paraId="78FB3E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w:t>
            </w:r>
          </w:p>
        </w:tc>
        <w:tc>
          <w:tcPr>
            <w:tcW w:w="1440" w:type="dxa"/>
            <w:noWrap/>
            <w:hideMark/>
          </w:tcPr>
          <w:p w14:paraId="599377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55.0%</w:t>
            </w:r>
          </w:p>
        </w:tc>
      </w:tr>
      <w:tr w:rsidR="006253A9" w:rsidRPr="006253A9" w14:paraId="00F26B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EE9AA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0245</w:t>
            </w:r>
          </w:p>
        </w:tc>
        <w:tc>
          <w:tcPr>
            <w:tcW w:w="2880" w:type="dxa"/>
            <w:noWrap/>
            <w:hideMark/>
          </w:tcPr>
          <w:p w14:paraId="46B0C48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Raynham</w:t>
            </w:r>
          </w:p>
        </w:tc>
        <w:tc>
          <w:tcPr>
            <w:tcW w:w="1455" w:type="dxa"/>
            <w:noWrap/>
            <w:hideMark/>
          </w:tcPr>
          <w:p w14:paraId="067035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$16,735,549</w:t>
            </w:r>
          </w:p>
        </w:tc>
        <w:tc>
          <w:tcPr>
            <w:tcW w:w="1440" w:type="dxa"/>
            <w:noWrap/>
            <w:hideMark/>
          </w:tcPr>
          <w:p w14:paraId="19B7B9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w:t>
            </w:r>
          </w:p>
        </w:tc>
        <w:tc>
          <w:tcPr>
            <w:tcW w:w="1440" w:type="dxa"/>
            <w:noWrap/>
            <w:hideMark/>
          </w:tcPr>
          <w:p w14:paraId="385A40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w:t>
            </w:r>
          </w:p>
        </w:tc>
        <w:tc>
          <w:tcPr>
            <w:tcW w:w="1440" w:type="dxa"/>
            <w:noWrap/>
            <w:hideMark/>
          </w:tcPr>
          <w:p w14:paraId="797B22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55" w:type="dxa"/>
            <w:noWrap/>
            <w:hideMark/>
          </w:tcPr>
          <w:p w14:paraId="03F652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$26,121,149</w:t>
            </w:r>
          </w:p>
        </w:tc>
        <w:tc>
          <w:tcPr>
            <w:tcW w:w="1440" w:type="dxa"/>
            <w:noWrap/>
            <w:hideMark/>
          </w:tcPr>
          <w:p w14:paraId="1BC8ECD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60.8%</w:t>
            </w:r>
          </w:p>
        </w:tc>
        <w:tc>
          <w:tcPr>
            <w:tcW w:w="1440" w:type="dxa"/>
            <w:noWrap/>
            <w:hideMark/>
          </w:tcPr>
          <w:p w14:paraId="0631FD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60.8%</w:t>
            </w:r>
          </w:p>
        </w:tc>
        <w:tc>
          <w:tcPr>
            <w:tcW w:w="1440" w:type="dxa"/>
            <w:noWrap/>
            <w:hideMark/>
          </w:tcPr>
          <w:p w14:paraId="46DF55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59.8%</w:t>
            </w:r>
          </w:p>
        </w:tc>
      </w:tr>
      <w:tr w:rsidR="006253A9" w:rsidRPr="006253A9" w14:paraId="2138258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1BADD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0246</w:t>
            </w:r>
          </w:p>
        </w:tc>
        <w:tc>
          <w:tcPr>
            <w:tcW w:w="2880" w:type="dxa"/>
            <w:noWrap/>
            <w:hideMark/>
          </w:tcPr>
          <w:p w14:paraId="13E8E0D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Reading</w:t>
            </w:r>
          </w:p>
        </w:tc>
        <w:tc>
          <w:tcPr>
            <w:tcW w:w="1455" w:type="dxa"/>
            <w:noWrap/>
            <w:hideMark/>
          </w:tcPr>
          <w:p w14:paraId="680614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$31,712,318</w:t>
            </w:r>
          </w:p>
        </w:tc>
        <w:tc>
          <w:tcPr>
            <w:tcW w:w="1440" w:type="dxa"/>
            <w:noWrap/>
            <w:hideMark/>
          </w:tcPr>
          <w:p w14:paraId="4C5083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76.6%</w:t>
            </w:r>
          </w:p>
        </w:tc>
        <w:tc>
          <w:tcPr>
            <w:tcW w:w="1440" w:type="dxa"/>
            <w:noWrap/>
            <w:hideMark/>
          </w:tcPr>
          <w:p w14:paraId="47DA4A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76.6%</w:t>
            </w:r>
          </w:p>
        </w:tc>
        <w:tc>
          <w:tcPr>
            <w:tcW w:w="1440" w:type="dxa"/>
            <w:noWrap/>
            <w:hideMark/>
          </w:tcPr>
          <w:p w14:paraId="1C5A28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77.4%</w:t>
            </w:r>
          </w:p>
        </w:tc>
        <w:tc>
          <w:tcPr>
            <w:tcW w:w="1455" w:type="dxa"/>
            <w:noWrap/>
            <w:hideMark/>
          </w:tcPr>
          <w:p w14:paraId="49D775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$42,676,479</w:t>
            </w:r>
          </w:p>
        </w:tc>
        <w:tc>
          <w:tcPr>
            <w:tcW w:w="1440" w:type="dxa"/>
            <w:noWrap/>
            <w:hideMark/>
          </w:tcPr>
          <w:p w14:paraId="69C384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94.7%</w:t>
            </w:r>
          </w:p>
        </w:tc>
        <w:tc>
          <w:tcPr>
            <w:tcW w:w="1440" w:type="dxa"/>
            <w:noWrap/>
            <w:hideMark/>
          </w:tcPr>
          <w:p w14:paraId="0CC388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4558E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1419DE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046F7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0247</w:t>
            </w:r>
          </w:p>
        </w:tc>
        <w:tc>
          <w:tcPr>
            <w:tcW w:w="2880" w:type="dxa"/>
            <w:noWrap/>
            <w:hideMark/>
          </w:tcPr>
          <w:p w14:paraId="7F35877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Rehoboth</w:t>
            </w:r>
          </w:p>
        </w:tc>
        <w:tc>
          <w:tcPr>
            <w:tcW w:w="1455" w:type="dxa"/>
            <w:noWrap/>
            <w:hideMark/>
          </w:tcPr>
          <w:p w14:paraId="4399D8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$15,476,059</w:t>
            </w:r>
          </w:p>
        </w:tc>
        <w:tc>
          <w:tcPr>
            <w:tcW w:w="1440" w:type="dxa"/>
            <w:noWrap/>
            <w:hideMark/>
          </w:tcPr>
          <w:p w14:paraId="0000D3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w:t>
            </w:r>
          </w:p>
        </w:tc>
        <w:tc>
          <w:tcPr>
            <w:tcW w:w="1440" w:type="dxa"/>
            <w:noWrap/>
            <w:hideMark/>
          </w:tcPr>
          <w:p w14:paraId="3ABD57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63.3%</w:t>
            </w:r>
          </w:p>
        </w:tc>
        <w:tc>
          <w:tcPr>
            <w:tcW w:w="1440" w:type="dxa"/>
            <w:noWrap/>
            <w:hideMark/>
          </w:tcPr>
          <w:p w14:paraId="0CC1208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55" w:type="dxa"/>
            <w:noWrap/>
            <w:hideMark/>
          </w:tcPr>
          <w:p w14:paraId="6809D9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$19,174,953</w:t>
            </w:r>
          </w:p>
        </w:tc>
        <w:tc>
          <w:tcPr>
            <w:tcW w:w="1440" w:type="dxa"/>
            <w:noWrap/>
            <w:hideMark/>
          </w:tcPr>
          <w:p w14:paraId="5CE4F4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74.1%</w:t>
            </w:r>
          </w:p>
        </w:tc>
        <w:tc>
          <w:tcPr>
            <w:tcW w:w="1440" w:type="dxa"/>
            <w:noWrap/>
            <w:hideMark/>
          </w:tcPr>
          <w:p w14:paraId="568FDD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74.1%</w:t>
            </w:r>
          </w:p>
        </w:tc>
        <w:tc>
          <w:tcPr>
            <w:tcW w:w="1440" w:type="dxa"/>
            <w:noWrap/>
            <w:hideMark/>
          </w:tcPr>
          <w:p w14:paraId="6820E6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74.1%</w:t>
            </w:r>
          </w:p>
        </w:tc>
      </w:tr>
      <w:tr w:rsidR="006253A9" w:rsidRPr="006253A9" w14:paraId="6EDEC2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D53A9A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0248</w:t>
            </w:r>
          </w:p>
        </w:tc>
        <w:tc>
          <w:tcPr>
            <w:tcW w:w="2880" w:type="dxa"/>
            <w:noWrap/>
            <w:hideMark/>
          </w:tcPr>
          <w:p w14:paraId="6DA0DD8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Revere</w:t>
            </w:r>
          </w:p>
        </w:tc>
        <w:tc>
          <w:tcPr>
            <w:tcW w:w="1455" w:type="dxa"/>
            <w:noWrap/>
            <w:hideMark/>
          </w:tcPr>
          <w:p w14:paraId="4F5FB7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$55,109,872</w:t>
            </w:r>
          </w:p>
        </w:tc>
        <w:tc>
          <w:tcPr>
            <w:tcW w:w="1440" w:type="dxa"/>
            <w:noWrap/>
            <w:hideMark/>
          </w:tcPr>
          <w:p w14:paraId="260F5E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47.9%</w:t>
            </w:r>
          </w:p>
        </w:tc>
        <w:tc>
          <w:tcPr>
            <w:tcW w:w="1440" w:type="dxa"/>
            <w:noWrap/>
            <w:hideMark/>
          </w:tcPr>
          <w:p w14:paraId="369CB2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47.9%</w:t>
            </w:r>
          </w:p>
        </w:tc>
        <w:tc>
          <w:tcPr>
            <w:tcW w:w="1440" w:type="dxa"/>
            <w:noWrap/>
            <w:hideMark/>
          </w:tcPr>
          <w:p w14:paraId="3475BD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46.7%</w:t>
            </w:r>
          </w:p>
        </w:tc>
        <w:tc>
          <w:tcPr>
            <w:tcW w:w="1455" w:type="dxa"/>
            <w:noWrap/>
            <w:hideMark/>
          </w:tcPr>
          <w:p w14:paraId="23F05F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$109,201,165</w:t>
            </w:r>
          </w:p>
        </w:tc>
        <w:tc>
          <w:tcPr>
            <w:tcW w:w="1440" w:type="dxa"/>
            <w:noWrap/>
            <w:hideMark/>
          </w:tcPr>
          <w:p w14:paraId="579542B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36.7%</w:t>
            </w:r>
          </w:p>
        </w:tc>
        <w:tc>
          <w:tcPr>
            <w:tcW w:w="1440" w:type="dxa"/>
            <w:noWrap/>
            <w:hideMark/>
          </w:tcPr>
          <w:p w14:paraId="142CCE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36.7%</w:t>
            </w:r>
          </w:p>
        </w:tc>
        <w:tc>
          <w:tcPr>
            <w:tcW w:w="1440" w:type="dxa"/>
            <w:noWrap/>
            <w:hideMark/>
          </w:tcPr>
          <w:p w14:paraId="160C3F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33.3%</w:t>
            </w:r>
          </w:p>
        </w:tc>
      </w:tr>
      <w:tr w:rsidR="006253A9" w:rsidRPr="006253A9" w14:paraId="7CDC3F1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DF8A6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0249</w:t>
            </w:r>
          </w:p>
        </w:tc>
        <w:tc>
          <w:tcPr>
            <w:tcW w:w="2880" w:type="dxa"/>
            <w:noWrap/>
            <w:hideMark/>
          </w:tcPr>
          <w:p w14:paraId="04CDF26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Richmond</w:t>
            </w:r>
          </w:p>
        </w:tc>
        <w:tc>
          <w:tcPr>
            <w:tcW w:w="1455" w:type="dxa"/>
            <w:noWrap/>
            <w:hideMark/>
          </w:tcPr>
          <w:p w14:paraId="6BDA2B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$1,791,555</w:t>
            </w:r>
          </w:p>
        </w:tc>
        <w:tc>
          <w:tcPr>
            <w:tcW w:w="1440" w:type="dxa"/>
            <w:noWrap/>
            <w:hideMark/>
          </w:tcPr>
          <w:p w14:paraId="2BC090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108.5%</w:t>
            </w:r>
          </w:p>
        </w:tc>
        <w:tc>
          <w:tcPr>
            <w:tcW w:w="1440" w:type="dxa"/>
            <w:noWrap/>
            <w:hideMark/>
          </w:tcPr>
          <w:p w14:paraId="156D7B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4302B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113.3%</w:t>
            </w:r>
          </w:p>
        </w:tc>
        <w:tc>
          <w:tcPr>
            <w:tcW w:w="1455" w:type="dxa"/>
            <w:noWrap/>
            <w:hideMark/>
          </w:tcPr>
          <w:p w14:paraId="66F5DF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$1,333,384</w:t>
            </w:r>
          </w:p>
        </w:tc>
        <w:tc>
          <w:tcPr>
            <w:tcW w:w="1440" w:type="dxa"/>
            <w:noWrap/>
            <w:hideMark/>
          </w:tcPr>
          <w:p w14:paraId="018B1B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203.8%</w:t>
            </w:r>
          </w:p>
        </w:tc>
        <w:tc>
          <w:tcPr>
            <w:tcW w:w="1440" w:type="dxa"/>
            <w:noWrap/>
            <w:hideMark/>
          </w:tcPr>
          <w:p w14:paraId="50B057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82C76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36255A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6E188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0250</w:t>
            </w:r>
          </w:p>
        </w:tc>
        <w:tc>
          <w:tcPr>
            <w:tcW w:w="2880" w:type="dxa"/>
            <w:noWrap/>
            <w:hideMark/>
          </w:tcPr>
          <w:p w14:paraId="22AF903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Rochester</w:t>
            </w:r>
          </w:p>
        </w:tc>
        <w:tc>
          <w:tcPr>
            <w:tcW w:w="1455" w:type="dxa"/>
            <w:noWrap/>
            <w:hideMark/>
          </w:tcPr>
          <w:p w14:paraId="443B74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$7,570,331</w:t>
            </w:r>
          </w:p>
        </w:tc>
        <w:tc>
          <w:tcPr>
            <w:tcW w:w="1440" w:type="dxa"/>
            <w:noWrap/>
            <w:hideMark/>
          </w:tcPr>
          <w:p w14:paraId="37F238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40" w:type="dxa"/>
            <w:noWrap/>
            <w:hideMark/>
          </w:tcPr>
          <w:p w14:paraId="627D07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56.7%</w:t>
            </w:r>
          </w:p>
        </w:tc>
        <w:tc>
          <w:tcPr>
            <w:tcW w:w="1440" w:type="dxa"/>
            <w:noWrap/>
            <w:hideMark/>
          </w:tcPr>
          <w:p w14:paraId="71A010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65.3%</w:t>
            </w:r>
          </w:p>
        </w:tc>
        <w:tc>
          <w:tcPr>
            <w:tcW w:w="1455" w:type="dxa"/>
            <w:noWrap/>
            <w:hideMark/>
          </w:tcPr>
          <w:p w14:paraId="249EE8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$10,825,144</w:t>
            </w:r>
          </w:p>
        </w:tc>
        <w:tc>
          <w:tcPr>
            <w:tcW w:w="1440" w:type="dxa"/>
            <w:noWrap/>
            <w:hideMark/>
          </w:tcPr>
          <w:p w14:paraId="7F37AD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62.8%</w:t>
            </w:r>
          </w:p>
        </w:tc>
        <w:tc>
          <w:tcPr>
            <w:tcW w:w="1440" w:type="dxa"/>
            <w:noWrap/>
            <w:hideMark/>
          </w:tcPr>
          <w:p w14:paraId="15FC96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62.8%</w:t>
            </w:r>
          </w:p>
        </w:tc>
        <w:tc>
          <w:tcPr>
            <w:tcW w:w="1440" w:type="dxa"/>
            <w:noWrap/>
            <w:hideMark/>
          </w:tcPr>
          <w:p w14:paraId="161C36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60.5%</w:t>
            </w:r>
          </w:p>
        </w:tc>
      </w:tr>
      <w:tr w:rsidR="006253A9" w:rsidRPr="006253A9" w14:paraId="2DA374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E7E0E5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0251</w:t>
            </w:r>
          </w:p>
        </w:tc>
        <w:tc>
          <w:tcPr>
            <w:tcW w:w="2880" w:type="dxa"/>
            <w:noWrap/>
            <w:hideMark/>
          </w:tcPr>
          <w:p w14:paraId="44F8EB6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Rockland</w:t>
            </w:r>
          </w:p>
        </w:tc>
        <w:tc>
          <w:tcPr>
            <w:tcW w:w="1455" w:type="dxa"/>
            <w:noWrap/>
            <w:hideMark/>
          </w:tcPr>
          <w:p w14:paraId="1C6CD4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$21,973,450</w:t>
            </w:r>
          </w:p>
        </w:tc>
        <w:tc>
          <w:tcPr>
            <w:tcW w:w="1440" w:type="dxa"/>
            <w:noWrap/>
            <w:hideMark/>
          </w:tcPr>
          <w:p w14:paraId="161837D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52.6%</w:t>
            </w:r>
          </w:p>
        </w:tc>
        <w:tc>
          <w:tcPr>
            <w:tcW w:w="1440" w:type="dxa"/>
            <w:noWrap/>
            <w:hideMark/>
          </w:tcPr>
          <w:p w14:paraId="3A2294E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52.6%</w:t>
            </w:r>
          </w:p>
        </w:tc>
        <w:tc>
          <w:tcPr>
            <w:tcW w:w="1440" w:type="dxa"/>
            <w:noWrap/>
            <w:hideMark/>
          </w:tcPr>
          <w:p w14:paraId="5BB780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55.5%</w:t>
            </w:r>
          </w:p>
        </w:tc>
        <w:tc>
          <w:tcPr>
            <w:tcW w:w="1455" w:type="dxa"/>
            <w:noWrap/>
            <w:hideMark/>
          </w:tcPr>
          <w:p w14:paraId="29D3BC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$30,348,435</w:t>
            </w:r>
          </w:p>
        </w:tc>
        <w:tc>
          <w:tcPr>
            <w:tcW w:w="1440" w:type="dxa"/>
            <w:noWrap/>
            <w:hideMark/>
          </w:tcPr>
          <w:p w14:paraId="3AE1A7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50.1%</w:t>
            </w:r>
          </w:p>
        </w:tc>
        <w:tc>
          <w:tcPr>
            <w:tcW w:w="1440" w:type="dxa"/>
            <w:noWrap/>
            <w:hideMark/>
          </w:tcPr>
          <w:p w14:paraId="7DE381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50.1%</w:t>
            </w:r>
          </w:p>
        </w:tc>
        <w:tc>
          <w:tcPr>
            <w:tcW w:w="1440" w:type="dxa"/>
            <w:noWrap/>
            <w:hideMark/>
          </w:tcPr>
          <w:p w14:paraId="1BDDF8E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50.1%</w:t>
            </w:r>
          </w:p>
        </w:tc>
      </w:tr>
      <w:tr w:rsidR="006253A9" w:rsidRPr="006253A9" w14:paraId="7A6D1A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B6CC7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0252</w:t>
            </w:r>
          </w:p>
        </w:tc>
        <w:tc>
          <w:tcPr>
            <w:tcW w:w="2880" w:type="dxa"/>
            <w:noWrap/>
            <w:hideMark/>
          </w:tcPr>
          <w:p w14:paraId="69CE107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Rockport</w:t>
            </w:r>
          </w:p>
        </w:tc>
        <w:tc>
          <w:tcPr>
            <w:tcW w:w="1455" w:type="dxa"/>
            <w:noWrap/>
            <w:hideMark/>
          </w:tcPr>
          <w:p w14:paraId="215BC5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$7,933,965</w:t>
            </w:r>
          </w:p>
        </w:tc>
        <w:tc>
          <w:tcPr>
            <w:tcW w:w="1440" w:type="dxa"/>
            <w:noWrap/>
            <w:hideMark/>
          </w:tcPr>
          <w:p w14:paraId="58AD34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116.4%</w:t>
            </w:r>
          </w:p>
        </w:tc>
        <w:tc>
          <w:tcPr>
            <w:tcW w:w="1440" w:type="dxa"/>
            <w:noWrap/>
            <w:hideMark/>
          </w:tcPr>
          <w:p w14:paraId="07B593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BF9D9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98.0%</w:t>
            </w:r>
          </w:p>
        </w:tc>
        <w:tc>
          <w:tcPr>
            <w:tcW w:w="1455" w:type="dxa"/>
            <w:noWrap/>
            <w:hideMark/>
          </w:tcPr>
          <w:p w14:paraId="1B253F0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$8,171,137</w:t>
            </w:r>
          </w:p>
        </w:tc>
        <w:tc>
          <w:tcPr>
            <w:tcW w:w="1440" w:type="dxa"/>
            <w:noWrap/>
            <w:hideMark/>
          </w:tcPr>
          <w:p w14:paraId="7EEEBF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152.3%</w:t>
            </w:r>
          </w:p>
        </w:tc>
        <w:tc>
          <w:tcPr>
            <w:tcW w:w="1440" w:type="dxa"/>
            <w:noWrap/>
            <w:hideMark/>
          </w:tcPr>
          <w:p w14:paraId="282E31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F2E33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81.0%</w:t>
            </w:r>
          </w:p>
        </w:tc>
      </w:tr>
      <w:tr w:rsidR="006253A9" w:rsidRPr="006253A9" w14:paraId="2E31B86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99284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0253</w:t>
            </w:r>
          </w:p>
        </w:tc>
        <w:tc>
          <w:tcPr>
            <w:tcW w:w="2880" w:type="dxa"/>
            <w:noWrap/>
            <w:hideMark/>
          </w:tcPr>
          <w:p w14:paraId="7CAB9C3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Rowe</w:t>
            </w:r>
          </w:p>
        </w:tc>
        <w:tc>
          <w:tcPr>
            <w:tcW w:w="1455" w:type="dxa"/>
            <w:noWrap/>
            <w:hideMark/>
          </w:tcPr>
          <w:p w14:paraId="5E95A5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$409,882</w:t>
            </w:r>
          </w:p>
        </w:tc>
        <w:tc>
          <w:tcPr>
            <w:tcW w:w="1440" w:type="dxa"/>
            <w:noWrap/>
            <w:hideMark/>
          </w:tcPr>
          <w:p w14:paraId="2DFDFB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400.4%</w:t>
            </w:r>
          </w:p>
        </w:tc>
        <w:tc>
          <w:tcPr>
            <w:tcW w:w="1440" w:type="dxa"/>
            <w:noWrap/>
            <w:hideMark/>
          </w:tcPr>
          <w:p w14:paraId="039E9F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75311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150.0%</w:t>
            </w:r>
          </w:p>
        </w:tc>
        <w:tc>
          <w:tcPr>
            <w:tcW w:w="1455" w:type="dxa"/>
            <w:noWrap/>
            <w:hideMark/>
          </w:tcPr>
          <w:p w14:paraId="48D875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$582,531</w:t>
            </w:r>
          </w:p>
        </w:tc>
        <w:tc>
          <w:tcPr>
            <w:tcW w:w="1440" w:type="dxa"/>
            <w:noWrap/>
            <w:hideMark/>
          </w:tcPr>
          <w:p w14:paraId="3330EB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193.7%</w:t>
            </w:r>
          </w:p>
        </w:tc>
        <w:tc>
          <w:tcPr>
            <w:tcW w:w="1440" w:type="dxa"/>
            <w:noWrap/>
            <w:hideMark/>
          </w:tcPr>
          <w:p w14:paraId="76C859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F1044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B01C2E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7D169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0254</w:t>
            </w:r>
          </w:p>
        </w:tc>
        <w:tc>
          <w:tcPr>
            <w:tcW w:w="2880" w:type="dxa"/>
            <w:noWrap/>
            <w:hideMark/>
          </w:tcPr>
          <w:p w14:paraId="0DD7CB3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Rowley</w:t>
            </w:r>
          </w:p>
        </w:tc>
        <w:tc>
          <w:tcPr>
            <w:tcW w:w="1455" w:type="dxa"/>
            <w:noWrap/>
            <w:hideMark/>
          </w:tcPr>
          <w:p w14:paraId="2A9CA1B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$8,045,015</w:t>
            </w:r>
          </w:p>
        </w:tc>
        <w:tc>
          <w:tcPr>
            <w:tcW w:w="1440" w:type="dxa"/>
            <w:noWrap/>
            <w:hideMark/>
          </w:tcPr>
          <w:p w14:paraId="55F529B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66.7%</w:t>
            </w:r>
          </w:p>
        </w:tc>
        <w:tc>
          <w:tcPr>
            <w:tcW w:w="1440" w:type="dxa"/>
            <w:noWrap/>
            <w:hideMark/>
          </w:tcPr>
          <w:p w14:paraId="394F61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66.7%</w:t>
            </w:r>
          </w:p>
        </w:tc>
        <w:tc>
          <w:tcPr>
            <w:tcW w:w="1440" w:type="dxa"/>
            <w:noWrap/>
            <w:hideMark/>
          </w:tcPr>
          <w:p w14:paraId="3562E2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70.0%</w:t>
            </w:r>
          </w:p>
        </w:tc>
        <w:tc>
          <w:tcPr>
            <w:tcW w:w="1455" w:type="dxa"/>
            <w:noWrap/>
            <w:hideMark/>
          </w:tcPr>
          <w:p w14:paraId="2DA361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$8,763,634</w:t>
            </w:r>
          </w:p>
        </w:tc>
        <w:tc>
          <w:tcPr>
            <w:tcW w:w="1440" w:type="dxa"/>
            <w:noWrap/>
            <w:hideMark/>
          </w:tcPr>
          <w:p w14:paraId="6FDBCC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91.6%</w:t>
            </w:r>
          </w:p>
        </w:tc>
        <w:tc>
          <w:tcPr>
            <w:tcW w:w="1440" w:type="dxa"/>
            <w:noWrap/>
            <w:hideMark/>
          </w:tcPr>
          <w:p w14:paraId="5E3045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CD4CE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677ED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D9E4A8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0255</w:t>
            </w:r>
          </w:p>
        </w:tc>
        <w:tc>
          <w:tcPr>
            <w:tcW w:w="2880" w:type="dxa"/>
            <w:noWrap/>
            <w:hideMark/>
          </w:tcPr>
          <w:p w14:paraId="1C9D91C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Royalston</w:t>
            </w:r>
          </w:p>
        </w:tc>
        <w:tc>
          <w:tcPr>
            <w:tcW w:w="1455" w:type="dxa"/>
            <w:noWrap/>
            <w:hideMark/>
          </w:tcPr>
          <w:p w14:paraId="63EF5C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$2,141,279</w:t>
            </w:r>
          </w:p>
        </w:tc>
        <w:tc>
          <w:tcPr>
            <w:tcW w:w="1440" w:type="dxa"/>
            <w:noWrap/>
            <w:hideMark/>
          </w:tcPr>
          <w:p w14:paraId="70B23F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30.8%</w:t>
            </w:r>
          </w:p>
        </w:tc>
        <w:tc>
          <w:tcPr>
            <w:tcW w:w="1440" w:type="dxa"/>
            <w:noWrap/>
            <w:hideMark/>
          </w:tcPr>
          <w:p w14:paraId="0146FC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30.8%</w:t>
            </w:r>
          </w:p>
        </w:tc>
        <w:tc>
          <w:tcPr>
            <w:tcW w:w="1440" w:type="dxa"/>
            <w:noWrap/>
            <w:hideMark/>
          </w:tcPr>
          <w:p w14:paraId="1B50E6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w:t>
            </w:r>
          </w:p>
        </w:tc>
        <w:tc>
          <w:tcPr>
            <w:tcW w:w="1455" w:type="dxa"/>
            <w:noWrap/>
            <w:hideMark/>
          </w:tcPr>
          <w:p w14:paraId="09A7CB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$1,586,727</w:t>
            </w:r>
          </w:p>
        </w:tc>
        <w:tc>
          <w:tcPr>
            <w:tcW w:w="1440" w:type="dxa"/>
            <w:noWrap/>
            <w:hideMark/>
          </w:tcPr>
          <w:p w14:paraId="052FA9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w:t>
            </w:r>
          </w:p>
        </w:tc>
        <w:tc>
          <w:tcPr>
            <w:tcW w:w="1440" w:type="dxa"/>
            <w:noWrap/>
            <w:hideMark/>
          </w:tcPr>
          <w:p w14:paraId="10807F0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56.9%</w:t>
            </w:r>
          </w:p>
        </w:tc>
        <w:tc>
          <w:tcPr>
            <w:tcW w:w="1440" w:type="dxa"/>
            <w:noWrap/>
            <w:hideMark/>
          </w:tcPr>
          <w:p w14:paraId="2C9620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36.5%</w:t>
            </w:r>
          </w:p>
        </w:tc>
      </w:tr>
      <w:tr w:rsidR="006253A9" w:rsidRPr="006253A9" w14:paraId="02D45A6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E7F18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0256</w:t>
            </w:r>
          </w:p>
        </w:tc>
        <w:tc>
          <w:tcPr>
            <w:tcW w:w="2880" w:type="dxa"/>
            <w:noWrap/>
            <w:hideMark/>
          </w:tcPr>
          <w:p w14:paraId="0A2A321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Russell</w:t>
            </w:r>
          </w:p>
        </w:tc>
        <w:tc>
          <w:tcPr>
            <w:tcW w:w="1455" w:type="dxa"/>
            <w:noWrap/>
            <w:hideMark/>
          </w:tcPr>
          <w:p w14:paraId="0FD023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$2,254,286</w:t>
            </w:r>
          </w:p>
        </w:tc>
        <w:tc>
          <w:tcPr>
            <w:tcW w:w="1440" w:type="dxa"/>
            <w:noWrap/>
            <w:hideMark/>
          </w:tcPr>
          <w:p w14:paraId="3EFD8B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37.5%</w:t>
            </w:r>
          </w:p>
        </w:tc>
        <w:tc>
          <w:tcPr>
            <w:tcW w:w="1440" w:type="dxa"/>
            <w:noWrap/>
            <w:hideMark/>
          </w:tcPr>
          <w:p w14:paraId="1FECE3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37.5%</w:t>
            </w:r>
          </w:p>
        </w:tc>
        <w:tc>
          <w:tcPr>
            <w:tcW w:w="1440" w:type="dxa"/>
            <w:noWrap/>
            <w:hideMark/>
          </w:tcPr>
          <w:p w14:paraId="5DD673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38.3%</w:t>
            </w:r>
          </w:p>
        </w:tc>
        <w:tc>
          <w:tcPr>
            <w:tcW w:w="1455" w:type="dxa"/>
            <w:noWrap/>
            <w:hideMark/>
          </w:tcPr>
          <w:p w14:paraId="072834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$2,994,612</w:t>
            </w:r>
          </w:p>
        </w:tc>
        <w:tc>
          <w:tcPr>
            <w:tcW w:w="1440" w:type="dxa"/>
            <w:noWrap/>
            <w:hideMark/>
          </w:tcPr>
          <w:p w14:paraId="2C7735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37.9%</w:t>
            </w:r>
          </w:p>
        </w:tc>
        <w:tc>
          <w:tcPr>
            <w:tcW w:w="1440" w:type="dxa"/>
            <w:noWrap/>
            <w:hideMark/>
          </w:tcPr>
          <w:p w14:paraId="744CD1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37.9%</w:t>
            </w:r>
          </w:p>
        </w:tc>
        <w:tc>
          <w:tcPr>
            <w:tcW w:w="1440" w:type="dxa"/>
            <w:noWrap/>
            <w:hideMark/>
          </w:tcPr>
          <w:p w14:paraId="421035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36.9%</w:t>
            </w:r>
          </w:p>
        </w:tc>
      </w:tr>
      <w:tr w:rsidR="006253A9" w:rsidRPr="006253A9" w14:paraId="7C76F66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9D32E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0257</w:t>
            </w:r>
          </w:p>
        </w:tc>
        <w:tc>
          <w:tcPr>
            <w:tcW w:w="2880" w:type="dxa"/>
            <w:noWrap/>
            <w:hideMark/>
          </w:tcPr>
          <w:p w14:paraId="54B7A49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Rutland</w:t>
            </w:r>
          </w:p>
        </w:tc>
        <w:tc>
          <w:tcPr>
            <w:tcW w:w="1455" w:type="dxa"/>
            <w:noWrap/>
            <w:hideMark/>
          </w:tcPr>
          <w:p w14:paraId="2430F9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$11,807,330</w:t>
            </w:r>
          </w:p>
        </w:tc>
        <w:tc>
          <w:tcPr>
            <w:tcW w:w="1440" w:type="dxa"/>
            <w:noWrap/>
            <w:hideMark/>
          </w:tcPr>
          <w:p w14:paraId="05DEF2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42.1%</w:t>
            </w:r>
          </w:p>
        </w:tc>
        <w:tc>
          <w:tcPr>
            <w:tcW w:w="1440" w:type="dxa"/>
            <w:noWrap/>
            <w:hideMark/>
          </w:tcPr>
          <w:p w14:paraId="55170D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42.1%</w:t>
            </w:r>
          </w:p>
        </w:tc>
        <w:tc>
          <w:tcPr>
            <w:tcW w:w="1440" w:type="dxa"/>
            <w:noWrap/>
            <w:hideMark/>
          </w:tcPr>
          <w:p w14:paraId="706166D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40.8%</w:t>
            </w:r>
          </w:p>
        </w:tc>
        <w:tc>
          <w:tcPr>
            <w:tcW w:w="1455" w:type="dxa"/>
            <w:noWrap/>
            <w:hideMark/>
          </w:tcPr>
          <w:p w14:paraId="63B32A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$17,175,142</w:t>
            </w:r>
          </w:p>
        </w:tc>
        <w:tc>
          <w:tcPr>
            <w:tcW w:w="1440" w:type="dxa"/>
            <w:noWrap/>
            <w:hideMark/>
          </w:tcPr>
          <w:p w14:paraId="6B7B46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45.4%</w:t>
            </w:r>
          </w:p>
        </w:tc>
        <w:tc>
          <w:tcPr>
            <w:tcW w:w="1440" w:type="dxa"/>
            <w:noWrap/>
            <w:hideMark/>
          </w:tcPr>
          <w:p w14:paraId="733ABC0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45.4%</w:t>
            </w:r>
          </w:p>
        </w:tc>
        <w:tc>
          <w:tcPr>
            <w:tcW w:w="1440" w:type="dxa"/>
            <w:noWrap/>
            <w:hideMark/>
          </w:tcPr>
          <w:p w14:paraId="2F4B72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44.3%</w:t>
            </w:r>
          </w:p>
        </w:tc>
      </w:tr>
      <w:tr w:rsidR="006253A9" w:rsidRPr="006253A9" w14:paraId="240C58E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AD86D9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0258</w:t>
            </w:r>
          </w:p>
        </w:tc>
        <w:tc>
          <w:tcPr>
            <w:tcW w:w="2880" w:type="dxa"/>
            <w:noWrap/>
            <w:hideMark/>
          </w:tcPr>
          <w:p w14:paraId="5BF12A7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Salem</w:t>
            </w:r>
          </w:p>
        </w:tc>
        <w:tc>
          <w:tcPr>
            <w:tcW w:w="1455" w:type="dxa"/>
            <w:noWrap/>
            <w:hideMark/>
          </w:tcPr>
          <w:p w14:paraId="4DF73E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$44,005,592</w:t>
            </w:r>
          </w:p>
        </w:tc>
        <w:tc>
          <w:tcPr>
            <w:tcW w:w="1440" w:type="dxa"/>
            <w:noWrap/>
            <w:hideMark/>
          </w:tcPr>
          <w:p w14:paraId="21160C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63.9%</w:t>
            </w:r>
          </w:p>
        </w:tc>
        <w:tc>
          <w:tcPr>
            <w:tcW w:w="1440" w:type="dxa"/>
            <w:noWrap/>
            <w:hideMark/>
          </w:tcPr>
          <w:p w14:paraId="65E155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63.9%</w:t>
            </w:r>
          </w:p>
        </w:tc>
        <w:tc>
          <w:tcPr>
            <w:tcW w:w="1440" w:type="dxa"/>
            <w:noWrap/>
            <w:hideMark/>
          </w:tcPr>
          <w:p w14:paraId="109E116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72.4%</w:t>
            </w:r>
          </w:p>
        </w:tc>
        <w:tc>
          <w:tcPr>
            <w:tcW w:w="1455" w:type="dxa"/>
            <w:noWrap/>
            <w:hideMark/>
          </w:tcPr>
          <w:p w14:paraId="1B0E33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$62,979,949</w:t>
            </w:r>
          </w:p>
        </w:tc>
        <w:tc>
          <w:tcPr>
            <w:tcW w:w="1440" w:type="dxa"/>
            <w:noWrap/>
            <w:hideMark/>
          </w:tcPr>
          <w:p w14:paraId="0AE306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60.0%</w:t>
            </w:r>
          </w:p>
        </w:tc>
        <w:tc>
          <w:tcPr>
            <w:tcW w:w="1440" w:type="dxa"/>
            <w:noWrap/>
            <w:hideMark/>
          </w:tcPr>
          <w:p w14:paraId="427CD1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60.0%</w:t>
            </w:r>
          </w:p>
        </w:tc>
        <w:tc>
          <w:tcPr>
            <w:tcW w:w="1440" w:type="dxa"/>
            <w:noWrap/>
            <w:hideMark/>
          </w:tcPr>
          <w:p w14:paraId="4988E6D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57.0%</w:t>
            </w:r>
          </w:p>
        </w:tc>
      </w:tr>
      <w:tr w:rsidR="006253A9" w:rsidRPr="006253A9" w14:paraId="073CF05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BBD33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0259</w:t>
            </w:r>
          </w:p>
        </w:tc>
        <w:tc>
          <w:tcPr>
            <w:tcW w:w="2880" w:type="dxa"/>
            <w:noWrap/>
            <w:hideMark/>
          </w:tcPr>
          <w:p w14:paraId="28A1AB8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Salisbury</w:t>
            </w:r>
          </w:p>
        </w:tc>
        <w:tc>
          <w:tcPr>
            <w:tcW w:w="1455" w:type="dxa"/>
            <w:noWrap/>
            <w:hideMark/>
          </w:tcPr>
          <w:p w14:paraId="5D3E6B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$10,161,535</w:t>
            </w:r>
          </w:p>
        </w:tc>
        <w:tc>
          <w:tcPr>
            <w:tcW w:w="1440" w:type="dxa"/>
            <w:noWrap/>
            <w:hideMark/>
          </w:tcPr>
          <w:p w14:paraId="3E9FB7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60.6%</w:t>
            </w:r>
          </w:p>
        </w:tc>
        <w:tc>
          <w:tcPr>
            <w:tcW w:w="1440" w:type="dxa"/>
            <w:noWrap/>
            <w:hideMark/>
          </w:tcPr>
          <w:p w14:paraId="104DFC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60.6%</w:t>
            </w:r>
          </w:p>
        </w:tc>
        <w:tc>
          <w:tcPr>
            <w:tcW w:w="1440" w:type="dxa"/>
            <w:noWrap/>
            <w:hideMark/>
          </w:tcPr>
          <w:p w14:paraId="1AE5B47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65.6%</w:t>
            </w:r>
          </w:p>
        </w:tc>
        <w:tc>
          <w:tcPr>
            <w:tcW w:w="1455" w:type="dxa"/>
            <w:noWrap/>
            <w:hideMark/>
          </w:tcPr>
          <w:p w14:paraId="79489F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$10,527,109</w:t>
            </w:r>
          </w:p>
        </w:tc>
        <w:tc>
          <w:tcPr>
            <w:tcW w:w="1440" w:type="dxa"/>
            <w:noWrap/>
            <w:hideMark/>
          </w:tcPr>
          <w:p w14:paraId="720E93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95.0%</w:t>
            </w:r>
          </w:p>
        </w:tc>
        <w:tc>
          <w:tcPr>
            <w:tcW w:w="1440" w:type="dxa"/>
            <w:noWrap/>
            <w:hideMark/>
          </w:tcPr>
          <w:p w14:paraId="3434EB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D30E1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7D2114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DC3EA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0260</w:t>
            </w:r>
          </w:p>
        </w:tc>
        <w:tc>
          <w:tcPr>
            <w:tcW w:w="2880" w:type="dxa"/>
            <w:noWrap/>
            <w:hideMark/>
          </w:tcPr>
          <w:p w14:paraId="675C3D5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Sandisfield</w:t>
            </w:r>
          </w:p>
        </w:tc>
        <w:tc>
          <w:tcPr>
            <w:tcW w:w="1455" w:type="dxa"/>
            <w:noWrap/>
            <w:hideMark/>
          </w:tcPr>
          <w:p w14:paraId="58AB41E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$822,290</w:t>
            </w:r>
          </w:p>
        </w:tc>
        <w:tc>
          <w:tcPr>
            <w:tcW w:w="1440" w:type="dxa"/>
            <w:noWrap/>
            <w:hideMark/>
          </w:tcPr>
          <w:p w14:paraId="3D0BEC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87.5%</w:t>
            </w:r>
          </w:p>
        </w:tc>
        <w:tc>
          <w:tcPr>
            <w:tcW w:w="1440" w:type="dxa"/>
            <w:noWrap/>
            <w:hideMark/>
          </w:tcPr>
          <w:p w14:paraId="0D8ECC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A546F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93.1%</w:t>
            </w:r>
          </w:p>
        </w:tc>
        <w:tc>
          <w:tcPr>
            <w:tcW w:w="1455" w:type="dxa"/>
            <w:noWrap/>
            <w:hideMark/>
          </w:tcPr>
          <w:p w14:paraId="543CD7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$926,306</w:t>
            </w:r>
          </w:p>
        </w:tc>
        <w:tc>
          <w:tcPr>
            <w:tcW w:w="1440" w:type="dxa"/>
            <w:noWrap/>
            <w:hideMark/>
          </w:tcPr>
          <w:p w14:paraId="3D2C96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114.7%</w:t>
            </w:r>
          </w:p>
        </w:tc>
        <w:tc>
          <w:tcPr>
            <w:tcW w:w="1440" w:type="dxa"/>
            <w:noWrap/>
            <w:hideMark/>
          </w:tcPr>
          <w:p w14:paraId="7288DD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79E1D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7320D80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EE9B8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0261</w:t>
            </w:r>
          </w:p>
        </w:tc>
        <w:tc>
          <w:tcPr>
            <w:tcW w:w="2880" w:type="dxa"/>
            <w:noWrap/>
            <w:hideMark/>
          </w:tcPr>
          <w:p w14:paraId="4CD15AB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Sandwich</w:t>
            </w:r>
          </w:p>
        </w:tc>
        <w:tc>
          <w:tcPr>
            <w:tcW w:w="1455" w:type="dxa"/>
            <w:noWrap/>
            <w:hideMark/>
          </w:tcPr>
          <w:p w14:paraId="1692F6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$30,015,476</w:t>
            </w:r>
          </w:p>
        </w:tc>
        <w:tc>
          <w:tcPr>
            <w:tcW w:w="1440" w:type="dxa"/>
            <w:noWrap/>
            <w:hideMark/>
          </w:tcPr>
          <w:p w14:paraId="1F095C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70.1%</w:t>
            </w:r>
          </w:p>
        </w:tc>
        <w:tc>
          <w:tcPr>
            <w:tcW w:w="1440" w:type="dxa"/>
            <w:noWrap/>
            <w:hideMark/>
          </w:tcPr>
          <w:p w14:paraId="453486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70.1%</w:t>
            </w:r>
          </w:p>
        </w:tc>
        <w:tc>
          <w:tcPr>
            <w:tcW w:w="1440" w:type="dxa"/>
            <w:noWrap/>
            <w:hideMark/>
          </w:tcPr>
          <w:p w14:paraId="0B1025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c>
          <w:tcPr>
            <w:tcW w:w="1455" w:type="dxa"/>
            <w:noWrap/>
            <w:hideMark/>
          </w:tcPr>
          <w:p w14:paraId="056F82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$30,201,489</w:t>
            </w:r>
          </w:p>
        </w:tc>
        <w:tc>
          <w:tcPr>
            <w:tcW w:w="1440" w:type="dxa"/>
            <w:noWrap/>
            <w:hideMark/>
          </w:tcPr>
          <w:p w14:paraId="21F3D6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88.9%</w:t>
            </w:r>
          </w:p>
        </w:tc>
        <w:tc>
          <w:tcPr>
            <w:tcW w:w="1440" w:type="dxa"/>
            <w:noWrap/>
            <w:hideMark/>
          </w:tcPr>
          <w:p w14:paraId="2277B4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54DC2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48D76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0C5DC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0262</w:t>
            </w:r>
          </w:p>
        </w:tc>
        <w:tc>
          <w:tcPr>
            <w:tcW w:w="2880" w:type="dxa"/>
            <w:noWrap/>
            <w:hideMark/>
          </w:tcPr>
          <w:p w14:paraId="4B76A86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Saugus</w:t>
            </w:r>
          </w:p>
        </w:tc>
        <w:tc>
          <w:tcPr>
            <w:tcW w:w="1455" w:type="dxa"/>
            <w:noWrap/>
            <w:hideMark/>
          </w:tcPr>
          <w:p w14:paraId="222692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$26,237,871</w:t>
            </w:r>
          </w:p>
        </w:tc>
        <w:tc>
          <w:tcPr>
            <w:tcW w:w="1440" w:type="dxa"/>
            <w:noWrap/>
            <w:hideMark/>
          </w:tcPr>
          <w:p w14:paraId="3CD18B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87.3%</w:t>
            </w:r>
          </w:p>
        </w:tc>
        <w:tc>
          <w:tcPr>
            <w:tcW w:w="1440" w:type="dxa"/>
            <w:noWrap/>
            <w:hideMark/>
          </w:tcPr>
          <w:p w14:paraId="4DEC5F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02A0D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93.3%</w:t>
            </w:r>
          </w:p>
        </w:tc>
        <w:tc>
          <w:tcPr>
            <w:tcW w:w="1455" w:type="dxa"/>
            <w:noWrap/>
            <w:hideMark/>
          </w:tcPr>
          <w:p w14:paraId="686221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$34,921,468</w:t>
            </w:r>
          </w:p>
        </w:tc>
        <w:tc>
          <w:tcPr>
            <w:tcW w:w="1440" w:type="dxa"/>
            <w:noWrap/>
            <w:hideMark/>
          </w:tcPr>
          <w:p w14:paraId="17AB82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87.7%</w:t>
            </w:r>
          </w:p>
        </w:tc>
        <w:tc>
          <w:tcPr>
            <w:tcW w:w="1440" w:type="dxa"/>
            <w:noWrap/>
            <w:hideMark/>
          </w:tcPr>
          <w:p w14:paraId="29AF5C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78F03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80.7%</w:t>
            </w:r>
          </w:p>
        </w:tc>
      </w:tr>
      <w:tr w:rsidR="006253A9" w:rsidRPr="006253A9" w14:paraId="4B905B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20692E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0263</w:t>
            </w:r>
          </w:p>
        </w:tc>
        <w:tc>
          <w:tcPr>
            <w:tcW w:w="2880" w:type="dxa"/>
            <w:noWrap/>
            <w:hideMark/>
          </w:tcPr>
          <w:p w14:paraId="613EF31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Savoy</w:t>
            </w:r>
          </w:p>
        </w:tc>
        <w:tc>
          <w:tcPr>
            <w:tcW w:w="1455" w:type="dxa"/>
            <w:noWrap/>
            <w:hideMark/>
          </w:tcPr>
          <w:p w14:paraId="4701DD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$995,527</w:t>
            </w:r>
          </w:p>
        </w:tc>
        <w:tc>
          <w:tcPr>
            <w:tcW w:w="1440" w:type="dxa"/>
            <w:noWrap/>
            <w:hideMark/>
          </w:tcPr>
          <w:p w14:paraId="2D9A7C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36.8%</w:t>
            </w:r>
          </w:p>
        </w:tc>
        <w:tc>
          <w:tcPr>
            <w:tcW w:w="1440" w:type="dxa"/>
            <w:noWrap/>
            <w:hideMark/>
          </w:tcPr>
          <w:p w14:paraId="1AB157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36.8%</w:t>
            </w:r>
          </w:p>
        </w:tc>
        <w:tc>
          <w:tcPr>
            <w:tcW w:w="1440" w:type="dxa"/>
            <w:noWrap/>
            <w:hideMark/>
          </w:tcPr>
          <w:p w14:paraId="206A29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39.5%</w:t>
            </w:r>
          </w:p>
        </w:tc>
        <w:tc>
          <w:tcPr>
            <w:tcW w:w="1455" w:type="dxa"/>
            <w:noWrap/>
            <w:hideMark/>
          </w:tcPr>
          <w:p w14:paraId="23C1FB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$1,050,463</w:t>
            </w:r>
          </w:p>
        </w:tc>
        <w:tc>
          <w:tcPr>
            <w:tcW w:w="1440" w:type="dxa"/>
            <w:noWrap/>
            <w:hideMark/>
          </w:tcPr>
          <w:p w14:paraId="63C8FD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w:t>
            </w:r>
          </w:p>
        </w:tc>
        <w:tc>
          <w:tcPr>
            <w:tcW w:w="1440" w:type="dxa"/>
            <w:noWrap/>
            <w:hideMark/>
          </w:tcPr>
          <w:p w14:paraId="30C0B0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w:t>
            </w:r>
          </w:p>
        </w:tc>
        <w:tc>
          <w:tcPr>
            <w:tcW w:w="1440" w:type="dxa"/>
            <w:noWrap/>
            <w:hideMark/>
          </w:tcPr>
          <w:p w14:paraId="6B5233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48.2%</w:t>
            </w:r>
          </w:p>
        </w:tc>
      </w:tr>
      <w:tr w:rsidR="006253A9" w:rsidRPr="006253A9" w14:paraId="0278297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1AB3C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0264</w:t>
            </w:r>
          </w:p>
        </w:tc>
        <w:tc>
          <w:tcPr>
            <w:tcW w:w="2880" w:type="dxa"/>
            <w:noWrap/>
            <w:hideMark/>
          </w:tcPr>
          <w:p w14:paraId="276F934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Scituate</w:t>
            </w:r>
          </w:p>
        </w:tc>
        <w:tc>
          <w:tcPr>
            <w:tcW w:w="1455" w:type="dxa"/>
            <w:noWrap/>
            <w:hideMark/>
          </w:tcPr>
          <w:p w14:paraId="7E7248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$23,642,577</w:t>
            </w:r>
          </w:p>
        </w:tc>
        <w:tc>
          <w:tcPr>
            <w:tcW w:w="1440" w:type="dxa"/>
            <w:noWrap/>
            <w:hideMark/>
          </w:tcPr>
          <w:p w14:paraId="014640C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93.2%</w:t>
            </w:r>
          </w:p>
        </w:tc>
        <w:tc>
          <w:tcPr>
            <w:tcW w:w="1440" w:type="dxa"/>
            <w:noWrap/>
            <w:hideMark/>
          </w:tcPr>
          <w:p w14:paraId="7F2FF9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E710F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83.0%</w:t>
            </w:r>
          </w:p>
        </w:tc>
        <w:tc>
          <w:tcPr>
            <w:tcW w:w="1455" w:type="dxa"/>
            <w:noWrap/>
            <w:hideMark/>
          </w:tcPr>
          <w:p w14:paraId="02773E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$31,551,923</w:t>
            </w:r>
          </w:p>
        </w:tc>
        <w:tc>
          <w:tcPr>
            <w:tcW w:w="1440" w:type="dxa"/>
            <w:noWrap/>
            <w:hideMark/>
          </w:tcPr>
          <w:p w14:paraId="339DF7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108.4%</w:t>
            </w:r>
          </w:p>
        </w:tc>
        <w:tc>
          <w:tcPr>
            <w:tcW w:w="1440" w:type="dxa"/>
            <w:noWrap/>
            <w:hideMark/>
          </w:tcPr>
          <w:p w14:paraId="4E250A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E223C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81.0%</w:t>
            </w:r>
          </w:p>
        </w:tc>
      </w:tr>
      <w:tr w:rsidR="006253A9" w:rsidRPr="006253A9" w14:paraId="06974E4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6DB4C7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0265</w:t>
            </w:r>
          </w:p>
        </w:tc>
        <w:tc>
          <w:tcPr>
            <w:tcW w:w="2880" w:type="dxa"/>
            <w:noWrap/>
            <w:hideMark/>
          </w:tcPr>
          <w:p w14:paraId="361043D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Seekonk</w:t>
            </w:r>
          </w:p>
        </w:tc>
        <w:tc>
          <w:tcPr>
            <w:tcW w:w="1455" w:type="dxa"/>
            <w:noWrap/>
            <w:hideMark/>
          </w:tcPr>
          <w:p w14:paraId="2907C0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$17,516,510</w:t>
            </w:r>
          </w:p>
        </w:tc>
        <w:tc>
          <w:tcPr>
            <w:tcW w:w="1440" w:type="dxa"/>
            <w:noWrap/>
            <w:hideMark/>
          </w:tcPr>
          <w:p w14:paraId="297226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64.5%</w:t>
            </w:r>
          </w:p>
        </w:tc>
        <w:tc>
          <w:tcPr>
            <w:tcW w:w="1440" w:type="dxa"/>
            <w:noWrap/>
            <w:hideMark/>
          </w:tcPr>
          <w:p w14:paraId="1B3827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64.5%</w:t>
            </w:r>
          </w:p>
        </w:tc>
        <w:tc>
          <w:tcPr>
            <w:tcW w:w="1440" w:type="dxa"/>
            <w:noWrap/>
            <w:hideMark/>
          </w:tcPr>
          <w:p w14:paraId="543F95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87.2%</w:t>
            </w:r>
          </w:p>
        </w:tc>
        <w:tc>
          <w:tcPr>
            <w:tcW w:w="1455" w:type="dxa"/>
            <w:noWrap/>
            <w:hideMark/>
          </w:tcPr>
          <w:p w14:paraId="2651D0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$23,671,207</w:t>
            </w:r>
          </w:p>
        </w:tc>
        <w:tc>
          <w:tcPr>
            <w:tcW w:w="1440" w:type="dxa"/>
            <w:noWrap/>
            <w:hideMark/>
          </w:tcPr>
          <w:p w14:paraId="2BBD5A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1A4C5C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70.7%</w:t>
            </w:r>
          </w:p>
        </w:tc>
        <w:tc>
          <w:tcPr>
            <w:tcW w:w="1440" w:type="dxa"/>
            <w:noWrap/>
            <w:hideMark/>
          </w:tcPr>
          <w:p w14:paraId="7E831A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69.5%</w:t>
            </w:r>
          </w:p>
        </w:tc>
      </w:tr>
      <w:tr w:rsidR="006253A9" w:rsidRPr="006253A9" w14:paraId="527D77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A2FA9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0266</w:t>
            </w:r>
          </w:p>
        </w:tc>
        <w:tc>
          <w:tcPr>
            <w:tcW w:w="2880" w:type="dxa"/>
            <w:noWrap/>
            <w:hideMark/>
          </w:tcPr>
          <w:p w14:paraId="08747C4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Sharon</w:t>
            </w:r>
          </w:p>
        </w:tc>
        <w:tc>
          <w:tcPr>
            <w:tcW w:w="1455" w:type="dxa"/>
            <w:noWrap/>
            <w:hideMark/>
          </w:tcPr>
          <w:p w14:paraId="77D068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$26,451,842</w:t>
            </w:r>
          </w:p>
        </w:tc>
        <w:tc>
          <w:tcPr>
            <w:tcW w:w="1440" w:type="dxa"/>
            <w:noWrap/>
            <w:hideMark/>
          </w:tcPr>
          <w:p w14:paraId="114096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79.1%</w:t>
            </w:r>
          </w:p>
        </w:tc>
        <w:tc>
          <w:tcPr>
            <w:tcW w:w="1440" w:type="dxa"/>
            <w:noWrap/>
            <w:hideMark/>
          </w:tcPr>
          <w:p w14:paraId="75EB8F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79.1%</w:t>
            </w:r>
          </w:p>
        </w:tc>
        <w:tc>
          <w:tcPr>
            <w:tcW w:w="1440" w:type="dxa"/>
            <w:noWrap/>
            <w:hideMark/>
          </w:tcPr>
          <w:p w14:paraId="68F721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74.7%</w:t>
            </w:r>
          </w:p>
        </w:tc>
        <w:tc>
          <w:tcPr>
            <w:tcW w:w="1455" w:type="dxa"/>
            <w:noWrap/>
            <w:hideMark/>
          </w:tcPr>
          <w:p w14:paraId="6BCC26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$37,344,010</w:t>
            </w:r>
          </w:p>
        </w:tc>
        <w:tc>
          <w:tcPr>
            <w:tcW w:w="1440" w:type="dxa"/>
            <w:noWrap/>
            <w:hideMark/>
          </w:tcPr>
          <w:p w14:paraId="11DCAD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83.0%</w:t>
            </w:r>
          </w:p>
        </w:tc>
        <w:tc>
          <w:tcPr>
            <w:tcW w:w="1440" w:type="dxa"/>
            <w:noWrap/>
            <w:hideMark/>
          </w:tcPr>
          <w:p w14:paraId="59FF57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3BF71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r>
      <w:tr w:rsidR="006253A9" w:rsidRPr="006253A9" w14:paraId="4178D5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26D95C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0267</w:t>
            </w:r>
          </w:p>
        </w:tc>
        <w:tc>
          <w:tcPr>
            <w:tcW w:w="2880" w:type="dxa"/>
            <w:noWrap/>
            <w:hideMark/>
          </w:tcPr>
          <w:p w14:paraId="3117203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Sheffield</w:t>
            </w:r>
          </w:p>
        </w:tc>
        <w:tc>
          <w:tcPr>
            <w:tcW w:w="1455" w:type="dxa"/>
            <w:noWrap/>
            <w:hideMark/>
          </w:tcPr>
          <w:p w14:paraId="5F3B0D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$3,868,946</w:t>
            </w:r>
          </w:p>
        </w:tc>
        <w:tc>
          <w:tcPr>
            <w:tcW w:w="1440" w:type="dxa"/>
            <w:noWrap/>
            <w:hideMark/>
          </w:tcPr>
          <w:p w14:paraId="77820A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w:t>
            </w:r>
          </w:p>
        </w:tc>
        <w:tc>
          <w:tcPr>
            <w:tcW w:w="1440" w:type="dxa"/>
            <w:noWrap/>
            <w:hideMark/>
          </w:tcPr>
          <w:p w14:paraId="52E9B9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w:t>
            </w:r>
          </w:p>
        </w:tc>
        <w:tc>
          <w:tcPr>
            <w:tcW w:w="1440" w:type="dxa"/>
            <w:noWrap/>
            <w:hideMark/>
          </w:tcPr>
          <w:p w14:paraId="6B75C5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93.1%</w:t>
            </w:r>
          </w:p>
        </w:tc>
        <w:tc>
          <w:tcPr>
            <w:tcW w:w="1455" w:type="dxa"/>
            <w:noWrap/>
            <w:hideMark/>
          </w:tcPr>
          <w:p w14:paraId="2032A1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$4,129,211</w:t>
            </w:r>
          </w:p>
        </w:tc>
        <w:tc>
          <w:tcPr>
            <w:tcW w:w="1440" w:type="dxa"/>
            <w:noWrap/>
            <w:hideMark/>
          </w:tcPr>
          <w:p w14:paraId="51674C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83.2%</w:t>
            </w:r>
          </w:p>
        </w:tc>
        <w:tc>
          <w:tcPr>
            <w:tcW w:w="1440" w:type="dxa"/>
            <w:noWrap/>
            <w:hideMark/>
          </w:tcPr>
          <w:p w14:paraId="02E43C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8EE85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r>
      <w:tr w:rsidR="006253A9" w:rsidRPr="006253A9" w14:paraId="6610C5B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A1075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0268</w:t>
            </w:r>
          </w:p>
        </w:tc>
        <w:tc>
          <w:tcPr>
            <w:tcW w:w="2880" w:type="dxa"/>
            <w:noWrap/>
            <w:hideMark/>
          </w:tcPr>
          <w:p w14:paraId="63A3611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Shelburne</w:t>
            </w:r>
          </w:p>
        </w:tc>
        <w:tc>
          <w:tcPr>
            <w:tcW w:w="1455" w:type="dxa"/>
            <w:noWrap/>
            <w:hideMark/>
          </w:tcPr>
          <w:p w14:paraId="0DD134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$2,125,296</w:t>
            </w:r>
          </w:p>
        </w:tc>
        <w:tc>
          <w:tcPr>
            <w:tcW w:w="1440" w:type="dxa"/>
            <w:noWrap/>
            <w:hideMark/>
          </w:tcPr>
          <w:p w14:paraId="2DC8CD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61.4%</w:t>
            </w:r>
          </w:p>
        </w:tc>
        <w:tc>
          <w:tcPr>
            <w:tcW w:w="1440" w:type="dxa"/>
            <w:noWrap/>
            <w:hideMark/>
          </w:tcPr>
          <w:p w14:paraId="0B8DAF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61.4%</w:t>
            </w:r>
          </w:p>
        </w:tc>
        <w:tc>
          <w:tcPr>
            <w:tcW w:w="1440" w:type="dxa"/>
            <w:noWrap/>
            <w:hideMark/>
          </w:tcPr>
          <w:p w14:paraId="559B98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c>
          <w:tcPr>
            <w:tcW w:w="1455" w:type="dxa"/>
            <w:noWrap/>
            <w:hideMark/>
          </w:tcPr>
          <w:p w14:paraId="4D2667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$2,042,860</w:t>
            </w:r>
          </w:p>
        </w:tc>
        <w:tc>
          <w:tcPr>
            <w:tcW w:w="1440" w:type="dxa"/>
            <w:noWrap/>
            <w:hideMark/>
          </w:tcPr>
          <w:p w14:paraId="5551D5E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70.9%</w:t>
            </w:r>
          </w:p>
        </w:tc>
        <w:tc>
          <w:tcPr>
            <w:tcW w:w="1440" w:type="dxa"/>
            <w:noWrap/>
            <w:hideMark/>
          </w:tcPr>
          <w:p w14:paraId="3F872E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70.9%</w:t>
            </w:r>
          </w:p>
        </w:tc>
        <w:tc>
          <w:tcPr>
            <w:tcW w:w="1440" w:type="dxa"/>
            <w:noWrap/>
            <w:hideMark/>
          </w:tcPr>
          <w:p w14:paraId="400DA2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70.9%</w:t>
            </w:r>
          </w:p>
        </w:tc>
      </w:tr>
      <w:tr w:rsidR="006253A9" w:rsidRPr="006253A9" w14:paraId="0EA9479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C7DEA8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0269</w:t>
            </w:r>
          </w:p>
        </w:tc>
        <w:tc>
          <w:tcPr>
            <w:tcW w:w="2880" w:type="dxa"/>
            <w:noWrap/>
            <w:hideMark/>
          </w:tcPr>
          <w:p w14:paraId="759A155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Sherborn</w:t>
            </w:r>
          </w:p>
        </w:tc>
        <w:tc>
          <w:tcPr>
            <w:tcW w:w="1455" w:type="dxa"/>
            <w:noWrap/>
            <w:hideMark/>
          </w:tcPr>
          <w:p w14:paraId="33320A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$7,572,230</w:t>
            </w:r>
          </w:p>
        </w:tc>
        <w:tc>
          <w:tcPr>
            <w:tcW w:w="1440" w:type="dxa"/>
            <w:noWrap/>
            <w:hideMark/>
          </w:tcPr>
          <w:p w14:paraId="21C0B4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130.4%</w:t>
            </w:r>
          </w:p>
        </w:tc>
        <w:tc>
          <w:tcPr>
            <w:tcW w:w="1440" w:type="dxa"/>
            <w:noWrap/>
            <w:hideMark/>
          </w:tcPr>
          <w:p w14:paraId="78CD54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841D5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97.7%</w:t>
            </w:r>
          </w:p>
        </w:tc>
        <w:tc>
          <w:tcPr>
            <w:tcW w:w="1455" w:type="dxa"/>
            <w:noWrap/>
            <w:hideMark/>
          </w:tcPr>
          <w:p w14:paraId="10B627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$9,603,839</w:t>
            </w:r>
          </w:p>
        </w:tc>
        <w:tc>
          <w:tcPr>
            <w:tcW w:w="1440" w:type="dxa"/>
            <w:noWrap/>
            <w:hideMark/>
          </w:tcPr>
          <w:p w14:paraId="3705C8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163.6%</w:t>
            </w:r>
          </w:p>
        </w:tc>
        <w:tc>
          <w:tcPr>
            <w:tcW w:w="1440" w:type="dxa"/>
            <w:noWrap/>
            <w:hideMark/>
          </w:tcPr>
          <w:p w14:paraId="73F3B7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7E31B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7E3696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F2D195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0270</w:t>
            </w:r>
          </w:p>
        </w:tc>
        <w:tc>
          <w:tcPr>
            <w:tcW w:w="2880" w:type="dxa"/>
            <w:noWrap/>
            <w:hideMark/>
          </w:tcPr>
          <w:p w14:paraId="503301F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Shirley</w:t>
            </w:r>
          </w:p>
        </w:tc>
        <w:tc>
          <w:tcPr>
            <w:tcW w:w="1455" w:type="dxa"/>
            <w:noWrap/>
            <w:hideMark/>
          </w:tcPr>
          <w:p w14:paraId="4FE034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$7,632,504</w:t>
            </w:r>
          </w:p>
        </w:tc>
        <w:tc>
          <w:tcPr>
            <w:tcW w:w="1440" w:type="dxa"/>
            <w:noWrap/>
            <w:hideMark/>
          </w:tcPr>
          <w:p w14:paraId="6754B4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50.5%</w:t>
            </w:r>
          </w:p>
        </w:tc>
        <w:tc>
          <w:tcPr>
            <w:tcW w:w="1440" w:type="dxa"/>
            <w:noWrap/>
            <w:hideMark/>
          </w:tcPr>
          <w:p w14:paraId="37AC74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50.5%</w:t>
            </w:r>
          </w:p>
        </w:tc>
        <w:tc>
          <w:tcPr>
            <w:tcW w:w="1440" w:type="dxa"/>
            <w:noWrap/>
            <w:hideMark/>
          </w:tcPr>
          <w:p w14:paraId="6DFB85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44.0%</w:t>
            </w:r>
          </w:p>
        </w:tc>
        <w:tc>
          <w:tcPr>
            <w:tcW w:w="1455" w:type="dxa"/>
            <w:noWrap/>
            <w:hideMark/>
          </w:tcPr>
          <w:p w14:paraId="653CEA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$9,239,049</w:t>
            </w:r>
          </w:p>
        </w:tc>
        <w:tc>
          <w:tcPr>
            <w:tcW w:w="1440" w:type="dxa"/>
            <w:noWrap/>
            <w:hideMark/>
          </w:tcPr>
          <w:p w14:paraId="6D0F0E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58.8%</w:t>
            </w:r>
          </w:p>
        </w:tc>
        <w:tc>
          <w:tcPr>
            <w:tcW w:w="1440" w:type="dxa"/>
            <w:noWrap/>
            <w:hideMark/>
          </w:tcPr>
          <w:p w14:paraId="75BC63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58.8%</w:t>
            </w:r>
          </w:p>
        </w:tc>
        <w:tc>
          <w:tcPr>
            <w:tcW w:w="1440" w:type="dxa"/>
            <w:noWrap/>
            <w:hideMark/>
          </w:tcPr>
          <w:p w14:paraId="57544B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58.8%</w:t>
            </w:r>
          </w:p>
        </w:tc>
      </w:tr>
      <w:tr w:rsidR="006253A9" w:rsidRPr="006253A9" w14:paraId="6FEBADF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A4FF7C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0271</w:t>
            </w:r>
          </w:p>
        </w:tc>
        <w:tc>
          <w:tcPr>
            <w:tcW w:w="2880" w:type="dxa"/>
            <w:noWrap/>
            <w:hideMark/>
          </w:tcPr>
          <w:p w14:paraId="78E05E5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Shrewsbury</w:t>
            </w:r>
          </w:p>
        </w:tc>
        <w:tc>
          <w:tcPr>
            <w:tcW w:w="1455" w:type="dxa"/>
            <w:noWrap/>
            <w:hideMark/>
          </w:tcPr>
          <w:p w14:paraId="528FDE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$43,006,922</w:t>
            </w:r>
          </w:p>
        </w:tc>
        <w:tc>
          <w:tcPr>
            <w:tcW w:w="1440" w:type="dxa"/>
            <w:noWrap/>
            <w:hideMark/>
          </w:tcPr>
          <w:p w14:paraId="7446D6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73.8%</w:t>
            </w:r>
          </w:p>
        </w:tc>
        <w:tc>
          <w:tcPr>
            <w:tcW w:w="1440" w:type="dxa"/>
            <w:noWrap/>
            <w:hideMark/>
          </w:tcPr>
          <w:p w14:paraId="5CB1A2B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73.8%</w:t>
            </w:r>
          </w:p>
        </w:tc>
        <w:tc>
          <w:tcPr>
            <w:tcW w:w="1440" w:type="dxa"/>
            <w:noWrap/>
            <w:hideMark/>
          </w:tcPr>
          <w:p w14:paraId="25BB15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63.0%</w:t>
            </w:r>
          </w:p>
        </w:tc>
        <w:tc>
          <w:tcPr>
            <w:tcW w:w="1455" w:type="dxa"/>
            <w:noWrap/>
            <w:hideMark/>
          </w:tcPr>
          <w:p w14:paraId="153787D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$63,259,404</w:t>
            </w:r>
          </w:p>
        </w:tc>
        <w:tc>
          <w:tcPr>
            <w:tcW w:w="1440" w:type="dxa"/>
            <w:noWrap/>
            <w:hideMark/>
          </w:tcPr>
          <w:p w14:paraId="0E63EC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81.3%</w:t>
            </w:r>
          </w:p>
        </w:tc>
        <w:tc>
          <w:tcPr>
            <w:tcW w:w="1440" w:type="dxa"/>
            <w:noWrap/>
            <w:hideMark/>
          </w:tcPr>
          <w:p w14:paraId="2A749B5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81.3%</w:t>
            </w:r>
          </w:p>
        </w:tc>
        <w:tc>
          <w:tcPr>
            <w:tcW w:w="1440" w:type="dxa"/>
            <w:noWrap/>
            <w:hideMark/>
          </w:tcPr>
          <w:p w14:paraId="5678B6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78.6%</w:t>
            </w:r>
          </w:p>
        </w:tc>
      </w:tr>
      <w:tr w:rsidR="006253A9" w:rsidRPr="006253A9" w14:paraId="69CEB8C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F7EAA6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0272</w:t>
            </w:r>
          </w:p>
        </w:tc>
        <w:tc>
          <w:tcPr>
            <w:tcW w:w="2880" w:type="dxa"/>
            <w:noWrap/>
            <w:hideMark/>
          </w:tcPr>
          <w:p w14:paraId="795B6BF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Shutesbury</w:t>
            </w:r>
          </w:p>
        </w:tc>
        <w:tc>
          <w:tcPr>
            <w:tcW w:w="1455" w:type="dxa"/>
            <w:noWrap/>
            <w:hideMark/>
          </w:tcPr>
          <w:p w14:paraId="434987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$2,511,110</w:t>
            </w:r>
          </w:p>
        </w:tc>
        <w:tc>
          <w:tcPr>
            <w:tcW w:w="1440" w:type="dxa"/>
            <w:noWrap/>
            <w:hideMark/>
          </w:tcPr>
          <w:p w14:paraId="76E3BA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43.1%</w:t>
            </w:r>
          </w:p>
        </w:tc>
        <w:tc>
          <w:tcPr>
            <w:tcW w:w="1440" w:type="dxa"/>
            <w:noWrap/>
            <w:hideMark/>
          </w:tcPr>
          <w:p w14:paraId="1968F4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43.1%</w:t>
            </w:r>
          </w:p>
        </w:tc>
        <w:tc>
          <w:tcPr>
            <w:tcW w:w="1440" w:type="dxa"/>
            <w:noWrap/>
            <w:hideMark/>
          </w:tcPr>
          <w:p w14:paraId="6A847B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62.2%</w:t>
            </w:r>
          </w:p>
        </w:tc>
        <w:tc>
          <w:tcPr>
            <w:tcW w:w="1455" w:type="dxa"/>
            <w:noWrap/>
            <w:hideMark/>
          </w:tcPr>
          <w:p w14:paraId="7778F5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$2,586,851</w:t>
            </w:r>
          </w:p>
        </w:tc>
        <w:tc>
          <w:tcPr>
            <w:tcW w:w="1440" w:type="dxa"/>
            <w:noWrap/>
            <w:hideMark/>
          </w:tcPr>
          <w:p w14:paraId="7678CD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55.3%</w:t>
            </w:r>
          </w:p>
        </w:tc>
        <w:tc>
          <w:tcPr>
            <w:tcW w:w="1440" w:type="dxa"/>
            <w:noWrap/>
            <w:hideMark/>
          </w:tcPr>
          <w:p w14:paraId="136105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55.3%</w:t>
            </w:r>
          </w:p>
        </w:tc>
        <w:tc>
          <w:tcPr>
            <w:tcW w:w="1440" w:type="dxa"/>
            <w:noWrap/>
            <w:hideMark/>
          </w:tcPr>
          <w:p w14:paraId="0C27B1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55.3%</w:t>
            </w:r>
          </w:p>
        </w:tc>
      </w:tr>
      <w:tr w:rsidR="006253A9" w:rsidRPr="006253A9" w14:paraId="606213F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A929E4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0273</w:t>
            </w:r>
          </w:p>
        </w:tc>
        <w:tc>
          <w:tcPr>
            <w:tcW w:w="2880" w:type="dxa"/>
            <w:noWrap/>
            <w:hideMark/>
          </w:tcPr>
          <w:p w14:paraId="25CDEAC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Somerset</w:t>
            </w:r>
          </w:p>
        </w:tc>
        <w:tc>
          <w:tcPr>
            <w:tcW w:w="1455" w:type="dxa"/>
            <w:noWrap/>
            <w:hideMark/>
          </w:tcPr>
          <w:p w14:paraId="67B55D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$21,167,159</w:t>
            </w:r>
          </w:p>
        </w:tc>
        <w:tc>
          <w:tcPr>
            <w:tcW w:w="1440" w:type="dxa"/>
            <w:noWrap/>
            <w:hideMark/>
          </w:tcPr>
          <w:p w14:paraId="33BE32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64.2%</w:t>
            </w:r>
          </w:p>
        </w:tc>
        <w:tc>
          <w:tcPr>
            <w:tcW w:w="1440" w:type="dxa"/>
            <w:noWrap/>
            <w:hideMark/>
          </w:tcPr>
          <w:p w14:paraId="2297CC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64.2%</w:t>
            </w:r>
          </w:p>
        </w:tc>
        <w:tc>
          <w:tcPr>
            <w:tcW w:w="1440" w:type="dxa"/>
            <w:noWrap/>
            <w:hideMark/>
          </w:tcPr>
          <w:p w14:paraId="34886B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88.2%</w:t>
            </w:r>
          </w:p>
        </w:tc>
        <w:tc>
          <w:tcPr>
            <w:tcW w:w="1455" w:type="dxa"/>
            <w:noWrap/>
            <w:hideMark/>
          </w:tcPr>
          <w:p w14:paraId="7091B5B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$29,457,913</w:t>
            </w:r>
          </w:p>
        </w:tc>
        <w:tc>
          <w:tcPr>
            <w:tcW w:w="1440" w:type="dxa"/>
            <w:noWrap/>
            <w:hideMark/>
          </w:tcPr>
          <w:p w14:paraId="20F4221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53.7%</w:t>
            </w:r>
          </w:p>
        </w:tc>
        <w:tc>
          <w:tcPr>
            <w:tcW w:w="1440" w:type="dxa"/>
            <w:noWrap/>
            <w:hideMark/>
          </w:tcPr>
          <w:p w14:paraId="50CD92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53.7%</w:t>
            </w:r>
          </w:p>
        </w:tc>
        <w:tc>
          <w:tcPr>
            <w:tcW w:w="1440" w:type="dxa"/>
            <w:noWrap/>
            <w:hideMark/>
          </w:tcPr>
          <w:p w14:paraId="796986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r>
      <w:tr w:rsidR="006253A9" w:rsidRPr="006253A9" w14:paraId="29BDE73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DA3C8F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0274</w:t>
            </w:r>
          </w:p>
        </w:tc>
        <w:tc>
          <w:tcPr>
            <w:tcW w:w="2880" w:type="dxa"/>
            <w:noWrap/>
            <w:hideMark/>
          </w:tcPr>
          <w:p w14:paraId="7F6158F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Somerville</w:t>
            </w:r>
          </w:p>
        </w:tc>
        <w:tc>
          <w:tcPr>
            <w:tcW w:w="1455" w:type="dxa"/>
            <w:noWrap/>
            <w:hideMark/>
          </w:tcPr>
          <w:p w14:paraId="549FB0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$52,325,941</w:t>
            </w:r>
          </w:p>
        </w:tc>
        <w:tc>
          <w:tcPr>
            <w:tcW w:w="1440" w:type="dxa"/>
            <w:noWrap/>
            <w:hideMark/>
          </w:tcPr>
          <w:p w14:paraId="0D4919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95.2%</w:t>
            </w:r>
          </w:p>
        </w:tc>
        <w:tc>
          <w:tcPr>
            <w:tcW w:w="1440" w:type="dxa"/>
            <w:noWrap/>
            <w:hideMark/>
          </w:tcPr>
          <w:p w14:paraId="48695E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D61F2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72.7%</w:t>
            </w:r>
          </w:p>
        </w:tc>
        <w:tc>
          <w:tcPr>
            <w:tcW w:w="1455" w:type="dxa"/>
            <w:noWrap/>
            <w:hideMark/>
          </w:tcPr>
          <w:p w14:paraId="0196A4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$68,863,033</w:t>
            </w:r>
          </w:p>
        </w:tc>
        <w:tc>
          <w:tcPr>
            <w:tcW w:w="1440" w:type="dxa"/>
            <w:noWrap/>
            <w:hideMark/>
          </w:tcPr>
          <w:p w14:paraId="0B1FEE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143.5%</w:t>
            </w:r>
          </w:p>
        </w:tc>
        <w:tc>
          <w:tcPr>
            <w:tcW w:w="1440" w:type="dxa"/>
            <w:noWrap/>
            <w:hideMark/>
          </w:tcPr>
          <w:p w14:paraId="631F8A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BFFA7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A4F585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5B9F0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0275</w:t>
            </w:r>
          </w:p>
        </w:tc>
        <w:tc>
          <w:tcPr>
            <w:tcW w:w="2880" w:type="dxa"/>
            <w:noWrap/>
            <w:hideMark/>
          </w:tcPr>
          <w:p w14:paraId="56F0303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Southampton</w:t>
            </w:r>
          </w:p>
        </w:tc>
        <w:tc>
          <w:tcPr>
            <w:tcW w:w="1455" w:type="dxa"/>
            <w:noWrap/>
            <w:hideMark/>
          </w:tcPr>
          <w:p w14:paraId="5776D7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$7,680,236</w:t>
            </w:r>
          </w:p>
        </w:tc>
        <w:tc>
          <w:tcPr>
            <w:tcW w:w="1440" w:type="dxa"/>
            <w:noWrap/>
            <w:hideMark/>
          </w:tcPr>
          <w:p w14:paraId="0537CB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40" w:type="dxa"/>
            <w:noWrap/>
            <w:hideMark/>
          </w:tcPr>
          <w:p w14:paraId="4881566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40" w:type="dxa"/>
            <w:noWrap/>
            <w:hideMark/>
          </w:tcPr>
          <w:p w14:paraId="24DD4A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52.7%</w:t>
            </w:r>
          </w:p>
        </w:tc>
        <w:tc>
          <w:tcPr>
            <w:tcW w:w="1455" w:type="dxa"/>
            <w:noWrap/>
            <w:hideMark/>
          </w:tcPr>
          <w:p w14:paraId="587DCF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$8,956,861</w:t>
            </w:r>
          </w:p>
        </w:tc>
        <w:tc>
          <w:tcPr>
            <w:tcW w:w="1440" w:type="dxa"/>
            <w:noWrap/>
            <w:hideMark/>
          </w:tcPr>
          <w:p w14:paraId="6D97FE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40" w:type="dxa"/>
            <w:noWrap/>
            <w:hideMark/>
          </w:tcPr>
          <w:p w14:paraId="7B19901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40" w:type="dxa"/>
            <w:noWrap/>
            <w:hideMark/>
          </w:tcPr>
          <w:p w14:paraId="1EB9D5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69.3%</w:t>
            </w:r>
          </w:p>
        </w:tc>
      </w:tr>
      <w:tr w:rsidR="006253A9" w:rsidRPr="006253A9" w14:paraId="2AB29C3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FC79D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0276</w:t>
            </w:r>
          </w:p>
        </w:tc>
        <w:tc>
          <w:tcPr>
            <w:tcW w:w="2880" w:type="dxa"/>
            <w:noWrap/>
            <w:hideMark/>
          </w:tcPr>
          <w:p w14:paraId="60D9FE9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Southborough</w:t>
            </w:r>
          </w:p>
        </w:tc>
        <w:tc>
          <w:tcPr>
            <w:tcW w:w="1455" w:type="dxa"/>
            <w:noWrap/>
            <w:hideMark/>
          </w:tcPr>
          <w:p w14:paraId="26090BD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$15,491,528</w:t>
            </w:r>
          </w:p>
        </w:tc>
        <w:tc>
          <w:tcPr>
            <w:tcW w:w="1440" w:type="dxa"/>
            <w:noWrap/>
            <w:hideMark/>
          </w:tcPr>
          <w:p w14:paraId="44185C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109.8%</w:t>
            </w:r>
          </w:p>
        </w:tc>
        <w:tc>
          <w:tcPr>
            <w:tcW w:w="1440" w:type="dxa"/>
            <w:noWrap/>
            <w:hideMark/>
          </w:tcPr>
          <w:p w14:paraId="75A622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1984A7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78.5%</w:t>
            </w:r>
          </w:p>
        </w:tc>
        <w:tc>
          <w:tcPr>
            <w:tcW w:w="1455" w:type="dxa"/>
            <w:noWrap/>
            <w:hideMark/>
          </w:tcPr>
          <w:p w14:paraId="4A6D0D3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$18,502,140</w:t>
            </w:r>
          </w:p>
        </w:tc>
        <w:tc>
          <w:tcPr>
            <w:tcW w:w="1440" w:type="dxa"/>
            <w:noWrap/>
            <w:hideMark/>
          </w:tcPr>
          <w:p w14:paraId="54A014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134.4%</w:t>
            </w:r>
          </w:p>
        </w:tc>
        <w:tc>
          <w:tcPr>
            <w:tcW w:w="1440" w:type="dxa"/>
            <w:noWrap/>
            <w:hideMark/>
          </w:tcPr>
          <w:p w14:paraId="1C4BC9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28D88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26EC83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206E5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0277</w:t>
            </w:r>
          </w:p>
        </w:tc>
        <w:tc>
          <w:tcPr>
            <w:tcW w:w="2880" w:type="dxa"/>
            <w:noWrap/>
            <w:hideMark/>
          </w:tcPr>
          <w:p w14:paraId="74367A9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Southbridge</w:t>
            </w:r>
          </w:p>
        </w:tc>
        <w:tc>
          <w:tcPr>
            <w:tcW w:w="1455" w:type="dxa"/>
            <w:noWrap/>
            <w:hideMark/>
          </w:tcPr>
          <w:p w14:paraId="690AC5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$23,435,675</w:t>
            </w:r>
          </w:p>
        </w:tc>
        <w:tc>
          <w:tcPr>
            <w:tcW w:w="1440" w:type="dxa"/>
            <w:noWrap/>
            <w:hideMark/>
          </w:tcPr>
          <w:p w14:paraId="5D572C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31.9%</w:t>
            </w:r>
          </w:p>
        </w:tc>
        <w:tc>
          <w:tcPr>
            <w:tcW w:w="1440" w:type="dxa"/>
            <w:noWrap/>
            <w:hideMark/>
          </w:tcPr>
          <w:p w14:paraId="744A4E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31.9%</w:t>
            </w:r>
          </w:p>
        </w:tc>
        <w:tc>
          <w:tcPr>
            <w:tcW w:w="1440" w:type="dxa"/>
            <w:noWrap/>
            <w:hideMark/>
          </w:tcPr>
          <w:p w14:paraId="61BFB75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29.1%</w:t>
            </w:r>
          </w:p>
        </w:tc>
        <w:tc>
          <w:tcPr>
            <w:tcW w:w="1455" w:type="dxa"/>
            <w:noWrap/>
            <w:hideMark/>
          </w:tcPr>
          <w:p w14:paraId="12EA77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$33,940,185</w:t>
            </w:r>
          </w:p>
        </w:tc>
        <w:tc>
          <w:tcPr>
            <w:tcW w:w="1440" w:type="dxa"/>
            <w:noWrap/>
            <w:hideMark/>
          </w:tcPr>
          <w:p w14:paraId="47FA27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w:t>
            </w:r>
          </w:p>
        </w:tc>
        <w:tc>
          <w:tcPr>
            <w:tcW w:w="1440" w:type="dxa"/>
            <w:noWrap/>
            <w:hideMark/>
          </w:tcPr>
          <w:p w14:paraId="62D7D4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25.9%</w:t>
            </w:r>
          </w:p>
        </w:tc>
        <w:tc>
          <w:tcPr>
            <w:tcW w:w="1440" w:type="dxa"/>
            <w:noWrap/>
            <w:hideMark/>
          </w:tcPr>
          <w:p w14:paraId="0CF29C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25.4%</w:t>
            </w:r>
          </w:p>
        </w:tc>
      </w:tr>
      <w:tr w:rsidR="006253A9" w:rsidRPr="006253A9" w14:paraId="050EEBD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04B58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0278</w:t>
            </w:r>
          </w:p>
        </w:tc>
        <w:tc>
          <w:tcPr>
            <w:tcW w:w="2880" w:type="dxa"/>
            <w:noWrap/>
            <w:hideMark/>
          </w:tcPr>
          <w:p w14:paraId="72B424E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 Hadley</w:t>
            </w:r>
          </w:p>
        </w:tc>
        <w:tc>
          <w:tcPr>
            <w:tcW w:w="1455" w:type="dxa"/>
            <w:noWrap/>
            <w:hideMark/>
          </w:tcPr>
          <w:p w14:paraId="03F882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$17,331,910</w:t>
            </w:r>
          </w:p>
        </w:tc>
        <w:tc>
          <w:tcPr>
            <w:tcW w:w="1440" w:type="dxa"/>
            <w:noWrap/>
            <w:hideMark/>
          </w:tcPr>
          <w:p w14:paraId="6FAC33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c>
          <w:tcPr>
            <w:tcW w:w="1440" w:type="dxa"/>
            <w:noWrap/>
            <w:hideMark/>
          </w:tcPr>
          <w:p w14:paraId="3C4143D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c>
          <w:tcPr>
            <w:tcW w:w="1440" w:type="dxa"/>
            <w:noWrap/>
            <w:hideMark/>
          </w:tcPr>
          <w:p w14:paraId="2ED476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67.0%</w:t>
            </w:r>
          </w:p>
        </w:tc>
        <w:tc>
          <w:tcPr>
            <w:tcW w:w="1455" w:type="dxa"/>
            <w:noWrap/>
            <w:hideMark/>
          </w:tcPr>
          <w:p w14:paraId="27DBC5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$22,011,472</w:t>
            </w:r>
          </w:p>
        </w:tc>
        <w:tc>
          <w:tcPr>
            <w:tcW w:w="1440" w:type="dxa"/>
            <w:noWrap/>
            <w:hideMark/>
          </w:tcPr>
          <w:p w14:paraId="353FB8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w:t>
            </w:r>
          </w:p>
        </w:tc>
        <w:tc>
          <w:tcPr>
            <w:tcW w:w="1440" w:type="dxa"/>
            <w:noWrap/>
            <w:hideMark/>
          </w:tcPr>
          <w:p w14:paraId="689FFD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w:t>
            </w:r>
          </w:p>
        </w:tc>
        <w:tc>
          <w:tcPr>
            <w:tcW w:w="1440" w:type="dxa"/>
            <w:noWrap/>
            <w:hideMark/>
          </w:tcPr>
          <w:p w14:paraId="5CD226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62.5%</w:t>
            </w:r>
          </w:p>
        </w:tc>
      </w:tr>
      <w:tr w:rsidR="006253A9" w:rsidRPr="006253A9" w14:paraId="01B41A4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7A044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0279</w:t>
            </w:r>
          </w:p>
        </w:tc>
        <w:tc>
          <w:tcPr>
            <w:tcW w:w="2880" w:type="dxa"/>
            <w:noWrap/>
            <w:hideMark/>
          </w:tcPr>
          <w:p w14:paraId="6C03C11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Southwick</w:t>
            </w:r>
          </w:p>
        </w:tc>
        <w:tc>
          <w:tcPr>
            <w:tcW w:w="1455" w:type="dxa"/>
            <w:noWrap/>
            <w:hideMark/>
          </w:tcPr>
          <w:p w14:paraId="67141F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$13,254,413</w:t>
            </w:r>
          </w:p>
        </w:tc>
        <w:tc>
          <w:tcPr>
            <w:tcW w:w="1440" w:type="dxa"/>
            <w:noWrap/>
            <w:hideMark/>
          </w:tcPr>
          <w:p w14:paraId="0A063A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46.2%</w:t>
            </w:r>
          </w:p>
        </w:tc>
        <w:tc>
          <w:tcPr>
            <w:tcW w:w="1440" w:type="dxa"/>
            <w:noWrap/>
            <w:hideMark/>
          </w:tcPr>
          <w:p w14:paraId="2BFAE5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46.2%</w:t>
            </w:r>
          </w:p>
        </w:tc>
        <w:tc>
          <w:tcPr>
            <w:tcW w:w="1440" w:type="dxa"/>
            <w:noWrap/>
            <w:hideMark/>
          </w:tcPr>
          <w:p w14:paraId="5333B0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43.4%</w:t>
            </w:r>
          </w:p>
        </w:tc>
        <w:tc>
          <w:tcPr>
            <w:tcW w:w="1455" w:type="dxa"/>
            <w:noWrap/>
            <w:hideMark/>
          </w:tcPr>
          <w:p w14:paraId="010AA01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$13,920,400</w:t>
            </w:r>
          </w:p>
        </w:tc>
        <w:tc>
          <w:tcPr>
            <w:tcW w:w="1440" w:type="dxa"/>
            <w:noWrap/>
            <w:hideMark/>
          </w:tcPr>
          <w:p w14:paraId="0FAD842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66.6%</w:t>
            </w:r>
          </w:p>
        </w:tc>
        <w:tc>
          <w:tcPr>
            <w:tcW w:w="1440" w:type="dxa"/>
            <w:noWrap/>
            <w:hideMark/>
          </w:tcPr>
          <w:p w14:paraId="0EB2A8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66.6%</w:t>
            </w:r>
          </w:p>
        </w:tc>
        <w:tc>
          <w:tcPr>
            <w:tcW w:w="1440" w:type="dxa"/>
            <w:noWrap/>
            <w:hideMark/>
          </w:tcPr>
          <w:p w14:paraId="76FDCD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w:t>
            </w:r>
          </w:p>
        </w:tc>
      </w:tr>
      <w:tr w:rsidR="006253A9" w:rsidRPr="006253A9" w14:paraId="1E5AB8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604A5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0280</w:t>
            </w:r>
          </w:p>
        </w:tc>
        <w:tc>
          <w:tcPr>
            <w:tcW w:w="2880" w:type="dxa"/>
            <w:noWrap/>
            <w:hideMark/>
          </w:tcPr>
          <w:p w14:paraId="0A10C8D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Spencer</w:t>
            </w:r>
          </w:p>
        </w:tc>
        <w:tc>
          <w:tcPr>
            <w:tcW w:w="1455" w:type="dxa"/>
            <w:noWrap/>
            <w:hideMark/>
          </w:tcPr>
          <w:p w14:paraId="40F4E9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$15,598,521</w:t>
            </w:r>
          </w:p>
        </w:tc>
        <w:tc>
          <w:tcPr>
            <w:tcW w:w="1440" w:type="dxa"/>
            <w:noWrap/>
            <w:hideMark/>
          </w:tcPr>
          <w:p w14:paraId="0EA8B2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w:t>
            </w:r>
          </w:p>
        </w:tc>
        <w:tc>
          <w:tcPr>
            <w:tcW w:w="1440" w:type="dxa"/>
            <w:noWrap/>
            <w:hideMark/>
          </w:tcPr>
          <w:p w14:paraId="78D9A6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w:t>
            </w:r>
          </w:p>
        </w:tc>
        <w:tc>
          <w:tcPr>
            <w:tcW w:w="1440" w:type="dxa"/>
            <w:noWrap/>
            <w:hideMark/>
          </w:tcPr>
          <w:p w14:paraId="50CCB8D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26.4%</w:t>
            </w:r>
          </w:p>
        </w:tc>
        <w:tc>
          <w:tcPr>
            <w:tcW w:w="1455" w:type="dxa"/>
            <w:noWrap/>
            <w:hideMark/>
          </w:tcPr>
          <w:p w14:paraId="58DB57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$17,889,304</w:t>
            </w:r>
          </w:p>
        </w:tc>
        <w:tc>
          <w:tcPr>
            <w:tcW w:w="1440" w:type="dxa"/>
            <w:noWrap/>
            <w:hideMark/>
          </w:tcPr>
          <w:p w14:paraId="71CB36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w:t>
            </w:r>
          </w:p>
        </w:tc>
        <w:tc>
          <w:tcPr>
            <w:tcW w:w="1440" w:type="dxa"/>
            <w:noWrap/>
            <w:hideMark/>
          </w:tcPr>
          <w:p w14:paraId="1BF722D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w:t>
            </w:r>
          </w:p>
        </w:tc>
        <w:tc>
          <w:tcPr>
            <w:tcW w:w="1440" w:type="dxa"/>
            <w:noWrap/>
            <w:hideMark/>
          </w:tcPr>
          <w:p w14:paraId="730192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45.2%</w:t>
            </w:r>
          </w:p>
        </w:tc>
      </w:tr>
      <w:tr w:rsidR="006253A9" w:rsidRPr="006253A9" w14:paraId="6E881CF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95E8E3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0281</w:t>
            </w:r>
          </w:p>
        </w:tc>
        <w:tc>
          <w:tcPr>
            <w:tcW w:w="2880" w:type="dxa"/>
            <w:noWrap/>
            <w:hideMark/>
          </w:tcPr>
          <w:p w14:paraId="5B81A43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Springfield</w:t>
            </w:r>
          </w:p>
        </w:tc>
        <w:tc>
          <w:tcPr>
            <w:tcW w:w="1455" w:type="dxa"/>
            <w:noWrap/>
            <w:hideMark/>
          </w:tcPr>
          <w:p w14:paraId="17850D6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$262,628,553</w:t>
            </w:r>
          </w:p>
        </w:tc>
        <w:tc>
          <w:tcPr>
            <w:tcW w:w="1440" w:type="dxa"/>
            <w:noWrap/>
            <w:hideMark/>
          </w:tcPr>
          <w:p w14:paraId="6660BA5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18.9%</w:t>
            </w:r>
          </w:p>
        </w:tc>
        <w:tc>
          <w:tcPr>
            <w:tcW w:w="1440" w:type="dxa"/>
            <w:noWrap/>
            <w:hideMark/>
          </w:tcPr>
          <w:p w14:paraId="27DA11E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18.9%</w:t>
            </w:r>
          </w:p>
        </w:tc>
        <w:tc>
          <w:tcPr>
            <w:tcW w:w="1440" w:type="dxa"/>
            <w:noWrap/>
            <w:hideMark/>
          </w:tcPr>
          <w:p w14:paraId="73ED5A0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w:t>
            </w:r>
          </w:p>
        </w:tc>
        <w:tc>
          <w:tcPr>
            <w:tcW w:w="1455" w:type="dxa"/>
            <w:noWrap/>
            <w:hideMark/>
          </w:tcPr>
          <w:p w14:paraId="73A499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$411,555,996</w:t>
            </w:r>
          </w:p>
        </w:tc>
        <w:tc>
          <w:tcPr>
            <w:tcW w:w="1440" w:type="dxa"/>
            <w:noWrap/>
            <w:hideMark/>
          </w:tcPr>
          <w:p w14:paraId="0C91BE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w:t>
            </w:r>
          </w:p>
        </w:tc>
        <w:tc>
          <w:tcPr>
            <w:tcW w:w="1440" w:type="dxa"/>
            <w:noWrap/>
            <w:hideMark/>
          </w:tcPr>
          <w:p w14:paraId="4E3D89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w:t>
            </w:r>
          </w:p>
        </w:tc>
        <w:tc>
          <w:tcPr>
            <w:tcW w:w="1440" w:type="dxa"/>
            <w:noWrap/>
            <w:hideMark/>
          </w:tcPr>
          <w:p w14:paraId="29C465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w:t>
            </w:r>
          </w:p>
        </w:tc>
      </w:tr>
      <w:tr w:rsidR="006253A9" w:rsidRPr="006253A9" w14:paraId="158112F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6CC8CC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0282</w:t>
            </w:r>
          </w:p>
        </w:tc>
        <w:tc>
          <w:tcPr>
            <w:tcW w:w="2880" w:type="dxa"/>
            <w:noWrap/>
            <w:hideMark/>
          </w:tcPr>
          <w:p w14:paraId="2041356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Sterling</w:t>
            </w:r>
          </w:p>
        </w:tc>
        <w:tc>
          <w:tcPr>
            <w:tcW w:w="1455" w:type="dxa"/>
            <w:noWrap/>
            <w:hideMark/>
          </w:tcPr>
          <w:p w14:paraId="00AAE0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$10,194,478</w:t>
            </w:r>
          </w:p>
        </w:tc>
        <w:tc>
          <w:tcPr>
            <w:tcW w:w="1440" w:type="dxa"/>
            <w:noWrap/>
            <w:hideMark/>
          </w:tcPr>
          <w:p w14:paraId="3681C2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c>
          <w:tcPr>
            <w:tcW w:w="1440" w:type="dxa"/>
            <w:noWrap/>
            <w:hideMark/>
          </w:tcPr>
          <w:p w14:paraId="2B01FE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c>
          <w:tcPr>
            <w:tcW w:w="1440" w:type="dxa"/>
            <w:noWrap/>
            <w:hideMark/>
          </w:tcPr>
          <w:p w14:paraId="0685B4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74.7%</w:t>
            </w:r>
          </w:p>
        </w:tc>
        <w:tc>
          <w:tcPr>
            <w:tcW w:w="1455" w:type="dxa"/>
            <w:noWrap/>
            <w:hideMark/>
          </w:tcPr>
          <w:p w14:paraId="52740F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$12,111,893</w:t>
            </w:r>
          </w:p>
        </w:tc>
        <w:tc>
          <w:tcPr>
            <w:tcW w:w="1440" w:type="dxa"/>
            <w:noWrap/>
            <w:hideMark/>
          </w:tcPr>
          <w:p w14:paraId="497DD5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76.7%</w:t>
            </w:r>
          </w:p>
        </w:tc>
        <w:tc>
          <w:tcPr>
            <w:tcW w:w="1440" w:type="dxa"/>
            <w:noWrap/>
            <w:hideMark/>
          </w:tcPr>
          <w:p w14:paraId="7B69CA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76.7%</w:t>
            </w:r>
          </w:p>
        </w:tc>
        <w:tc>
          <w:tcPr>
            <w:tcW w:w="1440" w:type="dxa"/>
            <w:noWrap/>
            <w:hideMark/>
          </w:tcPr>
          <w:p w14:paraId="248175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74.3%</w:t>
            </w:r>
          </w:p>
        </w:tc>
      </w:tr>
      <w:tr w:rsidR="006253A9" w:rsidRPr="006253A9" w14:paraId="3C92360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3C213F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0283</w:t>
            </w:r>
          </w:p>
        </w:tc>
        <w:tc>
          <w:tcPr>
            <w:tcW w:w="2880" w:type="dxa"/>
            <w:noWrap/>
            <w:hideMark/>
          </w:tcPr>
          <w:p w14:paraId="1785542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Stockbridge</w:t>
            </w:r>
          </w:p>
        </w:tc>
        <w:tc>
          <w:tcPr>
            <w:tcW w:w="1455" w:type="dxa"/>
            <w:noWrap/>
            <w:hideMark/>
          </w:tcPr>
          <w:p w14:paraId="70F96E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$1,539,064</w:t>
            </w:r>
          </w:p>
        </w:tc>
        <w:tc>
          <w:tcPr>
            <w:tcW w:w="1440" w:type="dxa"/>
            <w:noWrap/>
            <w:hideMark/>
          </w:tcPr>
          <w:p w14:paraId="2C2134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208.0%</w:t>
            </w:r>
          </w:p>
        </w:tc>
        <w:tc>
          <w:tcPr>
            <w:tcW w:w="1440" w:type="dxa"/>
            <w:noWrap/>
            <w:hideMark/>
          </w:tcPr>
          <w:p w14:paraId="10D5670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5DE4E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116.9%</w:t>
            </w:r>
          </w:p>
        </w:tc>
        <w:tc>
          <w:tcPr>
            <w:tcW w:w="1455" w:type="dxa"/>
            <w:noWrap/>
            <w:hideMark/>
          </w:tcPr>
          <w:p w14:paraId="1C8052C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$1,494,905</w:t>
            </w:r>
          </w:p>
        </w:tc>
        <w:tc>
          <w:tcPr>
            <w:tcW w:w="1440" w:type="dxa"/>
            <w:noWrap/>
            <w:hideMark/>
          </w:tcPr>
          <w:p w14:paraId="01F552A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281.8%</w:t>
            </w:r>
          </w:p>
        </w:tc>
        <w:tc>
          <w:tcPr>
            <w:tcW w:w="1440" w:type="dxa"/>
            <w:noWrap/>
            <w:hideMark/>
          </w:tcPr>
          <w:p w14:paraId="3B706B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2D5BB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47C264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2ECDB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0284</w:t>
            </w:r>
          </w:p>
        </w:tc>
        <w:tc>
          <w:tcPr>
            <w:tcW w:w="2880" w:type="dxa"/>
            <w:noWrap/>
            <w:hideMark/>
          </w:tcPr>
          <w:p w14:paraId="2E96709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Stoneham</w:t>
            </w:r>
          </w:p>
        </w:tc>
        <w:tc>
          <w:tcPr>
            <w:tcW w:w="1455" w:type="dxa"/>
            <w:noWrap/>
            <w:hideMark/>
          </w:tcPr>
          <w:p w14:paraId="5C6966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$22,455,187</w:t>
            </w:r>
          </w:p>
        </w:tc>
        <w:tc>
          <w:tcPr>
            <w:tcW w:w="1440" w:type="dxa"/>
            <w:noWrap/>
            <w:hideMark/>
          </w:tcPr>
          <w:p w14:paraId="528993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86.3%</w:t>
            </w:r>
          </w:p>
        </w:tc>
        <w:tc>
          <w:tcPr>
            <w:tcW w:w="1440" w:type="dxa"/>
            <w:noWrap/>
            <w:hideMark/>
          </w:tcPr>
          <w:p w14:paraId="02DFC3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D4C4D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89.1%</w:t>
            </w:r>
          </w:p>
        </w:tc>
        <w:tc>
          <w:tcPr>
            <w:tcW w:w="1455" w:type="dxa"/>
            <w:noWrap/>
            <w:hideMark/>
          </w:tcPr>
          <w:p w14:paraId="53529D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$28,030,195</w:t>
            </w:r>
          </w:p>
        </w:tc>
        <w:tc>
          <w:tcPr>
            <w:tcW w:w="1440" w:type="dxa"/>
            <w:noWrap/>
            <w:hideMark/>
          </w:tcPr>
          <w:p w14:paraId="23678B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99.7%</w:t>
            </w:r>
          </w:p>
        </w:tc>
        <w:tc>
          <w:tcPr>
            <w:tcW w:w="1440" w:type="dxa"/>
            <w:noWrap/>
            <w:hideMark/>
          </w:tcPr>
          <w:p w14:paraId="566FB7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6D5D5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80.5%</w:t>
            </w:r>
          </w:p>
        </w:tc>
      </w:tr>
      <w:tr w:rsidR="006253A9" w:rsidRPr="006253A9" w14:paraId="0C26C48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D6764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0285</w:t>
            </w:r>
          </w:p>
        </w:tc>
        <w:tc>
          <w:tcPr>
            <w:tcW w:w="2880" w:type="dxa"/>
            <w:noWrap/>
            <w:hideMark/>
          </w:tcPr>
          <w:p w14:paraId="4385140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Stoughton</w:t>
            </w:r>
          </w:p>
        </w:tc>
        <w:tc>
          <w:tcPr>
            <w:tcW w:w="1455" w:type="dxa"/>
            <w:noWrap/>
            <w:hideMark/>
          </w:tcPr>
          <w:p w14:paraId="635E49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$33,313,766</w:t>
            </w:r>
          </w:p>
        </w:tc>
        <w:tc>
          <w:tcPr>
            <w:tcW w:w="1440" w:type="dxa"/>
            <w:noWrap/>
            <w:hideMark/>
          </w:tcPr>
          <w:p w14:paraId="332D0DF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62.1%</w:t>
            </w:r>
          </w:p>
        </w:tc>
        <w:tc>
          <w:tcPr>
            <w:tcW w:w="1440" w:type="dxa"/>
            <w:noWrap/>
            <w:hideMark/>
          </w:tcPr>
          <w:p w14:paraId="627E98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62.1%</w:t>
            </w:r>
          </w:p>
        </w:tc>
        <w:tc>
          <w:tcPr>
            <w:tcW w:w="1440" w:type="dxa"/>
            <w:noWrap/>
            <w:hideMark/>
          </w:tcPr>
          <w:p w14:paraId="2DB7B3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68.7%</w:t>
            </w:r>
          </w:p>
        </w:tc>
        <w:tc>
          <w:tcPr>
            <w:tcW w:w="1455" w:type="dxa"/>
            <w:noWrap/>
            <w:hideMark/>
          </w:tcPr>
          <w:p w14:paraId="7B5CF2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$44,874,845</w:t>
            </w:r>
          </w:p>
        </w:tc>
        <w:tc>
          <w:tcPr>
            <w:tcW w:w="1440" w:type="dxa"/>
            <w:noWrap/>
            <w:hideMark/>
          </w:tcPr>
          <w:p w14:paraId="37D8D7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62.1%</w:t>
            </w:r>
          </w:p>
        </w:tc>
        <w:tc>
          <w:tcPr>
            <w:tcW w:w="1440" w:type="dxa"/>
            <w:noWrap/>
            <w:hideMark/>
          </w:tcPr>
          <w:p w14:paraId="14C40B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62.1%</w:t>
            </w:r>
          </w:p>
        </w:tc>
        <w:tc>
          <w:tcPr>
            <w:tcW w:w="1440" w:type="dxa"/>
            <w:noWrap/>
            <w:hideMark/>
          </w:tcPr>
          <w:p w14:paraId="3FFDF18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61.9%</w:t>
            </w:r>
          </w:p>
        </w:tc>
      </w:tr>
      <w:tr w:rsidR="006253A9" w:rsidRPr="006253A9" w14:paraId="0B4239D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4EEAC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0286</w:t>
            </w:r>
          </w:p>
        </w:tc>
        <w:tc>
          <w:tcPr>
            <w:tcW w:w="2880" w:type="dxa"/>
            <w:noWrap/>
            <w:hideMark/>
          </w:tcPr>
          <w:p w14:paraId="5C92A04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Stow</w:t>
            </w:r>
          </w:p>
        </w:tc>
        <w:tc>
          <w:tcPr>
            <w:tcW w:w="1455" w:type="dxa"/>
            <w:noWrap/>
            <w:hideMark/>
          </w:tcPr>
          <w:p w14:paraId="001C7E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$9,329,698</w:t>
            </w:r>
          </w:p>
        </w:tc>
        <w:tc>
          <w:tcPr>
            <w:tcW w:w="1440" w:type="dxa"/>
            <w:noWrap/>
            <w:hideMark/>
          </w:tcPr>
          <w:p w14:paraId="601C3E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c>
          <w:tcPr>
            <w:tcW w:w="1440" w:type="dxa"/>
            <w:noWrap/>
            <w:hideMark/>
          </w:tcPr>
          <w:p w14:paraId="368AC1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c>
          <w:tcPr>
            <w:tcW w:w="1440" w:type="dxa"/>
            <w:noWrap/>
            <w:hideMark/>
          </w:tcPr>
          <w:p w14:paraId="04323D7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90.6%</w:t>
            </w:r>
          </w:p>
        </w:tc>
        <w:tc>
          <w:tcPr>
            <w:tcW w:w="1455" w:type="dxa"/>
            <w:noWrap/>
            <w:hideMark/>
          </w:tcPr>
          <w:p w14:paraId="166BBB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$12,561,539</w:t>
            </w:r>
          </w:p>
        </w:tc>
        <w:tc>
          <w:tcPr>
            <w:tcW w:w="1440" w:type="dxa"/>
            <w:noWrap/>
            <w:hideMark/>
          </w:tcPr>
          <w:p w14:paraId="3DFC07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89.9%</w:t>
            </w:r>
          </w:p>
        </w:tc>
        <w:tc>
          <w:tcPr>
            <w:tcW w:w="1440" w:type="dxa"/>
            <w:noWrap/>
            <w:hideMark/>
          </w:tcPr>
          <w:p w14:paraId="08C342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5DEB1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5D327F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6B1CE4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0287</w:t>
            </w:r>
          </w:p>
        </w:tc>
        <w:tc>
          <w:tcPr>
            <w:tcW w:w="2880" w:type="dxa"/>
            <w:noWrap/>
            <w:hideMark/>
          </w:tcPr>
          <w:p w14:paraId="6E43B6E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Sturbridge</w:t>
            </w:r>
          </w:p>
        </w:tc>
        <w:tc>
          <w:tcPr>
            <w:tcW w:w="1455" w:type="dxa"/>
            <w:noWrap/>
            <w:hideMark/>
          </w:tcPr>
          <w:p w14:paraId="36CCF4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$12,056,244</w:t>
            </w:r>
          </w:p>
        </w:tc>
        <w:tc>
          <w:tcPr>
            <w:tcW w:w="1440" w:type="dxa"/>
            <w:noWrap/>
            <w:hideMark/>
          </w:tcPr>
          <w:p w14:paraId="6FBFE2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61.6%</w:t>
            </w:r>
          </w:p>
        </w:tc>
        <w:tc>
          <w:tcPr>
            <w:tcW w:w="1440" w:type="dxa"/>
            <w:noWrap/>
            <w:hideMark/>
          </w:tcPr>
          <w:p w14:paraId="2F586A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61.6%</w:t>
            </w:r>
          </w:p>
        </w:tc>
        <w:tc>
          <w:tcPr>
            <w:tcW w:w="1440" w:type="dxa"/>
            <w:noWrap/>
            <w:hideMark/>
          </w:tcPr>
          <w:p w14:paraId="6DF2E1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73.5%</w:t>
            </w:r>
          </w:p>
        </w:tc>
        <w:tc>
          <w:tcPr>
            <w:tcW w:w="1455" w:type="dxa"/>
            <w:noWrap/>
            <w:hideMark/>
          </w:tcPr>
          <w:p w14:paraId="19D1B4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$18,448,227</w:t>
            </w:r>
          </w:p>
        </w:tc>
        <w:tc>
          <w:tcPr>
            <w:tcW w:w="1440" w:type="dxa"/>
            <w:noWrap/>
            <w:hideMark/>
          </w:tcPr>
          <w:p w14:paraId="1D180B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57.9%</w:t>
            </w:r>
          </w:p>
        </w:tc>
        <w:tc>
          <w:tcPr>
            <w:tcW w:w="1440" w:type="dxa"/>
            <w:noWrap/>
            <w:hideMark/>
          </w:tcPr>
          <w:p w14:paraId="3E6BADD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57.9%</w:t>
            </w:r>
          </w:p>
        </w:tc>
        <w:tc>
          <w:tcPr>
            <w:tcW w:w="1440" w:type="dxa"/>
            <w:noWrap/>
            <w:hideMark/>
          </w:tcPr>
          <w:p w14:paraId="43F9B2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57.8%</w:t>
            </w:r>
          </w:p>
        </w:tc>
      </w:tr>
      <w:tr w:rsidR="006253A9" w:rsidRPr="006253A9" w14:paraId="0365D0F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5F204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0288</w:t>
            </w:r>
          </w:p>
        </w:tc>
        <w:tc>
          <w:tcPr>
            <w:tcW w:w="2880" w:type="dxa"/>
            <w:noWrap/>
            <w:hideMark/>
          </w:tcPr>
          <w:p w14:paraId="5D659D4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Sudbury</w:t>
            </w:r>
          </w:p>
        </w:tc>
        <w:tc>
          <w:tcPr>
            <w:tcW w:w="1455" w:type="dxa"/>
            <w:noWrap/>
            <w:hideMark/>
          </w:tcPr>
          <w:p w14:paraId="1E4F9F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$34,104,158</w:t>
            </w:r>
          </w:p>
        </w:tc>
        <w:tc>
          <w:tcPr>
            <w:tcW w:w="1440" w:type="dxa"/>
            <w:noWrap/>
            <w:hideMark/>
          </w:tcPr>
          <w:p w14:paraId="6F9B9C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89.3%</w:t>
            </w:r>
          </w:p>
        </w:tc>
        <w:tc>
          <w:tcPr>
            <w:tcW w:w="1440" w:type="dxa"/>
            <w:noWrap/>
            <w:hideMark/>
          </w:tcPr>
          <w:p w14:paraId="3FC088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8362F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83.8%</w:t>
            </w:r>
          </w:p>
        </w:tc>
        <w:tc>
          <w:tcPr>
            <w:tcW w:w="1455" w:type="dxa"/>
            <w:noWrap/>
            <w:hideMark/>
          </w:tcPr>
          <w:p w14:paraId="31C337D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$41,702,348</w:t>
            </w:r>
          </w:p>
        </w:tc>
        <w:tc>
          <w:tcPr>
            <w:tcW w:w="1440" w:type="dxa"/>
            <w:noWrap/>
            <w:hideMark/>
          </w:tcPr>
          <w:p w14:paraId="2942B4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111.6%</w:t>
            </w:r>
          </w:p>
        </w:tc>
        <w:tc>
          <w:tcPr>
            <w:tcW w:w="1440" w:type="dxa"/>
            <w:noWrap/>
            <w:hideMark/>
          </w:tcPr>
          <w:p w14:paraId="7F0750E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6B89CD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3EFDEA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0EDDB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0289</w:t>
            </w:r>
          </w:p>
        </w:tc>
        <w:tc>
          <w:tcPr>
            <w:tcW w:w="2880" w:type="dxa"/>
            <w:noWrap/>
            <w:hideMark/>
          </w:tcPr>
          <w:p w14:paraId="795D6A1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Sunderland</w:t>
            </w:r>
          </w:p>
        </w:tc>
        <w:tc>
          <w:tcPr>
            <w:tcW w:w="1455" w:type="dxa"/>
            <w:noWrap/>
            <w:hideMark/>
          </w:tcPr>
          <w:p w14:paraId="0FBC94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$3,164,245</w:t>
            </w:r>
          </w:p>
        </w:tc>
        <w:tc>
          <w:tcPr>
            <w:tcW w:w="1440" w:type="dxa"/>
            <w:noWrap/>
            <w:hideMark/>
          </w:tcPr>
          <w:p w14:paraId="50A94E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63.8%</w:t>
            </w:r>
          </w:p>
        </w:tc>
        <w:tc>
          <w:tcPr>
            <w:tcW w:w="1440" w:type="dxa"/>
            <w:noWrap/>
            <w:hideMark/>
          </w:tcPr>
          <w:p w14:paraId="0A4632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63.8%</w:t>
            </w:r>
          </w:p>
        </w:tc>
        <w:tc>
          <w:tcPr>
            <w:tcW w:w="1440" w:type="dxa"/>
            <w:noWrap/>
            <w:hideMark/>
          </w:tcPr>
          <w:p w14:paraId="41FA96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w:t>
            </w:r>
          </w:p>
        </w:tc>
        <w:tc>
          <w:tcPr>
            <w:tcW w:w="1455" w:type="dxa"/>
            <w:noWrap/>
            <w:hideMark/>
          </w:tcPr>
          <w:p w14:paraId="45612A4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$3,715,767</w:t>
            </w:r>
          </w:p>
        </w:tc>
        <w:tc>
          <w:tcPr>
            <w:tcW w:w="1440" w:type="dxa"/>
            <w:noWrap/>
            <w:hideMark/>
          </w:tcPr>
          <w:p w14:paraId="3BA084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40" w:type="dxa"/>
            <w:noWrap/>
            <w:hideMark/>
          </w:tcPr>
          <w:p w14:paraId="1809A7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40" w:type="dxa"/>
            <w:noWrap/>
            <w:hideMark/>
          </w:tcPr>
          <w:p w14:paraId="4571A5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r>
      <w:tr w:rsidR="006253A9" w:rsidRPr="006253A9" w14:paraId="4084C2B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3CD5A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0290</w:t>
            </w:r>
          </w:p>
        </w:tc>
        <w:tc>
          <w:tcPr>
            <w:tcW w:w="2880" w:type="dxa"/>
            <w:noWrap/>
            <w:hideMark/>
          </w:tcPr>
          <w:p w14:paraId="7CDE2C1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Sutton</w:t>
            </w:r>
          </w:p>
        </w:tc>
        <w:tc>
          <w:tcPr>
            <w:tcW w:w="1455" w:type="dxa"/>
            <w:noWrap/>
            <w:hideMark/>
          </w:tcPr>
          <w:p w14:paraId="724EF4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$12,810,591</w:t>
            </w:r>
          </w:p>
        </w:tc>
        <w:tc>
          <w:tcPr>
            <w:tcW w:w="1440" w:type="dxa"/>
            <w:noWrap/>
            <w:hideMark/>
          </w:tcPr>
          <w:p w14:paraId="5A190D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61.7%</w:t>
            </w:r>
          </w:p>
        </w:tc>
        <w:tc>
          <w:tcPr>
            <w:tcW w:w="1440" w:type="dxa"/>
            <w:noWrap/>
            <w:hideMark/>
          </w:tcPr>
          <w:p w14:paraId="0E2EDD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61.7%</w:t>
            </w:r>
          </w:p>
        </w:tc>
        <w:tc>
          <w:tcPr>
            <w:tcW w:w="1440" w:type="dxa"/>
            <w:noWrap/>
            <w:hideMark/>
          </w:tcPr>
          <w:p w14:paraId="370571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c>
          <w:tcPr>
            <w:tcW w:w="1455" w:type="dxa"/>
            <w:noWrap/>
            <w:hideMark/>
          </w:tcPr>
          <w:p w14:paraId="66F018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$15,410,672</w:t>
            </w:r>
          </w:p>
        </w:tc>
        <w:tc>
          <w:tcPr>
            <w:tcW w:w="1440" w:type="dxa"/>
            <w:noWrap/>
            <w:hideMark/>
          </w:tcPr>
          <w:p w14:paraId="23E9591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79.0%</w:t>
            </w:r>
          </w:p>
        </w:tc>
        <w:tc>
          <w:tcPr>
            <w:tcW w:w="1440" w:type="dxa"/>
            <w:noWrap/>
            <w:hideMark/>
          </w:tcPr>
          <w:p w14:paraId="4A0CB3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79.0%</w:t>
            </w:r>
          </w:p>
        </w:tc>
        <w:tc>
          <w:tcPr>
            <w:tcW w:w="1440" w:type="dxa"/>
            <w:noWrap/>
            <w:hideMark/>
          </w:tcPr>
          <w:p w14:paraId="645233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76.7%</w:t>
            </w:r>
          </w:p>
        </w:tc>
      </w:tr>
      <w:tr w:rsidR="006253A9" w:rsidRPr="006253A9" w14:paraId="6091492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2FB81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0291</w:t>
            </w:r>
          </w:p>
        </w:tc>
        <w:tc>
          <w:tcPr>
            <w:tcW w:w="2880" w:type="dxa"/>
            <w:noWrap/>
            <w:hideMark/>
          </w:tcPr>
          <w:p w14:paraId="01B6CFC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Swampscott</w:t>
            </w:r>
          </w:p>
        </w:tc>
        <w:tc>
          <w:tcPr>
            <w:tcW w:w="1455" w:type="dxa"/>
            <w:noWrap/>
            <w:hideMark/>
          </w:tcPr>
          <w:p w14:paraId="5D4DFB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$16,477,554</w:t>
            </w:r>
          </w:p>
        </w:tc>
        <w:tc>
          <w:tcPr>
            <w:tcW w:w="1440" w:type="dxa"/>
            <w:noWrap/>
            <w:hideMark/>
          </w:tcPr>
          <w:p w14:paraId="13BD1B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103.7%</w:t>
            </w:r>
          </w:p>
        </w:tc>
        <w:tc>
          <w:tcPr>
            <w:tcW w:w="1440" w:type="dxa"/>
            <w:noWrap/>
            <w:hideMark/>
          </w:tcPr>
          <w:p w14:paraId="58DE87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C10FC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94.8%</w:t>
            </w:r>
          </w:p>
        </w:tc>
        <w:tc>
          <w:tcPr>
            <w:tcW w:w="1455" w:type="dxa"/>
            <w:noWrap/>
            <w:hideMark/>
          </w:tcPr>
          <w:p w14:paraId="62BFAB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$23,179,348</w:t>
            </w:r>
          </w:p>
        </w:tc>
        <w:tc>
          <w:tcPr>
            <w:tcW w:w="1440" w:type="dxa"/>
            <w:noWrap/>
            <w:hideMark/>
          </w:tcPr>
          <w:p w14:paraId="6E2241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110.9%</w:t>
            </w:r>
          </w:p>
        </w:tc>
        <w:tc>
          <w:tcPr>
            <w:tcW w:w="1440" w:type="dxa"/>
            <w:noWrap/>
            <w:hideMark/>
          </w:tcPr>
          <w:p w14:paraId="332A93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36BFB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r>
      <w:tr w:rsidR="006253A9" w:rsidRPr="006253A9" w14:paraId="51271E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AFD3F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0292</w:t>
            </w:r>
          </w:p>
        </w:tc>
        <w:tc>
          <w:tcPr>
            <w:tcW w:w="2880" w:type="dxa"/>
            <w:noWrap/>
            <w:hideMark/>
          </w:tcPr>
          <w:p w14:paraId="3463045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Swansea</w:t>
            </w:r>
          </w:p>
        </w:tc>
        <w:tc>
          <w:tcPr>
            <w:tcW w:w="1455" w:type="dxa"/>
            <w:noWrap/>
            <w:hideMark/>
          </w:tcPr>
          <w:p w14:paraId="55AB63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$17,155,644</w:t>
            </w:r>
          </w:p>
        </w:tc>
        <w:tc>
          <w:tcPr>
            <w:tcW w:w="1440" w:type="dxa"/>
            <w:noWrap/>
            <w:hideMark/>
          </w:tcPr>
          <w:p w14:paraId="2B27B2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65.6%</w:t>
            </w:r>
          </w:p>
        </w:tc>
        <w:tc>
          <w:tcPr>
            <w:tcW w:w="1440" w:type="dxa"/>
            <w:noWrap/>
            <w:hideMark/>
          </w:tcPr>
          <w:p w14:paraId="2CFAD7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65.6%</w:t>
            </w:r>
          </w:p>
        </w:tc>
        <w:tc>
          <w:tcPr>
            <w:tcW w:w="1440" w:type="dxa"/>
            <w:noWrap/>
            <w:hideMark/>
          </w:tcPr>
          <w:p w14:paraId="2E2AD7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76.1%</w:t>
            </w:r>
          </w:p>
        </w:tc>
        <w:tc>
          <w:tcPr>
            <w:tcW w:w="1455" w:type="dxa"/>
            <w:noWrap/>
            <w:hideMark/>
          </w:tcPr>
          <w:p w14:paraId="3C9BBB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$25,014,199</w:t>
            </w:r>
          </w:p>
        </w:tc>
        <w:tc>
          <w:tcPr>
            <w:tcW w:w="1440" w:type="dxa"/>
            <w:noWrap/>
            <w:hideMark/>
          </w:tcPr>
          <w:p w14:paraId="3D6B52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62.7%</w:t>
            </w:r>
          </w:p>
        </w:tc>
        <w:tc>
          <w:tcPr>
            <w:tcW w:w="1440" w:type="dxa"/>
            <w:noWrap/>
            <w:hideMark/>
          </w:tcPr>
          <w:p w14:paraId="593E5B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62.7%</w:t>
            </w:r>
          </w:p>
        </w:tc>
        <w:tc>
          <w:tcPr>
            <w:tcW w:w="1440" w:type="dxa"/>
            <w:noWrap/>
            <w:hideMark/>
          </w:tcPr>
          <w:p w14:paraId="485A74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62.7%</w:t>
            </w:r>
          </w:p>
        </w:tc>
      </w:tr>
      <w:tr w:rsidR="006253A9" w:rsidRPr="006253A9" w14:paraId="60AD89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CB5F3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0293</w:t>
            </w:r>
          </w:p>
        </w:tc>
        <w:tc>
          <w:tcPr>
            <w:tcW w:w="2880" w:type="dxa"/>
            <w:noWrap/>
            <w:hideMark/>
          </w:tcPr>
          <w:p w14:paraId="6910749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Taunton</w:t>
            </w:r>
          </w:p>
        </w:tc>
        <w:tc>
          <w:tcPr>
            <w:tcW w:w="1455" w:type="dxa"/>
            <w:noWrap/>
            <w:hideMark/>
          </w:tcPr>
          <w:p w14:paraId="37563D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$75,158,807</w:t>
            </w:r>
          </w:p>
        </w:tc>
        <w:tc>
          <w:tcPr>
            <w:tcW w:w="1440" w:type="dxa"/>
            <w:noWrap/>
            <w:hideMark/>
          </w:tcPr>
          <w:p w14:paraId="029231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42.5%</w:t>
            </w:r>
          </w:p>
        </w:tc>
        <w:tc>
          <w:tcPr>
            <w:tcW w:w="1440" w:type="dxa"/>
            <w:noWrap/>
            <w:hideMark/>
          </w:tcPr>
          <w:p w14:paraId="3D828A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42.5%</w:t>
            </w:r>
          </w:p>
        </w:tc>
        <w:tc>
          <w:tcPr>
            <w:tcW w:w="1440" w:type="dxa"/>
            <w:noWrap/>
            <w:hideMark/>
          </w:tcPr>
          <w:p w14:paraId="540023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37.9%</w:t>
            </w:r>
          </w:p>
        </w:tc>
        <w:tc>
          <w:tcPr>
            <w:tcW w:w="1455" w:type="dxa"/>
            <w:noWrap/>
            <w:hideMark/>
          </w:tcPr>
          <w:p w14:paraId="24704E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$110,374,554</w:t>
            </w:r>
          </w:p>
        </w:tc>
        <w:tc>
          <w:tcPr>
            <w:tcW w:w="1440" w:type="dxa"/>
            <w:noWrap/>
            <w:hideMark/>
          </w:tcPr>
          <w:p w14:paraId="037270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36.0%</w:t>
            </w:r>
          </w:p>
        </w:tc>
        <w:tc>
          <w:tcPr>
            <w:tcW w:w="1440" w:type="dxa"/>
            <w:noWrap/>
            <w:hideMark/>
          </w:tcPr>
          <w:p w14:paraId="584A2C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36.0%</w:t>
            </w:r>
          </w:p>
        </w:tc>
        <w:tc>
          <w:tcPr>
            <w:tcW w:w="1440" w:type="dxa"/>
            <w:noWrap/>
            <w:hideMark/>
          </w:tcPr>
          <w:p w14:paraId="3091B3D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35.6%</w:t>
            </w:r>
          </w:p>
        </w:tc>
      </w:tr>
      <w:tr w:rsidR="006253A9" w:rsidRPr="006253A9" w14:paraId="0B345CC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6F0C1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0294</w:t>
            </w:r>
          </w:p>
        </w:tc>
        <w:tc>
          <w:tcPr>
            <w:tcW w:w="2880" w:type="dxa"/>
            <w:noWrap/>
            <w:hideMark/>
          </w:tcPr>
          <w:p w14:paraId="4B30995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Templeton</w:t>
            </w:r>
          </w:p>
        </w:tc>
        <w:tc>
          <w:tcPr>
            <w:tcW w:w="1455" w:type="dxa"/>
            <w:noWrap/>
            <w:hideMark/>
          </w:tcPr>
          <w:p w14:paraId="227677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$10,988,869</w:t>
            </w:r>
          </w:p>
        </w:tc>
        <w:tc>
          <w:tcPr>
            <w:tcW w:w="1440" w:type="dxa"/>
            <w:noWrap/>
            <w:hideMark/>
          </w:tcPr>
          <w:p w14:paraId="35DC7A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35.6%</w:t>
            </w:r>
          </w:p>
        </w:tc>
        <w:tc>
          <w:tcPr>
            <w:tcW w:w="1440" w:type="dxa"/>
            <w:noWrap/>
            <w:hideMark/>
          </w:tcPr>
          <w:p w14:paraId="66472A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35.6%</w:t>
            </w:r>
          </w:p>
        </w:tc>
        <w:tc>
          <w:tcPr>
            <w:tcW w:w="1440" w:type="dxa"/>
            <w:noWrap/>
            <w:hideMark/>
          </w:tcPr>
          <w:p w14:paraId="53484F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21.9%</w:t>
            </w:r>
          </w:p>
        </w:tc>
        <w:tc>
          <w:tcPr>
            <w:tcW w:w="1455" w:type="dxa"/>
            <w:noWrap/>
            <w:hideMark/>
          </w:tcPr>
          <w:p w14:paraId="1811439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$13,830,332</w:t>
            </w:r>
          </w:p>
        </w:tc>
        <w:tc>
          <w:tcPr>
            <w:tcW w:w="1440" w:type="dxa"/>
            <w:noWrap/>
            <w:hideMark/>
          </w:tcPr>
          <w:p w14:paraId="695AC91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c>
          <w:tcPr>
            <w:tcW w:w="1440" w:type="dxa"/>
            <w:noWrap/>
            <w:hideMark/>
          </w:tcPr>
          <w:p w14:paraId="5AE0DA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c>
          <w:tcPr>
            <w:tcW w:w="1440" w:type="dxa"/>
            <w:noWrap/>
            <w:hideMark/>
          </w:tcPr>
          <w:p w14:paraId="7F200A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37.6%</w:t>
            </w:r>
          </w:p>
        </w:tc>
      </w:tr>
      <w:tr w:rsidR="006253A9" w:rsidRPr="006253A9" w14:paraId="388B79A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D75FA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0295</w:t>
            </w:r>
          </w:p>
        </w:tc>
        <w:tc>
          <w:tcPr>
            <w:tcW w:w="2880" w:type="dxa"/>
            <w:noWrap/>
            <w:hideMark/>
          </w:tcPr>
          <w:p w14:paraId="4B7DA06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Tewksbury</w:t>
            </w:r>
          </w:p>
        </w:tc>
        <w:tc>
          <w:tcPr>
            <w:tcW w:w="1455" w:type="dxa"/>
            <w:noWrap/>
            <w:hideMark/>
          </w:tcPr>
          <w:p w14:paraId="2D803A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$38,960,044</w:t>
            </w:r>
          </w:p>
        </w:tc>
        <w:tc>
          <w:tcPr>
            <w:tcW w:w="1440" w:type="dxa"/>
            <w:noWrap/>
            <w:hideMark/>
          </w:tcPr>
          <w:p w14:paraId="2B5AF1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w:t>
            </w:r>
          </w:p>
        </w:tc>
        <w:tc>
          <w:tcPr>
            <w:tcW w:w="1440" w:type="dxa"/>
            <w:noWrap/>
            <w:hideMark/>
          </w:tcPr>
          <w:p w14:paraId="5ADE71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w:t>
            </w:r>
          </w:p>
        </w:tc>
        <w:tc>
          <w:tcPr>
            <w:tcW w:w="1440" w:type="dxa"/>
            <w:noWrap/>
            <w:hideMark/>
          </w:tcPr>
          <w:p w14:paraId="22C7D0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65.2%</w:t>
            </w:r>
          </w:p>
        </w:tc>
        <w:tc>
          <w:tcPr>
            <w:tcW w:w="1455" w:type="dxa"/>
            <w:noWrap/>
            <w:hideMark/>
          </w:tcPr>
          <w:p w14:paraId="66A307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$41,474,545</w:t>
            </w:r>
          </w:p>
        </w:tc>
        <w:tc>
          <w:tcPr>
            <w:tcW w:w="1440" w:type="dxa"/>
            <w:noWrap/>
            <w:hideMark/>
          </w:tcPr>
          <w:p w14:paraId="175B9D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84.5%</w:t>
            </w:r>
          </w:p>
        </w:tc>
        <w:tc>
          <w:tcPr>
            <w:tcW w:w="1440" w:type="dxa"/>
            <w:noWrap/>
            <w:hideMark/>
          </w:tcPr>
          <w:p w14:paraId="30B69F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913D2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54DA9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9C72B2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0296</w:t>
            </w:r>
          </w:p>
        </w:tc>
        <w:tc>
          <w:tcPr>
            <w:tcW w:w="2880" w:type="dxa"/>
            <w:noWrap/>
            <w:hideMark/>
          </w:tcPr>
          <w:p w14:paraId="48CF3A1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Tisbury</w:t>
            </w:r>
          </w:p>
        </w:tc>
        <w:tc>
          <w:tcPr>
            <w:tcW w:w="1455" w:type="dxa"/>
            <w:noWrap/>
            <w:hideMark/>
          </w:tcPr>
          <w:p w14:paraId="50F3F2F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$4,408,390</w:t>
            </w:r>
          </w:p>
        </w:tc>
        <w:tc>
          <w:tcPr>
            <w:tcW w:w="1440" w:type="dxa"/>
            <w:noWrap/>
            <w:hideMark/>
          </w:tcPr>
          <w:p w14:paraId="39BD0E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209.1%</w:t>
            </w:r>
          </w:p>
        </w:tc>
        <w:tc>
          <w:tcPr>
            <w:tcW w:w="1440" w:type="dxa"/>
            <w:noWrap/>
            <w:hideMark/>
          </w:tcPr>
          <w:p w14:paraId="24F182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02BD0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120.9%</w:t>
            </w:r>
          </w:p>
        </w:tc>
        <w:tc>
          <w:tcPr>
            <w:tcW w:w="1455" w:type="dxa"/>
            <w:noWrap/>
            <w:hideMark/>
          </w:tcPr>
          <w:p w14:paraId="0BE772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$6,471,557</w:t>
            </w:r>
          </w:p>
        </w:tc>
        <w:tc>
          <w:tcPr>
            <w:tcW w:w="1440" w:type="dxa"/>
            <w:noWrap/>
            <w:hideMark/>
          </w:tcPr>
          <w:p w14:paraId="491FE2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176.2%</w:t>
            </w:r>
          </w:p>
        </w:tc>
        <w:tc>
          <w:tcPr>
            <w:tcW w:w="1440" w:type="dxa"/>
            <w:noWrap/>
            <w:hideMark/>
          </w:tcPr>
          <w:p w14:paraId="6734BE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D6DB8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3C4E30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6006C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0297</w:t>
            </w:r>
          </w:p>
        </w:tc>
        <w:tc>
          <w:tcPr>
            <w:tcW w:w="2880" w:type="dxa"/>
            <w:noWrap/>
            <w:hideMark/>
          </w:tcPr>
          <w:p w14:paraId="11F0DB8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Tolland</w:t>
            </w:r>
          </w:p>
        </w:tc>
        <w:tc>
          <w:tcPr>
            <w:tcW w:w="1455" w:type="dxa"/>
            <w:noWrap/>
            <w:hideMark/>
          </w:tcPr>
          <w:p w14:paraId="6023B9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$549,445</w:t>
            </w:r>
          </w:p>
        </w:tc>
        <w:tc>
          <w:tcPr>
            <w:tcW w:w="1440" w:type="dxa"/>
            <w:noWrap/>
            <w:hideMark/>
          </w:tcPr>
          <w:p w14:paraId="5592C7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98.2%</w:t>
            </w:r>
          </w:p>
        </w:tc>
        <w:tc>
          <w:tcPr>
            <w:tcW w:w="1440" w:type="dxa"/>
            <w:noWrap/>
            <w:hideMark/>
          </w:tcPr>
          <w:p w14:paraId="7AFC02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0EA0E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43.3%</w:t>
            </w:r>
          </w:p>
        </w:tc>
        <w:tc>
          <w:tcPr>
            <w:tcW w:w="1455" w:type="dxa"/>
            <w:noWrap/>
            <w:hideMark/>
          </w:tcPr>
          <w:p w14:paraId="1E39D5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$496,333</w:t>
            </w:r>
          </w:p>
        </w:tc>
        <w:tc>
          <w:tcPr>
            <w:tcW w:w="1440" w:type="dxa"/>
            <w:noWrap/>
            <w:hideMark/>
          </w:tcPr>
          <w:p w14:paraId="2BCDF8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172.3%</w:t>
            </w:r>
          </w:p>
        </w:tc>
        <w:tc>
          <w:tcPr>
            <w:tcW w:w="1440" w:type="dxa"/>
            <w:noWrap/>
            <w:hideMark/>
          </w:tcPr>
          <w:p w14:paraId="17B939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7E052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196078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34729B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0298</w:t>
            </w:r>
          </w:p>
        </w:tc>
        <w:tc>
          <w:tcPr>
            <w:tcW w:w="2880" w:type="dxa"/>
            <w:noWrap/>
            <w:hideMark/>
          </w:tcPr>
          <w:p w14:paraId="7C18099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Topsfield</w:t>
            </w:r>
          </w:p>
        </w:tc>
        <w:tc>
          <w:tcPr>
            <w:tcW w:w="1455" w:type="dxa"/>
            <w:noWrap/>
            <w:hideMark/>
          </w:tcPr>
          <w:p w14:paraId="413534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$9,560,137</w:t>
            </w:r>
          </w:p>
        </w:tc>
        <w:tc>
          <w:tcPr>
            <w:tcW w:w="1440" w:type="dxa"/>
            <w:noWrap/>
            <w:hideMark/>
          </w:tcPr>
          <w:p w14:paraId="3131F7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84.5%</w:t>
            </w:r>
          </w:p>
        </w:tc>
        <w:tc>
          <w:tcPr>
            <w:tcW w:w="1440" w:type="dxa"/>
            <w:noWrap/>
            <w:hideMark/>
          </w:tcPr>
          <w:p w14:paraId="64EF28F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60316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76.8%</w:t>
            </w:r>
          </w:p>
        </w:tc>
        <w:tc>
          <w:tcPr>
            <w:tcW w:w="1455" w:type="dxa"/>
            <w:noWrap/>
            <w:hideMark/>
          </w:tcPr>
          <w:p w14:paraId="7F86AC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$11,358,797</w:t>
            </w:r>
          </w:p>
        </w:tc>
        <w:tc>
          <w:tcPr>
            <w:tcW w:w="1440" w:type="dxa"/>
            <w:noWrap/>
            <w:hideMark/>
          </w:tcPr>
          <w:p w14:paraId="6C821DB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104.6%</w:t>
            </w:r>
          </w:p>
        </w:tc>
        <w:tc>
          <w:tcPr>
            <w:tcW w:w="1440" w:type="dxa"/>
            <w:noWrap/>
            <w:hideMark/>
          </w:tcPr>
          <w:p w14:paraId="56BC11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80421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81.4%</w:t>
            </w:r>
          </w:p>
        </w:tc>
      </w:tr>
      <w:tr w:rsidR="006253A9" w:rsidRPr="006253A9" w14:paraId="3C264E2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3AC2AC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0299</w:t>
            </w:r>
          </w:p>
        </w:tc>
        <w:tc>
          <w:tcPr>
            <w:tcW w:w="2880" w:type="dxa"/>
            <w:noWrap/>
            <w:hideMark/>
          </w:tcPr>
          <w:p w14:paraId="4EF2C30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Townsend</w:t>
            </w:r>
          </w:p>
        </w:tc>
        <w:tc>
          <w:tcPr>
            <w:tcW w:w="1455" w:type="dxa"/>
            <w:noWrap/>
            <w:hideMark/>
          </w:tcPr>
          <w:p w14:paraId="522FD0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$13,892,964</w:t>
            </w:r>
          </w:p>
        </w:tc>
        <w:tc>
          <w:tcPr>
            <w:tcW w:w="1440" w:type="dxa"/>
            <w:noWrap/>
            <w:hideMark/>
          </w:tcPr>
          <w:p w14:paraId="0F62C2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44.8%</w:t>
            </w:r>
          </w:p>
        </w:tc>
        <w:tc>
          <w:tcPr>
            <w:tcW w:w="1440" w:type="dxa"/>
            <w:noWrap/>
            <w:hideMark/>
          </w:tcPr>
          <w:p w14:paraId="5ADD82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44.8%</w:t>
            </w:r>
          </w:p>
        </w:tc>
        <w:tc>
          <w:tcPr>
            <w:tcW w:w="1440" w:type="dxa"/>
            <w:noWrap/>
            <w:hideMark/>
          </w:tcPr>
          <w:p w14:paraId="7EDD7D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49.4%</w:t>
            </w:r>
          </w:p>
        </w:tc>
        <w:tc>
          <w:tcPr>
            <w:tcW w:w="1455" w:type="dxa"/>
            <w:noWrap/>
            <w:hideMark/>
          </w:tcPr>
          <w:p w14:paraId="122EE3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$14,872,069</w:t>
            </w:r>
          </w:p>
        </w:tc>
        <w:tc>
          <w:tcPr>
            <w:tcW w:w="1440" w:type="dxa"/>
            <w:noWrap/>
            <w:hideMark/>
          </w:tcPr>
          <w:p w14:paraId="2BE160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003E1E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6A28D9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50.5%</w:t>
            </w:r>
          </w:p>
        </w:tc>
      </w:tr>
      <w:tr w:rsidR="006253A9" w:rsidRPr="006253A9" w14:paraId="7062337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8FE4F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0300</w:t>
            </w:r>
          </w:p>
        </w:tc>
        <w:tc>
          <w:tcPr>
            <w:tcW w:w="2880" w:type="dxa"/>
            <w:noWrap/>
            <w:hideMark/>
          </w:tcPr>
          <w:p w14:paraId="3F507CB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Truro</w:t>
            </w:r>
          </w:p>
        </w:tc>
        <w:tc>
          <w:tcPr>
            <w:tcW w:w="1455" w:type="dxa"/>
            <w:noWrap/>
            <w:hideMark/>
          </w:tcPr>
          <w:p w14:paraId="0DCCC1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$1,758,850</w:t>
            </w:r>
          </w:p>
        </w:tc>
        <w:tc>
          <w:tcPr>
            <w:tcW w:w="1440" w:type="dxa"/>
            <w:noWrap/>
            <w:hideMark/>
          </w:tcPr>
          <w:p w14:paraId="0319201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374.1%</w:t>
            </w:r>
          </w:p>
        </w:tc>
        <w:tc>
          <w:tcPr>
            <w:tcW w:w="1440" w:type="dxa"/>
            <w:noWrap/>
            <w:hideMark/>
          </w:tcPr>
          <w:p w14:paraId="75F119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D5EBE3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130.6%</w:t>
            </w:r>
          </w:p>
        </w:tc>
        <w:tc>
          <w:tcPr>
            <w:tcW w:w="1455" w:type="dxa"/>
            <w:noWrap/>
            <w:hideMark/>
          </w:tcPr>
          <w:p w14:paraId="76B52F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$2,404,239</w:t>
            </w:r>
          </w:p>
        </w:tc>
        <w:tc>
          <w:tcPr>
            <w:tcW w:w="1440" w:type="dxa"/>
            <w:noWrap/>
            <w:hideMark/>
          </w:tcPr>
          <w:p w14:paraId="1FF03A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379.8%</w:t>
            </w:r>
          </w:p>
        </w:tc>
        <w:tc>
          <w:tcPr>
            <w:tcW w:w="1440" w:type="dxa"/>
            <w:noWrap/>
            <w:hideMark/>
          </w:tcPr>
          <w:p w14:paraId="5DFD6D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E54A59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ED1112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5CC48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0301</w:t>
            </w:r>
          </w:p>
        </w:tc>
        <w:tc>
          <w:tcPr>
            <w:tcW w:w="2880" w:type="dxa"/>
            <w:noWrap/>
            <w:hideMark/>
          </w:tcPr>
          <w:p w14:paraId="3BED462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Tyngsborough</w:t>
            </w:r>
          </w:p>
        </w:tc>
        <w:tc>
          <w:tcPr>
            <w:tcW w:w="1455" w:type="dxa"/>
            <w:noWrap/>
            <w:hideMark/>
          </w:tcPr>
          <w:p w14:paraId="18A8A2A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$16,744,018</w:t>
            </w:r>
          </w:p>
        </w:tc>
        <w:tc>
          <w:tcPr>
            <w:tcW w:w="1440" w:type="dxa"/>
            <w:noWrap/>
            <w:hideMark/>
          </w:tcPr>
          <w:p w14:paraId="1874CD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56.6%</w:t>
            </w:r>
          </w:p>
        </w:tc>
        <w:tc>
          <w:tcPr>
            <w:tcW w:w="1440" w:type="dxa"/>
            <w:noWrap/>
            <w:hideMark/>
          </w:tcPr>
          <w:p w14:paraId="54069D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56.6%</w:t>
            </w:r>
          </w:p>
        </w:tc>
        <w:tc>
          <w:tcPr>
            <w:tcW w:w="1440" w:type="dxa"/>
            <w:noWrap/>
            <w:hideMark/>
          </w:tcPr>
          <w:p w14:paraId="1CDB44D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55.1%</w:t>
            </w:r>
          </w:p>
        </w:tc>
        <w:tc>
          <w:tcPr>
            <w:tcW w:w="1455" w:type="dxa"/>
            <w:noWrap/>
            <w:hideMark/>
          </w:tcPr>
          <w:p w14:paraId="22ECF44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$18,654,216</w:t>
            </w:r>
          </w:p>
        </w:tc>
        <w:tc>
          <w:tcPr>
            <w:tcW w:w="1440" w:type="dxa"/>
            <w:noWrap/>
            <w:hideMark/>
          </w:tcPr>
          <w:p w14:paraId="776316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72.8%</w:t>
            </w:r>
          </w:p>
        </w:tc>
        <w:tc>
          <w:tcPr>
            <w:tcW w:w="1440" w:type="dxa"/>
            <w:noWrap/>
            <w:hideMark/>
          </w:tcPr>
          <w:p w14:paraId="2F6942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72.8%</w:t>
            </w:r>
          </w:p>
        </w:tc>
        <w:tc>
          <w:tcPr>
            <w:tcW w:w="1440" w:type="dxa"/>
            <w:noWrap/>
            <w:hideMark/>
          </w:tcPr>
          <w:p w14:paraId="7421C6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71.3%</w:t>
            </w:r>
          </w:p>
        </w:tc>
      </w:tr>
      <w:tr w:rsidR="006253A9" w:rsidRPr="006253A9" w14:paraId="1420219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58CDC4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0302</w:t>
            </w:r>
          </w:p>
        </w:tc>
        <w:tc>
          <w:tcPr>
            <w:tcW w:w="2880" w:type="dxa"/>
            <w:noWrap/>
            <w:hideMark/>
          </w:tcPr>
          <w:p w14:paraId="47EAEC4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Tyringham</w:t>
            </w:r>
          </w:p>
        </w:tc>
        <w:tc>
          <w:tcPr>
            <w:tcW w:w="1455" w:type="dxa"/>
            <w:noWrap/>
            <w:hideMark/>
          </w:tcPr>
          <w:p w14:paraId="1A7735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$217,685</w:t>
            </w:r>
          </w:p>
        </w:tc>
        <w:tc>
          <w:tcPr>
            <w:tcW w:w="1440" w:type="dxa"/>
            <w:noWrap/>
            <w:hideMark/>
          </w:tcPr>
          <w:p w14:paraId="6A5B13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231.3%</w:t>
            </w:r>
          </w:p>
        </w:tc>
        <w:tc>
          <w:tcPr>
            <w:tcW w:w="1440" w:type="dxa"/>
            <w:noWrap/>
            <w:hideMark/>
          </w:tcPr>
          <w:p w14:paraId="431AB88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32641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150.0%</w:t>
            </w:r>
          </w:p>
        </w:tc>
        <w:tc>
          <w:tcPr>
            <w:tcW w:w="1455" w:type="dxa"/>
            <w:noWrap/>
            <w:hideMark/>
          </w:tcPr>
          <w:p w14:paraId="1DB079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$295,787</w:t>
            </w:r>
          </w:p>
        </w:tc>
        <w:tc>
          <w:tcPr>
            <w:tcW w:w="1440" w:type="dxa"/>
            <w:noWrap/>
            <w:hideMark/>
          </w:tcPr>
          <w:p w14:paraId="163236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275.6%</w:t>
            </w:r>
          </w:p>
        </w:tc>
        <w:tc>
          <w:tcPr>
            <w:tcW w:w="1440" w:type="dxa"/>
            <w:noWrap/>
            <w:hideMark/>
          </w:tcPr>
          <w:p w14:paraId="1F6AA1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8B789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BBEA1B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B6906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0303</w:t>
            </w:r>
          </w:p>
        </w:tc>
        <w:tc>
          <w:tcPr>
            <w:tcW w:w="2880" w:type="dxa"/>
            <w:noWrap/>
            <w:hideMark/>
          </w:tcPr>
          <w:p w14:paraId="09CD94E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Upton</w:t>
            </w:r>
          </w:p>
        </w:tc>
        <w:tc>
          <w:tcPr>
            <w:tcW w:w="1455" w:type="dxa"/>
            <w:noWrap/>
            <w:hideMark/>
          </w:tcPr>
          <w:p w14:paraId="2ED56C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$10,641,187</w:t>
            </w:r>
          </w:p>
        </w:tc>
        <w:tc>
          <w:tcPr>
            <w:tcW w:w="1440" w:type="dxa"/>
            <w:noWrap/>
            <w:hideMark/>
          </w:tcPr>
          <w:p w14:paraId="4C9F39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c>
          <w:tcPr>
            <w:tcW w:w="1440" w:type="dxa"/>
            <w:noWrap/>
            <w:hideMark/>
          </w:tcPr>
          <w:p w14:paraId="137319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61.2%</w:t>
            </w:r>
          </w:p>
        </w:tc>
        <w:tc>
          <w:tcPr>
            <w:tcW w:w="1440" w:type="dxa"/>
            <w:noWrap/>
            <w:hideMark/>
          </w:tcPr>
          <w:p w14:paraId="419D84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44.5%</w:t>
            </w:r>
          </w:p>
        </w:tc>
        <w:tc>
          <w:tcPr>
            <w:tcW w:w="1455" w:type="dxa"/>
            <w:noWrap/>
            <w:hideMark/>
          </w:tcPr>
          <w:p w14:paraId="52EA1B3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$14,081,255</w:t>
            </w:r>
          </w:p>
        </w:tc>
        <w:tc>
          <w:tcPr>
            <w:tcW w:w="1440" w:type="dxa"/>
            <w:noWrap/>
            <w:hideMark/>
          </w:tcPr>
          <w:p w14:paraId="7A2346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74.7%</w:t>
            </w:r>
          </w:p>
        </w:tc>
        <w:tc>
          <w:tcPr>
            <w:tcW w:w="1440" w:type="dxa"/>
            <w:noWrap/>
            <w:hideMark/>
          </w:tcPr>
          <w:p w14:paraId="3665D20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74.7%</w:t>
            </w:r>
          </w:p>
        </w:tc>
        <w:tc>
          <w:tcPr>
            <w:tcW w:w="1440" w:type="dxa"/>
            <w:noWrap/>
            <w:hideMark/>
          </w:tcPr>
          <w:p w14:paraId="7B37838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69.4%</w:t>
            </w:r>
          </w:p>
        </w:tc>
      </w:tr>
      <w:tr w:rsidR="006253A9" w:rsidRPr="006253A9" w14:paraId="2E798E9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B4F067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0304</w:t>
            </w:r>
          </w:p>
        </w:tc>
        <w:tc>
          <w:tcPr>
            <w:tcW w:w="2880" w:type="dxa"/>
            <w:noWrap/>
            <w:hideMark/>
          </w:tcPr>
          <w:p w14:paraId="21B77E9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Uxbridge</w:t>
            </w:r>
          </w:p>
        </w:tc>
        <w:tc>
          <w:tcPr>
            <w:tcW w:w="1455" w:type="dxa"/>
            <w:noWrap/>
            <w:hideMark/>
          </w:tcPr>
          <w:p w14:paraId="178010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$18,421,203</w:t>
            </w:r>
          </w:p>
        </w:tc>
        <w:tc>
          <w:tcPr>
            <w:tcW w:w="1440" w:type="dxa"/>
            <w:noWrap/>
            <w:hideMark/>
          </w:tcPr>
          <w:p w14:paraId="270391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52.0%</w:t>
            </w:r>
          </w:p>
        </w:tc>
        <w:tc>
          <w:tcPr>
            <w:tcW w:w="1440" w:type="dxa"/>
            <w:noWrap/>
            <w:hideMark/>
          </w:tcPr>
          <w:p w14:paraId="4EF661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52.0%</w:t>
            </w:r>
          </w:p>
        </w:tc>
        <w:tc>
          <w:tcPr>
            <w:tcW w:w="1440" w:type="dxa"/>
            <w:noWrap/>
            <w:hideMark/>
          </w:tcPr>
          <w:p w14:paraId="5CF5CC7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46.9%</w:t>
            </w:r>
          </w:p>
        </w:tc>
        <w:tc>
          <w:tcPr>
            <w:tcW w:w="1455" w:type="dxa"/>
            <w:noWrap/>
            <w:hideMark/>
          </w:tcPr>
          <w:p w14:paraId="5CB2F4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$21,415,705</w:t>
            </w:r>
          </w:p>
        </w:tc>
        <w:tc>
          <w:tcPr>
            <w:tcW w:w="1440" w:type="dxa"/>
            <w:noWrap/>
            <w:hideMark/>
          </w:tcPr>
          <w:p w14:paraId="585642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63.6%</w:t>
            </w:r>
          </w:p>
        </w:tc>
        <w:tc>
          <w:tcPr>
            <w:tcW w:w="1440" w:type="dxa"/>
            <w:noWrap/>
            <w:hideMark/>
          </w:tcPr>
          <w:p w14:paraId="003096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63.6%</w:t>
            </w:r>
          </w:p>
        </w:tc>
        <w:tc>
          <w:tcPr>
            <w:tcW w:w="1440" w:type="dxa"/>
            <w:noWrap/>
            <w:hideMark/>
          </w:tcPr>
          <w:p w14:paraId="62FD67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61.5%</w:t>
            </w:r>
          </w:p>
        </w:tc>
      </w:tr>
      <w:tr w:rsidR="006253A9" w:rsidRPr="006253A9" w14:paraId="1AD9B83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5F47D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0305</w:t>
            </w:r>
          </w:p>
        </w:tc>
        <w:tc>
          <w:tcPr>
            <w:tcW w:w="2880" w:type="dxa"/>
            <w:noWrap/>
            <w:hideMark/>
          </w:tcPr>
          <w:p w14:paraId="4A52C90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Wakefield</w:t>
            </w:r>
          </w:p>
        </w:tc>
        <w:tc>
          <w:tcPr>
            <w:tcW w:w="1455" w:type="dxa"/>
            <w:noWrap/>
            <w:hideMark/>
          </w:tcPr>
          <w:p w14:paraId="64F81D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$27,429,242</w:t>
            </w:r>
          </w:p>
        </w:tc>
        <w:tc>
          <w:tcPr>
            <w:tcW w:w="1440" w:type="dxa"/>
            <w:noWrap/>
            <w:hideMark/>
          </w:tcPr>
          <w:p w14:paraId="1D9AAF7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87.5%</w:t>
            </w:r>
          </w:p>
        </w:tc>
        <w:tc>
          <w:tcPr>
            <w:tcW w:w="1440" w:type="dxa"/>
            <w:noWrap/>
            <w:hideMark/>
          </w:tcPr>
          <w:p w14:paraId="524A11B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E97719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92.9%</w:t>
            </w:r>
          </w:p>
        </w:tc>
        <w:tc>
          <w:tcPr>
            <w:tcW w:w="1455" w:type="dxa"/>
            <w:noWrap/>
            <w:hideMark/>
          </w:tcPr>
          <w:p w14:paraId="12EEEB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$39,220,354</w:t>
            </w:r>
          </w:p>
        </w:tc>
        <w:tc>
          <w:tcPr>
            <w:tcW w:w="1440" w:type="dxa"/>
            <w:noWrap/>
            <w:hideMark/>
          </w:tcPr>
          <w:p w14:paraId="72CE83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91.6%</w:t>
            </w:r>
          </w:p>
        </w:tc>
        <w:tc>
          <w:tcPr>
            <w:tcW w:w="1440" w:type="dxa"/>
            <w:noWrap/>
            <w:hideMark/>
          </w:tcPr>
          <w:p w14:paraId="778ADC6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535C5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82.3%</w:t>
            </w:r>
          </w:p>
        </w:tc>
      </w:tr>
      <w:tr w:rsidR="006253A9" w:rsidRPr="006253A9" w14:paraId="2BD9C9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D7C2B2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0306</w:t>
            </w:r>
          </w:p>
        </w:tc>
        <w:tc>
          <w:tcPr>
            <w:tcW w:w="2880" w:type="dxa"/>
            <w:noWrap/>
            <w:hideMark/>
          </w:tcPr>
          <w:p w14:paraId="0F8F907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Wales</w:t>
            </w:r>
          </w:p>
        </w:tc>
        <w:tc>
          <w:tcPr>
            <w:tcW w:w="1455" w:type="dxa"/>
            <w:noWrap/>
            <w:hideMark/>
          </w:tcPr>
          <w:p w14:paraId="11A517C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$2,348,873</w:t>
            </w:r>
          </w:p>
        </w:tc>
        <w:tc>
          <w:tcPr>
            <w:tcW w:w="1440" w:type="dxa"/>
            <w:noWrap/>
            <w:hideMark/>
          </w:tcPr>
          <w:p w14:paraId="058D96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w:t>
            </w:r>
          </w:p>
        </w:tc>
        <w:tc>
          <w:tcPr>
            <w:tcW w:w="1440" w:type="dxa"/>
            <w:noWrap/>
            <w:hideMark/>
          </w:tcPr>
          <w:p w14:paraId="23D137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41.1%</w:t>
            </w:r>
          </w:p>
        </w:tc>
        <w:tc>
          <w:tcPr>
            <w:tcW w:w="1440" w:type="dxa"/>
            <w:noWrap/>
            <w:hideMark/>
          </w:tcPr>
          <w:p w14:paraId="2C4C250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48.5%</w:t>
            </w:r>
          </w:p>
        </w:tc>
        <w:tc>
          <w:tcPr>
            <w:tcW w:w="1455" w:type="dxa"/>
            <w:noWrap/>
            <w:hideMark/>
          </w:tcPr>
          <w:p w14:paraId="0034BE4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$3,149,279</w:t>
            </w:r>
          </w:p>
        </w:tc>
        <w:tc>
          <w:tcPr>
            <w:tcW w:w="1440" w:type="dxa"/>
            <w:noWrap/>
            <w:hideMark/>
          </w:tcPr>
          <w:p w14:paraId="027584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38.7%</w:t>
            </w:r>
          </w:p>
        </w:tc>
        <w:tc>
          <w:tcPr>
            <w:tcW w:w="1440" w:type="dxa"/>
            <w:noWrap/>
            <w:hideMark/>
          </w:tcPr>
          <w:p w14:paraId="716874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38.7%</w:t>
            </w:r>
          </w:p>
        </w:tc>
        <w:tc>
          <w:tcPr>
            <w:tcW w:w="1440" w:type="dxa"/>
            <w:noWrap/>
            <w:hideMark/>
          </w:tcPr>
          <w:p w14:paraId="4F3E80A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38.7%</w:t>
            </w:r>
          </w:p>
        </w:tc>
      </w:tr>
      <w:tr w:rsidR="006253A9" w:rsidRPr="006253A9" w14:paraId="1EA6CD7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D06B22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0307</w:t>
            </w:r>
          </w:p>
        </w:tc>
        <w:tc>
          <w:tcPr>
            <w:tcW w:w="2880" w:type="dxa"/>
            <w:noWrap/>
            <w:hideMark/>
          </w:tcPr>
          <w:p w14:paraId="64ECC1C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Walpole</w:t>
            </w:r>
          </w:p>
        </w:tc>
        <w:tc>
          <w:tcPr>
            <w:tcW w:w="1455" w:type="dxa"/>
            <w:noWrap/>
            <w:hideMark/>
          </w:tcPr>
          <w:p w14:paraId="69D3D4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$30,008,511</w:t>
            </w:r>
          </w:p>
        </w:tc>
        <w:tc>
          <w:tcPr>
            <w:tcW w:w="1440" w:type="dxa"/>
            <w:noWrap/>
            <w:hideMark/>
          </w:tcPr>
          <w:p w14:paraId="7E8E017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79.1%</w:t>
            </w:r>
          </w:p>
        </w:tc>
        <w:tc>
          <w:tcPr>
            <w:tcW w:w="1440" w:type="dxa"/>
            <w:noWrap/>
            <w:hideMark/>
          </w:tcPr>
          <w:p w14:paraId="28DAD6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79.1%</w:t>
            </w:r>
          </w:p>
        </w:tc>
        <w:tc>
          <w:tcPr>
            <w:tcW w:w="1440" w:type="dxa"/>
            <w:noWrap/>
            <w:hideMark/>
          </w:tcPr>
          <w:p w14:paraId="6E5DDD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c>
          <w:tcPr>
            <w:tcW w:w="1455" w:type="dxa"/>
            <w:noWrap/>
            <w:hideMark/>
          </w:tcPr>
          <w:p w14:paraId="21F77D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$40,576,558</w:t>
            </w:r>
          </w:p>
        </w:tc>
        <w:tc>
          <w:tcPr>
            <w:tcW w:w="1440" w:type="dxa"/>
            <w:noWrap/>
            <w:hideMark/>
          </w:tcPr>
          <w:p w14:paraId="2E88BA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90.3%</w:t>
            </w:r>
          </w:p>
        </w:tc>
        <w:tc>
          <w:tcPr>
            <w:tcW w:w="1440" w:type="dxa"/>
            <w:noWrap/>
            <w:hideMark/>
          </w:tcPr>
          <w:p w14:paraId="4E6793F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6A478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05BE56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025961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0308</w:t>
            </w:r>
          </w:p>
        </w:tc>
        <w:tc>
          <w:tcPr>
            <w:tcW w:w="2880" w:type="dxa"/>
            <w:noWrap/>
            <w:hideMark/>
          </w:tcPr>
          <w:p w14:paraId="3CFACE5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Waltham</w:t>
            </w:r>
          </w:p>
        </w:tc>
        <w:tc>
          <w:tcPr>
            <w:tcW w:w="1455" w:type="dxa"/>
            <w:noWrap/>
            <w:hideMark/>
          </w:tcPr>
          <w:p w14:paraId="7CCB84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$42,761,500</w:t>
            </w:r>
          </w:p>
        </w:tc>
        <w:tc>
          <w:tcPr>
            <w:tcW w:w="1440" w:type="dxa"/>
            <w:noWrap/>
            <w:hideMark/>
          </w:tcPr>
          <w:p w14:paraId="26A70C0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119.2%</w:t>
            </w:r>
          </w:p>
        </w:tc>
        <w:tc>
          <w:tcPr>
            <w:tcW w:w="1440" w:type="dxa"/>
            <w:noWrap/>
            <w:hideMark/>
          </w:tcPr>
          <w:p w14:paraId="71842C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6A25B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139.6%</w:t>
            </w:r>
          </w:p>
        </w:tc>
        <w:tc>
          <w:tcPr>
            <w:tcW w:w="1455" w:type="dxa"/>
            <w:noWrap/>
            <w:hideMark/>
          </w:tcPr>
          <w:p w14:paraId="4D969B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$75,037,559</w:t>
            </w:r>
          </w:p>
        </w:tc>
        <w:tc>
          <w:tcPr>
            <w:tcW w:w="1440" w:type="dxa"/>
            <w:noWrap/>
            <w:hideMark/>
          </w:tcPr>
          <w:p w14:paraId="25E4E6A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103.3%</w:t>
            </w:r>
          </w:p>
        </w:tc>
        <w:tc>
          <w:tcPr>
            <w:tcW w:w="1440" w:type="dxa"/>
            <w:noWrap/>
            <w:hideMark/>
          </w:tcPr>
          <w:p w14:paraId="5971C8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D2B475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80.2%</w:t>
            </w:r>
          </w:p>
        </w:tc>
      </w:tr>
      <w:tr w:rsidR="006253A9" w:rsidRPr="006253A9" w14:paraId="6090FA1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7CD81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0309</w:t>
            </w:r>
          </w:p>
        </w:tc>
        <w:tc>
          <w:tcPr>
            <w:tcW w:w="2880" w:type="dxa"/>
            <w:noWrap/>
            <w:hideMark/>
          </w:tcPr>
          <w:p w14:paraId="3079E5B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Ware</w:t>
            </w:r>
          </w:p>
        </w:tc>
        <w:tc>
          <w:tcPr>
            <w:tcW w:w="1455" w:type="dxa"/>
            <w:noWrap/>
            <w:hideMark/>
          </w:tcPr>
          <w:p w14:paraId="4F6F323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$12,888,129</w:t>
            </w:r>
          </w:p>
        </w:tc>
        <w:tc>
          <w:tcPr>
            <w:tcW w:w="1440" w:type="dxa"/>
            <w:noWrap/>
            <w:hideMark/>
          </w:tcPr>
          <w:p w14:paraId="77E553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38.3%</w:t>
            </w:r>
          </w:p>
        </w:tc>
        <w:tc>
          <w:tcPr>
            <w:tcW w:w="1440" w:type="dxa"/>
            <w:noWrap/>
            <w:hideMark/>
          </w:tcPr>
          <w:p w14:paraId="33D161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38.3%</w:t>
            </w:r>
          </w:p>
        </w:tc>
        <w:tc>
          <w:tcPr>
            <w:tcW w:w="1440" w:type="dxa"/>
            <w:noWrap/>
            <w:hideMark/>
          </w:tcPr>
          <w:p w14:paraId="0298F9F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39.6%</w:t>
            </w:r>
          </w:p>
        </w:tc>
        <w:tc>
          <w:tcPr>
            <w:tcW w:w="1455" w:type="dxa"/>
            <w:noWrap/>
            <w:hideMark/>
          </w:tcPr>
          <w:p w14:paraId="41BAC0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$17,975,772</w:t>
            </w:r>
          </w:p>
        </w:tc>
        <w:tc>
          <w:tcPr>
            <w:tcW w:w="1440" w:type="dxa"/>
            <w:noWrap/>
            <w:hideMark/>
          </w:tcPr>
          <w:p w14:paraId="3482DE7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33.2%</w:t>
            </w:r>
          </w:p>
        </w:tc>
        <w:tc>
          <w:tcPr>
            <w:tcW w:w="1440" w:type="dxa"/>
            <w:noWrap/>
            <w:hideMark/>
          </w:tcPr>
          <w:p w14:paraId="1B9DB7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33.2%</w:t>
            </w:r>
          </w:p>
        </w:tc>
        <w:tc>
          <w:tcPr>
            <w:tcW w:w="1440" w:type="dxa"/>
            <w:noWrap/>
            <w:hideMark/>
          </w:tcPr>
          <w:p w14:paraId="0C9C3B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33.2%</w:t>
            </w:r>
          </w:p>
        </w:tc>
      </w:tr>
      <w:tr w:rsidR="006253A9" w:rsidRPr="006253A9" w14:paraId="4316A36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D83FC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0310</w:t>
            </w:r>
          </w:p>
        </w:tc>
        <w:tc>
          <w:tcPr>
            <w:tcW w:w="2880" w:type="dxa"/>
            <w:noWrap/>
            <w:hideMark/>
          </w:tcPr>
          <w:p w14:paraId="671421F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Wareham</w:t>
            </w:r>
          </w:p>
        </w:tc>
        <w:tc>
          <w:tcPr>
            <w:tcW w:w="1455" w:type="dxa"/>
            <w:noWrap/>
            <w:hideMark/>
          </w:tcPr>
          <w:p w14:paraId="0A68DF8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$30,150,022</w:t>
            </w:r>
          </w:p>
        </w:tc>
        <w:tc>
          <w:tcPr>
            <w:tcW w:w="1440" w:type="dxa"/>
            <w:noWrap/>
            <w:hideMark/>
          </w:tcPr>
          <w:p w14:paraId="7454C24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52.7%</w:t>
            </w:r>
          </w:p>
        </w:tc>
        <w:tc>
          <w:tcPr>
            <w:tcW w:w="1440" w:type="dxa"/>
            <w:noWrap/>
            <w:hideMark/>
          </w:tcPr>
          <w:p w14:paraId="72ADA4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52.7%</w:t>
            </w:r>
          </w:p>
        </w:tc>
        <w:tc>
          <w:tcPr>
            <w:tcW w:w="1440" w:type="dxa"/>
            <w:noWrap/>
            <w:hideMark/>
          </w:tcPr>
          <w:p w14:paraId="0A93C2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59.8%</w:t>
            </w:r>
          </w:p>
        </w:tc>
        <w:tc>
          <w:tcPr>
            <w:tcW w:w="1455" w:type="dxa"/>
            <w:noWrap/>
            <w:hideMark/>
          </w:tcPr>
          <w:p w14:paraId="61A0B0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$34,614,123</w:t>
            </w:r>
          </w:p>
        </w:tc>
        <w:tc>
          <w:tcPr>
            <w:tcW w:w="1440" w:type="dxa"/>
            <w:noWrap/>
            <w:hideMark/>
          </w:tcPr>
          <w:p w14:paraId="6C93B1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60.2%</w:t>
            </w:r>
          </w:p>
        </w:tc>
        <w:tc>
          <w:tcPr>
            <w:tcW w:w="1440" w:type="dxa"/>
            <w:noWrap/>
            <w:hideMark/>
          </w:tcPr>
          <w:p w14:paraId="7900C4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60.2%</w:t>
            </w:r>
          </w:p>
        </w:tc>
        <w:tc>
          <w:tcPr>
            <w:tcW w:w="1440" w:type="dxa"/>
            <w:noWrap/>
            <w:hideMark/>
          </w:tcPr>
          <w:p w14:paraId="2D7A2CD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60.1%</w:t>
            </w:r>
          </w:p>
        </w:tc>
      </w:tr>
      <w:tr w:rsidR="006253A9" w:rsidRPr="006253A9" w14:paraId="3E807C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687467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0311</w:t>
            </w:r>
          </w:p>
        </w:tc>
        <w:tc>
          <w:tcPr>
            <w:tcW w:w="2880" w:type="dxa"/>
            <w:noWrap/>
            <w:hideMark/>
          </w:tcPr>
          <w:p w14:paraId="1EA7F95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Warren</w:t>
            </w:r>
          </w:p>
        </w:tc>
        <w:tc>
          <w:tcPr>
            <w:tcW w:w="1455" w:type="dxa"/>
            <w:noWrap/>
            <w:hideMark/>
          </w:tcPr>
          <w:p w14:paraId="2D1610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$8,003,359</w:t>
            </w:r>
          </w:p>
        </w:tc>
        <w:tc>
          <w:tcPr>
            <w:tcW w:w="1440" w:type="dxa"/>
            <w:noWrap/>
            <w:hideMark/>
          </w:tcPr>
          <w:p w14:paraId="4296C0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26.8%</w:t>
            </w:r>
          </w:p>
        </w:tc>
        <w:tc>
          <w:tcPr>
            <w:tcW w:w="1440" w:type="dxa"/>
            <w:noWrap/>
            <w:hideMark/>
          </w:tcPr>
          <w:p w14:paraId="2C65F1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26.8%</w:t>
            </w:r>
          </w:p>
        </w:tc>
        <w:tc>
          <w:tcPr>
            <w:tcW w:w="1440" w:type="dxa"/>
            <w:noWrap/>
            <w:hideMark/>
          </w:tcPr>
          <w:p w14:paraId="5DDEA9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27.6%</w:t>
            </w:r>
          </w:p>
        </w:tc>
        <w:tc>
          <w:tcPr>
            <w:tcW w:w="1455" w:type="dxa"/>
            <w:noWrap/>
            <w:hideMark/>
          </w:tcPr>
          <w:p w14:paraId="420F77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$9,760,670</w:t>
            </w:r>
          </w:p>
        </w:tc>
        <w:tc>
          <w:tcPr>
            <w:tcW w:w="1440" w:type="dxa"/>
            <w:noWrap/>
            <w:hideMark/>
          </w:tcPr>
          <w:p w14:paraId="666C45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29.0%</w:t>
            </w:r>
          </w:p>
        </w:tc>
        <w:tc>
          <w:tcPr>
            <w:tcW w:w="1440" w:type="dxa"/>
            <w:noWrap/>
            <w:hideMark/>
          </w:tcPr>
          <w:p w14:paraId="62A407C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29.0%</w:t>
            </w:r>
          </w:p>
        </w:tc>
        <w:tc>
          <w:tcPr>
            <w:tcW w:w="1440" w:type="dxa"/>
            <w:noWrap/>
            <w:hideMark/>
          </w:tcPr>
          <w:p w14:paraId="49CC52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28.5%</w:t>
            </w:r>
          </w:p>
        </w:tc>
      </w:tr>
      <w:tr w:rsidR="006253A9" w:rsidRPr="006253A9" w14:paraId="6770AD5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287B4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0312</w:t>
            </w:r>
          </w:p>
        </w:tc>
        <w:tc>
          <w:tcPr>
            <w:tcW w:w="2880" w:type="dxa"/>
            <w:noWrap/>
            <w:hideMark/>
          </w:tcPr>
          <w:p w14:paraId="460E1DB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Warwick</w:t>
            </w:r>
          </w:p>
        </w:tc>
        <w:tc>
          <w:tcPr>
            <w:tcW w:w="1455" w:type="dxa"/>
            <w:noWrap/>
            <w:hideMark/>
          </w:tcPr>
          <w:p w14:paraId="26970E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$952,667</w:t>
            </w:r>
          </w:p>
        </w:tc>
        <w:tc>
          <w:tcPr>
            <w:tcW w:w="1440" w:type="dxa"/>
            <w:noWrap/>
            <w:hideMark/>
          </w:tcPr>
          <w:p w14:paraId="0C0AE1D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188652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39.7%</w:t>
            </w:r>
          </w:p>
        </w:tc>
        <w:tc>
          <w:tcPr>
            <w:tcW w:w="1440" w:type="dxa"/>
            <w:noWrap/>
            <w:hideMark/>
          </w:tcPr>
          <w:p w14:paraId="7414828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43.3%</w:t>
            </w:r>
          </w:p>
        </w:tc>
        <w:tc>
          <w:tcPr>
            <w:tcW w:w="1455" w:type="dxa"/>
            <w:noWrap/>
            <w:hideMark/>
          </w:tcPr>
          <w:p w14:paraId="51E03C9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$877,794</w:t>
            </w:r>
          </w:p>
        </w:tc>
        <w:tc>
          <w:tcPr>
            <w:tcW w:w="1440" w:type="dxa"/>
            <w:noWrap/>
            <w:hideMark/>
          </w:tcPr>
          <w:p w14:paraId="2281A5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w:t>
            </w:r>
          </w:p>
        </w:tc>
        <w:tc>
          <w:tcPr>
            <w:tcW w:w="1440" w:type="dxa"/>
            <w:noWrap/>
            <w:hideMark/>
          </w:tcPr>
          <w:p w14:paraId="62B348D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w:t>
            </w:r>
          </w:p>
        </w:tc>
        <w:tc>
          <w:tcPr>
            <w:tcW w:w="1440" w:type="dxa"/>
            <w:noWrap/>
            <w:hideMark/>
          </w:tcPr>
          <w:p w14:paraId="12FF4E6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w:t>
            </w:r>
          </w:p>
        </w:tc>
      </w:tr>
      <w:tr w:rsidR="006253A9" w:rsidRPr="006253A9" w14:paraId="5A98C04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8B8066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0313</w:t>
            </w:r>
          </w:p>
        </w:tc>
        <w:tc>
          <w:tcPr>
            <w:tcW w:w="2880" w:type="dxa"/>
            <w:noWrap/>
            <w:hideMark/>
          </w:tcPr>
          <w:p w14:paraId="76DB798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Washington</w:t>
            </w:r>
          </w:p>
        </w:tc>
        <w:tc>
          <w:tcPr>
            <w:tcW w:w="1455" w:type="dxa"/>
            <w:noWrap/>
            <w:hideMark/>
          </w:tcPr>
          <w:p w14:paraId="5CD252D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$609,834</w:t>
            </w:r>
          </w:p>
        </w:tc>
        <w:tc>
          <w:tcPr>
            <w:tcW w:w="1440" w:type="dxa"/>
            <w:noWrap/>
            <w:hideMark/>
          </w:tcPr>
          <w:p w14:paraId="0BC1B6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54.1%</w:t>
            </w:r>
          </w:p>
        </w:tc>
        <w:tc>
          <w:tcPr>
            <w:tcW w:w="1440" w:type="dxa"/>
            <w:noWrap/>
            <w:hideMark/>
          </w:tcPr>
          <w:p w14:paraId="2191EAB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54.1%</w:t>
            </w:r>
          </w:p>
        </w:tc>
        <w:tc>
          <w:tcPr>
            <w:tcW w:w="1440" w:type="dxa"/>
            <w:noWrap/>
            <w:hideMark/>
          </w:tcPr>
          <w:p w14:paraId="75E58C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62.3%</w:t>
            </w:r>
          </w:p>
        </w:tc>
        <w:tc>
          <w:tcPr>
            <w:tcW w:w="1455" w:type="dxa"/>
            <w:noWrap/>
            <w:hideMark/>
          </w:tcPr>
          <w:p w14:paraId="024807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$675,534</w:t>
            </w:r>
          </w:p>
        </w:tc>
        <w:tc>
          <w:tcPr>
            <w:tcW w:w="1440" w:type="dxa"/>
            <w:noWrap/>
            <w:hideMark/>
          </w:tcPr>
          <w:p w14:paraId="206079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77.2%</w:t>
            </w:r>
          </w:p>
        </w:tc>
        <w:tc>
          <w:tcPr>
            <w:tcW w:w="1440" w:type="dxa"/>
            <w:noWrap/>
            <w:hideMark/>
          </w:tcPr>
          <w:p w14:paraId="3026B8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77.2%</w:t>
            </w:r>
          </w:p>
        </w:tc>
        <w:tc>
          <w:tcPr>
            <w:tcW w:w="1440" w:type="dxa"/>
            <w:noWrap/>
            <w:hideMark/>
          </w:tcPr>
          <w:p w14:paraId="587D50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72.7%</w:t>
            </w:r>
          </w:p>
        </w:tc>
      </w:tr>
      <w:tr w:rsidR="006253A9" w:rsidRPr="006253A9" w14:paraId="4C8AD75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114E00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0314</w:t>
            </w:r>
          </w:p>
        </w:tc>
        <w:tc>
          <w:tcPr>
            <w:tcW w:w="2880" w:type="dxa"/>
            <w:noWrap/>
            <w:hideMark/>
          </w:tcPr>
          <w:p w14:paraId="08E4030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Watertown</w:t>
            </w:r>
          </w:p>
        </w:tc>
        <w:tc>
          <w:tcPr>
            <w:tcW w:w="1455" w:type="dxa"/>
            <w:noWrap/>
            <w:hideMark/>
          </w:tcPr>
          <w:p w14:paraId="2E55E9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$21,408,023</w:t>
            </w:r>
          </w:p>
        </w:tc>
        <w:tc>
          <w:tcPr>
            <w:tcW w:w="1440" w:type="dxa"/>
            <w:noWrap/>
            <w:hideMark/>
          </w:tcPr>
          <w:p w14:paraId="30F0B2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152.7%</w:t>
            </w:r>
          </w:p>
        </w:tc>
        <w:tc>
          <w:tcPr>
            <w:tcW w:w="1440" w:type="dxa"/>
            <w:noWrap/>
            <w:hideMark/>
          </w:tcPr>
          <w:p w14:paraId="1CFD0A1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2788DD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124.5%</w:t>
            </w:r>
          </w:p>
        </w:tc>
        <w:tc>
          <w:tcPr>
            <w:tcW w:w="1455" w:type="dxa"/>
            <w:noWrap/>
            <w:hideMark/>
          </w:tcPr>
          <w:p w14:paraId="55E62C2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$31,550,835</w:t>
            </w:r>
          </w:p>
        </w:tc>
        <w:tc>
          <w:tcPr>
            <w:tcW w:w="1440" w:type="dxa"/>
            <w:noWrap/>
            <w:hideMark/>
          </w:tcPr>
          <w:p w14:paraId="7A388CB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160.7%</w:t>
            </w:r>
          </w:p>
        </w:tc>
        <w:tc>
          <w:tcPr>
            <w:tcW w:w="1440" w:type="dxa"/>
            <w:noWrap/>
            <w:hideMark/>
          </w:tcPr>
          <w:p w14:paraId="667C0DD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02AFF2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81.4%</w:t>
            </w:r>
          </w:p>
        </w:tc>
      </w:tr>
      <w:tr w:rsidR="006253A9" w:rsidRPr="006253A9" w14:paraId="4190319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74784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0315</w:t>
            </w:r>
          </w:p>
        </w:tc>
        <w:tc>
          <w:tcPr>
            <w:tcW w:w="2880" w:type="dxa"/>
            <w:noWrap/>
            <w:hideMark/>
          </w:tcPr>
          <w:p w14:paraId="60371AC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Wayland</w:t>
            </w:r>
          </w:p>
        </w:tc>
        <w:tc>
          <w:tcPr>
            <w:tcW w:w="1455" w:type="dxa"/>
            <w:noWrap/>
            <w:hideMark/>
          </w:tcPr>
          <w:p w14:paraId="3D0C10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$21,812,774</w:t>
            </w:r>
          </w:p>
        </w:tc>
        <w:tc>
          <w:tcPr>
            <w:tcW w:w="1440" w:type="dxa"/>
            <w:noWrap/>
            <w:hideMark/>
          </w:tcPr>
          <w:p w14:paraId="12E5AD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118.4%</w:t>
            </w:r>
          </w:p>
        </w:tc>
        <w:tc>
          <w:tcPr>
            <w:tcW w:w="1440" w:type="dxa"/>
            <w:noWrap/>
            <w:hideMark/>
          </w:tcPr>
          <w:p w14:paraId="103ED5C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59B326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102.2%</w:t>
            </w:r>
          </w:p>
        </w:tc>
        <w:tc>
          <w:tcPr>
            <w:tcW w:w="1455" w:type="dxa"/>
            <w:noWrap/>
            <w:hideMark/>
          </w:tcPr>
          <w:p w14:paraId="3DE9FC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$27,841,233</w:t>
            </w:r>
          </w:p>
        </w:tc>
        <w:tc>
          <w:tcPr>
            <w:tcW w:w="1440" w:type="dxa"/>
            <w:noWrap/>
            <w:hideMark/>
          </w:tcPr>
          <w:p w14:paraId="54898F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161.1%</w:t>
            </w:r>
          </w:p>
        </w:tc>
        <w:tc>
          <w:tcPr>
            <w:tcW w:w="1440" w:type="dxa"/>
            <w:noWrap/>
            <w:hideMark/>
          </w:tcPr>
          <w:p w14:paraId="3C5B8D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F4BFF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81.1%</w:t>
            </w:r>
          </w:p>
        </w:tc>
      </w:tr>
      <w:tr w:rsidR="006253A9" w:rsidRPr="006253A9" w14:paraId="17DD187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CAEDB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0316</w:t>
            </w:r>
          </w:p>
        </w:tc>
        <w:tc>
          <w:tcPr>
            <w:tcW w:w="2880" w:type="dxa"/>
            <w:noWrap/>
            <w:hideMark/>
          </w:tcPr>
          <w:p w14:paraId="2B0E04A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Webster</w:t>
            </w:r>
          </w:p>
        </w:tc>
        <w:tc>
          <w:tcPr>
            <w:tcW w:w="1455" w:type="dxa"/>
            <w:noWrap/>
            <w:hideMark/>
          </w:tcPr>
          <w:p w14:paraId="53D57A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$17,800,102</w:t>
            </w:r>
          </w:p>
        </w:tc>
        <w:tc>
          <w:tcPr>
            <w:tcW w:w="1440" w:type="dxa"/>
            <w:noWrap/>
            <w:hideMark/>
          </w:tcPr>
          <w:p w14:paraId="3FDA6E8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54.2%</w:t>
            </w:r>
          </w:p>
        </w:tc>
        <w:tc>
          <w:tcPr>
            <w:tcW w:w="1440" w:type="dxa"/>
            <w:noWrap/>
            <w:hideMark/>
          </w:tcPr>
          <w:p w14:paraId="39D012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54.2%</w:t>
            </w:r>
          </w:p>
        </w:tc>
        <w:tc>
          <w:tcPr>
            <w:tcW w:w="1440" w:type="dxa"/>
            <w:noWrap/>
            <w:hideMark/>
          </w:tcPr>
          <w:p w14:paraId="7E702A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50.6%</w:t>
            </w:r>
          </w:p>
        </w:tc>
        <w:tc>
          <w:tcPr>
            <w:tcW w:w="1455" w:type="dxa"/>
            <w:noWrap/>
            <w:hideMark/>
          </w:tcPr>
          <w:p w14:paraId="300E2F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$27,036,880</w:t>
            </w:r>
          </w:p>
        </w:tc>
        <w:tc>
          <w:tcPr>
            <w:tcW w:w="1440" w:type="dxa"/>
            <w:noWrap/>
            <w:hideMark/>
          </w:tcPr>
          <w:p w14:paraId="2B32BC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40" w:type="dxa"/>
            <w:noWrap/>
            <w:hideMark/>
          </w:tcPr>
          <w:p w14:paraId="5470F82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c>
          <w:tcPr>
            <w:tcW w:w="1440" w:type="dxa"/>
            <w:noWrap/>
            <w:hideMark/>
          </w:tcPr>
          <w:p w14:paraId="0CEDBF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r>
      <w:tr w:rsidR="006253A9" w:rsidRPr="006253A9" w14:paraId="0AE0F2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00880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0317</w:t>
            </w:r>
          </w:p>
        </w:tc>
        <w:tc>
          <w:tcPr>
            <w:tcW w:w="2880" w:type="dxa"/>
            <w:noWrap/>
            <w:hideMark/>
          </w:tcPr>
          <w:p w14:paraId="676FB64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Wellesley</w:t>
            </w:r>
          </w:p>
        </w:tc>
        <w:tc>
          <w:tcPr>
            <w:tcW w:w="1455" w:type="dxa"/>
            <w:noWrap/>
            <w:hideMark/>
          </w:tcPr>
          <w:p w14:paraId="43B1C3E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$35,128,684</w:t>
            </w:r>
          </w:p>
        </w:tc>
        <w:tc>
          <w:tcPr>
            <w:tcW w:w="1440" w:type="dxa"/>
            <w:noWrap/>
            <w:hideMark/>
          </w:tcPr>
          <w:p w14:paraId="15B528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183.1%</w:t>
            </w:r>
          </w:p>
        </w:tc>
        <w:tc>
          <w:tcPr>
            <w:tcW w:w="1440" w:type="dxa"/>
            <w:noWrap/>
            <w:hideMark/>
          </w:tcPr>
          <w:p w14:paraId="61D2DC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16B97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91.8%</w:t>
            </w:r>
          </w:p>
        </w:tc>
        <w:tc>
          <w:tcPr>
            <w:tcW w:w="1455" w:type="dxa"/>
            <w:noWrap/>
            <w:hideMark/>
          </w:tcPr>
          <w:p w14:paraId="479FFC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$53,022,808</w:t>
            </w:r>
          </w:p>
        </w:tc>
        <w:tc>
          <w:tcPr>
            <w:tcW w:w="1440" w:type="dxa"/>
            <w:noWrap/>
            <w:hideMark/>
          </w:tcPr>
          <w:p w14:paraId="5FB8661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230.4%</w:t>
            </w:r>
          </w:p>
        </w:tc>
        <w:tc>
          <w:tcPr>
            <w:tcW w:w="1440" w:type="dxa"/>
            <w:noWrap/>
            <w:hideMark/>
          </w:tcPr>
          <w:p w14:paraId="40329DA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0D7338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A39DAC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B58A1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0318</w:t>
            </w:r>
          </w:p>
        </w:tc>
        <w:tc>
          <w:tcPr>
            <w:tcW w:w="2880" w:type="dxa"/>
            <w:noWrap/>
            <w:hideMark/>
          </w:tcPr>
          <w:p w14:paraId="397EA33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Wellfleet</w:t>
            </w:r>
          </w:p>
        </w:tc>
        <w:tc>
          <w:tcPr>
            <w:tcW w:w="1455" w:type="dxa"/>
            <w:noWrap/>
            <w:hideMark/>
          </w:tcPr>
          <w:p w14:paraId="4A48445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$2,512,632</w:t>
            </w:r>
          </w:p>
        </w:tc>
        <w:tc>
          <w:tcPr>
            <w:tcW w:w="1440" w:type="dxa"/>
            <w:noWrap/>
            <w:hideMark/>
          </w:tcPr>
          <w:p w14:paraId="517232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288.0%</w:t>
            </w:r>
          </w:p>
        </w:tc>
        <w:tc>
          <w:tcPr>
            <w:tcW w:w="1440" w:type="dxa"/>
            <w:noWrap/>
            <w:hideMark/>
          </w:tcPr>
          <w:p w14:paraId="24F791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884F9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127.5%</w:t>
            </w:r>
          </w:p>
        </w:tc>
        <w:tc>
          <w:tcPr>
            <w:tcW w:w="1455" w:type="dxa"/>
            <w:noWrap/>
            <w:hideMark/>
          </w:tcPr>
          <w:p w14:paraId="305D5E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$3,157,585</w:t>
            </w:r>
          </w:p>
        </w:tc>
        <w:tc>
          <w:tcPr>
            <w:tcW w:w="1440" w:type="dxa"/>
            <w:noWrap/>
            <w:hideMark/>
          </w:tcPr>
          <w:p w14:paraId="08FE8E8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328.1%</w:t>
            </w:r>
          </w:p>
        </w:tc>
        <w:tc>
          <w:tcPr>
            <w:tcW w:w="1440" w:type="dxa"/>
            <w:noWrap/>
            <w:hideMark/>
          </w:tcPr>
          <w:p w14:paraId="28AE452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09EE16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07D744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8BAEA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0319</w:t>
            </w:r>
          </w:p>
        </w:tc>
        <w:tc>
          <w:tcPr>
            <w:tcW w:w="2880" w:type="dxa"/>
            <w:noWrap/>
            <w:hideMark/>
          </w:tcPr>
          <w:p w14:paraId="71B8481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Wendell</w:t>
            </w:r>
          </w:p>
        </w:tc>
        <w:tc>
          <w:tcPr>
            <w:tcW w:w="1455" w:type="dxa"/>
            <w:noWrap/>
            <w:hideMark/>
          </w:tcPr>
          <w:p w14:paraId="45B335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$995,418</w:t>
            </w:r>
          </w:p>
        </w:tc>
        <w:tc>
          <w:tcPr>
            <w:tcW w:w="1440" w:type="dxa"/>
            <w:noWrap/>
            <w:hideMark/>
          </w:tcPr>
          <w:p w14:paraId="0710069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w:t>
            </w:r>
          </w:p>
        </w:tc>
        <w:tc>
          <w:tcPr>
            <w:tcW w:w="1440" w:type="dxa"/>
            <w:noWrap/>
            <w:hideMark/>
          </w:tcPr>
          <w:p w14:paraId="0CD8A2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44.1%</w:t>
            </w:r>
          </w:p>
        </w:tc>
        <w:tc>
          <w:tcPr>
            <w:tcW w:w="1440" w:type="dxa"/>
            <w:noWrap/>
            <w:hideMark/>
          </w:tcPr>
          <w:p w14:paraId="6DD9EB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46.6%</w:t>
            </w:r>
          </w:p>
        </w:tc>
        <w:tc>
          <w:tcPr>
            <w:tcW w:w="1455" w:type="dxa"/>
            <w:noWrap/>
            <w:hideMark/>
          </w:tcPr>
          <w:p w14:paraId="5C1D476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$1,277,963</w:t>
            </w:r>
          </w:p>
        </w:tc>
        <w:tc>
          <w:tcPr>
            <w:tcW w:w="1440" w:type="dxa"/>
            <w:noWrap/>
            <w:hideMark/>
          </w:tcPr>
          <w:p w14:paraId="6A49C13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47.4%</w:t>
            </w:r>
          </w:p>
        </w:tc>
        <w:tc>
          <w:tcPr>
            <w:tcW w:w="1440" w:type="dxa"/>
            <w:noWrap/>
            <w:hideMark/>
          </w:tcPr>
          <w:p w14:paraId="2A854F2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47.4%</w:t>
            </w:r>
          </w:p>
        </w:tc>
        <w:tc>
          <w:tcPr>
            <w:tcW w:w="1440" w:type="dxa"/>
            <w:noWrap/>
            <w:hideMark/>
          </w:tcPr>
          <w:p w14:paraId="573ADA5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47.3%</w:t>
            </w:r>
          </w:p>
        </w:tc>
      </w:tr>
      <w:tr w:rsidR="006253A9" w:rsidRPr="006253A9" w14:paraId="1BF194A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87A163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0320</w:t>
            </w:r>
          </w:p>
        </w:tc>
        <w:tc>
          <w:tcPr>
            <w:tcW w:w="2880" w:type="dxa"/>
            <w:noWrap/>
            <w:hideMark/>
          </w:tcPr>
          <w:p w14:paraId="2EB3622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Wenham</w:t>
            </w:r>
          </w:p>
        </w:tc>
        <w:tc>
          <w:tcPr>
            <w:tcW w:w="1455" w:type="dxa"/>
            <w:noWrap/>
            <w:hideMark/>
          </w:tcPr>
          <w:p w14:paraId="32CA07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$4,811,570</w:t>
            </w:r>
          </w:p>
        </w:tc>
        <w:tc>
          <w:tcPr>
            <w:tcW w:w="1440" w:type="dxa"/>
            <w:noWrap/>
            <w:hideMark/>
          </w:tcPr>
          <w:p w14:paraId="0B8237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125.7%</w:t>
            </w:r>
          </w:p>
        </w:tc>
        <w:tc>
          <w:tcPr>
            <w:tcW w:w="1440" w:type="dxa"/>
            <w:noWrap/>
            <w:hideMark/>
          </w:tcPr>
          <w:p w14:paraId="1D91F75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3C9E2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71.8%</w:t>
            </w:r>
          </w:p>
        </w:tc>
        <w:tc>
          <w:tcPr>
            <w:tcW w:w="1455" w:type="dxa"/>
            <w:noWrap/>
            <w:hideMark/>
          </w:tcPr>
          <w:p w14:paraId="72F5B21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$6,718,859</w:t>
            </w:r>
          </w:p>
        </w:tc>
        <w:tc>
          <w:tcPr>
            <w:tcW w:w="1440" w:type="dxa"/>
            <w:noWrap/>
            <w:hideMark/>
          </w:tcPr>
          <w:p w14:paraId="56BDA7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114.9%</w:t>
            </w:r>
          </w:p>
        </w:tc>
        <w:tc>
          <w:tcPr>
            <w:tcW w:w="1440" w:type="dxa"/>
            <w:noWrap/>
            <w:hideMark/>
          </w:tcPr>
          <w:p w14:paraId="44C216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4DD61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r>
      <w:tr w:rsidR="006253A9" w:rsidRPr="006253A9" w14:paraId="271AC6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DE0DD3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0321</w:t>
            </w:r>
          </w:p>
        </w:tc>
        <w:tc>
          <w:tcPr>
            <w:tcW w:w="2880" w:type="dxa"/>
            <w:noWrap/>
            <w:hideMark/>
          </w:tcPr>
          <w:p w14:paraId="5693DEF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Westborough</w:t>
            </w:r>
          </w:p>
        </w:tc>
        <w:tc>
          <w:tcPr>
            <w:tcW w:w="1455" w:type="dxa"/>
            <w:noWrap/>
            <w:hideMark/>
          </w:tcPr>
          <w:p w14:paraId="01DED02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$26,825,984</w:t>
            </w:r>
          </w:p>
        </w:tc>
        <w:tc>
          <w:tcPr>
            <w:tcW w:w="1440" w:type="dxa"/>
            <w:noWrap/>
            <w:hideMark/>
          </w:tcPr>
          <w:p w14:paraId="5BE52B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1C7C5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7E3A8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92.0%</w:t>
            </w:r>
          </w:p>
        </w:tc>
        <w:tc>
          <w:tcPr>
            <w:tcW w:w="1455" w:type="dxa"/>
            <w:noWrap/>
            <w:hideMark/>
          </w:tcPr>
          <w:p w14:paraId="23C566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$39,624,553</w:t>
            </w:r>
          </w:p>
        </w:tc>
        <w:tc>
          <w:tcPr>
            <w:tcW w:w="1440" w:type="dxa"/>
            <w:noWrap/>
            <w:hideMark/>
          </w:tcPr>
          <w:p w14:paraId="66ED34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80.6%</w:t>
            </w:r>
          </w:p>
        </w:tc>
        <w:tc>
          <w:tcPr>
            <w:tcW w:w="1440" w:type="dxa"/>
            <w:noWrap/>
            <w:hideMark/>
          </w:tcPr>
          <w:p w14:paraId="34FC15B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80.6%</w:t>
            </w:r>
          </w:p>
        </w:tc>
        <w:tc>
          <w:tcPr>
            <w:tcW w:w="1440" w:type="dxa"/>
            <w:noWrap/>
            <w:hideMark/>
          </w:tcPr>
          <w:p w14:paraId="45D8BEC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r>
      <w:tr w:rsidR="006253A9" w:rsidRPr="006253A9" w14:paraId="148C43B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378B0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0322</w:t>
            </w:r>
          </w:p>
        </w:tc>
        <w:tc>
          <w:tcPr>
            <w:tcW w:w="2880" w:type="dxa"/>
            <w:noWrap/>
            <w:hideMark/>
          </w:tcPr>
          <w:p w14:paraId="72DCCDA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Boylston</w:t>
            </w:r>
          </w:p>
        </w:tc>
        <w:tc>
          <w:tcPr>
            <w:tcW w:w="1455" w:type="dxa"/>
            <w:noWrap/>
            <w:hideMark/>
          </w:tcPr>
          <w:p w14:paraId="1BCA582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$7,862,836</w:t>
            </w:r>
          </w:p>
        </w:tc>
        <w:tc>
          <w:tcPr>
            <w:tcW w:w="1440" w:type="dxa"/>
            <w:noWrap/>
            <w:hideMark/>
          </w:tcPr>
          <w:p w14:paraId="3CA4E4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c>
          <w:tcPr>
            <w:tcW w:w="1440" w:type="dxa"/>
            <w:noWrap/>
            <w:hideMark/>
          </w:tcPr>
          <w:p w14:paraId="1CD73B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66.8%</w:t>
            </w:r>
          </w:p>
        </w:tc>
        <w:tc>
          <w:tcPr>
            <w:tcW w:w="1440" w:type="dxa"/>
            <w:noWrap/>
            <w:hideMark/>
          </w:tcPr>
          <w:p w14:paraId="081D51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70.3%</w:t>
            </w:r>
          </w:p>
        </w:tc>
        <w:tc>
          <w:tcPr>
            <w:tcW w:w="1455" w:type="dxa"/>
            <w:noWrap/>
            <w:hideMark/>
          </w:tcPr>
          <w:p w14:paraId="67C7DB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$9,510,996</w:t>
            </w:r>
          </w:p>
        </w:tc>
        <w:tc>
          <w:tcPr>
            <w:tcW w:w="1440" w:type="dxa"/>
            <w:noWrap/>
            <w:hideMark/>
          </w:tcPr>
          <w:p w14:paraId="79386D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77.1%</w:t>
            </w:r>
          </w:p>
        </w:tc>
        <w:tc>
          <w:tcPr>
            <w:tcW w:w="1440" w:type="dxa"/>
            <w:noWrap/>
            <w:hideMark/>
          </w:tcPr>
          <w:p w14:paraId="04CA261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77.1%</w:t>
            </w:r>
          </w:p>
        </w:tc>
        <w:tc>
          <w:tcPr>
            <w:tcW w:w="1440" w:type="dxa"/>
            <w:noWrap/>
            <w:hideMark/>
          </w:tcPr>
          <w:p w14:paraId="5A233A9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76.4%</w:t>
            </w:r>
          </w:p>
        </w:tc>
      </w:tr>
      <w:tr w:rsidR="006253A9" w:rsidRPr="006253A9" w14:paraId="58E603E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0FBE64"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0323</w:t>
            </w:r>
          </w:p>
        </w:tc>
        <w:tc>
          <w:tcPr>
            <w:tcW w:w="2880" w:type="dxa"/>
            <w:noWrap/>
            <w:hideMark/>
          </w:tcPr>
          <w:p w14:paraId="4B07F18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Bridgewater</w:t>
            </w:r>
          </w:p>
        </w:tc>
        <w:tc>
          <w:tcPr>
            <w:tcW w:w="1455" w:type="dxa"/>
            <w:noWrap/>
            <w:hideMark/>
          </w:tcPr>
          <w:p w14:paraId="0AC96A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$8,057,418</w:t>
            </w:r>
          </w:p>
        </w:tc>
        <w:tc>
          <w:tcPr>
            <w:tcW w:w="1440" w:type="dxa"/>
            <w:noWrap/>
            <w:hideMark/>
          </w:tcPr>
          <w:p w14:paraId="6C050C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40" w:type="dxa"/>
            <w:noWrap/>
            <w:hideMark/>
          </w:tcPr>
          <w:p w14:paraId="18BC6A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40" w:type="dxa"/>
            <w:noWrap/>
            <w:hideMark/>
          </w:tcPr>
          <w:p w14:paraId="0F441F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87.0%</w:t>
            </w:r>
          </w:p>
        </w:tc>
        <w:tc>
          <w:tcPr>
            <w:tcW w:w="1455" w:type="dxa"/>
            <w:noWrap/>
            <w:hideMark/>
          </w:tcPr>
          <w:p w14:paraId="4367B90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$12,436,379</w:t>
            </w:r>
          </w:p>
        </w:tc>
        <w:tc>
          <w:tcPr>
            <w:tcW w:w="1440" w:type="dxa"/>
            <w:noWrap/>
            <w:hideMark/>
          </w:tcPr>
          <w:p w14:paraId="7D31CE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66.5%</w:t>
            </w:r>
          </w:p>
        </w:tc>
        <w:tc>
          <w:tcPr>
            <w:tcW w:w="1440" w:type="dxa"/>
            <w:noWrap/>
            <w:hideMark/>
          </w:tcPr>
          <w:p w14:paraId="7AC6553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66.5%</w:t>
            </w:r>
          </w:p>
        </w:tc>
        <w:tc>
          <w:tcPr>
            <w:tcW w:w="1440" w:type="dxa"/>
            <w:noWrap/>
            <w:hideMark/>
          </w:tcPr>
          <w:p w14:paraId="25C02F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65.1%</w:t>
            </w:r>
          </w:p>
        </w:tc>
      </w:tr>
      <w:tr w:rsidR="006253A9" w:rsidRPr="006253A9" w14:paraId="470F08B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2FF40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0324</w:t>
            </w:r>
          </w:p>
        </w:tc>
        <w:tc>
          <w:tcPr>
            <w:tcW w:w="2880" w:type="dxa"/>
            <w:noWrap/>
            <w:hideMark/>
          </w:tcPr>
          <w:p w14:paraId="49B1A53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Brookfield</w:t>
            </w:r>
          </w:p>
        </w:tc>
        <w:tc>
          <w:tcPr>
            <w:tcW w:w="1455" w:type="dxa"/>
            <w:noWrap/>
            <w:hideMark/>
          </w:tcPr>
          <w:p w14:paraId="3F1BB4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$4,879,260</w:t>
            </w:r>
          </w:p>
        </w:tc>
        <w:tc>
          <w:tcPr>
            <w:tcW w:w="1440" w:type="dxa"/>
            <w:noWrap/>
            <w:hideMark/>
          </w:tcPr>
          <w:p w14:paraId="24FAA2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50.7%</w:t>
            </w:r>
          </w:p>
        </w:tc>
        <w:tc>
          <w:tcPr>
            <w:tcW w:w="1440" w:type="dxa"/>
            <w:noWrap/>
            <w:hideMark/>
          </w:tcPr>
          <w:p w14:paraId="3E3FA8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50.7%</w:t>
            </w:r>
          </w:p>
        </w:tc>
        <w:tc>
          <w:tcPr>
            <w:tcW w:w="1440" w:type="dxa"/>
            <w:noWrap/>
            <w:hideMark/>
          </w:tcPr>
          <w:p w14:paraId="2B20E4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41.3%</w:t>
            </w:r>
          </w:p>
        </w:tc>
        <w:tc>
          <w:tcPr>
            <w:tcW w:w="1455" w:type="dxa"/>
            <w:noWrap/>
            <w:hideMark/>
          </w:tcPr>
          <w:p w14:paraId="27F69A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$6,155,629</w:t>
            </w:r>
          </w:p>
        </w:tc>
        <w:tc>
          <w:tcPr>
            <w:tcW w:w="1440" w:type="dxa"/>
            <w:noWrap/>
            <w:hideMark/>
          </w:tcPr>
          <w:p w14:paraId="3A87E3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52.7%</w:t>
            </w:r>
          </w:p>
        </w:tc>
        <w:tc>
          <w:tcPr>
            <w:tcW w:w="1440" w:type="dxa"/>
            <w:noWrap/>
            <w:hideMark/>
          </w:tcPr>
          <w:p w14:paraId="0A2097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52.7%</w:t>
            </w:r>
          </w:p>
        </w:tc>
        <w:tc>
          <w:tcPr>
            <w:tcW w:w="1440" w:type="dxa"/>
            <w:noWrap/>
            <w:hideMark/>
          </w:tcPr>
          <w:p w14:paraId="1F70D7A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52.5%</w:t>
            </w:r>
          </w:p>
        </w:tc>
      </w:tr>
      <w:tr w:rsidR="006253A9" w:rsidRPr="006253A9" w14:paraId="36D557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6CE8B3C"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0325</w:t>
            </w:r>
          </w:p>
        </w:tc>
        <w:tc>
          <w:tcPr>
            <w:tcW w:w="2880" w:type="dxa"/>
            <w:noWrap/>
            <w:hideMark/>
          </w:tcPr>
          <w:p w14:paraId="5CC0311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Westfield</w:t>
            </w:r>
          </w:p>
        </w:tc>
        <w:tc>
          <w:tcPr>
            <w:tcW w:w="1455" w:type="dxa"/>
            <w:noWrap/>
            <w:hideMark/>
          </w:tcPr>
          <w:p w14:paraId="54285D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$53,649,787</w:t>
            </w:r>
          </w:p>
        </w:tc>
        <w:tc>
          <w:tcPr>
            <w:tcW w:w="1440" w:type="dxa"/>
            <w:noWrap/>
            <w:hideMark/>
          </w:tcPr>
          <w:p w14:paraId="2B9EAEA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c>
          <w:tcPr>
            <w:tcW w:w="1440" w:type="dxa"/>
            <w:noWrap/>
            <w:hideMark/>
          </w:tcPr>
          <w:p w14:paraId="019E4F3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38.9%</w:t>
            </w:r>
          </w:p>
        </w:tc>
        <w:tc>
          <w:tcPr>
            <w:tcW w:w="1440" w:type="dxa"/>
            <w:noWrap/>
            <w:hideMark/>
          </w:tcPr>
          <w:p w14:paraId="315122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40.5%</w:t>
            </w:r>
          </w:p>
        </w:tc>
        <w:tc>
          <w:tcPr>
            <w:tcW w:w="1455" w:type="dxa"/>
            <w:noWrap/>
            <w:hideMark/>
          </w:tcPr>
          <w:p w14:paraId="10B4EDC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$65,007,738</w:t>
            </w:r>
          </w:p>
        </w:tc>
        <w:tc>
          <w:tcPr>
            <w:tcW w:w="1440" w:type="dxa"/>
            <w:noWrap/>
            <w:hideMark/>
          </w:tcPr>
          <w:p w14:paraId="0812EC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42.6%</w:t>
            </w:r>
          </w:p>
        </w:tc>
        <w:tc>
          <w:tcPr>
            <w:tcW w:w="1440" w:type="dxa"/>
            <w:noWrap/>
            <w:hideMark/>
          </w:tcPr>
          <w:p w14:paraId="58FF67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42.6%</w:t>
            </w:r>
          </w:p>
        </w:tc>
        <w:tc>
          <w:tcPr>
            <w:tcW w:w="1440" w:type="dxa"/>
            <w:noWrap/>
            <w:hideMark/>
          </w:tcPr>
          <w:p w14:paraId="59308E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42.6%</w:t>
            </w:r>
          </w:p>
        </w:tc>
      </w:tr>
      <w:tr w:rsidR="006253A9" w:rsidRPr="006253A9" w14:paraId="61D0BEA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17E0FD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0326</w:t>
            </w:r>
          </w:p>
        </w:tc>
        <w:tc>
          <w:tcPr>
            <w:tcW w:w="2880" w:type="dxa"/>
            <w:noWrap/>
            <w:hideMark/>
          </w:tcPr>
          <w:p w14:paraId="4C31C727"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Westford</w:t>
            </w:r>
          </w:p>
        </w:tc>
        <w:tc>
          <w:tcPr>
            <w:tcW w:w="1455" w:type="dxa"/>
            <w:noWrap/>
            <w:hideMark/>
          </w:tcPr>
          <w:p w14:paraId="2CB1F12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$39,412,968</w:t>
            </w:r>
          </w:p>
        </w:tc>
        <w:tc>
          <w:tcPr>
            <w:tcW w:w="1440" w:type="dxa"/>
            <w:noWrap/>
            <w:hideMark/>
          </w:tcPr>
          <w:p w14:paraId="417DDBD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63.1%</w:t>
            </w:r>
          </w:p>
        </w:tc>
        <w:tc>
          <w:tcPr>
            <w:tcW w:w="1440" w:type="dxa"/>
            <w:noWrap/>
            <w:hideMark/>
          </w:tcPr>
          <w:p w14:paraId="146752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63.1%</w:t>
            </w:r>
          </w:p>
        </w:tc>
        <w:tc>
          <w:tcPr>
            <w:tcW w:w="1440" w:type="dxa"/>
            <w:noWrap/>
            <w:hideMark/>
          </w:tcPr>
          <w:p w14:paraId="5ADD3C9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66.6%</w:t>
            </w:r>
          </w:p>
        </w:tc>
        <w:tc>
          <w:tcPr>
            <w:tcW w:w="1455" w:type="dxa"/>
            <w:noWrap/>
            <w:hideMark/>
          </w:tcPr>
          <w:p w14:paraId="746ABF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$51,383,347</w:t>
            </w:r>
          </w:p>
        </w:tc>
        <w:tc>
          <w:tcPr>
            <w:tcW w:w="1440" w:type="dxa"/>
            <w:noWrap/>
            <w:hideMark/>
          </w:tcPr>
          <w:p w14:paraId="3E2F5CA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75.2%</w:t>
            </w:r>
          </w:p>
        </w:tc>
        <w:tc>
          <w:tcPr>
            <w:tcW w:w="1440" w:type="dxa"/>
            <w:noWrap/>
            <w:hideMark/>
          </w:tcPr>
          <w:p w14:paraId="3A01C5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75.2%</w:t>
            </w:r>
          </w:p>
        </w:tc>
        <w:tc>
          <w:tcPr>
            <w:tcW w:w="1440" w:type="dxa"/>
            <w:noWrap/>
            <w:hideMark/>
          </w:tcPr>
          <w:p w14:paraId="70F0D2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74.2%</w:t>
            </w:r>
          </w:p>
        </w:tc>
      </w:tr>
      <w:tr w:rsidR="006253A9" w:rsidRPr="006253A9" w14:paraId="6F68CC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2DDB9D"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0327</w:t>
            </w:r>
          </w:p>
        </w:tc>
        <w:tc>
          <w:tcPr>
            <w:tcW w:w="2880" w:type="dxa"/>
            <w:noWrap/>
            <w:hideMark/>
          </w:tcPr>
          <w:p w14:paraId="1A4EE78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Westhampton</w:t>
            </w:r>
          </w:p>
        </w:tc>
        <w:tc>
          <w:tcPr>
            <w:tcW w:w="1455" w:type="dxa"/>
            <w:noWrap/>
            <w:hideMark/>
          </w:tcPr>
          <w:p w14:paraId="6016246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$2,159,681</w:t>
            </w:r>
          </w:p>
        </w:tc>
        <w:tc>
          <w:tcPr>
            <w:tcW w:w="1440" w:type="dxa"/>
            <w:noWrap/>
            <w:hideMark/>
          </w:tcPr>
          <w:p w14:paraId="4C7F59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4CA8247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51.4%</w:t>
            </w:r>
          </w:p>
        </w:tc>
        <w:tc>
          <w:tcPr>
            <w:tcW w:w="1440" w:type="dxa"/>
            <w:noWrap/>
            <w:hideMark/>
          </w:tcPr>
          <w:p w14:paraId="698BE2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70.4%</w:t>
            </w:r>
          </w:p>
        </w:tc>
        <w:tc>
          <w:tcPr>
            <w:tcW w:w="1455" w:type="dxa"/>
            <w:noWrap/>
            <w:hideMark/>
          </w:tcPr>
          <w:p w14:paraId="368184C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$2,363,693</w:t>
            </w:r>
          </w:p>
        </w:tc>
        <w:tc>
          <w:tcPr>
            <w:tcW w:w="1440" w:type="dxa"/>
            <w:noWrap/>
            <w:hideMark/>
          </w:tcPr>
          <w:p w14:paraId="21CF23F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72.2%</w:t>
            </w:r>
          </w:p>
        </w:tc>
        <w:tc>
          <w:tcPr>
            <w:tcW w:w="1440" w:type="dxa"/>
            <w:noWrap/>
            <w:hideMark/>
          </w:tcPr>
          <w:p w14:paraId="22A4005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72.2%</w:t>
            </w:r>
          </w:p>
        </w:tc>
        <w:tc>
          <w:tcPr>
            <w:tcW w:w="1440" w:type="dxa"/>
            <w:noWrap/>
            <w:hideMark/>
          </w:tcPr>
          <w:p w14:paraId="08ACFC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71.4%</w:t>
            </w:r>
          </w:p>
        </w:tc>
      </w:tr>
      <w:tr w:rsidR="006253A9" w:rsidRPr="006253A9" w14:paraId="45BCA3C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71B60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0328</w:t>
            </w:r>
          </w:p>
        </w:tc>
        <w:tc>
          <w:tcPr>
            <w:tcW w:w="2880" w:type="dxa"/>
            <w:noWrap/>
            <w:hideMark/>
          </w:tcPr>
          <w:p w14:paraId="7F611CA8"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Westminster</w:t>
            </w:r>
          </w:p>
        </w:tc>
        <w:tc>
          <w:tcPr>
            <w:tcW w:w="1455" w:type="dxa"/>
            <w:noWrap/>
            <w:hideMark/>
          </w:tcPr>
          <w:p w14:paraId="4B954B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$10,332,830</w:t>
            </w:r>
          </w:p>
        </w:tc>
        <w:tc>
          <w:tcPr>
            <w:tcW w:w="1440" w:type="dxa"/>
            <w:noWrap/>
            <w:hideMark/>
          </w:tcPr>
          <w:p w14:paraId="39795C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c>
          <w:tcPr>
            <w:tcW w:w="1440" w:type="dxa"/>
            <w:noWrap/>
            <w:hideMark/>
          </w:tcPr>
          <w:p w14:paraId="7FE022F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58.4%</w:t>
            </w:r>
          </w:p>
        </w:tc>
        <w:tc>
          <w:tcPr>
            <w:tcW w:w="1440" w:type="dxa"/>
            <w:noWrap/>
            <w:hideMark/>
          </w:tcPr>
          <w:p w14:paraId="54A9B8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45.2%</w:t>
            </w:r>
          </w:p>
        </w:tc>
        <w:tc>
          <w:tcPr>
            <w:tcW w:w="1455" w:type="dxa"/>
            <w:noWrap/>
            <w:hideMark/>
          </w:tcPr>
          <w:p w14:paraId="0E0649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$14,161,157</w:t>
            </w:r>
          </w:p>
        </w:tc>
        <w:tc>
          <w:tcPr>
            <w:tcW w:w="1440" w:type="dxa"/>
            <w:noWrap/>
            <w:hideMark/>
          </w:tcPr>
          <w:p w14:paraId="224DD6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55.4%</w:t>
            </w:r>
          </w:p>
        </w:tc>
        <w:tc>
          <w:tcPr>
            <w:tcW w:w="1440" w:type="dxa"/>
            <w:noWrap/>
            <w:hideMark/>
          </w:tcPr>
          <w:p w14:paraId="1F29923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55.4%</w:t>
            </w:r>
          </w:p>
        </w:tc>
        <w:tc>
          <w:tcPr>
            <w:tcW w:w="1440" w:type="dxa"/>
            <w:noWrap/>
            <w:hideMark/>
          </w:tcPr>
          <w:p w14:paraId="18DBDD1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55.3%</w:t>
            </w:r>
          </w:p>
        </w:tc>
      </w:tr>
      <w:tr w:rsidR="006253A9" w:rsidRPr="006253A9" w14:paraId="14873BA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0E3D18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lastRenderedPageBreak/>
              <w:t>0329</w:t>
            </w:r>
          </w:p>
        </w:tc>
        <w:tc>
          <w:tcPr>
            <w:tcW w:w="2880" w:type="dxa"/>
            <w:noWrap/>
            <w:hideMark/>
          </w:tcPr>
          <w:p w14:paraId="6EE9DF6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Newbury</w:t>
            </w:r>
          </w:p>
        </w:tc>
        <w:tc>
          <w:tcPr>
            <w:tcW w:w="1455" w:type="dxa"/>
            <w:noWrap/>
            <w:hideMark/>
          </w:tcPr>
          <w:p w14:paraId="1D2CC85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$6,440,133</w:t>
            </w:r>
          </w:p>
        </w:tc>
        <w:tc>
          <w:tcPr>
            <w:tcW w:w="1440" w:type="dxa"/>
            <w:noWrap/>
            <w:hideMark/>
          </w:tcPr>
          <w:p w14:paraId="5A0E7B8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85.4%</w:t>
            </w:r>
          </w:p>
        </w:tc>
        <w:tc>
          <w:tcPr>
            <w:tcW w:w="1440" w:type="dxa"/>
            <w:noWrap/>
            <w:hideMark/>
          </w:tcPr>
          <w:p w14:paraId="78A701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9F1829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50.8%</w:t>
            </w:r>
          </w:p>
        </w:tc>
        <w:tc>
          <w:tcPr>
            <w:tcW w:w="1455" w:type="dxa"/>
            <w:noWrap/>
            <w:hideMark/>
          </w:tcPr>
          <w:p w14:paraId="012A99E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$6,789,332</w:t>
            </w:r>
          </w:p>
        </w:tc>
        <w:tc>
          <w:tcPr>
            <w:tcW w:w="1440" w:type="dxa"/>
            <w:noWrap/>
            <w:hideMark/>
          </w:tcPr>
          <w:p w14:paraId="5A5F8A6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115.3%</w:t>
            </w:r>
          </w:p>
        </w:tc>
        <w:tc>
          <w:tcPr>
            <w:tcW w:w="1440" w:type="dxa"/>
            <w:noWrap/>
            <w:hideMark/>
          </w:tcPr>
          <w:p w14:paraId="1E4DC74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8E281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82.4%</w:t>
            </w:r>
          </w:p>
        </w:tc>
      </w:tr>
      <w:tr w:rsidR="006253A9" w:rsidRPr="006253A9" w14:paraId="0448D6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307E62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0330</w:t>
            </w:r>
          </w:p>
        </w:tc>
        <w:tc>
          <w:tcPr>
            <w:tcW w:w="2880" w:type="dxa"/>
            <w:noWrap/>
            <w:hideMark/>
          </w:tcPr>
          <w:p w14:paraId="011575BC"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Weston</w:t>
            </w:r>
          </w:p>
        </w:tc>
        <w:tc>
          <w:tcPr>
            <w:tcW w:w="1455" w:type="dxa"/>
            <w:noWrap/>
            <w:hideMark/>
          </w:tcPr>
          <w:p w14:paraId="2F5261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$17,400,681</w:t>
            </w:r>
          </w:p>
        </w:tc>
        <w:tc>
          <w:tcPr>
            <w:tcW w:w="1440" w:type="dxa"/>
            <w:noWrap/>
            <w:hideMark/>
          </w:tcPr>
          <w:p w14:paraId="0679DC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261.7%</w:t>
            </w:r>
          </w:p>
        </w:tc>
        <w:tc>
          <w:tcPr>
            <w:tcW w:w="1440" w:type="dxa"/>
            <w:noWrap/>
            <w:hideMark/>
          </w:tcPr>
          <w:p w14:paraId="0BFBB8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2E2CE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115.0%</w:t>
            </w:r>
          </w:p>
        </w:tc>
        <w:tc>
          <w:tcPr>
            <w:tcW w:w="1455" w:type="dxa"/>
            <w:noWrap/>
            <w:hideMark/>
          </w:tcPr>
          <w:p w14:paraId="620790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$22,508,838</w:t>
            </w:r>
          </w:p>
        </w:tc>
        <w:tc>
          <w:tcPr>
            <w:tcW w:w="1440" w:type="dxa"/>
            <w:noWrap/>
            <w:hideMark/>
          </w:tcPr>
          <w:p w14:paraId="57522E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344.6%</w:t>
            </w:r>
          </w:p>
        </w:tc>
        <w:tc>
          <w:tcPr>
            <w:tcW w:w="1440" w:type="dxa"/>
            <w:noWrap/>
            <w:hideMark/>
          </w:tcPr>
          <w:p w14:paraId="06C8F0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5BFA5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164419C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953567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0331</w:t>
            </w:r>
          </w:p>
        </w:tc>
        <w:tc>
          <w:tcPr>
            <w:tcW w:w="2880" w:type="dxa"/>
            <w:noWrap/>
            <w:hideMark/>
          </w:tcPr>
          <w:p w14:paraId="0D28058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Westport</w:t>
            </w:r>
          </w:p>
        </w:tc>
        <w:tc>
          <w:tcPr>
            <w:tcW w:w="1455" w:type="dxa"/>
            <w:noWrap/>
            <w:hideMark/>
          </w:tcPr>
          <w:p w14:paraId="53696C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$15,160,509</w:t>
            </w:r>
          </w:p>
        </w:tc>
        <w:tc>
          <w:tcPr>
            <w:tcW w:w="1440" w:type="dxa"/>
            <w:noWrap/>
            <w:hideMark/>
          </w:tcPr>
          <w:p w14:paraId="0E83B7B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90.0%</w:t>
            </w:r>
          </w:p>
        </w:tc>
        <w:tc>
          <w:tcPr>
            <w:tcW w:w="1440" w:type="dxa"/>
            <w:noWrap/>
            <w:hideMark/>
          </w:tcPr>
          <w:p w14:paraId="6E2C44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344D6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74.9%</w:t>
            </w:r>
          </w:p>
        </w:tc>
        <w:tc>
          <w:tcPr>
            <w:tcW w:w="1455" w:type="dxa"/>
            <w:noWrap/>
            <w:hideMark/>
          </w:tcPr>
          <w:p w14:paraId="72E1E9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$18,967,984</w:t>
            </w:r>
          </w:p>
        </w:tc>
        <w:tc>
          <w:tcPr>
            <w:tcW w:w="1440" w:type="dxa"/>
            <w:noWrap/>
            <w:hideMark/>
          </w:tcPr>
          <w:p w14:paraId="5FBF74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111.1%</w:t>
            </w:r>
          </w:p>
        </w:tc>
        <w:tc>
          <w:tcPr>
            <w:tcW w:w="1440" w:type="dxa"/>
            <w:noWrap/>
            <w:hideMark/>
          </w:tcPr>
          <w:p w14:paraId="4EE0859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6715E8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80.9%</w:t>
            </w:r>
          </w:p>
        </w:tc>
      </w:tr>
      <w:tr w:rsidR="006253A9" w:rsidRPr="006253A9" w14:paraId="0DCF51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9D3AEF"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0332</w:t>
            </w:r>
          </w:p>
        </w:tc>
        <w:tc>
          <w:tcPr>
            <w:tcW w:w="2880" w:type="dxa"/>
            <w:noWrap/>
            <w:hideMark/>
          </w:tcPr>
          <w:p w14:paraId="23EACEA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Springfield</w:t>
            </w:r>
          </w:p>
        </w:tc>
        <w:tc>
          <w:tcPr>
            <w:tcW w:w="1455" w:type="dxa"/>
            <w:noWrap/>
            <w:hideMark/>
          </w:tcPr>
          <w:p w14:paraId="020678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$33,870,575</w:t>
            </w:r>
          </w:p>
        </w:tc>
        <w:tc>
          <w:tcPr>
            <w:tcW w:w="1440" w:type="dxa"/>
            <w:noWrap/>
            <w:hideMark/>
          </w:tcPr>
          <w:p w14:paraId="4D4576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46.0%</w:t>
            </w:r>
          </w:p>
        </w:tc>
        <w:tc>
          <w:tcPr>
            <w:tcW w:w="1440" w:type="dxa"/>
            <w:noWrap/>
            <w:hideMark/>
          </w:tcPr>
          <w:p w14:paraId="7CD0EB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46.0%</w:t>
            </w:r>
          </w:p>
        </w:tc>
        <w:tc>
          <w:tcPr>
            <w:tcW w:w="1440" w:type="dxa"/>
            <w:noWrap/>
            <w:hideMark/>
          </w:tcPr>
          <w:p w14:paraId="75EABB0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54.9%</w:t>
            </w:r>
          </w:p>
        </w:tc>
        <w:tc>
          <w:tcPr>
            <w:tcW w:w="1455" w:type="dxa"/>
            <w:noWrap/>
            <w:hideMark/>
          </w:tcPr>
          <w:p w14:paraId="4916A86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$51,872,244</w:t>
            </w:r>
          </w:p>
        </w:tc>
        <w:tc>
          <w:tcPr>
            <w:tcW w:w="1440" w:type="dxa"/>
            <w:noWrap/>
            <w:hideMark/>
          </w:tcPr>
          <w:p w14:paraId="0546762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41.4%</w:t>
            </w:r>
          </w:p>
        </w:tc>
        <w:tc>
          <w:tcPr>
            <w:tcW w:w="1440" w:type="dxa"/>
            <w:noWrap/>
            <w:hideMark/>
          </w:tcPr>
          <w:p w14:paraId="7B301CC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41.4%</w:t>
            </w:r>
          </w:p>
        </w:tc>
        <w:tc>
          <w:tcPr>
            <w:tcW w:w="1440" w:type="dxa"/>
            <w:noWrap/>
            <w:hideMark/>
          </w:tcPr>
          <w:p w14:paraId="7FCD9B6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39.5%</w:t>
            </w:r>
          </w:p>
        </w:tc>
      </w:tr>
      <w:tr w:rsidR="006253A9" w:rsidRPr="006253A9" w14:paraId="236F00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5662895"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0333</w:t>
            </w:r>
          </w:p>
        </w:tc>
        <w:tc>
          <w:tcPr>
            <w:tcW w:w="2880" w:type="dxa"/>
            <w:noWrap/>
            <w:hideMark/>
          </w:tcPr>
          <w:p w14:paraId="1B2FBE7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Stockbridge</w:t>
            </w:r>
          </w:p>
        </w:tc>
        <w:tc>
          <w:tcPr>
            <w:tcW w:w="1455" w:type="dxa"/>
            <w:noWrap/>
            <w:hideMark/>
          </w:tcPr>
          <w:p w14:paraId="11A98E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$1,435,396</w:t>
            </w:r>
          </w:p>
        </w:tc>
        <w:tc>
          <w:tcPr>
            <w:tcW w:w="1440" w:type="dxa"/>
            <w:noWrap/>
            <w:hideMark/>
          </w:tcPr>
          <w:p w14:paraId="30BF423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103.1%</w:t>
            </w:r>
          </w:p>
        </w:tc>
        <w:tc>
          <w:tcPr>
            <w:tcW w:w="1440" w:type="dxa"/>
            <w:noWrap/>
            <w:hideMark/>
          </w:tcPr>
          <w:p w14:paraId="345CF05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C7DB6D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126.0%</w:t>
            </w:r>
          </w:p>
        </w:tc>
        <w:tc>
          <w:tcPr>
            <w:tcW w:w="1455" w:type="dxa"/>
            <w:noWrap/>
            <w:hideMark/>
          </w:tcPr>
          <w:p w14:paraId="2DDD140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$1,684,734</w:t>
            </w:r>
          </w:p>
        </w:tc>
        <w:tc>
          <w:tcPr>
            <w:tcW w:w="1440" w:type="dxa"/>
            <w:noWrap/>
            <w:hideMark/>
          </w:tcPr>
          <w:p w14:paraId="15561EF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124.3%</w:t>
            </w:r>
          </w:p>
        </w:tc>
        <w:tc>
          <w:tcPr>
            <w:tcW w:w="1440" w:type="dxa"/>
            <w:noWrap/>
            <w:hideMark/>
          </w:tcPr>
          <w:p w14:paraId="23EFD6E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3154E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80.5%</w:t>
            </w:r>
          </w:p>
        </w:tc>
      </w:tr>
      <w:tr w:rsidR="006253A9" w:rsidRPr="006253A9" w14:paraId="65C72CC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7A769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0334</w:t>
            </w:r>
          </w:p>
        </w:tc>
        <w:tc>
          <w:tcPr>
            <w:tcW w:w="2880" w:type="dxa"/>
            <w:noWrap/>
            <w:hideMark/>
          </w:tcPr>
          <w:p w14:paraId="19256FF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Tisbury</w:t>
            </w:r>
          </w:p>
        </w:tc>
        <w:tc>
          <w:tcPr>
            <w:tcW w:w="1455" w:type="dxa"/>
            <w:noWrap/>
            <w:hideMark/>
          </w:tcPr>
          <w:p w14:paraId="4C44B47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$3,547,580</w:t>
            </w:r>
          </w:p>
        </w:tc>
        <w:tc>
          <w:tcPr>
            <w:tcW w:w="1440" w:type="dxa"/>
            <w:noWrap/>
            <w:hideMark/>
          </w:tcPr>
          <w:p w14:paraId="02CCF8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212.4%</w:t>
            </w:r>
          </w:p>
        </w:tc>
        <w:tc>
          <w:tcPr>
            <w:tcW w:w="1440" w:type="dxa"/>
            <w:noWrap/>
            <w:hideMark/>
          </w:tcPr>
          <w:p w14:paraId="0C747E9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C286E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115.2%</w:t>
            </w:r>
          </w:p>
        </w:tc>
        <w:tc>
          <w:tcPr>
            <w:tcW w:w="1455" w:type="dxa"/>
            <w:noWrap/>
            <w:hideMark/>
          </w:tcPr>
          <w:p w14:paraId="662A9F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$4,332,665</w:t>
            </w:r>
          </w:p>
        </w:tc>
        <w:tc>
          <w:tcPr>
            <w:tcW w:w="1440" w:type="dxa"/>
            <w:noWrap/>
            <w:hideMark/>
          </w:tcPr>
          <w:p w14:paraId="0C42738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246.5%</w:t>
            </w:r>
          </w:p>
        </w:tc>
        <w:tc>
          <w:tcPr>
            <w:tcW w:w="1440" w:type="dxa"/>
            <w:noWrap/>
            <w:hideMark/>
          </w:tcPr>
          <w:p w14:paraId="6C5741B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A80AF0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3988F3B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50EBA7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0335</w:t>
            </w:r>
          </w:p>
        </w:tc>
        <w:tc>
          <w:tcPr>
            <w:tcW w:w="2880" w:type="dxa"/>
            <w:noWrap/>
            <w:hideMark/>
          </w:tcPr>
          <w:p w14:paraId="4113789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Westwood</w:t>
            </w:r>
          </w:p>
        </w:tc>
        <w:tc>
          <w:tcPr>
            <w:tcW w:w="1455" w:type="dxa"/>
            <w:noWrap/>
            <w:hideMark/>
          </w:tcPr>
          <w:p w14:paraId="2304FB4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$22,625,570</w:t>
            </w:r>
          </w:p>
        </w:tc>
        <w:tc>
          <w:tcPr>
            <w:tcW w:w="1440" w:type="dxa"/>
            <w:noWrap/>
            <w:hideMark/>
          </w:tcPr>
          <w:p w14:paraId="11290A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111.2%</w:t>
            </w:r>
          </w:p>
        </w:tc>
        <w:tc>
          <w:tcPr>
            <w:tcW w:w="1440" w:type="dxa"/>
            <w:noWrap/>
            <w:hideMark/>
          </w:tcPr>
          <w:p w14:paraId="6E88325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A0064F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97.5%</w:t>
            </w:r>
          </w:p>
        </w:tc>
        <w:tc>
          <w:tcPr>
            <w:tcW w:w="1455" w:type="dxa"/>
            <w:noWrap/>
            <w:hideMark/>
          </w:tcPr>
          <w:p w14:paraId="7C2E091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$31,603,573</w:t>
            </w:r>
          </w:p>
        </w:tc>
        <w:tc>
          <w:tcPr>
            <w:tcW w:w="1440" w:type="dxa"/>
            <w:noWrap/>
            <w:hideMark/>
          </w:tcPr>
          <w:p w14:paraId="0D2045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130.6%</w:t>
            </w:r>
          </w:p>
        </w:tc>
        <w:tc>
          <w:tcPr>
            <w:tcW w:w="1440" w:type="dxa"/>
            <w:noWrap/>
            <w:hideMark/>
          </w:tcPr>
          <w:p w14:paraId="2A1BC5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06745F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6A17CC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5FB174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0336</w:t>
            </w:r>
          </w:p>
        </w:tc>
        <w:tc>
          <w:tcPr>
            <w:tcW w:w="2880" w:type="dxa"/>
            <w:noWrap/>
            <w:hideMark/>
          </w:tcPr>
          <w:p w14:paraId="1CB84660"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Weymouth</w:t>
            </w:r>
          </w:p>
        </w:tc>
        <w:tc>
          <w:tcPr>
            <w:tcW w:w="1455" w:type="dxa"/>
            <w:noWrap/>
            <w:hideMark/>
          </w:tcPr>
          <w:p w14:paraId="64708C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$54,306,021</w:t>
            </w:r>
          </w:p>
        </w:tc>
        <w:tc>
          <w:tcPr>
            <w:tcW w:w="1440" w:type="dxa"/>
            <w:noWrap/>
            <w:hideMark/>
          </w:tcPr>
          <w:p w14:paraId="4CDCD37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76.0%</w:t>
            </w:r>
          </w:p>
        </w:tc>
        <w:tc>
          <w:tcPr>
            <w:tcW w:w="1440" w:type="dxa"/>
            <w:noWrap/>
            <w:hideMark/>
          </w:tcPr>
          <w:p w14:paraId="4EAA7A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76.0%</w:t>
            </w:r>
          </w:p>
        </w:tc>
        <w:tc>
          <w:tcPr>
            <w:tcW w:w="1440" w:type="dxa"/>
            <w:noWrap/>
            <w:hideMark/>
          </w:tcPr>
          <w:p w14:paraId="7D3C28A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61.1%</w:t>
            </w:r>
          </w:p>
        </w:tc>
        <w:tc>
          <w:tcPr>
            <w:tcW w:w="1455" w:type="dxa"/>
            <w:noWrap/>
            <w:hideMark/>
          </w:tcPr>
          <w:p w14:paraId="07F1519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$72,429,995</w:t>
            </w:r>
          </w:p>
        </w:tc>
        <w:tc>
          <w:tcPr>
            <w:tcW w:w="1440" w:type="dxa"/>
            <w:noWrap/>
            <w:hideMark/>
          </w:tcPr>
          <w:p w14:paraId="4FD4A2B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c>
          <w:tcPr>
            <w:tcW w:w="1440" w:type="dxa"/>
            <w:noWrap/>
            <w:hideMark/>
          </w:tcPr>
          <w:p w14:paraId="2B7326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78.2%</w:t>
            </w:r>
          </w:p>
        </w:tc>
        <w:tc>
          <w:tcPr>
            <w:tcW w:w="1440" w:type="dxa"/>
            <w:noWrap/>
            <w:hideMark/>
          </w:tcPr>
          <w:p w14:paraId="7B9A50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75.4%</w:t>
            </w:r>
          </w:p>
        </w:tc>
      </w:tr>
      <w:tr w:rsidR="006253A9" w:rsidRPr="006253A9" w14:paraId="345EE3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00EE08"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0337</w:t>
            </w:r>
          </w:p>
        </w:tc>
        <w:tc>
          <w:tcPr>
            <w:tcW w:w="2880" w:type="dxa"/>
            <w:noWrap/>
            <w:hideMark/>
          </w:tcPr>
          <w:p w14:paraId="74B88344"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Whately</w:t>
            </w:r>
          </w:p>
        </w:tc>
        <w:tc>
          <w:tcPr>
            <w:tcW w:w="1455" w:type="dxa"/>
            <w:noWrap/>
            <w:hideMark/>
          </w:tcPr>
          <w:p w14:paraId="6590CA2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$1,674,997</w:t>
            </w:r>
          </w:p>
        </w:tc>
        <w:tc>
          <w:tcPr>
            <w:tcW w:w="1440" w:type="dxa"/>
            <w:noWrap/>
            <w:hideMark/>
          </w:tcPr>
          <w:p w14:paraId="7EA81D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c>
          <w:tcPr>
            <w:tcW w:w="1440" w:type="dxa"/>
            <w:noWrap/>
            <w:hideMark/>
          </w:tcPr>
          <w:p w14:paraId="127312A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59.9%</w:t>
            </w:r>
          </w:p>
        </w:tc>
        <w:tc>
          <w:tcPr>
            <w:tcW w:w="1440" w:type="dxa"/>
            <w:noWrap/>
            <w:hideMark/>
          </w:tcPr>
          <w:p w14:paraId="639E33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85.2%</w:t>
            </w:r>
          </w:p>
        </w:tc>
        <w:tc>
          <w:tcPr>
            <w:tcW w:w="1455" w:type="dxa"/>
            <w:noWrap/>
            <w:hideMark/>
          </w:tcPr>
          <w:p w14:paraId="471B68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$1,870,556</w:t>
            </w:r>
          </w:p>
        </w:tc>
        <w:tc>
          <w:tcPr>
            <w:tcW w:w="1440" w:type="dxa"/>
            <w:noWrap/>
            <w:hideMark/>
          </w:tcPr>
          <w:p w14:paraId="018015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c>
          <w:tcPr>
            <w:tcW w:w="1440" w:type="dxa"/>
            <w:noWrap/>
            <w:hideMark/>
          </w:tcPr>
          <w:p w14:paraId="29BFD5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c>
          <w:tcPr>
            <w:tcW w:w="1440" w:type="dxa"/>
            <w:noWrap/>
            <w:hideMark/>
          </w:tcPr>
          <w:p w14:paraId="3F6C2F4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81.8%</w:t>
            </w:r>
          </w:p>
        </w:tc>
      </w:tr>
      <w:tr w:rsidR="006253A9" w:rsidRPr="006253A9" w14:paraId="1349B07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751C921"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0338</w:t>
            </w:r>
          </w:p>
        </w:tc>
        <w:tc>
          <w:tcPr>
            <w:tcW w:w="2880" w:type="dxa"/>
            <w:noWrap/>
            <w:hideMark/>
          </w:tcPr>
          <w:p w14:paraId="579DC9E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Whitman</w:t>
            </w:r>
          </w:p>
        </w:tc>
        <w:tc>
          <w:tcPr>
            <w:tcW w:w="1455" w:type="dxa"/>
            <w:noWrap/>
            <w:hideMark/>
          </w:tcPr>
          <w:p w14:paraId="5B58B29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$19,542,850</w:t>
            </w:r>
          </w:p>
        </w:tc>
        <w:tc>
          <w:tcPr>
            <w:tcW w:w="1440" w:type="dxa"/>
            <w:noWrap/>
            <w:hideMark/>
          </w:tcPr>
          <w:p w14:paraId="74C7F9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46.9%</w:t>
            </w:r>
          </w:p>
        </w:tc>
        <w:tc>
          <w:tcPr>
            <w:tcW w:w="1440" w:type="dxa"/>
            <w:noWrap/>
            <w:hideMark/>
          </w:tcPr>
          <w:p w14:paraId="36B71D1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46.9%</w:t>
            </w:r>
          </w:p>
        </w:tc>
        <w:tc>
          <w:tcPr>
            <w:tcW w:w="1440" w:type="dxa"/>
            <w:noWrap/>
            <w:hideMark/>
          </w:tcPr>
          <w:p w14:paraId="29E3B1D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33.0%</w:t>
            </w:r>
          </w:p>
        </w:tc>
        <w:tc>
          <w:tcPr>
            <w:tcW w:w="1455" w:type="dxa"/>
            <w:noWrap/>
            <w:hideMark/>
          </w:tcPr>
          <w:p w14:paraId="1F29ED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$26,546,550</w:t>
            </w:r>
          </w:p>
        </w:tc>
        <w:tc>
          <w:tcPr>
            <w:tcW w:w="1440" w:type="dxa"/>
            <w:noWrap/>
            <w:hideMark/>
          </w:tcPr>
          <w:p w14:paraId="26979EB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46.9%</w:t>
            </w:r>
          </w:p>
        </w:tc>
        <w:tc>
          <w:tcPr>
            <w:tcW w:w="1440" w:type="dxa"/>
            <w:noWrap/>
            <w:hideMark/>
          </w:tcPr>
          <w:p w14:paraId="21B195E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46.9%</w:t>
            </w:r>
          </w:p>
        </w:tc>
        <w:tc>
          <w:tcPr>
            <w:tcW w:w="1440" w:type="dxa"/>
            <w:noWrap/>
            <w:hideMark/>
          </w:tcPr>
          <w:p w14:paraId="34CF64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44.6%</w:t>
            </w:r>
          </w:p>
        </w:tc>
      </w:tr>
      <w:tr w:rsidR="006253A9" w:rsidRPr="006253A9" w14:paraId="40282F1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D03313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0339</w:t>
            </w:r>
          </w:p>
        </w:tc>
        <w:tc>
          <w:tcPr>
            <w:tcW w:w="2880" w:type="dxa"/>
            <w:noWrap/>
            <w:hideMark/>
          </w:tcPr>
          <w:p w14:paraId="4E8444C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Wilbraham</w:t>
            </w:r>
          </w:p>
        </w:tc>
        <w:tc>
          <w:tcPr>
            <w:tcW w:w="1455" w:type="dxa"/>
            <w:noWrap/>
            <w:hideMark/>
          </w:tcPr>
          <w:p w14:paraId="435058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$21,204,969</w:t>
            </w:r>
          </w:p>
        </w:tc>
        <w:tc>
          <w:tcPr>
            <w:tcW w:w="1440" w:type="dxa"/>
            <w:noWrap/>
            <w:hideMark/>
          </w:tcPr>
          <w:p w14:paraId="7C581DB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w:t>
            </w:r>
          </w:p>
        </w:tc>
        <w:tc>
          <w:tcPr>
            <w:tcW w:w="1440" w:type="dxa"/>
            <w:noWrap/>
            <w:hideMark/>
          </w:tcPr>
          <w:p w14:paraId="5B7817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56.4%</w:t>
            </w:r>
          </w:p>
        </w:tc>
        <w:tc>
          <w:tcPr>
            <w:tcW w:w="1440" w:type="dxa"/>
            <w:noWrap/>
            <w:hideMark/>
          </w:tcPr>
          <w:p w14:paraId="29284BE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64.1%</w:t>
            </w:r>
          </w:p>
        </w:tc>
        <w:tc>
          <w:tcPr>
            <w:tcW w:w="1455" w:type="dxa"/>
            <w:noWrap/>
            <w:hideMark/>
          </w:tcPr>
          <w:p w14:paraId="09F4AE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$24,858,453</w:t>
            </w:r>
          </w:p>
        </w:tc>
        <w:tc>
          <w:tcPr>
            <w:tcW w:w="1440" w:type="dxa"/>
            <w:noWrap/>
            <w:hideMark/>
          </w:tcPr>
          <w:p w14:paraId="0AD4F08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c>
          <w:tcPr>
            <w:tcW w:w="1440" w:type="dxa"/>
            <w:noWrap/>
            <w:hideMark/>
          </w:tcPr>
          <w:p w14:paraId="261B5B5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c>
          <w:tcPr>
            <w:tcW w:w="1440" w:type="dxa"/>
            <w:noWrap/>
            <w:hideMark/>
          </w:tcPr>
          <w:p w14:paraId="028B96E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63.4%</w:t>
            </w:r>
          </w:p>
        </w:tc>
      </w:tr>
      <w:tr w:rsidR="006253A9" w:rsidRPr="006253A9" w14:paraId="435200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A49BFE"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0340</w:t>
            </w:r>
          </w:p>
        </w:tc>
        <w:tc>
          <w:tcPr>
            <w:tcW w:w="2880" w:type="dxa"/>
            <w:noWrap/>
            <w:hideMark/>
          </w:tcPr>
          <w:p w14:paraId="2601470D"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Williamsburg</w:t>
            </w:r>
          </w:p>
        </w:tc>
        <w:tc>
          <w:tcPr>
            <w:tcW w:w="1455" w:type="dxa"/>
            <w:noWrap/>
            <w:hideMark/>
          </w:tcPr>
          <w:p w14:paraId="1A0F87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$2,578,970</w:t>
            </w:r>
          </w:p>
        </w:tc>
        <w:tc>
          <w:tcPr>
            <w:tcW w:w="1440" w:type="dxa"/>
            <w:noWrap/>
            <w:hideMark/>
          </w:tcPr>
          <w:p w14:paraId="60C0BD4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60.3%</w:t>
            </w:r>
          </w:p>
        </w:tc>
        <w:tc>
          <w:tcPr>
            <w:tcW w:w="1440" w:type="dxa"/>
            <w:noWrap/>
            <w:hideMark/>
          </w:tcPr>
          <w:p w14:paraId="5D2B46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60.3%</w:t>
            </w:r>
          </w:p>
        </w:tc>
        <w:tc>
          <w:tcPr>
            <w:tcW w:w="1440" w:type="dxa"/>
            <w:noWrap/>
            <w:hideMark/>
          </w:tcPr>
          <w:p w14:paraId="604B150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83.7%</w:t>
            </w:r>
          </w:p>
        </w:tc>
        <w:tc>
          <w:tcPr>
            <w:tcW w:w="1455" w:type="dxa"/>
            <w:noWrap/>
            <w:hideMark/>
          </w:tcPr>
          <w:p w14:paraId="3B71BD7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$3,224,704</w:t>
            </w:r>
          </w:p>
        </w:tc>
        <w:tc>
          <w:tcPr>
            <w:tcW w:w="1440" w:type="dxa"/>
            <w:noWrap/>
            <w:hideMark/>
          </w:tcPr>
          <w:p w14:paraId="157DC8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w:t>
            </w:r>
          </w:p>
        </w:tc>
        <w:tc>
          <w:tcPr>
            <w:tcW w:w="1440" w:type="dxa"/>
            <w:noWrap/>
            <w:hideMark/>
          </w:tcPr>
          <w:p w14:paraId="158D73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w:t>
            </w:r>
          </w:p>
        </w:tc>
        <w:tc>
          <w:tcPr>
            <w:tcW w:w="1440" w:type="dxa"/>
            <w:noWrap/>
            <w:hideMark/>
          </w:tcPr>
          <w:p w14:paraId="6E941E0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65.0%</w:t>
            </w:r>
          </w:p>
        </w:tc>
      </w:tr>
      <w:tr w:rsidR="006253A9" w:rsidRPr="006253A9" w14:paraId="6506F85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E0E9E0"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0341</w:t>
            </w:r>
          </w:p>
        </w:tc>
        <w:tc>
          <w:tcPr>
            <w:tcW w:w="2880" w:type="dxa"/>
            <w:noWrap/>
            <w:hideMark/>
          </w:tcPr>
          <w:p w14:paraId="3E79008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Williamstown</w:t>
            </w:r>
          </w:p>
        </w:tc>
        <w:tc>
          <w:tcPr>
            <w:tcW w:w="1455" w:type="dxa"/>
            <w:noWrap/>
            <w:hideMark/>
          </w:tcPr>
          <w:p w14:paraId="43171A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$6,296,534</w:t>
            </w:r>
          </w:p>
        </w:tc>
        <w:tc>
          <w:tcPr>
            <w:tcW w:w="1440" w:type="dxa"/>
            <w:noWrap/>
            <w:hideMark/>
          </w:tcPr>
          <w:p w14:paraId="68676F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91.5%</w:t>
            </w:r>
          </w:p>
        </w:tc>
        <w:tc>
          <w:tcPr>
            <w:tcW w:w="1440" w:type="dxa"/>
            <w:noWrap/>
            <w:hideMark/>
          </w:tcPr>
          <w:p w14:paraId="633D0A4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37C0D87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100.3%</w:t>
            </w:r>
          </w:p>
        </w:tc>
        <w:tc>
          <w:tcPr>
            <w:tcW w:w="1455" w:type="dxa"/>
            <w:noWrap/>
            <w:hideMark/>
          </w:tcPr>
          <w:p w14:paraId="7C3DBC7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$8,043,346</w:t>
            </w:r>
          </w:p>
        </w:tc>
        <w:tc>
          <w:tcPr>
            <w:tcW w:w="1440" w:type="dxa"/>
            <w:noWrap/>
            <w:hideMark/>
          </w:tcPr>
          <w:p w14:paraId="67746D5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93.0%</w:t>
            </w:r>
          </w:p>
        </w:tc>
        <w:tc>
          <w:tcPr>
            <w:tcW w:w="1440" w:type="dxa"/>
            <w:noWrap/>
            <w:hideMark/>
          </w:tcPr>
          <w:p w14:paraId="78934DF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4623C34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79.9%</w:t>
            </w:r>
          </w:p>
        </w:tc>
      </w:tr>
      <w:tr w:rsidR="006253A9" w:rsidRPr="006253A9" w14:paraId="7AF47F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7713BDA"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0342</w:t>
            </w:r>
          </w:p>
        </w:tc>
        <w:tc>
          <w:tcPr>
            <w:tcW w:w="2880" w:type="dxa"/>
            <w:noWrap/>
            <w:hideMark/>
          </w:tcPr>
          <w:p w14:paraId="2E1200C6"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Wilmington</w:t>
            </w:r>
          </w:p>
        </w:tc>
        <w:tc>
          <w:tcPr>
            <w:tcW w:w="1455" w:type="dxa"/>
            <w:noWrap/>
            <w:hideMark/>
          </w:tcPr>
          <w:p w14:paraId="03B478F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$31,652,953</w:t>
            </w:r>
          </w:p>
        </w:tc>
        <w:tc>
          <w:tcPr>
            <w:tcW w:w="1440" w:type="dxa"/>
            <w:noWrap/>
            <w:hideMark/>
          </w:tcPr>
          <w:p w14:paraId="3D911E5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65.2%</w:t>
            </w:r>
          </w:p>
        </w:tc>
        <w:tc>
          <w:tcPr>
            <w:tcW w:w="1440" w:type="dxa"/>
            <w:noWrap/>
            <w:hideMark/>
          </w:tcPr>
          <w:p w14:paraId="03464A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65.2%</w:t>
            </w:r>
          </w:p>
        </w:tc>
        <w:tc>
          <w:tcPr>
            <w:tcW w:w="1440" w:type="dxa"/>
            <w:noWrap/>
            <w:hideMark/>
          </w:tcPr>
          <w:p w14:paraId="3A9B2DC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84.0%</w:t>
            </w:r>
          </w:p>
        </w:tc>
        <w:tc>
          <w:tcPr>
            <w:tcW w:w="1455" w:type="dxa"/>
            <w:noWrap/>
            <w:hideMark/>
          </w:tcPr>
          <w:p w14:paraId="6E37EB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$39,078,745</w:t>
            </w:r>
          </w:p>
        </w:tc>
        <w:tc>
          <w:tcPr>
            <w:tcW w:w="1440" w:type="dxa"/>
            <w:noWrap/>
            <w:hideMark/>
          </w:tcPr>
          <w:p w14:paraId="724FDE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80.0%</w:t>
            </w:r>
          </w:p>
        </w:tc>
        <w:tc>
          <w:tcPr>
            <w:tcW w:w="1440" w:type="dxa"/>
            <w:noWrap/>
            <w:hideMark/>
          </w:tcPr>
          <w:p w14:paraId="7D13468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80.0%</w:t>
            </w:r>
          </w:p>
        </w:tc>
        <w:tc>
          <w:tcPr>
            <w:tcW w:w="1440" w:type="dxa"/>
            <w:noWrap/>
            <w:hideMark/>
          </w:tcPr>
          <w:p w14:paraId="67852BF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78.3%</w:t>
            </w:r>
          </w:p>
        </w:tc>
      </w:tr>
      <w:tr w:rsidR="006253A9" w:rsidRPr="006253A9" w14:paraId="3037F4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0DA390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0343</w:t>
            </w:r>
          </w:p>
        </w:tc>
        <w:tc>
          <w:tcPr>
            <w:tcW w:w="2880" w:type="dxa"/>
            <w:noWrap/>
            <w:hideMark/>
          </w:tcPr>
          <w:p w14:paraId="1ECA58D9"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Winchendon</w:t>
            </w:r>
          </w:p>
        </w:tc>
        <w:tc>
          <w:tcPr>
            <w:tcW w:w="1455" w:type="dxa"/>
            <w:noWrap/>
            <w:hideMark/>
          </w:tcPr>
          <w:p w14:paraId="53BF431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$16,263,884</w:t>
            </w:r>
          </w:p>
        </w:tc>
        <w:tc>
          <w:tcPr>
            <w:tcW w:w="1440" w:type="dxa"/>
            <w:noWrap/>
            <w:hideMark/>
          </w:tcPr>
          <w:p w14:paraId="6B7E97E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28.9%</w:t>
            </w:r>
          </w:p>
        </w:tc>
        <w:tc>
          <w:tcPr>
            <w:tcW w:w="1440" w:type="dxa"/>
            <w:noWrap/>
            <w:hideMark/>
          </w:tcPr>
          <w:p w14:paraId="7296A07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28.9%</w:t>
            </w:r>
          </w:p>
        </w:tc>
        <w:tc>
          <w:tcPr>
            <w:tcW w:w="1440" w:type="dxa"/>
            <w:noWrap/>
            <w:hideMark/>
          </w:tcPr>
          <w:p w14:paraId="1796880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29.1%</w:t>
            </w:r>
          </w:p>
        </w:tc>
        <w:tc>
          <w:tcPr>
            <w:tcW w:w="1455" w:type="dxa"/>
            <w:noWrap/>
            <w:hideMark/>
          </w:tcPr>
          <w:p w14:paraId="04EDB1E4"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$18,359,121</w:t>
            </w:r>
          </w:p>
        </w:tc>
        <w:tc>
          <w:tcPr>
            <w:tcW w:w="1440" w:type="dxa"/>
            <w:noWrap/>
            <w:hideMark/>
          </w:tcPr>
          <w:p w14:paraId="2DCE2B8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32.2%</w:t>
            </w:r>
          </w:p>
        </w:tc>
        <w:tc>
          <w:tcPr>
            <w:tcW w:w="1440" w:type="dxa"/>
            <w:noWrap/>
            <w:hideMark/>
          </w:tcPr>
          <w:p w14:paraId="5968C09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32.2%</w:t>
            </w:r>
          </w:p>
        </w:tc>
        <w:tc>
          <w:tcPr>
            <w:tcW w:w="1440" w:type="dxa"/>
            <w:noWrap/>
            <w:hideMark/>
          </w:tcPr>
          <w:p w14:paraId="22B260C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31.8%</w:t>
            </w:r>
          </w:p>
        </w:tc>
      </w:tr>
      <w:tr w:rsidR="006253A9" w:rsidRPr="006253A9" w14:paraId="1A63CF1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B4917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0344</w:t>
            </w:r>
          </w:p>
        </w:tc>
        <w:tc>
          <w:tcPr>
            <w:tcW w:w="2880" w:type="dxa"/>
            <w:noWrap/>
            <w:hideMark/>
          </w:tcPr>
          <w:p w14:paraId="433E1CEF"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Winchester</w:t>
            </w:r>
          </w:p>
        </w:tc>
        <w:tc>
          <w:tcPr>
            <w:tcW w:w="1455" w:type="dxa"/>
            <w:noWrap/>
            <w:hideMark/>
          </w:tcPr>
          <w:p w14:paraId="40E8E36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$27,778,073</w:t>
            </w:r>
          </w:p>
        </w:tc>
        <w:tc>
          <w:tcPr>
            <w:tcW w:w="1440" w:type="dxa"/>
            <w:noWrap/>
            <w:hideMark/>
          </w:tcPr>
          <w:p w14:paraId="4168B37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134.2%</w:t>
            </w:r>
          </w:p>
        </w:tc>
        <w:tc>
          <w:tcPr>
            <w:tcW w:w="1440" w:type="dxa"/>
            <w:noWrap/>
            <w:hideMark/>
          </w:tcPr>
          <w:p w14:paraId="68B8EBC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19397F6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91.6%</w:t>
            </w:r>
          </w:p>
        </w:tc>
        <w:tc>
          <w:tcPr>
            <w:tcW w:w="1455" w:type="dxa"/>
            <w:noWrap/>
            <w:hideMark/>
          </w:tcPr>
          <w:p w14:paraId="4DD8FA3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$48,369,832</w:t>
            </w:r>
          </w:p>
        </w:tc>
        <w:tc>
          <w:tcPr>
            <w:tcW w:w="1440" w:type="dxa"/>
            <w:noWrap/>
            <w:hideMark/>
          </w:tcPr>
          <w:p w14:paraId="1803F67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124.9%</w:t>
            </w:r>
          </w:p>
        </w:tc>
        <w:tc>
          <w:tcPr>
            <w:tcW w:w="1440" w:type="dxa"/>
            <w:noWrap/>
            <w:hideMark/>
          </w:tcPr>
          <w:p w14:paraId="6B13B91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EB11447"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80.5%</w:t>
            </w:r>
          </w:p>
        </w:tc>
      </w:tr>
      <w:tr w:rsidR="006253A9" w:rsidRPr="006253A9" w14:paraId="2098A6C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0D9E53"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0345</w:t>
            </w:r>
          </w:p>
        </w:tc>
        <w:tc>
          <w:tcPr>
            <w:tcW w:w="2880" w:type="dxa"/>
            <w:noWrap/>
            <w:hideMark/>
          </w:tcPr>
          <w:p w14:paraId="5F7F8342"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Windsor</w:t>
            </w:r>
          </w:p>
        </w:tc>
        <w:tc>
          <w:tcPr>
            <w:tcW w:w="1455" w:type="dxa"/>
            <w:noWrap/>
            <w:hideMark/>
          </w:tcPr>
          <w:p w14:paraId="39DB622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$1,080,953</w:t>
            </w:r>
          </w:p>
        </w:tc>
        <w:tc>
          <w:tcPr>
            <w:tcW w:w="1440" w:type="dxa"/>
            <w:noWrap/>
            <w:hideMark/>
          </w:tcPr>
          <w:p w14:paraId="3051679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49.6%</w:t>
            </w:r>
          </w:p>
        </w:tc>
        <w:tc>
          <w:tcPr>
            <w:tcW w:w="1440" w:type="dxa"/>
            <w:noWrap/>
            <w:hideMark/>
          </w:tcPr>
          <w:p w14:paraId="3DFF8AC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49.6%</w:t>
            </w:r>
          </w:p>
        </w:tc>
        <w:tc>
          <w:tcPr>
            <w:tcW w:w="1440" w:type="dxa"/>
            <w:noWrap/>
            <w:hideMark/>
          </w:tcPr>
          <w:p w14:paraId="0F7CEC3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62.4%</w:t>
            </w:r>
          </w:p>
        </w:tc>
        <w:tc>
          <w:tcPr>
            <w:tcW w:w="1455" w:type="dxa"/>
            <w:noWrap/>
            <w:hideMark/>
          </w:tcPr>
          <w:p w14:paraId="467E92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$843,469</w:t>
            </w:r>
          </w:p>
        </w:tc>
        <w:tc>
          <w:tcPr>
            <w:tcW w:w="1440" w:type="dxa"/>
            <w:noWrap/>
            <w:hideMark/>
          </w:tcPr>
          <w:p w14:paraId="00BDC22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99.5%</w:t>
            </w:r>
          </w:p>
        </w:tc>
        <w:tc>
          <w:tcPr>
            <w:tcW w:w="1440" w:type="dxa"/>
            <w:noWrap/>
            <w:hideMark/>
          </w:tcPr>
          <w:p w14:paraId="0ACCF8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4634D4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23D55D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B42D37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0346</w:t>
            </w:r>
          </w:p>
        </w:tc>
        <w:tc>
          <w:tcPr>
            <w:tcW w:w="2880" w:type="dxa"/>
            <w:noWrap/>
            <w:hideMark/>
          </w:tcPr>
          <w:p w14:paraId="6DB77EC1"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Winthrop</w:t>
            </w:r>
          </w:p>
        </w:tc>
        <w:tc>
          <w:tcPr>
            <w:tcW w:w="1455" w:type="dxa"/>
            <w:noWrap/>
            <w:hideMark/>
          </w:tcPr>
          <w:p w14:paraId="33869BF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$15,764,545</w:t>
            </w:r>
          </w:p>
        </w:tc>
        <w:tc>
          <w:tcPr>
            <w:tcW w:w="1440" w:type="dxa"/>
            <w:noWrap/>
            <w:hideMark/>
          </w:tcPr>
          <w:p w14:paraId="4E1B05B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c>
          <w:tcPr>
            <w:tcW w:w="1440" w:type="dxa"/>
            <w:noWrap/>
            <w:hideMark/>
          </w:tcPr>
          <w:p w14:paraId="7DB6F7E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80.3%</w:t>
            </w:r>
          </w:p>
        </w:tc>
        <w:tc>
          <w:tcPr>
            <w:tcW w:w="1440" w:type="dxa"/>
            <w:noWrap/>
            <w:hideMark/>
          </w:tcPr>
          <w:p w14:paraId="6F520CA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70.6%</w:t>
            </w:r>
          </w:p>
        </w:tc>
        <w:tc>
          <w:tcPr>
            <w:tcW w:w="1455" w:type="dxa"/>
            <w:noWrap/>
            <w:hideMark/>
          </w:tcPr>
          <w:p w14:paraId="39BC162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$24,154,768</w:t>
            </w:r>
          </w:p>
        </w:tc>
        <w:tc>
          <w:tcPr>
            <w:tcW w:w="1440" w:type="dxa"/>
            <w:noWrap/>
            <w:hideMark/>
          </w:tcPr>
          <w:p w14:paraId="7FAA5B2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71.6%</w:t>
            </w:r>
          </w:p>
        </w:tc>
        <w:tc>
          <w:tcPr>
            <w:tcW w:w="1440" w:type="dxa"/>
            <w:noWrap/>
            <w:hideMark/>
          </w:tcPr>
          <w:p w14:paraId="457920C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71.6%</w:t>
            </w:r>
          </w:p>
        </w:tc>
        <w:tc>
          <w:tcPr>
            <w:tcW w:w="1440" w:type="dxa"/>
            <w:noWrap/>
            <w:hideMark/>
          </w:tcPr>
          <w:p w14:paraId="52EBFC5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68.6%</w:t>
            </w:r>
          </w:p>
        </w:tc>
      </w:tr>
      <w:tr w:rsidR="006253A9" w:rsidRPr="006253A9" w14:paraId="060DFA2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134C69"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0347</w:t>
            </w:r>
          </w:p>
        </w:tc>
        <w:tc>
          <w:tcPr>
            <w:tcW w:w="2880" w:type="dxa"/>
            <w:noWrap/>
            <w:hideMark/>
          </w:tcPr>
          <w:p w14:paraId="6D67252B"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Woburn</w:t>
            </w:r>
          </w:p>
        </w:tc>
        <w:tc>
          <w:tcPr>
            <w:tcW w:w="1455" w:type="dxa"/>
            <w:noWrap/>
            <w:hideMark/>
          </w:tcPr>
          <w:p w14:paraId="2909D85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$38,631,278</w:t>
            </w:r>
          </w:p>
        </w:tc>
        <w:tc>
          <w:tcPr>
            <w:tcW w:w="1440" w:type="dxa"/>
            <w:noWrap/>
            <w:hideMark/>
          </w:tcPr>
          <w:p w14:paraId="79BD1C8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88.2%</w:t>
            </w:r>
          </w:p>
        </w:tc>
        <w:tc>
          <w:tcPr>
            <w:tcW w:w="1440" w:type="dxa"/>
            <w:noWrap/>
            <w:hideMark/>
          </w:tcPr>
          <w:p w14:paraId="66FB62B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5070F6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102.1%</w:t>
            </w:r>
          </w:p>
        </w:tc>
        <w:tc>
          <w:tcPr>
            <w:tcW w:w="1455" w:type="dxa"/>
            <w:noWrap/>
            <w:hideMark/>
          </w:tcPr>
          <w:p w14:paraId="0AE5AA3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$55,757,272</w:t>
            </w:r>
          </w:p>
        </w:tc>
        <w:tc>
          <w:tcPr>
            <w:tcW w:w="1440" w:type="dxa"/>
            <w:noWrap/>
            <w:hideMark/>
          </w:tcPr>
          <w:p w14:paraId="27C0FA9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91.9%</w:t>
            </w:r>
          </w:p>
        </w:tc>
        <w:tc>
          <w:tcPr>
            <w:tcW w:w="1440" w:type="dxa"/>
            <w:noWrap/>
            <w:hideMark/>
          </w:tcPr>
          <w:p w14:paraId="315A6C8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502C35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4440F2A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142F167"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0348</w:t>
            </w:r>
          </w:p>
        </w:tc>
        <w:tc>
          <w:tcPr>
            <w:tcW w:w="2880" w:type="dxa"/>
            <w:noWrap/>
            <w:hideMark/>
          </w:tcPr>
          <w:p w14:paraId="6033D595"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Worcester</w:t>
            </w:r>
          </w:p>
        </w:tc>
        <w:tc>
          <w:tcPr>
            <w:tcW w:w="1455" w:type="dxa"/>
            <w:noWrap/>
            <w:hideMark/>
          </w:tcPr>
          <w:p w14:paraId="3F9594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$242,782,324</w:t>
            </w:r>
          </w:p>
        </w:tc>
        <w:tc>
          <w:tcPr>
            <w:tcW w:w="1440" w:type="dxa"/>
            <w:noWrap/>
            <w:hideMark/>
          </w:tcPr>
          <w:p w14:paraId="687AC7A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32.7%</w:t>
            </w:r>
          </w:p>
        </w:tc>
        <w:tc>
          <w:tcPr>
            <w:tcW w:w="1440" w:type="dxa"/>
            <w:noWrap/>
            <w:hideMark/>
          </w:tcPr>
          <w:p w14:paraId="494B291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32.7%</w:t>
            </w:r>
          </w:p>
        </w:tc>
        <w:tc>
          <w:tcPr>
            <w:tcW w:w="1440" w:type="dxa"/>
            <w:noWrap/>
            <w:hideMark/>
          </w:tcPr>
          <w:p w14:paraId="6373364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31.8%</w:t>
            </w:r>
          </w:p>
        </w:tc>
        <w:tc>
          <w:tcPr>
            <w:tcW w:w="1455" w:type="dxa"/>
            <w:noWrap/>
            <w:hideMark/>
          </w:tcPr>
          <w:p w14:paraId="55F56DF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$379,530,589</w:t>
            </w:r>
          </w:p>
        </w:tc>
        <w:tc>
          <w:tcPr>
            <w:tcW w:w="1440" w:type="dxa"/>
            <w:noWrap/>
            <w:hideMark/>
          </w:tcPr>
          <w:p w14:paraId="4387D34D"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27.8%</w:t>
            </w:r>
          </w:p>
        </w:tc>
        <w:tc>
          <w:tcPr>
            <w:tcW w:w="1440" w:type="dxa"/>
            <w:noWrap/>
            <w:hideMark/>
          </w:tcPr>
          <w:p w14:paraId="4CC20A8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27.8%</w:t>
            </w:r>
          </w:p>
        </w:tc>
        <w:tc>
          <w:tcPr>
            <w:tcW w:w="1440" w:type="dxa"/>
            <w:noWrap/>
            <w:hideMark/>
          </w:tcPr>
          <w:p w14:paraId="4B1A1FC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27.4%</w:t>
            </w:r>
          </w:p>
        </w:tc>
      </w:tr>
      <w:tr w:rsidR="006253A9" w:rsidRPr="006253A9" w14:paraId="7619E26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AA8B0DB"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0349</w:t>
            </w:r>
          </w:p>
        </w:tc>
        <w:tc>
          <w:tcPr>
            <w:tcW w:w="2880" w:type="dxa"/>
            <w:noWrap/>
            <w:hideMark/>
          </w:tcPr>
          <w:p w14:paraId="0495750A"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Worthington</w:t>
            </w:r>
          </w:p>
        </w:tc>
        <w:tc>
          <w:tcPr>
            <w:tcW w:w="1455" w:type="dxa"/>
            <w:noWrap/>
            <w:hideMark/>
          </w:tcPr>
          <w:p w14:paraId="74B7ABF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$1,403,666</w:t>
            </w:r>
          </w:p>
        </w:tc>
        <w:tc>
          <w:tcPr>
            <w:tcW w:w="1440" w:type="dxa"/>
            <w:noWrap/>
            <w:hideMark/>
          </w:tcPr>
          <w:p w14:paraId="454C15F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40" w:type="dxa"/>
            <w:noWrap/>
            <w:hideMark/>
          </w:tcPr>
          <w:p w14:paraId="12F28CD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59.2%</w:t>
            </w:r>
          </w:p>
        </w:tc>
        <w:tc>
          <w:tcPr>
            <w:tcW w:w="1440" w:type="dxa"/>
            <w:noWrap/>
            <w:hideMark/>
          </w:tcPr>
          <w:p w14:paraId="7E1259E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77.9%</w:t>
            </w:r>
          </w:p>
        </w:tc>
        <w:tc>
          <w:tcPr>
            <w:tcW w:w="1455" w:type="dxa"/>
            <w:noWrap/>
            <w:hideMark/>
          </w:tcPr>
          <w:p w14:paraId="2110543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$1,201,025</w:t>
            </w:r>
          </w:p>
        </w:tc>
        <w:tc>
          <w:tcPr>
            <w:tcW w:w="1440" w:type="dxa"/>
            <w:noWrap/>
            <w:hideMark/>
          </w:tcPr>
          <w:p w14:paraId="0A7C1668"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90.5%</w:t>
            </w:r>
          </w:p>
        </w:tc>
        <w:tc>
          <w:tcPr>
            <w:tcW w:w="1440" w:type="dxa"/>
            <w:noWrap/>
            <w:hideMark/>
          </w:tcPr>
          <w:p w14:paraId="55744562"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6896A3E1"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80.7%</w:t>
            </w:r>
          </w:p>
        </w:tc>
      </w:tr>
      <w:tr w:rsidR="006253A9" w:rsidRPr="006253A9" w14:paraId="1302CFB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A105AD2"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0350</w:t>
            </w:r>
          </w:p>
        </w:tc>
        <w:tc>
          <w:tcPr>
            <w:tcW w:w="2880" w:type="dxa"/>
            <w:noWrap/>
            <w:hideMark/>
          </w:tcPr>
          <w:p w14:paraId="4079016E"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Wrentham</w:t>
            </w:r>
          </w:p>
        </w:tc>
        <w:tc>
          <w:tcPr>
            <w:tcW w:w="1455" w:type="dxa"/>
            <w:noWrap/>
            <w:hideMark/>
          </w:tcPr>
          <w:p w14:paraId="7D38BC5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$15,916,693</w:t>
            </w:r>
          </w:p>
        </w:tc>
        <w:tc>
          <w:tcPr>
            <w:tcW w:w="1440" w:type="dxa"/>
            <w:noWrap/>
            <w:hideMark/>
          </w:tcPr>
          <w:p w14:paraId="049D43B9"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68.5%</w:t>
            </w:r>
          </w:p>
        </w:tc>
        <w:tc>
          <w:tcPr>
            <w:tcW w:w="1440" w:type="dxa"/>
            <w:noWrap/>
            <w:hideMark/>
          </w:tcPr>
          <w:p w14:paraId="203BD10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68.5%</w:t>
            </w:r>
          </w:p>
        </w:tc>
        <w:tc>
          <w:tcPr>
            <w:tcW w:w="1440" w:type="dxa"/>
            <w:noWrap/>
            <w:hideMark/>
          </w:tcPr>
          <w:p w14:paraId="31CE8B3A"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57.3%</w:t>
            </w:r>
          </w:p>
        </w:tc>
        <w:tc>
          <w:tcPr>
            <w:tcW w:w="1455" w:type="dxa"/>
            <w:noWrap/>
            <w:hideMark/>
          </w:tcPr>
          <w:p w14:paraId="5BC004D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$19,205,843</w:t>
            </w:r>
          </w:p>
        </w:tc>
        <w:tc>
          <w:tcPr>
            <w:tcW w:w="1440" w:type="dxa"/>
            <w:noWrap/>
            <w:hideMark/>
          </w:tcPr>
          <w:p w14:paraId="70858A1C"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89.6%</w:t>
            </w:r>
          </w:p>
        </w:tc>
        <w:tc>
          <w:tcPr>
            <w:tcW w:w="1440" w:type="dxa"/>
            <w:noWrap/>
            <w:hideMark/>
          </w:tcPr>
          <w:p w14:paraId="4E10394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5F712770"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r>
      <w:tr w:rsidR="006253A9" w:rsidRPr="006253A9" w14:paraId="2525DEF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E6E1F6" w14:textId="77777777" w:rsidR="006253A9" w:rsidRPr="006253A9" w:rsidRDefault="006253A9" w:rsidP="006253A9">
            <w:pPr>
              <w:rPr>
                <w:rFonts w:ascii="Calibri" w:hAnsi="Calibri" w:cs="Calibri"/>
                <w:color w:val="000000"/>
                <w:sz w:val="22"/>
                <w:szCs w:val="22"/>
              </w:rPr>
            </w:pPr>
            <w:r w:rsidRPr="006253A9">
              <w:rPr>
                <w:rFonts w:ascii="Calibri" w:hAnsi="Calibri" w:cs="Calibri"/>
                <w:color w:val="000000"/>
                <w:sz w:val="22"/>
                <w:szCs w:val="22"/>
              </w:rPr>
              <w:t>0351</w:t>
            </w:r>
          </w:p>
        </w:tc>
        <w:tc>
          <w:tcPr>
            <w:tcW w:w="2880" w:type="dxa"/>
            <w:noWrap/>
            <w:hideMark/>
          </w:tcPr>
          <w:p w14:paraId="4D7795B3" w14:textId="77777777" w:rsidR="006253A9" w:rsidRPr="006253A9" w:rsidRDefault="006253A9"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Yarmouth</w:t>
            </w:r>
          </w:p>
        </w:tc>
        <w:tc>
          <w:tcPr>
            <w:tcW w:w="1455" w:type="dxa"/>
            <w:noWrap/>
            <w:hideMark/>
          </w:tcPr>
          <w:p w14:paraId="7FB6CD43"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$22,033,681</w:t>
            </w:r>
          </w:p>
        </w:tc>
        <w:tc>
          <w:tcPr>
            <w:tcW w:w="1440" w:type="dxa"/>
            <w:noWrap/>
            <w:hideMark/>
          </w:tcPr>
          <w:p w14:paraId="22ED905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123.1%</w:t>
            </w:r>
          </w:p>
        </w:tc>
        <w:tc>
          <w:tcPr>
            <w:tcW w:w="1440" w:type="dxa"/>
            <w:noWrap/>
            <w:hideMark/>
          </w:tcPr>
          <w:p w14:paraId="0EC7C735"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2131EF0F"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79.6%</w:t>
            </w:r>
          </w:p>
        </w:tc>
        <w:tc>
          <w:tcPr>
            <w:tcW w:w="1455" w:type="dxa"/>
            <w:noWrap/>
            <w:hideMark/>
          </w:tcPr>
          <w:p w14:paraId="13ACCBC6"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$29,636,812</w:t>
            </w:r>
          </w:p>
        </w:tc>
        <w:tc>
          <w:tcPr>
            <w:tcW w:w="1440" w:type="dxa"/>
            <w:noWrap/>
            <w:hideMark/>
          </w:tcPr>
          <w:p w14:paraId="67121CA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110.7%</w:t>
            </w:r>
          </w:p>
        </w:tc>
        <w:tc>
          <w:tcPr>
            <w:tcW w:w="1440" w:type="dxa"/>
            <w:noWrap/>
            <w:hideMark/>
          </w:tcPr>
          <w:p w14:paraId="3CE3306E"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82.5%</w:t>
            </w:r>
          </w:p>
        </w:tc>
        <w:tc>
          <w:tcPr>
            <w:tcW w:w="1440" w:type="dxa"/>
            <w:noWrap/>
            <w:hideMark/>
          </w:tcPr>
          <w:p w14:paraId="72C5B10B" w14:textId="77777777" w:rsidR="006253A9" w:rsidRPr="006253A9" w:rsidRDefault="006253A9" w:rsidP="006253A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79.8%</w:t>
            </w:r>
          </w:p>
        </w:tc>
      </w:tr>
    </w:tbl>
    <w:p w14:paraId="687A5B06" w14:textId="77777777" w:rsidR="002C37D0" w:rsidRDefault="002C37D0" w:rsidP="002C37D0"/>
    <w:p w14:paraId="3902E4E6" w14:textId="77777777" w:rsidR="002C37D0" w:rsidRDefault="002C37D0" w:rsidP="002C37D0"/>
    <w:p w14:paraId="3F141EBA" w14:textId="77777777" w:rsidR="002C37D0" w:rsidRDefault="002C37D0" w:rsidP="002C37D0"/>
    <w:p w14:paraId="3EDCCE42" w14:textId="77777777" w:rsidR="00D37043" w:rsidRDefault="00D37043" w:rsidP="002C37D0">
      <w:pPr>
        <w:keepNext/>
        <w:spacing w:before="280" w:after="120"/>
        <w:outlineLvl w:val="0"/>
        <w:rPr>
          <w:rFonts w:ascii="Arial" w:hAnsi="Arial" w:cs="Arial"/>
          <w:b/>
          <w:bCs/>
          <w:kern w:val="32"/>
          <w:sz w:val="32"/>
          <w:szCs w:val="32"/>
          <w:lang w:bidi="en-US"/>
        </w:rPr>
      </w:pPr>
      <w:r>
        <w:rPr>
          <w:rFonts w:ascii="Arial" w:hAnsi="Arial" w:cs="Arial"/>
          <w:b/>
          <w:bCs/>
          <w:kern w:val="32"/>
          <w:sz w:val="32"/>
          <w:szCs w:val="32"/>
          <w:lang w:bidi="en-US"/>
        </w:rPr>
        <w:br w:type="page"/>
      </w:r>
    </w:p>
    <w:p w14:paraId="01EB90E1" w14:textId="43CCE9B4" w:rsidR="002C37D0" w:rsidRPr="00411156" w:rsidRDefault="002C37D0" w:rsidP="002C37D0">
      <w:pPr>
        <w:keepNext/>
        <w:spacing w:before="280" w:after="120"/>
        <w:outlineLvl w:val="0"/>
        <w:rPr>
          <w:rFonts w:ascii="Arial" w:hAnsi="Arial" w:cs="Arial"/>
          <w:b/>
          <w:bCs/>
          <w:kern w:val="32"/>
          <w:sz w:val="32"/>
          <w:szCs w:val="32"/>
          <w:lang w:bidi="en-US"/>
        </w:rPr>
      </w:pPr>
      <w:bookmarkStart w:id="35" w:name="_Toc57725137"/>
      <w:r w:rsidRPr="00411156">
        <w:rPr>
          <w:rFonts w:ascii="Arial" w:hAnsi="Arial" w:cs="Arial"/>
          <w:b/>
          <w:bCs/>
          <w:kern w:val="32"/>
          <w:sz w:val="32"/>
          <w:szCs w:val="32"/>
          <w:lang w:bidi="en-US"/>
        </w:rPr>
        <w:lastRenderedPageBreak/>
        <w:t>Appendix</w:t>
      </w:r>
      <w:r>
        <w:rPr>
          <w:rFonts w:ascii="Arial" w:hAnsi="Arial" w:cs="Arial"/>
          <w:b/>
          <w:bCs/>
          <w:kern w:val="32"/>
          <w:sz w:val="32"/>
          <w:szCs w:val="32"/>
          <w:lang w:bidi="en-US"/>
        </w:rPr>
        <w:t xml:space="preserve"> </w:t>
      </w:r>
      <w:r w:rsidR="00CC7AA1">
        <w:rPr>
          <w:rFonts w:ascii="Arial" w:hAnsi="Arial" w:cs="Arial"/>
          <w:b/>
          <w:bCs/>
          <w:kern w:val="32"/>
          <w:sz w:val="32"/>
          <w:szCs w:val="32"/>
          <w:lang w:bidi="en-US"/>
        </w:rPr>
        <w:t>B</w:t>
      </w:r>
      <w:r>
        <w:rPr>
          <w:rFonts w:ascii="Arial" w:hAnsi="Arial" w:cs="Arial"/>
          <w:b/>
          <w:bCs/>
          <w:kern w:val="32"/>
          <w:sz w:val="32"/>
          <w:szCs w:val="32"/>
          <w:lang w:bidi="en-US"/>
        </w:rPr>
        <w:t xml:space="preserve">: </w:t>
      </w:r>
      <w:r w:rsidRPr="001D1F97">
        <w:rPr>
          <w:rFonts w:ascii="Arial" w:hAnsi="Arial" w:cs="Arial"/>
          <w:b/>
          <w:bCs/>
          <w:kern w:val="32"/>
          <w:sz w:val="32"/>
          <w:szCs w:val="32"/>
          <w:lang w:bidi="en-US"/>
        </w:rPr>
        <w:t>Municipal general fund spending on education compared to total municipal spending</w:t>
      </w:r>
      <w:bookmarkEnd w:id="35"/>
    </w:p>
    <w:p w14:paraId="0E71FAEE" w14:textId="77777777" w:rsidR="00116470" w:rsidRPr="00411156" w:rsidRDefault="00116470" w:rsidP="002C37D0">
      <w:pPr>
        <w:rPr>
          <w:lang w:bidi="en-US"/>
        </w:rPr>
      </w:pPr>
    </w:p>
    <w:tbl>
      <w:tblPr>
        <w:tblStyle w:val="ESETablesGridStyle"/>
        <w:tblW w:w="12326" w:type="dxa"/>
        <w:tblLook w:val="04A0" w:firstRow="1" w:lastRow="0" w:firstColumn="1" w:lastColumn="0" w:noHBand="0" w:noVBand="1"/>
      </w:tblPr>
      <w:tblGrid>
        <w:gridCol w:w="677"/>
        <w:gridCol w:w="2880"/>
        <w:gridCol w:w="1479"/>
        <w:gridCol w:w="1440"/>
        <w:gridCol w:w="1530"/>
        <w:gridCol w:w="1440"/>
        <w:gridCol w:w="1440"/>
        <w:gridCol w:w="1440"/>
      </w:tblGrid>
      <w:tr w:rsidR="00867670" w:rsidRPr="006253A9" w14:paraId="5C991018" w14:textId="77777777" w:rsidTr="00867670">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77" w:type="dxa"/>
            <w:vMerge w:val="restart"/>
            <w:noWrap/>
          </w:tcPr>
          <w:p w14:paraId="647C1572" w14:textId="741A22E6" w:rsidR="00867670" w:rsidRPr="00991713" w:rsidRDefault="00867670" w:rsidP="0022659D">
            <w:pPr>
              <w:rPr>
                <w:rFonts w:ascii="Calibri" w:hAnsi="Calibri" w:cs="Calibri"/>
                <w:b w:val="0"/>
                <w:color w:val="000000"/>
                <w:sz w:val="22"/>
                <w:szCs w:val="22"/>
              </w:rPr>
            </w:pPr>
            <w:r w:rsidRPr="00037A73">
              <w:rPr>
                <w:rFonts w:ascii="Calibri" w:hAnsi="Calibri" w:cs="Calibri"/>
                <w:color w:val="000000"/>
                <w:sz w:val="22"/>
                <w:szCs w:val="22"/>
              </w:rPr>
              <w:t>LEA</w:t>
            </w:r>
          </w:p>
        </w:tc>
        <w:tc>
          <w:tcPr>
            <w:tcW w:w="2880" w:type="dxa"/>
            <w:vMerge w:val="restart"/>
            <w:noWrap/>
          </w:tcPr>
          <w:p w14:paraId="074FAC0E" w14:textId="5774B168" w:rsidR="00867670" w:rsidRPr="00991713"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sidRPr="00037A73">
              <w:rPr>
                <w:rFonts w:ascii="Calibri" w:hAnsi="Calibri" w:cs="Calibri"/>
                <w:color w:val="000000"/>
                <w:sz w:val="22"/>
                <w:szCs w:val="22"/>
              </w:rPr>
              <w:t>City/town</w:t>
            </w:r>
          </w:p>
        </w:tc>
        <w:tc>
          <w:tcPr>
            <w:tcW w:w="4449" w:type="dxa"/>
            <w:gridSpan w:val="3"/>
            <w:tcBorders>
              <w:bottom w:val="single" w:sz="4" w:space="0" w:color="auto"/>
            </w:tcBorders>
            <w:noWrap/>
          </w:tcPr>
          <w:p w14:paraId="16884F4F" w14:textId="77777777" w:rsidR="00867670" w:rsidRDefault="00867670" w:rsidP="008D0212">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Pr>
                <w:rFonts w:ascii="Calibri" w:hAnsi="Calibri" w:cs="Calibri"/>
                <w:color w:val="000000"/>
                <w:sz w:val="22"/>
                <w:szCs w:val="22"/>
              </w:rPr>
              <w:t>FY07</w:t>
            </w:r>
          </w:p>
        </w:tc>
        <w:tc>
          <w:tcPr>
            <w:tcW w:w="4320" w:type="dxa"/>
            <w:gridSpan w:val="3"/>
            <w:tcBorders>
              <w:bottom w:val="single" w:sz="4" w:space="0" w:color="auto"/>
            </w:tcBorders>
            <w:noWrap/>
          </w:tcPr>
          <w:p w14:paraId="06574259" w14:textId="23E6D5AA" w:rsidR="00867670" w:rsidRDefault="00867670" w:rsidP="008D0212">
            <w:pP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Pr>
                <w:rFonts w:ascii="Calibri" w:hAnsi="Calibri" w:cs="Calibri"/>
                <w:color w:val="000000"/>
                <w:sz w:val="22"/>
                <w:szCs w:val="22"/>
              </w:rPr>
              <w:t>FY19</w:t>
            </w:r>
          </w:p>
        </w:tc>
      </w:tr>
      <w:tr w:rsidR="00867670" w:rsidRPr="006253A9" w14:paraId="702179D5" w14:textId="77777777" w:rsidTr="00867670">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77" w:type="dxa"/>
            <w:vMerge/>
            <w:noWrap/>
            <w:hideMark/>
          </w:tcPr>
          <w:p w14:paraId="770B58A9" w14:textId="77222E02" w:rsidR="00867670" w:rsidRPr="00037A73" w:rsidRDefault="00867670" w:rsidP="0022659D">
            <w:pPr>
              <w:rPr>
                <w:rFonts w:ascii="Calibri" w:hAnsi="Calibri" w:cs="Calibri"/>
                <w:color w:val="000000"/>
                <w:sz w:val="22"/>
                <w:szCs w:val="22"/>
              </w:rPr>
            </w:pPr>
          </w:p>
        </w:tc>
        <w:tc>
          <w:tcPr>
            <w:tcW w:w="2880" w:type="dxa"/>
            <w:vMerge/>
            <w:noWrap/>
            <w:hideMark/>
          </w:tcPr>
          <w:p w14:paraId="09553379" w14:textId="4ACCE9AF" w:rsidR="00867670" w:rsidRPr="00037A73"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1479" w:type="dxa"/>
            <w:tcBorders>
              <w:top w:val="single" w:sz="4" w:space="0" w:color="auto"/>
            </w:tcBorders>
            <w:noWrap/>
          </w:tcPr>
          <w:p w14:paraId="24A467F9" w14:textId="7C96201E" w:rsidR="00867670" w:rsidRPr="00F420CD"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Education Spending </w:t>
            </w:r>
            <w:r>
              <w:rPr>
                <w:rFonts w:ascii="Calibri" w:hAnsi="Calibri" w:cs="Calibri"/>
                <w:color w:val="000000"/>
                <w:sz w:val="22"/>
                <w:szCs w:val="22"/>
              </w:rPr>
              <w:br/>
              <w:t>($ millions)</w:t>
            </w:r>
          </w:p>
        </w:tc>
        <w:tc>
          <w:tcPr>
            <w:tcW w:w="1440" w:type="dxa"/>
            <w:tcBorders>
              <w:top w:val="single" w:sz="4" w:space="0" w:color="auto"/>
            </w:tcBorders>
            <w:noWrap/>
          </w:tcPr>
          <w:p w14:paraId="52358C14" w14:textId="12002EA6" w:rsidR="00867670" w:rsidRPr="00991713"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Total General Fund Spending </w:t>
            </w:r>
            <w:r>
              <w:rPr>
                <w:rFonts w:ascii="Calibri" w:hAnsi="Calibri" w:cs="Calibri"/>
                <w:color w:val="000000"/>
                <w:sz w:val="22"/>
                <w:szCs w:val="22"/>
              </w:rPr>
              <w:br/>
              <w:t>($ millions)</w:t>
            </w:r>
          </w:p>
        </w:tc>
        <w:tc>
          <w:tcPr>
            <w:tcW w:w="1530" w:type="dxa"/>
            <w:tcBorders>
              <w:top w:val="single" w:sz="4" w:space="0" w:color="auto"/>
            </w:tcBorders>
            <w:noWrap/>
          </w:tcPr>
          <w:p w14:paraId="6B4BC630" w14:textId="39A72243" w:rsidR="00867670" w:rsidRPr="00991713"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Education % Total General Fund</w:t>
            </w:r>
          </w:p>
        </w:tc>
        <w:tc>
          <w:tcPr>
            <w:tcW w:w="1440" w:type="dxa"/>
            <w:tcBorders>
              <w:top w:val="single" w:sz="4" w:space="0" w:color="auto"/>
            </w:tcBorders>
            <w:noWrap/>
          </w:tcPr>
          <w:p w14:paraId="54FF00FE" w14:textId="0B1C0E6B" w:rsidR="00867670" w:rsidRPr="00037A73"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Education Spending </w:t>
            </w:r>
            <w:r>
              <w:rPr>
                <w:rFonts w:ascii="Calibri" w:hAnsi="Calibri" w:cs="Calibri"/>
                <w:color w:val="000000"/>
                <w:sz w:val="22"/>
                <w:szCs w:val="22"/>
              </w:rPr>
              <w:br/>
              <w:t>($ millions)</w:t>
            </w:r>
          </w:p>
        </w:tc>
        <w:tc>
          <w:tcPr>
            <w:tcW w:w="1440" w:type="dxa"/>
            <w:tcBorders>
              <w:top w:val="single" w:sz="4" w:space="0" w:color="auto"/>
            </w:tcBorders>
            <w:noWrap/>
          </w:tcPr>
          <w:p w14:paraId="55D5FD4B" w14:textId="4E61C9E1" w:rsidR="00867670" w:rsidRPr="00037A73"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Total General Fund Spending </w:t>
            </w:r>
            <w:r>
              <w:rPr>
                <w:rFonts w:ascii="Calibri" w:hAnsi="Calibri" w:cs="Calibri"/>
                <w:color w:val="000000"/>
                <w:sz w:val="22"/>
                <w:szCs w:val="22"/>
              </w:rPr>
              <w:br/>
              <w:t>($ millions)</w:t>
            </w:r>
          </w:p>
        </w:tc>
        <w:tc>
          <w:tcPr>
            <w:tcW w:w="1440" w:type="dxa"/>
            <w:tcBorders>
              <w:top w:val="single" w:sz="4" w:space="0" w:color="auto"/>
            </w:tcBorders>
            <w:noWrap/>
          </w:tcPr>
          <w:p w14:paraId="0D630B1A" w14:textId="188AA09F" w:rsidR="00867670" w:rsidRPr="00F420CD" w:rsidRDefault="00867670" w:rsidP="0022659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Education % Total General Fund</w:t>
            </w:r>
          </w:p>
        </w:tc>
      </w:tr>
      <w:tr w:rsidR="00AF5B5B" w:rsidRPr="006253A9" w14:paraId="6B5D1F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4BE5E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0001</w:t>
            </w:r>
          </w:p>
        </w:tc>
        <w:tc>
          <w:tcPr>
            <w:tcW w:w="2880" w:type="dxa"/>
            <w:noWrap/>
            <w:hideMark/>
          </w:tcPr>
          <w:p w14:paraId="2DBF9CC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Abington</w:t>
            </w:r>
          </w:p>
        </w:tc>
        <w:tc>
          <w:tcPr>
            <w:tcW w:w="1479" w:type="dxa"/>
            <w:noWrap/>
            <w:vAlign w:val="top"/>
          </w:tcPr>
          <w:p w14:paraId="2AEE00D8" w14:textId="3C8490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20.38</w:t>
            </w:r>
          </w:p>
        </w:tc>
        <w:tc>
          <w:tcPr>
            <w:tcW w:w="1440" w:type="dxa"/>
            <w:noWrap/>
            <w:vAlign w:val="top"/>
          </w:tcPr>
          <w:p w14:paraId="07A318B1" w14:textId="0A7BFC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38.92</w:t>
            </w:r>
          </w:p>
        </w:tc>
        <w:tc>
          <w:tcPr>
            <w:tcW w:w="1530" w:type="dxa"/>
            <w:noWrap/>
            <w:vAlign w:val="top"/>
          </w:tcPr>
          <w:p w14:paraId="16F6F6F3" w14:textId="5FE6002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c>
          <w:tcPr>
            <w:tcW w:w="1440" w:type="dxa"/>
            <w:noWrap/>
            <w:vAlign w:val="top"/>
          </w:tcPr>
          <w:p w14:paraId="1B6C880B" w14:textId="3043FF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28.62</w:t>
            </w:r>
          </w:p>
        </w:tc>
        <w:tc>
          <w:tcPr>
            <w:tcW w:w="1440" w:type="dxa"/>
            <w:noWrap/>
            <w:vAlign w:val="top"/>
          </w:tcPr>
          <w:p w14:paraId="2DABD794" w14:textId="39F319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55.80</w:t>
            </w:r>
          </w:p>
        </w:tc>
        <w:tc>
          <w:tcPr>
            <w:tcW w:w="1440" w:type="dxa"/>
            <w:noWrap/>
            <w:vAlign w:val="top"/>
          </w:tcPr>
          <w:p w14:paraId="347A0A7B" w14:textId="2DFBC65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51.3%</w:t>
            </w:r>
          </w:p>
        </w:tc>
      </w:tr>
      <w:tr w:rsidR="00AF5B5B" w:rsidRPr="006253A9" w14:paraId="62E7B43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E88076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0002</w:t>
            </w:r>
          </w:p>
        </w:tc>
        <w:tc>
          <w:tcPr>
            <w:tcW w:w="2880" w:type="dxa"/>
            <w:noWrap/>
            <w:hideMark/>
          </w:tcPr>
          <w:p w14:paraId="7391AAB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Acton</w:t>
            </w:r>
          </w:p>
        </w:tc>
        <w:tc>
          <w:tcPr>
            <w:tcW w:w="1479" w:type="dxa"/>
            <w:noWrap/>
            <w:vAlign w:val="top"/>
          </w:tcPr>
          <w:p w14:paraId="364E8798" w14:textId="265B26B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44.30</w:t>
            </w:r>
          </w:p>
        </w:tc>
        <w:tc>
          <w:tcPr>
            <w:tcW w:w="1440" w:type="dxa"/>
            <w:noWrap/>
            <w:vAlign w:val="top"/>
          </w:tcPr>
          <w:p w14:paraId="7DB4A1B7" w14:textId="433C84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67.56</w:t>
            </w:r>
          </w:p>
        </w:tc>
        <w:tc>
          <w:tcPr>
            <w:tcW w:w="1530" w:type="dxa"/>
            <w:noWrap/>
            <w:vAlign w:val="top"/>
          </w:tcPr>
          <w:p w14:paraId="15ACDEF9" w14:textId="5B8144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65.6%</w:t>
            </w:r>
          </w:p>
        </w:tc>
        <w:tc>
          <w:tcPr>
            <w:tcW w:w="1440" w:type="dxa"/>
            <w:noWrap/>
            <w:vAlign w:val="top"/>
          </w:tcPr>
          <w:p w14:paraId="23F2A2BE" w14:textId="2EF222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61.29</w:t>
            </w:r>
          </w:p>
        </w:tc>
        <w:tc>
          <w:tcPr>
            <w:tcW w:w="1440" w:type="dxa"/>
            <w:noWrap/>
            <w:vAlign w:val="top"/>
          </w:tcPr>
          <w:p w14:paraId="2E5A13EA" w14:textId="79EE13B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95.19</w:t>
            </w:r>
          </w:p>
        </w:tc>
        <w:tc>
          <w:tcPr>
            <w:tcW w:w="1440" w:type="dxa"/>
            <w:noWrap/>
            <w:vAlign w:val="top"/>
          </w:tcPr>
          <w:p w14:paraId="50BAB706" w14:textId="0E0A043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64.4%</w:t>
            </w:r>
          </w:p>
        </w:tc>
      </w:tr>
      <w:tr w:rsidR="00AF5B5B" w:rsidRPr="006253A9" w14:paraId="05B1D2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FAC1C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0003</w:t>
            </w:r>
          </w:p>
        </w:tc>
        <w:tc>
          <w:tcPr>
            <w:tcW w:w="2880" w:type="dxa"/>
            <w:noWrap/>
            <w:hideMark/>
          </w:tcPr>
          <w:p w14:paraId="47E8066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Acushnet</w:t>
            </w:r>
          </w:p>
        </w:tc>
        <w:tc>
          <w:tcPr>
            <w:tcW w:w="1479" w:type="dxa"/>
            <w:noWrap/>
            <w:vAlign w:val="top"/>
          </w:tcPr>
          <w:p w14:paraId="2B4A1F25" w14:textId="150672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12.97</w:t>
            </w:r>
          </w:p>
        </w:tc>
        <w:tc>
          <w:tcPr>
            <w:tcW w:w="1440" w:type="dxa"/>
            <w:noWrap/>
            <w:vAlign w:val="top"/>
          </w:tcPr>
          <w:p w14:paraId="559988BC" w14:textId="3ECE3D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21.61</w:t>
            </w:r>
          </w:p>
        </w:tc>
        <w:tc>
          <w:tcPr>
            <w:tcW w:w="1530" w:type="dxa"/>
            <w:noWrap/>
            <w:vAlign w:val="top"/>
          </w:tcPr>
          <w:p w14:paraId="7E1F7A45" w14:textId="0D7120C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60.0%</w:t>
            </w:r>
          </w:p>
        </w:tc>
        <w:tc>
          <w:tcPr>
            <w:tcW w:w="1440" w:type="dxa"/>
            <w:noWrap/>
            <w:vAlign w:val="top"/>
          </w:tcPr>
          <w:p w14:paraId="18A2B170" w14:textId="49B6480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16.82</w:t>
            </w:r>
          </w:p>
        </w:tc>
        <w:tc>
          <w:tcPr>
            <w:tcW w:w="1440" w:type="dxa"/>
            <w:noWrap/>
            <w:vAlign w:val="top"/>
          </w:tcPr>
          <w:p w14:paraId="347DDFA5" w14:textId="07760B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29.53</w:t>
            </w:r>
          </w:p>
        </w:tc>
        <w:tc>
          <w:tcPr>
            <w:tcW w:w="1440" w:type="dxa"/>
            <w:noWrap/>
            <w:vAlign w:val="top"/>
          </w:tcPr>
          <w:p w14:paraId="5BF97B21" w14:textId="6FD9495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r>
      <w:tr w:rsidR="00AF5B5B" w:rsidRPr="006253A9" w14:paraId="676AAFC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EC70D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0004</w:t>
            </w:r>
          </w:p>
        </w:tc>
        <w:tc>
          <w:tcPr>
            <w:tcW w:w="2880" w:type="dxa"/>
            <w:noWrap/>
            <w:hideMark/>
          </w:tcPr>
          <w:p w14:paraId="36B0FBA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Adams</w:t>
            </w:r>
          </w:p>
        </w:tc>
        <w:tc>
          <w:tcPr>
            <w:tcW w:w="1479" w:type="dxa"/>
            <w:noWrap/>
            <w:vAlign w:val="top"/>
          </w:tcPr>
          <w:p w14:paraId="3EB448C8" w14:textId="76844D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3.73</w:t>
            </w:r>
          </w:p>
        </w:tc>
        <w:tc>
          <w:tcPr>
            <w:tcW w:w="1440" w:type="dxa"/>
            <w:noWrap/>
            <w:vAlign w:val="top"/>
          </w:tcPr>
          <w:p w14:paraId="25590330" w14:textId="49C5EB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11.86</w:t>
            </w:r>
          </w:p>
        </w:tc>
        <w:tc>
          <w:tcPr>
            <w:tcW w:w="1530" w:type="dxa"/>
            <w:noWrap/>
            <w:vAlign w:val="top"/>
          </w:tcPr>
          <w:p w14:paraId="62DC1CCE" w14:textId="69F8264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31.5%</w:t>
            </w:r>
          </w:p>
        </w:tc>
        <w:tc>
          <w:tcPr>
            <w:tcW w:w="1440" w:type="dxa"/>
            <w:noWrap/>
            <w:vAlign w:val="top"/>
          </w:tcPr>
          <w:p w14:paraId="3149F8E8" w14:textId="58E7AD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6.61</w:t>
            </w:r>
          </w:p>
        </w:tc>
        <w:tc>
          <w:tcPr>
            <w:tcW w:w="1440" w:type="dxa"/>
            <w:noWrap/>
            <w:vAlign w:val="top"/>
          </w:tcPr>
          <w:p w14:paraId="7DDEAF99" w14:textId="1C5D240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16.56</w:t>
            </w:r>
          </w:p>
        </w:tc>
        <w:tc>
          <w:tcPr>
            <w:tcW w:w="1440" w:type="dxa"/>
            <w:noWrap/>
            <w:vAlign w:val="top"/>
          </w:tcPr>
          <w:p w14:paraId="6303802F" w14:textId="712A3BB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39.9%</w:t>
            </w:r>
          </w:p>
        </w:tc>
      </w:tr>
      <w:tr w:rsidR="00AF5B5B" w:rsidRPr="006253A9" w14:paraId="5C8AA8E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E6E70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0005</w:t>
            </w:r>
          </w:p>
        </w:tc>
        <w:tc>
          <w:tcPr>
            <w:tcW w:w="2880" w:type="dxa"/>
            <w:noWrap/>
            <w:hideMark/>
          </w:tcPr>
          <w:p w14:paraId="6F3A8B3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Agawam</w:t>
            </w:r>
          </w:p>
        </w:tc>
        <w:tc>
          <w:tcPr>
            <w:tcW w:w="1479" w:type="dxa"/>
            <w:noWrap/>
            <w:vAlign w:val="top"/>
          </w:tcPr>
          <w:p w14:paraId="33FB2D8C" w14:textId="6F1ADD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40.52</w:t>
            </w:r>
          </w:p>
        </w:tc>
        <w:tc>
          <w:tcPr>
            <w:tcW w:w="1440" w:type="dxa"/>
            <w:noWrap/>
            <w:vAlign w:val="top"/>
          </w:tcPr>
          <w:p w14:paraId="460F34BE" w14:textId="1FD251E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73.23</w:t>
            </w:r>
          </w:p>
        </w:tc>
        <w:tc>
          <w:tcPr>
            <w:tcW w:w="1530" w:type="dxa"/>
            <w:noWrap/>
            <w:vAlign w:val="top"/>
          </w:tcPr>
          <w:p w14:paraId="5067318B" w14:textId="4C1A10A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55.3%</w:t>
            </w:r>
          </w:p>
        </w:tc>
        <w:tc>
          <w:tcPr>
            <w:tcW w:w="1440" w:type="dxa"/>
            <w:noWrap/>
            <w:vAlign w:val="top"/>
          </w:tcPr>
          <w:p w14:paraId="21E47724" w14:textId="09740E5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60.40</w:t>
            </w:r>
          </w:p>
        </w:tc>
        <w:tc>
          <w:tcPr>
            <w:tcW w:w="1440" w:type="dxa"/>
            <w:noWrap/>
            <w:vAlign w:val="top"/>
          </w:tcPr>
          <w:p w14:paraId="54BB6B28" w14:textId="597E072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112.09</w:t>
            </w:r>
          </w:p>
        </w:tc>
        <w:tc>
          <w:tcPr>
            <w:tcW w:w="1440" w:type="dxa"/>
            <w:noWrap/>
            <w:vAlign w:val="top"/>
          </w:tcPr>
          <w:p w14:paraId="350AB785" w14:textId="2601EBA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53.9%</w:t>
            </w:r>
          </w:p>
        </w:tc>
      </w:tr>
      <w:tr w:rsidR="00AF5B5B" w:rsidRPr="006253A9" w14:paraId="7D87968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7FCAF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0006</w:t>
            </w:r>
          </w:p>
        </w:tc>
        <w:tc>
          <w:tcPr>
            <w:tcW w:w="2880" w:type="dxa"/>
            <w:noWrap/>
            <w:hideMark/>
          </w:tcPr>
          <w:p w14:paraId="17994B8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Alford</w:t>
            </w:r>
          </w:p>
        </w:tc>
        <w:tc>
          <w:tcPr>
            <w:tcW w:w="1479" w:type="dxa"/>
            <w:noWrap/>
            <w:vAlign w:val="top"/>
          </w:tcPr>
          <w:p w14:paraId="6EF35AEC" w14:textId="4F42F2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0.56</w:t>
            </w:r>
          </w:p>
        </w:tc>
        <w:tc>
          <w:tcPr>
            <w:tcW w:w="1440" w:type="dxa"/>
            <w:noWrap/>
            <w:vAlign w:val="top"/>
          </w:tcPr>
          <w:p w14:paraId="08F40A9F" w14:textId="46F83F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1.08</w:t>
            </w:r>
          </w:p>
        </w:tc>
        <w:tc>
          <w:tcPr>
            <w:tcW w:w="1530" w:type="dxa"/>
            <w:noWrap/>
            <w:vAlign w:val="top"/>
          </w:tcPr>
          <w:p w14:paraId="1548250B" w14:textId="112F365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c>
          <w:tcPr>
            <w:tcW w:w="1440" w:type="dxa"/>
            <w:noWrap/>
            <w:vAlign w:val="top"/>
          </w:tcPr>
          <w:p w14:paraId="0BC1E214" w14:textId="06732C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0.44</w:t>
            </w:r>
          </w:p>
        </w:tc>
        <w:tc>
          <w:tcPr>
            <w:tcW w:w="1440" w:type="dxa"/>
            <w:noWrap/>
            <w:vAlign w:val="top"/>
          </w:tcPr>
          <w:p w14:paraId="280ACCE5" w14:textId="0DB0C99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1.55</w:t>
            </w:r>
          </w:p>
        </w:tc>
        <w:tc>
          <w:tcPr>
            <w:tcW w:w="1440" w:type="dxa"/>
            <w:noWrap/>
            <w:vAlign w:val="top"/>
          </w:tcPr>
          <w:p w14:paraId="41632670" w14:textId="18C1151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28.1%</w:t>
            </w:r>
          </w:p>
        </w:tc>
      </w:tr>
      <w:tr w:rsidR="00AF5B5B" w:rsidRPr="006253A9" w14:paraId="08B59D2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5A78EB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0007</w:t>
            </w:r>
          </w:p>
        </w:tc>
        <w:tc>
          <w:tcPr>
            <w:tcW w:w="2880" w:type="dxa"/>
            <w:noWrap/>
            <w:hideMark/>
          </w:tcPr>
          <w:p w14:paraId="181AE71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Amesbury</w:t>
            </w:r>
          </w:p>
        </w:tc>
        <w:tc>
          <w:tcPr>
            <w:tcW w:w="1479" w:type="dxa"/>
            <w:noWrap/>
            <w:vAlign w:val="top"/>
          </w:tcPr>
          <w:p w14:paraId="5B20F4D6" w14:textId="7602B75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24.44</w:t>
            </w:r>
          </w:p>
        </w:tc>
        <w:tc>
          <w:tcPr>
            <w:tcW w:w="1440" w:type="dxa"/>
            <w:noWrap/>
            <w:vAlign w:val="top"/>
          </w:tcPr>
          <w:p w14:paraId="1A5DA384" w14:textId="10CFAE3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46.47</w:t>
            </w:r>
          </w:p>
        </w:tc>
        <w:tc>
          <w:tcPr>
            <w:tcW w:w="1530" w:type="dxa"/>
            <w:noWrap/>
            <w:vAlign w:val="top"/>
          </w:tcPr>
          <w:p w14:paraId="1556B667" w14:textId="5A60AB4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52.6%</w:t>
            </w:r>
          </w:p>
        </w:tc>
        <w:tc>
          <w:tcPr>
            <w:tcW w:w="1440" w:type="dxa"/>
            <w:noWrap/>
            <w:vAlign w:val="top"/>
          </w:tcPr>
          <w:p w14:paraId="3AA050C7" w14:textId="6616869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34.40</w:t>
            </w:r>
          </w:p>
        </w:tc>
        <w:tc>
          <w:tcPr>
            <w:tcW w:w="1440" w:type="dxa"/>
            <w:noWrap/>
            <w:vAlign w:val="top"/>
          </w:tcPr>
          <w:p w14:paraId="3347C772" w14:textId="2502625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64.84</w:t>
            </w:r>
          </w:p>
        </w:tc>
        <w:tc>
          <w:tcPr>
            <w:tcW w:w="1440" w:type="dxa"/>
            <w:noWrap/>
            <w:vAlign w:val="top"/>
          </w:tcPr>
          <w:p w14:paraId="63BB427E" w14:textId="3D980BB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53.1%</w:t>
            </w:r>
          </w:p>
        </w:tc>
      </w:tr>
      <w:tr w:rsidR="00AF5B5B" w:rsidRPr="006253A9" w14:paraId="2765C9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A5B8F8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0008</w:t>
            </w:r>
          </w:p>
        </w:tc>
        <w:tc>
          <w:tcPr>
            <w:tcW w:w="2880" w:type="dxa"/>
            <w:noWrap/>
            <w:hideMark/>
          </w:tcPr>
          <w:p w14:paraId="659D1EA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Amherst</w:t>
            </w:r>
          </w:p>
        </w:tc>
        <w:tc>
          <w:tcPr>
            <w:tcW w:w="1479" w:type="dxa"/>
            <w:noWrap/>
            <w:vAlign w:val="top"/>
          </w:tcPr>
          <w:p w14:paraId="57ACED5D" w14:textId="7179C7C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32.41</w:t>
            </w:r>
          </w:p>
        </w:tc>
        <w:tc>
          <w:tcPr>
            <w:tcW w:w="1440" w:type="dxa"/>
            <w:noWrap/>
            <w:vAlign w:val="top"/>
          </w:tcPr>
          <w:p w14:paraId="201AF1B0" w14:textId="6FF240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58.60</w:t>
            </w:r>
          </w:p>
        </w:tc>
        <w:tc>
          <w:tcPr>
            <w:tcW w:w="1530" w:type="dxa"/>
            <w:noWrap/>
            <w:vAlign w:val="top"/>
          </w:tcPr>
          <w:p w14:paraId="44B6ABCD" w14:textId="4AA4754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55.3%</w:t>
            </w:r>
          </w:p>
        </w:tc>
        <w:tc>
          <w:tcPr>
            <w:tcW w:w="1440" w:type="dxa"/>
            <w:noWrap/>
            <w:vAlign w:val="top"/>
          </w:tcPr>
          <w:p w14:paraId="2EE9C086" w14:textId="60048A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42.24</w:t>
            </w:r>
          </w:p>
        </w:tc>
        <w:tc>
          <w:tcPr>
            <w:tcW w:w="1440" w:type="dxa"/>
            <w:noWrap/>
            <w:vAlign w:val="top"/>
          </w:tcPr>
          <w:p w14:paraId="588BA17B" w14:textId="21AE7B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81.62</w:t>
            </w:r>
          </w:p>
        </w:tc>
        <w:tc>
          <w:tcPr>
            <w:tcW w:w="1440" w:type="dxa"/>
            <w:noWrap/>
            <w:vAlign w:val="top"/>
          </w:tcPr>
          <w:p w14:paraId="7FBECC7D" w14:textId="7F0B0CF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51.8%</w:t>
            </w:r>
          </w:p>
        </w:tc>
      </w:tr>
      <w:tr w:rsidR="00AF5B5B" w:rsidRPr="006253A9" w14:paraId="4D82C33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701224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0009</w:t>
            </w:r>
          </w:p>
        </w:tc>
        <w:tc>
          <w:tcPr>
            <w:tcW w:w="2880" w:type="dxa"/>
            <w:noWrap/>
            <w:hideMark/>
          </w:tcPr>
          <w:p w14:paraId="518DD88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Andover</w:t>
            </w:r>
          </w:p>
        </w:tc>
        <w:tc>
          <w:tcPr>
            <w:tcW w:w="1479" w:type="dxa"/>
            <w:noWrap/>
            <w:vAlign w:val="top"/>
          </w:tcPr>
          <w:p w14:paraId="49B9D811" w14:textId="6FD3109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62.55</w:t>
            </w:r>
          </w:p>
        </w:tc>
        <w:tc>
          <w:tcPr>
            <w:tcW w:w="1440" w:type="dxa"/>
            <w:noWrap/>
            <w:vAlign w:val="top"/>
          </w:tcPr>
          <w:p w14:paraId="79A2D026" w14:textId="7A88D5A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125.95</w:t>
            </w:r>
          </w:p>
        </w:tc>
        <w:tc>
          <w:tcPr>
            <w:tcW w:w="1530" w:type="dxa"/>
            <w:noWrap/>
            <w:vAlign w:val="top"/>
          </w:tcPr>
          <w:p w14:paraId="7618490C" w14:textId="663C0D0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49.7%</w:t>
            </w:r>
          </w:p>
        </w:tc>
        <w:tc>
          <w:tcPr>
            <w:tcW w:w="1440" w:type="dxa"/>
            <w:noWrap/>
            <w:vAlign w:val="top"/>
          </w:tcPr>
          <w:p w14:paraId="1CB74C52" w14:textId="418BC8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99.74</w:t>
            </w:r>
          </w:p>
        </w:tc>
        <w:tc>
          <w:tcPr>
            <w:tcW w:w="1440" w:type="dxa"/>
            <w:noWrap/>
            <w:vAlign w:val="top"/>
          </w:tcPr>
          <w:p w14:paraId="3EF79C1D" w14:textId="433618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197.24</w:t>
            </w:r>
          </w:p>
        </w:tc>
        <w:tc>
          <w:tcPr>
            <w:tcW w:w="1440" w:type="dxa"/>
            <w:noWrap/>
            <w:vAlign w:val="top"/>
          </w:tcPr>
          <w:p w14:paraId="3C2CD276" w14:textId="0567DA8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50.6%</w:t>
            </w:r>
          </w:p>
        </w:tc>
      </w:tr>
      <w:tr w:rsidR="00AF5B5B" w:rsidRPr="006253A9" w14:paraId="357ACA0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C88B76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0010</w:t>
            </w:r>
          </w:p>
        </w:tc>
        <w:tc>
          <w:tcPr>
            <w:tcW w:w="2880" w:type="dxa"/>
            <w:noWrap/>
            <w:hideMark/>
          </w:tcPr>
          <w:p w14:paraId="13F0D13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Arlington</w:t>
            </w:r>
          </w:p>
        </w:tc>
        <w:tc>
          <w:tcPr>
            <w:tcW w:w="1479" w:type="dxa"/>
            <w:noWrap/>
            <w:vAlign w:val="top"/>
          </w:tcPr>
          <w:p w14:paraId="18973347" w14:textId="7C34CD2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47.76</w:t>
            </w:r>
          </w:p>
        </w:tc>
        <w:tc>
          <w:tcPr>
            <w:tcW w:w="1440" w:type="dxa"/>
            <w:noWrap/>
            <w:vAlign w:val="top"/>
          </w:tcPr>
          <w:p w14:paraId="7B96EDC7" w14:textId="5E2E70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113.80</w:t>
            </w:r>
          </w:p>
        </w:tc>
        <w:tc>
          <w:tcPr>
            <w:tcW w:w="1530" w:type="dxa"/>
            <w:noWrap/>
            <w:vAlign w:val="top"/>
          </w:tcPr>
          <w:p w14:paraId="682CD3F7" w14:textId="2111278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42.0%</w:t>
            </w:r>
          </w:p>
        </w:tc>
        <w:tc>
          <w:tcPr>
            <w:tcW w:w="1440" w:type="dxa"/>
            <w:noWrap/>
            <w:vAlign w:val="top"/>
          </w:tcPr>
          <w:p w14:paraId="1ACCA17F" w14:textId="116EC35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82.07</w:t>
            </w:r>
          </w:p>
        </w:tc>
        <w:tc>
          <w:tcPr>
            <w:tcW w:w="1440" w:type="dxa"/>
            <w:noWrap/>
            <w:vAlign w:val="top"/>
          </w:tcPr>
          <w:p w14:paraId="375C34CB" w14:textId="4363DC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176.95</w:t>
            </w:r>
          </w:p>
        </w:tc>
        <w:tc>
          <w:tcPr>
            <w:tcW w:w="1440" w:type="dxa"/>
            <w:noWrap/>
            <w:vAlign w:val="top"/>
          </w:tcPr>
          <w:p w14:paraId="6762174D" w14:textId="166E3E8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46.4%</w:t>
            </w:r>
          </w:p>
        </w:tc>
      </w:tr>
      <w:tr w:rsidR="00AF5B5B" w:rsidRPr="006253A9" w14:paraId="7A49168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2A6562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0011</w:t>
            </w:r>
          </w:p>
        </w:tc>
        <w:tc>
          <w:tcPr>
            <w:tcW w:w="2880" w:type="dxa"/>
            <w:noWrap/>
            <w:hideMark/>
          </w:tcPr>
          <w:p w14:paraId="0242D7B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Ashburnham</w:t>
            </w:r>
          </w:p>
        </w:tc>
        <w:tc>
          <w:tcPr>
            <w:tcW w:w="1479" w:type="dxa"/>
            <w:noWrap/>
            <w:vAlign w:val="top"/>
          </w:tcPr>
          <w:p w14:paraId="5959D235" w14:textId="14A455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6.74</w:t>
            </w:r>
          </w:p>
        </w:tc>
        <w:tc>
          <w:tcPr>
            <w:tcW w:w="1440" w:type="dxa"/>
            <w:noWrap/>
            <w:vAlign w:val="top"/>
          </w:tcPr>
          <w:p w14:paraId="65E20F79" w14:textId="2F0919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11.80</w:t>
            </w:r>
          </w:p>
        </w:tc>
        <w:tc>
          <w:tcPr>
            <w:tcW w:w="1530" w:type="dxa"/>
            <w:noWrap/>
            <w:vAlign w:val="top"/>
          </w:tcPr>
          <w:p w14:paraId="2C788C18" w14:textId="01B3F03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57.1%</w:t>
            </w:r>
          </w:p>
        </w:tc>
        <w:tc>
          <w:tcPr>
            <w:tcW w:w="1440" w:type="dxa"/>
            <w:noWrap/>
            <w:vAlign w:val="top"/>
          </w:tcPr>
          <w:p w14:paraId="27A34737" w14:textId="63ED833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8.11</w:t>
            </w:r>
          </w:p>
        </w:tc>
        <w:tc>
          <w:tcPr>
            <w:tcW w:w="1440" w:type="dxa"/>
            <w:noWrap/>
            <w:vAlign w:val="top"/>
          </w:tcPr>
          <w:p w14:paraId="3DEFE24C" w14:textId="04B933C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17.61</w:t>
            </w:r>
          </w:p>
        </w:tc>
        <w:tc>
          <w:tcPr>
            <w:tcW w:w="1440" w:type="dxa"/>
            <w:noWrap/>
            <w:vAlign w:val="top"/>
          </w:tcPr>
          <w:p w14:paraId="36C944DE" w14:textId="2D6C131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46.1%</w:t>
            </w:r>
          </w:p>
        </w:tc>
      </w:tr>
      <w:tr w:rsidR="00AF5B5B" w:rsidRPr="006253A9" w14:paraId="481E6A6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F3551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0012</w:t>
            </w:r>
          </w:p>
        </w:tc>
        <w:tc>
          <w:tcPr>
            <w:tcW w:w="2880" w:type="dxa"/>
            <w:noWrap/>
            <w:hideMark/>
          </w:tcPr>
          <w:p w14:paraId="72138DB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Ashby</w:t>
            </w:r>
          </w:p>
        </w:tc>
        <w:tc>
          <w:tcPr>
            <w:tcW w:w="1479" w:type="dxa"/>
            <w:noWrap/>
            <w:vAlign w:val="top"/>
          </w:tcPr>
          <w:p w14:paraId="7331BC0A" w14:textId="2509001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2.64</w:t>
            </w:r>
          </w:p>
        </w:tc>
        <w:tc>
          <w:tcPr>
            <w:tcW w:w="1440" w:type="dxa"/>
            <w:noWrap/>
            <w:vAlign w:val="top"/>
          </w:tcPr>
          <w:p w14:paraId="5607BBF3" w14:textId="1430AD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5.28</w:t>
            </w:r>
          </w:p>
        </w:tc>
        <w:tc>
          <w:tcPr>
            <w:tcW w:w="1530" w:type="dxa"/>
            <w:noWrap/>
            <w:vAlign w:val="top"/>
          </w:tcPr>
          <w:p w14:paraId="01C23DE9" w14:textId="6B6865B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49.9%</w:t>
            </w:r>
          </w:p>
        </w:tc>
        <w:tc>
          <w:tcPr>
            <w:tcW w:w="1440" w:type="dxa"/>
            <w:noWrap/>
            <w:vAlign w:val="top"/>
          </w:tcPr>
          <w:p w14:paraId="13CDC4F3" w14:textId="57AC8EA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4.03</w:t>
            </w:r>
          </w:p>
        </w:tc>
        <w:tc>
          <w:tcPr>
            <w:tcW w:w="1440" w:type="dxa"/>
            <w:noWrap/>
            <w:vAlign w:val="top"/>
          </w:tcPr>
          <w:p w14:paraId="580965AF" w14:textId="6ADDD07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8.03</w:t>
            </w:r>
          </w:p>
        </w:tc>
        <w:tc>
          <w:tcPr>
            <w:tcW w:w="1440" w:type="dxa"/>
            <w:noWrap/>
            <w:vAlign w:val="top"/>
          </w:tcPr>
          <w:p w14:paraId="7B8EDF62" w14:textId="6C43E1F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50.3%</w:t>
            </w:r>
          </w:p>
        </w:tc>
      </w:tr>
      <w:tr w:rsidR="00AF5B5B" w:rsidRPr="006253A9" w14:paraId="5810C1F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1E5000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0013</w:t>
            </w:r>
          </w:p>
        </w:tc>
        <w:tc>
          <w:tcPr>
            <w:tcW w:w="2880" w:type="dxa"/>
            <w:noWrap/>
            <w:hideMark/>
          </w:tcPr>
          <w:p w14:paraId="593E199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Ashfield</w:t>
            </w:r>
          </w:p>
        </w:tc>
        <w:tc>
          <w:tcPr>
            <w:tcW w:w="1479" w:type="dxa"/>
            <w:noWrap/>
            <w:vAlign w:val="top"/>
          </w:tcPr>
          <w:p w14:paraId="3E6910B9" w14:textId="4EFB0E3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2.01</w:t>
            </w:r>
          </w:p>
        </w:tc>
        <w:tc>
          <w:tcPr>
            <w:tcW w:w="1440" w:type="dxa"/>
            <w:noWrap/>
            <w:vAlign w:val="top"/>
          </w:tcPr>
          <w:p w14:paraId="5FB352A3" w14:textId="6AF16F8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3.41</w:t>
            </w:r>
          </w:p>
        </w:tc>
        <w:tc>
          <w:tcPr>
            <w:tcW w:w="1530" w:type="dxa"/>
            <w:noWrap/>
            <w:vAlign w:val="top"/>
          </w:tcPr>
          <w:p w14:paraId="7D76115A" w14:textId="68A8041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59.1%</w:t>
            </w:r>
          </w:p>
        </w:tc>
        <w:tc>
          <w:tcPr>
            <w:tcW w:w="1440" w:type="dxa"/>
            <w:noWrap/>
            <w:vAlign w:val="top"/>
          </w:tcPr>
          <w:p w14:paraId="3584973E" w14:textId="09EB609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w:t>
            </w:r>
          </w:p>
        </w:tc>
        <w:tc>
          <w:tcPr>
            <w:tcW w:w="1440" w:type="dxa"/>
            <w:noWrap/>
            <w:vAlign w:val="top"/>
          </w:tcPr>
          <w:p w14:paraId="3AAAEE94" w14:textId="6DA0F02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4.39</w:t>
            </w:r>
          </w:p>
        </w:tc>
        <w:tc>
          <w:tcPr>
            <w:tcW w:w="1440" w:type="dxa"/>
            <w:noWrap/>
            <w:vAlign w:val="top"/>
          </w:tcPr>
          <w:p w14:paraId="4A8F816D" w14:textId="107313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56.5%</w:t>
            </w:r>
          </w:p>
        </w:tc>
      </w:tr>
      <w:tr w:rsidR="00AF5B5B" w:rsidRPr="006253A9" w14:paraId="7775F8B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5EE1F1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0014</w:t>
            </w:r>
          </w:p>
        </w:tc>
        <w:tc>
          <w:tcPr>
            <w:tcW w:w="2880" w:type="dxa"/>
            <w:noWrap/>
            <w:hideMark/>
          </w:tcPr>
          <w:p w14:paraId="6B2A65B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Ashland</w:t>
            </w:r>
          </w:p>
        </w:tc>
        <w:tc>
          <w:tcPr>
            <w:tcW w:w="1479" w:type="dxa"/>
            <w:noWrap/>
            <w:vAlign w:val="top"/>
          </w:tcPr>
          <w:p w14:paraId="548D8442" w14:textId="004B8B4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24.61</w:t>
            </w:r>
          </w:p>
        </w:tc>
        <w:tc>
          <w:tcPr>
            <w:tcW w:w="1440" w:type="dxa"/>
            <w:noWrap/>
            <w:vAlign w:val="top"/>
          </w:tcPr>
          <w:p w14:paraId="5417C333" w14:textId="273E6C9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46.10</w:t>
            </w:r>
          </w:p>
        </w:tc>
        <w:tc>
          <w:tcPr>
            <w:tcW w:w="1530" w:type="dxa"/>
            <w:noWrap/>
            <w:vAlign w:val="top"/>
          </w:tcPr>
          <w:p w14:paraId="2EA85298" w14:textId="4339775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53.4%</w:t>
            </w:r>
          </w:p>
        </w:tc>
        <w:tc>
          <w:tcPr>
            <w:tcW w:w="1440" w:type="dxa"/>
            <w:noWrap/>
            <w:vAlign w:val="top"/>
          </w:tcPr>
          <w:p w14:paraId="0A756D9C" w14:textId="26399FC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36.10</w:t>
            </w:r>
          </w:p>
        </w:tc>
        <w:tc>
          <w:tcPr>
            <w:tcW w:w="1440" w:type="dxa"/>
            <w:noWrap/>
            <w:vAlign w:val="top"/>
          </w:tcPr>
          <w:p w14:paraId="55FAABB9" w14:textId="28D94C6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63.53</w:t>
            </w:r>
          </w:p>
        </w:tc>
        <w:tc>
          <w:tcPr>
            <w:tcW w:w="1440" w:type="dxa"/>
            <w:noWrap/>
            <w:vAlign w:val="top"/>
          </w:tcPr>
          <w:p w14:paraId="0C9ABEF0" w14:textId="693A01E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56.8%</w:t>
            </w:r>
          </w:p>
        </w:tc>
      </w:tr>
      <w:tr w:rsidR="00AF5B5B" w:rsidRPr="006253A9" w14:paraId="2CAAC94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D331F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0015</w:t>
            </w:r>
          </w:p>
        </w:tc>
        <w:tc>
          <w:tcPr>
            <w:tcW w:w="2880" w:type="dxa"/>
            <w:noWrap/>
            <w:hideMark/>
          </w:tcPr>
          <w:p w14:paraId="58308E1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Athol</w:t>
            </w:r>
          </w:p>
        </w:tc>
        <w:tc>
          <w:tcPr>
            <w:tcW w:w="1479" w:type="dxa"/>
            <w:noWrap/>
            <w:vAlign w:val="top"/>
          </w:tcPr>
          <w:p w14:paraId="59C825DA" w14:textId="211E683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3.33</w:t>
            </w:r>
          </w:p>
        </w:tc>
        <w:tc>
          <w:tcPr>
            <w:tcW w:w="1440" w:type="dxa"/>
            <w:noWrap/>
            <w:vAlign w:val="top"/>
          </w:tcPr>
          <w:p w14:paraId="6E61150D" w14:textId="1D1B61A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13.88</w:t>
            </w:r>
          </w:p>
        </w:tc>
        <w:tc>
          <w:tcPr>
            <w:tcW w:w="1530" w:type="dxa"/>
            <w:noWrap/>
            <w:vAlign w:val="top"/>
          </w:tcPr>
          <w:p w14:paraId="1D719367" w14:textId="08418A4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24.0%</w:t>
            </w:r>
          </w:p>
        </w:tc>
        <w:tc>
          <w:tcPr>
            <w:tcW w:w="1440" w:type="dxa"/>
            <w:noWrap/>
            <w:vAlign w:val="top"/>
          </w:tcPr>
          <w:p w14:paraId="29309DAD" w14:textId="28AB91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4.77</w:t>
            </w:r>
          </w:p>
        </w:tc>
        <w:tc>
          <w:tcPr>
            <w:tcW w:w="1440" w:type="dxa"/>
            <w:noWrap/>
            <w:vAlign w:val="top"/>
          </w:tcPr>
          <w:p w14:paraId="491DC5B9" w14:textId="5A1843E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19.61</w:t>
            </w:r>
          </w:p>
        </w:tc>
        <w:tc>
          <w:tcPr>
            <w:tcW w:w="1440" w:type="dxa"/>
            <w:noWrap/>
            <w:vAlign w:val="top"/>
          </w:tcPr>
          <w:p w14:paraId="163715D0" w14:textId="5BE6822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24.3%</w:t>
            </w:r>
          </w:p>
        </w:tc>
      </w:tr>
      <w:tr w:rsidR="00AF5B5B" w:rsidRPr="006253A9" w14:paraId="3256379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F9B86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0016</w:t>
            </w:r>
          </w:p>
        </w:tc>
        <w:tc>
          <w:tcPr>
            <w:tcW w:w="2880" w:type="dxa"/>
            <w:noWrap/>
            <w:hideMark/>
          </w:tcPr>
          <w:p w14:paraId="3D237BE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Attleboro</w:t>
            </w:r>
          </w:p>
        </w:tc>
        <w:tc>
          <w:tcPr>
            <w:tcW w:w="1479" w:type="dxa"/>
            <w:noWrap/>
            <w:vAlign w:val="top"/>
          </w:tcPr>
          <w:p w14:paraId="1554B013" w14:textId="06998FA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54.61</w:t>
            </w:r>
          </w:p>
        </w:tc>
        <w:tc>
          <w:tcPr>
            <w:tcW w:w="1440" w:type="dxa"/>
            <w:noWrap/>
            <w:vAlign w:val="top"/>
          </w:tcPr>
          <w:p w14:paraId="6CF37F00" w14:textId="7EEF541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105.71</w:t>
            </w:r>
          </w:p>
        </w:tc>
        <w:tc>
          <w:tcPr>
            <w:tcW w:w="1530" w:type="dxa"/>
            <w:noWrap/>
            <w:vAlign w:val="top"/>
          </w:tcPr>
          <w:p w14:paraId="545C0262" w14:textId="704F3D7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51.7%</w:t>
            </w:r>
          </w:p>
        </w:tc>
        <w:tc>
          <w:tcPr>
            <w:tcW w:w="1440" w:type="dxa"/>
            <w:noWrap/>
            <w:vAlign w:val="top"/>
          </w:tcPr>
          <w:p w14:paraId="68D44C48" w14:textId="471B45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75.95</w:t>
            </w:r>
          </w:p>
        </w:tc>
        <w:tc>
          <w:tcPr>
            <w:tcW w:w="1440" w:type="dxa"/>
            <w:noWrap/>
            <w:vAlign w:val="top"/>
          </w:tcPr>
          <w:p w14:paraId="337F4877" w14:textId="75E858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145.60</w:t>
            </w:r>
          </w:p>
        </w:tc>
        <w:tc>
          <w:tcPr>
            <w:tcW w:w="1440" w:type="dxa"/>
            <w:noWrap/>
            <w:vAlign w:val="top"/>
          </w:tcPr>
          <w:p w14:paraId="350BBCB2" w14:textId="796F65C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52.2%</w:t>
            </w:r>
          </w:p>
        </w:tc>
      </w:tr>
      <w:tr w:rsidR="00AF5B5B" w:rsidRPr="006253A9" w14:paraId="4CBEC13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9F008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0017</w:t>
            </w:r>
          </w:p>
        </w:tc>
        <w:tc>
          <w:tcPr>
            <w:tcW w:w="2880" w:type="dxa"/>
            <w:noWrap/>
            <w:hideMark/>
          </w:tcPr>
          <w:p w14:paraId="5EE3499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Auburn</w:t>
            </w:r>
          </w:p>
        </w:tc>
        <w:tc>
          <w:tcPr>
            <w:tcW w:w="1479" w:type="dxa"/>
            <w:noWrap/>
            <w:vAlign w:val="top"/>
          </w:tcPr>
          <w:p w14:paraId="508B72A2" w14:textId="2B5BE25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23.44</w:t>
            </w:r>
          </w:p>
        </w:tc>
        <w:tc>
          <w:tcPr>
            <w:tcW w:w="1440" w:type="dxa"/>
            <w:noWrap/>
            <w:vAlign w:val="top"/>
          </w:tcPr>
          <w:p w14:paraId="10B99AF4" w14:textId="5AE2700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44.42</w:t>
            </w:r>
          </w:p>
        </w:tc>
        <w:tc>
          <w:tcPr>
            <w:tcW w:w="1530" w:type="dxa"/>
            <w:noWrap/>
            <w:vAlign w:val="top"/>
          </w:tcPr>
          <w:p w14:paraId="3B7A3DE9" w14:textId="25F75BC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52.8%</w:t>
            </w:r>
          </w:p>
        </w:tc>
        <w:tc>
          <w:tcPr>
            <w:tcW w:w="1440" w:type="dxa"/>
            <w:noWrap/>
            <w:vAlign w:val="top"/>
          </w:tcPr>
          <w:p w14:paraId="5BA5E11E" w14:textId="4AEEBBD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33.41</w:t>
            </w:r>
          </w:p>
        </w:tc>
        <w:tc>
          <w:tcPr>
            <w:tcW w:w="1440" w:type="dxa"/>
            <w:noWrap/>
            <w:vAlign w:val="top"/>
          </w:tcPr>
          <w:p w14:paraId="05BA3510" w14:textId="1B0D7F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69.10</w:t>
            </w:r>
          </w:p>
        </w:tc>
        <w:tc>
          <w:tcPr>
            <w:tcW w:w="1440" w:type="dxa"/>
            <w:noWrap/>
            <w:vAlign w:val="top"/>
          </w:tcPr>
          <w:p w14:paraId="53924F46" w14:textId="037A904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48.3%</w:t>
            </w:r>
          </w:p>
        </w:tc>
      </w:tr>
      <w:tr w:rsidR="00AF5B5B" w:rsidRPr="006253A9" w14:paraId="49D4503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081FF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0018</w:t>
            </w:r>
          </w:p>
        </w:tc>
        <w:tc>
          <w:tcPr>
            <w:tcW w:w="2880" w:type="dxa"/>
            <w:noWrap/>
            <w:hideMark/>
          </w:tcPr>
          <w:p w14:paraId="4BBE582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Avon</w:t>
            </w:r>
          </w:p>
        </w:tc>
        <w:tc>
          <w:tcPr>
            <w:tcW w:w="1479" w:type="dxa"/>
            <w:noWrap/>
            <w:vAlign w:val="top"/>
          </w:tcPr>
          <w:p w14:paraId="60480CA8" w14:textId="6AD98B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7.17</w:t>
            </w:r>
          </w:p>
        </w:tc>
        <w:tc>
          <w:tcPr>
            <w:tcW w:w="1440" w:type="dxa"/>
            <w:noWrap/>
            <w:vAlign w:val="top"/>
          </w:tcPr>
          <w:p w14:paraId="471A6FFC" w14:textId="1D2536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17.73</w:t>
            </w:r>
          </w:p>
        </w:tc>
        <w:tc>
          <w:tcPr>
            <w:tcW w:w="1530" w:type="dxa"/>
            <w:noWrap/>
            <w:vAlign w:val="top"/>
          </w:tcPr>
          <w:p w14:paraId="5C46E00D" w14:textId="080A4BE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40.5%</w:t>
            </w:r>
          </w:p>
        </w:tc>
        <w:tc>
          <w:tcPr>
            <w:tcW w:w="1440" w:type="dxa"/>
            <w:noWrap/>
            <w:vAlign w:val="top"/>
          </w:tcPr>
          <w:p w14:paraId="260E33D5" w14:textId="3E4D65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11.68</w:t>
            </w:r>
          </w:p>
        </w:tc>
        <w:tc>
          <w:tcPr>
            <w:tcW w:w="1440" w:type="dxa"/>
            <w:noWrap/>
            <w:vAlign w:val="top"/>
          </w:tcPr>
          <w:p w14:paraId="09E73571" w14:textId="54E2092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28.79</w:t>
            </w:r>
          </w:p>
        </w:tc>
        <w:tc>
          <w:tcPr>
            <w:tcW w:w="1440" w:type="dxa"/>
            <w:noWrap/>
            <w:vAlign w:val="top"/>
          </w:tcPr>
          <w:p w14:paraId="05F9F956" w14:textId="4DBEB6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40.6%</w:t>
            </w:r>
          </w:p>
        </w:tc>
      </w:tr>
      <w:tr w:rsidR="00AF5B5B" w:rsidRPr="006253A9" w14:paraId="2937B08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117314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0019</w:t>
            </w:r>
          </w:p>
        </w:tc>
        <w:tc>
          <w:tcPr>
            <w:tcW w:w="2880" w:type="dxa"/>
            <w:noWrap/>
            <w:hideMark/>
          </w:tcPr>
          <w:p w14:paraId="21CACAC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Ayer</w:t>
            </w:r>
          </w:p>
        </w:tc>
        <w:tc>
          <w:tcPr>
            <w:tcW w:w="1479" w:type="dxa"/>
            <w:noWrap/>
            <w:vAlign w:val="top"/>
          </w:tcPr>
          <w:p w14:paraId="7BD15D73" w14:textId="51AB74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11.76</w:t>
            </w:r>
          </w:p>
        </w:tc>
        <w:tc>
          <w:tcPr>
            <w:tcW w:w="1440" w:type="dxa"/>
            <w:noWrap/>
            <w:vAlign w:val="top"/>
          </w:tcPr>
          <w:p w14:paraId="29FAF0FA" w14:textId="22E6190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24.03</w:t>
            </w:r>
          </w:p>
        </w:tc>
        <w:tc>
          <w:tcPr>
            <w:tcW w:w="1530" w:type="dxa"/>
            <w:noWrap/>
            <w:vAlign w:val="top"/>
          </w:tcPr>
          <w:p w14:paraId="1AFB6563" w14:textId="3FD9FD1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48.9%</w:t>
            </w:r>
          </w:p>
        </w:tc>
        <w:tc>
          <w:tcPr>
            <w:tcW w:w="1440" w:type="dxa"/>
            <w:noWrap/>
            <w:vAlign w:val="top"/>
          </w:tcPr>
          <w:p w14:paraId="396D5424" w14:textId="1E6F5D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12.35</w:t>
            </w:r>
          </w:p>
        </w:tc>
        <w:tc>
          <w:tcPr>
            <w:tcW w:w="1440" w:type="dxa"/>
            <w:noWrap/>
            <w:vAlign w:val="top"/>
          </w:tcPr>
          <w:p w14:paraId="3241C65D" w14:textId="4BCE14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27.87</w:t>
            </w:r>
          </w:p>
        </w:tc>
        <w:tc>
          <w:tcPr>
            <w:tcW w:w="1440" w:type="dxa"/>
            <w:noWrap/>
            <w:vAlign w:val="top"/>
          </w:tcPr>
          <w:p w14:paraId="2063BD19" w14:textId="317EF07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44.3%</w:t>
            </w:r>
          </w:p>
        </w:tc>
      </w:tr>
      <w:tr w:rsidR="00AF5B5B" w:rsidRPr="006253A9" w14:paraId="22CE4F8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7C025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0020</w:t>
            </w:r>
          </w:p>
        </w:tc>
        <w:tc>
          <w:tcPr>
            <w:tcW w:w="2880" w:type="dxa"/>
            <w:noWrap/>
            <w:hideMark/>
          </w:tcPr>
          <w:p w14:paraId="2872682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Barnstable</w:t>
            </w:r>
          </w:p>
        </w:tc>
        <w:tc>
          <w:tcPr>
            <w:tcW w:w="1479" w:type="dxa"/>
            <w:noWrap/>
            <w:vAlign w:val="top"/>
          </w:tcPr>
          <w:p w14:paraId="48132C09" w14:textId="4E5C025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61.60</w:t>
            </w:r>
          </w:p>
        </w:tc>
        <w:tc>
          <w:tcPr>
            <w:tcW w:w="1440" w:type="dxa"/>
            <w:noWrap/>
            <w:vAlign w:val="top"/>
          </w:tcPr>
          <w:p w14:paraId="228D3D1F" w14:textId="1385CD0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121.35</w:t>
            </w:r>
          </w:p>
        </w:tc>
        <w:tc>
          <w:tcPr>
            <w:tcW w:w="1530" w:type="dxa"/>
            <w:noWrap/>
            <w:vAlign w:val="top"/>
          </w:tcPr>
          <w:p w14:paraId="1F6E9EA9" w14:textId="20DDF30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50.8%</w:t>
            </w:r>
          </w:p>
        </w:tc>
        <w:tc>
          <w:tcPr>
            <w:tcW w:w="1440" w:type="dxa"/>
            <w:noWrap/>
            <w:vAlign w:val="top"/>
          </w:tcPr>
          <w:p w14:paraId="71C98F69" w14:textId="723F90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80.93</w:t>
            </w:r>
          </w:p>
        </w:tc>
        <w:tc>
          <w:tcPr>
            <w:tcW w:w="1440" w:type="dxa"/>
            <w:noWrap/>
            <w:vAlign w:val="top"/>
          </w:tcPr>
          <w:p w14:paraId="5C8F9D10" w14:textId="4CFFD9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171.07</w:t>
            </w:r>
          </w:p>
        </w:tc>
        <w:tc>
          <w:tcPr>
            <w:tcW w:w="1440" w:type="dxa"/>
            <w:noWrap/>
            <w:vAlign w:val="top"/>
          </w:tcPr>
          <w:p w14:paraId="0C895AA3" w14:textId="0E3C365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47.3%</w:t>
            </w:r>
          </w:p>
        </w:tc>
      </w:tr>
      <w:tr w:rsidR="00AF5B5B" w:rsidRPr="006253A9" w14:paraId="4DBB639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FCDB89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0021</w:t>
            </w:r>
          </w:p>
        </w:tc>
        <w:tc>
          <w:tcPr>
            <w:tcW w:w="2880" w:type="dxa"/>
            <w:noWrap/>
            <w:hideMark/>
          </w:tcPr>
          <w:p w14:paraId="722F952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Barre</w:t>
            </w:r>
          </w:p>
        </w:tc>
        <w:tc>
          <w:tcPr>
            <w:tcW w:w="1479" w:type="dxa"/>
            <w:noWrap/>
            <w:vAlign w:val="top"/>
          </w:tcPr>
          <w:p w14:paraId="2679F5A0" w14:textId="1C7FCDE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4.12</w:t>
            </w:r>
          </w:p>
        </w:tc>
        <w:tc>
          <w:tcPr>
            <w:tcW w:w="1440" w:type="dxa"/>
            <w:noWrap/>
            <w:vAlign w:val="top"/>
          </w:tcPr>
          <w:p w14:paraId="2FD0C9BA" w14:textId="53B24F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8.64</w:t>
            </w:r>
          </w:p>
        </w:tc>
        <w:tc>
          <w:tcPr>
            <w:tcW w:w="1530" w:type="dxa"/>
            <w:noWrap/>
            <w:vAlign w:val="top"/>
          </w:tcPr>
          <w:p w14:paraId="77D7ACCC" w14:textId="0EA77DE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47.7%</w:t>
            </w:r>
          </w:p>
        </w:tc>
        <w:tc>
          <w:tcPr>
            <w:tcW w:w="1440" w:type="dxa"/>
            <w:noWrap/>
            <w:vAlign w:val="top"/>
          </w:tcPr>
          <w:p w14:paraId="280D1236" w14:textId="53F5A8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5.86</w:t>
            </w:r>
          </w:p>
        </w:tc>
        <w:tc>
          <w:tcPr>
            <w:tcW w:w="1440" w:type="dxa"/>
            <w:noWrap/>
            <w:vAlign w:val="top"/>
          </w:tcPr>
          <w:p w14:paraId="18805E16" w14:textId="463A016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11.40</w:t>
            </w:r>
          </w:p>
        </w:tc>
        <w:tc>
          <w:tcPr>
            <w:tcW w:w="1440" w:type="dxa"/>
            <w:noWrap/>
            <w:vAlign w:val="top"/>
          </w:tcPr>
          <w:p w14:paraId="0FA63BE0" w14:textId="35B8421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51.4%</w:t>
            </w:r>
          </w:p>
        </w:tc>
      </w:tr>
      <w:tr w:rsidR="00AF5B5B" w:rsidRPr="006253A9" w14:paraId="18CAB2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E7B8F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0022</w:t>
            </w:r>
          </w:p>
        </w:tc>
        <w:tc>
          <w:tcPr>
            <w:tcW w:w="2880" w:type="dxa"/>
            <w:noWrap/>
            <w:hideMark/>
          </w:tcPr>
          <w:p w14:paraId="5CB0EA1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Becket</w:t>
            </w:r>
          </w:p>
        </w:tc>
        <w:tc>
          <w:tcPr>
            <w:tcW w:w="1479" w:type="dxa"/>
            <w:noWrap/>
            <w:vAlign w:val="top"/>
          </w:tcPr>
          <w:p w14:paraId="0A129F27" w14:textId="43148EF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2.08</w:t>
            </w:r>
          </w:p>
        </w:tc>
        <w:tc>
          <w:tcPr>
            <w:tcW w:w="1440" w:type="dxa"/>
            <w:noWrap/>
            <w:vAlign w:val="top"/>
          </w:tcPr>
          <w:p w14:paraId="07704043" w14:textId="71A7CF8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4.55</w:t>
            </w:r>
          </w:p>
        </w:tc>
        <w:tc>
          <w:tcPr>
            <w:tcW w:w="1530" w:type="dxa"/>
            <w:noWrap/>
            <w:vAlign w:val="top"/>
          </w:tcPr>
          <w:p w14:paraId="785DFA71" w14:textId="4FD655D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45.7%</w:t>
            </w:r>
          </w:p>
        </w:tc>
        <w:tc>
          <w:tcPr>
            <w:tcW w:w="1440" w:type="dxa"/>
            <w:noWrap/>
            <w:vAlign w:val="top"/>
          </w:tcPr>
          <w:p w14:paraId="485DB26B" w14:textId="6FF7F0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2.40</w:t>
            </w:r>
          </w:p>
        </w:tc>
        <w:tc>
          <w:tcPr>
            <w:tcW w:w="1440" w:type="dxa"/>
            <w:noWrap/>
            <w:vAlign w:val="top"/>
          </w:tcPr>
          <w:p w14:paraId="4D9285F7" w14:textId="6BB4526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6.33</w:t>
            </w:r>
          </w:p>
        </w:tc>
        <w:tc>
          <w:tcPr>
            <w:tcW w:w="1440" w:type="dxa"/>
            <w:noWrap/>
            <w:vAlign w:val="top"/>
          </w:tcPr>
          <w:p w14:paraId="092A3F6F" w14:textId="0163B56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37.9%</w:t>
            </w:r>
          </w:p>
        </w:tc>
      </w:tr>
      <w:tr w:rsidR="00AF5B5B" w:rsidRPr="006253A9" w14:paraId="59BADB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1E5BE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0023</w:t>
            </w:r>
          </w:p>
        </w:tc>
        <w:tc>
          <w:tcPr>
            <w:tcW w:w="2880" w:type="dxa"/>
            <w:noWrap/>
            <w:hideMark/>
          </w:tcPr>
          <w:p w14:paraId="2EB9181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Bedford</w:t>
            </w:r>
          </w:p>
        </w:tc>
        <w:tc>
          <w:tcPr>
            <w:tcW w:w="1479" w:type="dxa"/>
            <w:noWrap/>
            <w:vAlign w:val="top"/>
          </w:tcPr>
          <w:p w14:paraId="0DDF1742" w14:textId="03B682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30.21</w:t>
            </w:r>
          </w:p>
        </w:tc>
        <w:tc>
          <w:tcPr>
            <w:tcW w:w="1440" w:type="dxa"/>
            <w:noWrap/>
            <w:vAlign w:val="top"/>
          </w:tcPr>
          <w:p w14:paraId="428C0915" w14:textId="4817A19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64.30</w:t>
            </w:r>
          </w:p>
        </w:tc>
        <w:tc>
          <w:tcPr>
            <w:tcW w:w="1530" w:type="dxa"/>
            <w:noWrap/>
            <w:vAlign w:val="top"/>
          </w:tcPr>
          <w:p w14:paraId="114536C2" w14:textId="6D95C88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47.0%</w:t>
            </w:r>
          </w:p>
        </w:tc>
        <w:tc>
          <w:tcPr>
            <w:tcW w:w="1440" w:type="dxa"/>
            <w:noWrap/>
            <w:vAlign w:val="top"/>
          </w:tcPr>
          <w:p w14:paraId="275278EF" w14:textId="18D0F0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47.65</w:t>
            </w:r>
          </w:p>
        </w:tc>
        <w:tc>
          <w:tcPr>
            <w:tcW w:w="1440" w:type="dxa"/>
            <w:noWrap/>
            <w:vAlign w:val="top"/>
          </w:tcPr>
          <w:p w14:paraId="21F6351A" w14:textId="22A029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97.49</w:t>
            </w:r>
          </w:p>
        </w:tc>
        <w:tc>
          <w:tcPr>
            <w:tcW w:w="1440" w:type="dxa"/>
            <w:noWrap/>
            <w:vAlign w:val="top"/>
          </w:tcPr>
          <w:p w14:paraId="7D5FFCD6" w14:textId="6FF148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48.9%</w:t>
            </w:r>
          </w:p>
        </w:tc>
      </w:tr>
      <w:tr w:rsidR="00AF5B5B" w:rsidRPr="006253A9" w14:paraId="0DD4D65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08B367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0024</w:t>
            </w:r>
          </w:p>
        </w:tc>
        <w:tc>
          <w:tcPr>
            <w:tcW w:w="2880" w:type="dxa"/>
            <w:noWrap/>
            <w:hideMark/>
          </w:tcPr>
          <w:p w14:paraId="27B58EA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Belchertown</w:t>
            </w:r>
          </w:p>
        </w:tc>
        <w:tc>
          <w:tcPr>
            <w:tcW w:w="1479" w:type="dxa"/>
            <w:noWrap/>
            <w:vAlign w:val="top"/>
          </w:tcPr>
          <w:p w14:paraId="7B2DAC33" w14:textId="05BF8BF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22.05</w:t>
            </w:r>
          </w:p>
        </w:tc>
        <w:tc>
          <w:tcPr>
            <w:tcW w:w="1440" w:type="dxa"/>
            <w:noWrap/>
            <w:vAlign w:val="top"/>
          </w:tcPr>
          <w:p w14:paraId="22340815" w14:textId="155C031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39.11</w:t>
            </w:r>
          </w:p>
        </w:tc>
        <w:tc>
          <w:tcPr>
            <w:tcW w:w="1530" w:type="dxa"/>
            <w:noWrap/>
            <w:vAlign w:val="top"/>
          </w:tcPr>
          <w:p w14:paraId="4126C24E" w14:textId="1E6EB0A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c>
          <w:tcPr>
            <w:tcW w:w="1440" w:type="dxa"/>
            <w:noWrap/>
            <w:vAlign w:val="top"/>
          </w:tcPr>
          <w:p w14:paraId="06F8F86A" w14:textId="17BB19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31.02</w:t>
            </w:r>
          </w:p>
        </w:tc>
        <w:tc>
          <w:tcPr>
            <w:tcW w:w="1440" w:type="dxa"/>
            <w:noWrap/>
            <w:vAlign w:val="top"/>
          </w:tcPr>
          <w:p w14:paraId="185EB854" w14:textId="22FEF2C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54.45</w:t>
            </w:r>
          </w:p>
        </w:tc>
        <w:tc>
          <w:tcPr>
            <w:tcW w:w="1440" w:type="dxa"/>
            <w:noWrap/>
            <w:vAlign w:val="top"/>
          </w:tcPr>
          <w:p w14:paraId="04D21C60" w14:textId="39200DA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r>
      <w:tr w:rsidR="00AF5B5B" w:rsidRPr="006253A9" w14:paraId="2958E4A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930286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0025</w:t>
            </w:r>
          </w:p>
        </w:tc>
        <w:tc>
          <w:tcPr>
            <w:tcW w:w="2880" w:type="dxa"/>
            <w:noWrap/>
            <w:hideMark/>
          </w:tcPr>
          <w:p w14:paraId="078A5B2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Bellingham</w:t>
            </w:r>
          </w:p>
        </w:tc>
        <w:tc>
          <w:tcPr>
            <w:tcW w:w="1479" w:type="dxa"/>
            <w:noWrap/>
            <w:vAlign w:val="top"/>
          </w:tcPr>
          <w:p w14:paraId="61D86E77" w14:textId="5371E2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23.90</w:t>
            </w:r>
          </w:p>
        </w:tc>
        <w:tc>
          <w:tcPr>
            <w:tcW w:w="1440" w:type="dxa"/>
            <w:noWrap/>
            <w:vAlign w:val="top"/>
          </w:tcPr>
          <w:p w14:paraId="4712B002" w14:textId="1E1E8F4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46.85</w:t>
            </w:r>
          </w:p>
        </w:tc>
        <w:tc>
          <w:tcPr>
            <w:tcW w:w="1530" w:type="dxa"/>
            <w:noWrap/>
            <w:vAlign w:val="top"/>
          </w:tcPr>
          <w:p w14:paraId="32F72255" w14:textId="7FAEA62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51.0%</w:t>
            </w:r>
          </w:p>
        </w:tc>
        <w:tc>
          <w:tcPr>
            <w:tcW w:w="1440" w:type="dxa"/>
            <w:noWrap/>
            <w:vAlign w:val="top"/>
          </w:tcPr>
          <w:p w14:paraId="4DECD60B" w14:textId="2CB3932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35.11</w:t>
            </w:r>
          </w:p>
        </w:tc>
        <w:tc>
          <w:tcPr>
            <w:tcW w:w="1440" w:type="dxa"/>
            <w:noWrap/>
            <w:vAlign w:val="top"/>
          </w:tcPr>
          <w:p w14:paraId="11DC428F" w14:textId="18E775E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67.02</w:t>
            </w:r>
          </w:p>
        </w:tc>
        <w:tc>
          <w:tcPr>
            <w:tcW w:w="1440" w:type="dxa"/>
            <w:noWrap/>
            <w:vAlign w:val="top"/>
          </w:tcPr>
          <w:p w14:paraId="49F22444" w14:textId="3788D99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r>
      <w:tr w:rsidR="00AF5B5B" w:rsidRPr="006253A9" w14:paraId="7962C6F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248D33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0026</w:t>
            </w:r>
          </w:p>
        </w:tc>
        <w:tc>
          <w:tcPr>
            <w:tcW w:w="2880" w:type="dxa"/>
            <w:noWrap/>
            <w:hideMark/>
          </w:tcPr>
          <w:p w14:paraId="4EDC3BE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Belmont</w:t>
            </w:r>
          </w:p>
        </w:tc>
        <w:tc>
          <w:tcPr>
            <w:tcW w:w="1479" w:type="dxa"/>
            <w:noWrap/>
            <w:vAlign w:val="top"/>
          </w:tcPr>
          <w:p w14:paraId="71F1D81D" w14:textId="5DC670C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34.79</w:t>
            </w:r>
          </w:p>
        </w:tc>
        <w:tc>
          <w:tcPr>
            <w:tcW w:w="1440" w:type="dxa"/>
            <w:noWrap/>
            <w:vAlign w:val="top"/>
          </w:tcPr>
          <w:p w14:paraId="65FCC545" w14:textId="74A01F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71.25</w:t>
            </w:r>
          </w:p>
        </w:tc>
        <w:tc>
          <w:tcPr>
            <w:tcW w:w="1530" w:type="dxa"/>
            <w:noWrap/>
            <w:vAlign w:val="top"/>
          </w:tcPr>
          <w:p w14:paraId="2D28E845" w14:textId="56CEA03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48.8%</w:t>
            </w:r>
          </w:p>
        </w:tc>
        <w:tc>
          <w:tcPr>
            <w:tcW w:w="1440" w:type="dxa"/>
            <w:noWrap/>
            <w:vAlign w:val="top"/>
          </w:tcPr>
          <w:p w14:paraId="156370BE" w14:textId="0337081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61.30</w:t>
            </w:r>
          </w:p>
        </w:tc>
        <w:tc>
          <w:tcPr>
            <w:tcW w:w="1440" w:type="dxa"/>
            <w:noWrap/>
            <w:vAlign w:val="top"/>
          </w:tcPr>
          <w:p w14:paraId="22E8DC0D" w14:textId="123601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124.77</w:t>
            </w:r>
          </w:p>
        </w:tc>
        <w:tc>
          <w:tcPr>
            <w:tcW w:w="1440" w:type="dxa"/>
            <w:noWrap/>
            <w:vAlign w:val="top"/>
          </w:tcPr>
          <w:p w14:paraId="5A4EACF2" w14:textId="591846F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49.1%</w:t>
            </w:r>
          </w:p>
        </w:tc>
      </w:tr>
      <w:tr w:rsidR="00AF5B5B" w:rsidRPr="006253A9" w14:paraId="52074A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D78861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0027</w:t>
            </w:r>
          </w:p>
        </w:tc>
        <w:tc>
          <w:tcPr>
            <w:tcW w:w="2880" w:type="dxa"/>
            <w:noWrap/>
            <w:hideMark/>
          </w:tcPr>
          <w:p w14:paraId="73BC0FD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Berkley</w:t>
            </w:r>
          </w:p>
        </w:tc>
        <w:tc>
          <w:tcPr>
            <w:tcW w:w="1479" w:type="dxa"/>
            <w:noWrap/>
            <w:vAlign w:val="top"/>
          </w:tcPr>
          <w:p w14:paraId="10B7B65F" w14:textId="5A0782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9.69</w:t>
            </w:r>
          </w:p>
        </w:tc>
        <w:tc>
          <w:tcPr>
            <w:tcW w:w="1440" w:type="dxa"/>
            <w:noWrap/>
            <w:vAlign w:val="top"/>
          </w:tcPr>
          <w:p w14:paraId="72DC0E49" w14:textId="28A7D1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15.15</w:t>
            </w:r>
          </w:p>
        </w:tc>
        <w:tc>
          <w:tcPr>
            <w:tcW w:w="1530" w:type="dxa"/>
            <w:noWrap/>
            <w:vAlign w:val="top"/>
          </w:tcPr>
          <w:p w14:paraId="7F1CF410" w14:textId="09FEFCD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63.9%</w:t>
            </w:r>
          </w:p>
        </w:tc>
        <w:tc>
          <w:tcPr>
            <w:tcW w:w="1440" w:type="dxa"/>
            <w:noWrap/>
            <w:vAlign w:val="top"/>
          </w:tcPr>
          <w:p w14:paraId="14CBF93C" w14:textId="3728247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12.76</w:t>
            </w:r>
          </w:p>
        </w:tc>
        <w:tc>
          <w:tcPr>
            <w:tcW w:w="1440" w:type="dxa"/>
            <w:noWrap/>
            <w:vAlign w:val="top"/>
          </w:tcPr>
          <w:p w14:paraId="70252A2B" w14:textId="41020B1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23.26</w:t>
            </w:r>
          </w:p>
        </w:tc>
        <w:tc>
          <w:tcPr>
            <w:tcW w:w="1440" w:type="dxa"/>
            <w:noWrap/>
            <w:vAlign w:val="top"/>
          </w:tcPr>
          <w:p w14:paraId="5CCF9660" w14:textId="233A073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54.9%</w:t>
            </w:r>
          </w:p>
        </w:tc>
      </w:tr>
      <w:tr w:rsidR="00AF5B5B" w:rsidRPr="006253A9" w14:paraId="0479D11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CE035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0028</w:t>
            </w:r>
          </w:p>
        </w:tc>
        <w:tc>
          <w:tcPr>
            <w:tcW w:w="2880" w:type="dxa"/>
            <w:noWrap/>
            <w:hideMark/>
          </w:tcPr>
          <w:p w14:paraId="06635BD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Berlin</w:t>
            </w:r>
          </w:p>
        </w:tc>
        <w:tc>
          <w:tcPr>
            <w:tcW w:w="1479" w:type="dxa"/>
            <w:noWrap/>
            <w:vAlign w:val="top"/>
          </w:tcPr>
          <w:p w14:paraId="2CC7910A" w14:textId="267953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4.56</w:t>
            </w:r>
          </w:p>
        </w:tc>
        <w:tc>
          <w:tcPr>
            <w:tcW w:w="1440" w:type="dxa"/>
            <w:noWrap/>
            <w:vAlign w:val="top"/>
          </w:tcPr>
          <w:p w14:paraId="7F13F41C" w14:textId="45D314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8.64</w:t>
            </w:r>
          </w:p>
        </w:tc>
        <w:tc>
          <w:tcPr>
            <w:tcW w:w="1530" w:type="dxa"/>
            <w:noWrap/>
            <w:vAlign w:val="top"/>
          </w:tcPr>
          <w:p w14:paraId="3B88E150" w14:textId="1346FDE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52.8%</w:t>
            </w:r>
          </w:p>
        </w:tc>
        <w:tc>
          <w:tcPr>
            <w:tcW w:w="1440" w:type="dxa"/>
            <w:noWrap/>
            <w:vAlign w:val="top"/>
          </w:tcPr>
          <w:p w14:paraId="0D389FBE" w14:textId="5BE73B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6.64</w:t>
            </w:r>
          </w:p>
        </w:tc>
        <w:tc>
          <w:tcPr>
            <w:tcW w:w="1440" w:type="dxa"/>
            <w:noWrap/>
            <w:vAlign w:val="top"/>
          </w:tcPr>
          <w:p w14:paraId="50550228" w14:textId="6AD7C15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13.38</w:t>
            </w:r>
          </w:p>
        </w:tc>
        <w:tc>
          <w:tcPr>
            <w:tcW w:w="1440" w:type="dxa"/>
            <w:noWrap/>
            <w:vAlign w:val="top"/>
          </w:tcPr>
          <w:p w14:paraId="684092F8" w14:textId="7D19E21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49.6%</w:t>
            </w:r>
          </w:p>
        </w:tc>
      </w:tr>
      <w:tr w:rsidR="00AF5B5B" w:rsidRPr="006253A9" w14:paraId="24E018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56C23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0029</w:t>
            </w:r>
          </w:p>
        </w:tc>
        <w:tc>
          <w:tcPr>
            <w:tcW w:w="2880" w:type="dxa"/>
            <w:noWrap/>
            <w:hideMark/>
          </w:tcPr>
          <w:p w14:paraId="2B65523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Bernardston</w:t>
            </w:r>
          </w:p>
        </w:tc>
        <w:tc>
          <w:tcPr>
            <w:tcW w:w="1479" w:type="dxa"/>
            <w:noWrap/>
            <w:vAlign w:val="top"/>
          </w:tcPr>
          <w:p w14:paraId="690F84C2" w14:textId="5E99E3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2.41</w:t>
            </w:r>
          </w:p>
        </w:tc>
        <w:tc>
          <w:tcPr>
            <w:tcW w:w="1440" w:type="dxa"/>
            <w:noWrap/>
            <w:vAlign w:val="top"/>
          </w:tcPr>
          <w:p w14:paraId="1364E796" w14:textId="7F3C380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4.01</w:t>
            </w:r>
          </w:p>
        </w:tc>
        <w:tc>
          <w:tcPr>
            <w:tcW w:w="1530" w:type="dxa"/>
            <w:noWrap/>
            <w:vAlign w:val="top"/>
          </w:tcPr>
          <w:p w14:paraId="2115288E" w14:textId="3D96F44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60.2%</w:t>
            </w:r>
          </w:p>
        </w:tc>
        <w:tc>
          <w:tcPr>
            <w:tcW w:w="1440" w:type="dxa"/>
            <w:noWrap/>
            <w:vAlign w:val="top"/>
          </w:tcPr>
          <w:p w14:paraId="43C198DE" w14:textId="144558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3.72</w:t>
            </w:r>
          </w:p>
        </w:tc>
        <w:tc>
          <w:tcPr>
            <w:tcW w:w="1440" w:type="dxa"/>
            <w:noWrap/>
            <w:vAlign w:val="top"/>
          </w:tcPr>
          <w:p w14:paraId="751248D9" w14:textId="57CFF4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5.77</w:t>
            </w:r>
          </w:p>
        </w:tc>
        <w:tc>
          <w:tcPr>
            <w:tcW w:w="1440" w:type="dxa"/>
            <w:noWrap/>
            <w:vAlign w:val="top"/>
          </w:tcPr>
          <w:p w14:paraId="5981A29E" w14:textId="07DBF3C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64.4%</w:t>
            </w:r>
          </w:p>
        </w:tc>
      </w:tr>
      <w:tr w:rsidR="00AF5B5B" w:rsidRPr="006253A9" w14:paraId="2F53EE1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1C41C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0030</w:t>
            </w:r>
          </w:p>
        </w:tc>
        <w:tc>
          <w:tcPr>
            <w:tcW w:w="2880" w:type="dxa"/>
            <w:noWrap/>
            <w:hideMark/>
          </w:tcPr>
          <w:p w14:paraId="0B136E5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Beverly</w:t>
            </w:r>
          </w:p>
        </w:tc>
        <w:tc>
          <w:tcPr>
            <w:tcW w:w="1479" w:type="dxa"/>
            <w:noWrap/>
            <w:vAlign w:val="top"/>
          </w:tcPr>
          <w:p w14:paraId="037CE8A9" w14:textId="7CA83D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47.16</w:t>
            </w:r>
          </w:p>
        </w:tc>
        <w:tc>
          <w:tcPr>
            <w:tcW w:w="1440" w:type="dxa"/>
            <w:noWrap/>
            <w:vAlign w:val="top"/>
          </w:tcPr>
          <w:p w14:paraId="69F641D5" w14:textId="34C2D4E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95.81</w:t>
            </w:r>
          </w:p>
        </w:tc>
        <w:tc>
          <w:tcPr>
            <w:tcW w:w="1530" w:type="dxa"/>
            <w:noWrap/>
            <w:vAlign w:val="top"/>
          </w:tcPr>
          <w:p w14:paraId="27486930" w14:textId="0E5F60D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49.2%</w:t>
            </w:r>
          </w:p>
        </w:tc>
        <w:tc>
          <w:tcPr>
            <w:tcW w:w="1440" w:type="dxa"/>
            <w:noWrap/>
            <w:vAlign w:val="top"/>
          </w:tcPr>
          <w:p w14:paraId="1FF823FE" w14:textId="0A2FB4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63.49</w:t>
            </w:r>
          </w:p>
        </w:tc>
        <w:tc>
          <w:tcPr>
            <w:tcW w:w="1440" w:type="dxa"/>
            <w:noWrap/>
            <w:vAlign w:val="top"/>
          </w:tcPr>
          <w:p w14:paraId="0D897AAD" w14:textId="7AA6340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134.63</w:t>
            </w:r>
          </w:p>
        </w:tc>
        <w:tc>
          <w:tcPr>
            <w:tcW w:w="1440" w:type="dxa"/>
            <w:noWrap/>
            <w:vAlign w:val="top"/>
          </w:tcPr>
          <w:p w14:paraId="6E34098C" w14:textId="5B5D348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r>
      <w:tr w:rsidR="00AF5B5B" w:rsidRPr="006253A9" w14:paraId="184855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E155D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0031</w:t>
            </w:r>
          </w:p>
        </w:tc>
        <w:tc>
          <w:tcPr>
            <w:tcW w:w="2880" w:type="dxa"/>
            <w:noWrap/>
            <w:hideMark/>
          </w:tcPr>
          <w:p w14:paraId="7CA744D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Billerica</w:t>
            </w:r>
          </w:p>
        </w:tc>
        <w:tc>
          <w:tcPr>
            <w:tcW w:w="1479" w:type="dxa"/>
            <w:noWrap/>
            <w:vAlign w:val="top"/>
          </w:tcPr>
          <w:p w14:paraId="3808D23C" w14:textId="0E1FBB8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65.48</w:t>
            </w:r>
          </w:p>
        </w:tc>
        <w:tc>
          <w:tcPr>
            <w:tcW w:w="1440" w:type="dxa"/>
            <w:noWrap/>
            <w:vAlign w:val="top"/>
          </w:tcPr>
          <w:p w14:paraId="45761174" w14:textId="02337A9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127.92</w:t>
            </w:r>
          </w:p>
        </w:tc>
        <w:tc>
          <w:tcPr>
            <w:tcW w:w="1530" w:type="dxa"/>
            <w:noWrap/>
            <w:vAlign w:val="top"/>
          </w:tcPr>
          <w:p w14:paraId="5D8857D2" w14:textId="1773E58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51.2%</w:t>
            </w:r>
          </w:p>
        </w:tc>
        <w:tc>
          <w:tcPr>
            <w:tcW w:w="1440" w:type="dxa"/>
            <w:noWrap/>
            <w:vAlign w:val="top"/>
          </w:tcPr>
          <w:p w14:paraId="529DF478" w14:textId="17DA8B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85.86</w:t>
            </w:r>
          </w:p>
        </w:tc>
        <w:tc>
          <w:tcPr>
            <w:tcW w:w="1440" w:type="dxa"/>
            <w:noWrap/>
            <w:vAlign w:val="top"/>
          </w:tcPr>
          <w:p w14:paraId="10B88FFD" w14:textId="1A3C4BE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178.64</w:t>
            </w:r>
          </w:p>
        </w:tc>
        <w:tc>
          <w:tcPr>
            <w:tcW w:w="1440" w:type="dxa"/>
            <w:noWrap/>
            <w:vAlign w:val="top"/>
          </w:tcPr>
          <w:p w14:paraId="1378A212" w14:textId="1402591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48.1%</w:t>
            </w:r>
          </w:p>
        </w:tc>
      </w:tr>
      <w:tr w:rsidR="00AF5B5B" w:rsidRPr="006253A9" w14:paraId="22C2C00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A008F9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0032</w:t>
            </w:r>
          </w:p>
        </w:tc>
        <w:tc>
          <w:tcPr>
            <w:tcW w:w="2880" w:type="dxa"/>
            <w:noWrap/>
            <w:hideMark/>
          </w:tcPr>
          <w:p w14:paraId="7292029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Blackstone</w:t>
            </w:r>
          </w:p>
        </w:tc>
        <w:tc>
          <w:tcPr>
            <w:tcW w:w="1479" w:type="dxa"/>
            <w:noWrap/>
            <w:vAlign w:val="top"/>
          </w:tcPr>
          <w:p w14:paraId="6679B65D" w14:textId="544537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7.19</w:t>
            </w:r>
          </w:p>
        </w:tc>
        <w:tc>
          <w:tcPr>
            <w:tcW w:w="1440" w:type="dxa"/>
            <w:noWrap/>
            <w:vAlign w:val="top"/>
          </w:tcPr>
          <w:p w14:paraId="6655FC74" w14:textId="5E2A8B5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17.08</w:t>
            </w:r>
          </w:p>
        </w:tc>
        <w:tc>
          <w:tcPr>
            <w:tcW w:w="1530" w:type="dxa"/>
            <w:noWrap/>
            <w:vAlign w:val="top"/>
          </w:tcPr>
          <w:p w14:paraId="0BC2D2D9" w14:textId="02F9D4E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42.1%</w:t>
            </w:r>
          </w:p>
        </w:tc>
        <w:tc>
          <w:tcPr>
            <w:tcW w:w="1440" w:type="dxa"/>
            <w:noWrap/>
            <w:vAlign w:val="top"/>
          </w:tcPr>
          <w:p w14:paraId="4C1F871A" w14:textId="4D8E9B8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10.35</w:t>
            </w:r>
          </w:p>
        </w:tc>
        <w:tc>
          <w:tcPr>
            <w:tcW w:w="1440" w:type="dxa"/>
            <w:noWrap/>
            <w:vAlign w:val="top"/>
          </w:tcPr>
          <w:p w14:paraId="708EDA17" w14:textId="5EB7FEC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23.95</w:t>
            </w:r>
          </w:p>
        </w:tc>
        <w:tc>
          <w:tcPr>
            <w:tcW w:w="1440" w:type="dxa"/>
            <w:noWrap/>
            <w:vAlign w:val="top"/>
          </w:tcPr>
          <w:p w14:paraId="3351A8E8" w14:textId="63DD5E3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43.2%</w:t>
            </w:r>
          </w:p>
        </w:tc>
      </w:tr>
      <w:tr w:rsidR="00AF5B5B" w:rsidRPr="006253A9" w14:paraId="5A45751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4E4C2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0033</w:t>
            </w:r>
          </w:p>
        </w:tc>
        <w:tc>
          <w:tcPr>
            <w:tcW w:w="2880" w:type="dxa"/>
            <w:noWrap/>
            <w:hideMark/>
          </w:tcPr>
          <w:p w14:paraId="6ACB313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Blandford</w:t>
            </w:r>
          </w:p>
        </w:tc>
        <w:tc>
          <w:tcPr>
            <w:tcW w:w="1479" w:type="dxa"/>
            <w:noWrap/>
            <w:vAlign w:val="top"/>
          </w:tcPr>
          <w:p w14:paraId="102B7FF8" w14:textId="03509C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1.40</w:t>
            </w:r>
          </w:p>
        </w:tc>
        <w:tc>
          <w:tcPr>
            <w:tcW w:w="1440" w:type="dxa"/>
            <w:noWrap/>
            <w:vAlign w:val="top"/>
          </w:tcPr>
          <w:p w14:paraId="6FD90C1B" w14:textId="2E2D7BA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2.43</w:t>
            </w:r>
          </w:p>
        </w:tc>
        <w:tc>
          <w:tcPr>
            <w:tcW w:w="1530" w:type="dxa"/>
            <w:noWrap/>
            <w:vAlign w:val="top"/>
          </w:tcPr>
          <w:p w14:paraId="74B25ECB" w14:textId="316522E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57.5%</w:t>
            </w:r>
          </w:p>
        </w:tc>
        <w:tc>
          <w:tcPr>
            <w:tcW w:w="1440" w:type="dxa"/>
            <w:noWrap/>
            <w:vAlign w:val="top"/>
          </w:tcPr>
          <w:p w14:paraId="79EB7CAA" w14:textId="2C3964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1.63</w:t>
            </w:r>
          </w:p>
        </w:tc>
        <w:tc>
          <w:tcPr>
            <w:tcW w:w="1440" w:type="dxa"/>
            <w:noWrap/>
            <w:vAlign w:val="top"/>
          </w:tcPr>
          <w:p w14:paraId="5A1A8DC0" w14:textId="46D945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3.59</w:t>
            </w:r>
          </w:p>
        </w:tc>
        <w:tc>
          <w:tcPr>
            <w:tcW w:w="1440" w:type="dxa"/>
            <w:noWrap/>
            <w:vAlign w:val="top"/>
          </w:tcPr>
          <w:p w14:paraId="47BCF2AA" w14:textId="464D87D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45.4%</w:t>
            </w:r>
          </w:p>
        </w:tc>
      </w:tr>
      <w:tr w:rsidR="00AF5B5B" w:rsidRPr="006253A9" w14:paraId="53E309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AAA76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0034</w:t>
            </w:r>
          </w:p>
        </w:tc>
        <w:tc>
          <w:tcPr>
            <w:tcW w:w="2880" w:type="dxa"/>
            <w:noWrap/>
            <w:hideMark/>
          </w:tcPr>
          <w:p w14:paraId="6EE4503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Bolton</w:t>
            </w:r>
          </w:p>
        </w:tc>
        <w:tc>
          <w:tcPr>
            <w:tcW w:w="1479" w:type="dxa"/>
            <w:noWrap/>
            <w:vAlign w:val="top"/>
          </w:tcPr>
          <w:p w14:paraId="47E714BE" w14:textId="51A9383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9.90</w:t>
            </w:r>
          </w:p>
        </w:tc>
        <w:tc>
          <w:tcPr>
            <w:tcW w:w="1440" w:type="dxa"/>
            <w:noWrap/>
            <w:vAlign w:val="top"/>
          </w:tcPr>
          <w:p w14:paraId="07139C1C" w14:textId="6BFB08D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15.91</w:t>
            </w:r>
          </w:p>
        </w:tc>
        <w:tc>
          <w:tcPr>
            <w:tcW w:w="1530" w:type="dxa"/>
            <w:noWrap/>
            <w:vAlign w:val="top"/>
          </w:tcPr>
          <w:p w14:paraId="1658A4E8" w14:textId="4419BC6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62.2%</w:t>
            </w:r>
          </w:p>
        </w:tc>
        <w:tc>
          <w:tcPr>
            <w:tcW w:w="1440" w:type="dxa"/>
            <w:noWrap/>
            <w:vAlign w:val="top"/>
          </w:tcPr>
          <w:p w14:paraId="61BB1DBD" w14:textId="781F05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15.26</w:t>
            </w:r>
          </w:p>
        </w:tc>
        <w:tc>
          <w:tcPr>
            <w:tcW w:w="1440" w:type="dxa"/>
            <w:noWrap/>
            <w:vAlign w:val="top"/>
          </w:tcPr>
          <w:p w14:paraId="6270C41C" w14:textId="645E5F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28.47</w:t>
            </w:r>
          </w:p>
        </w:tc>
        <w:tc>
          <w:tcPr>
            <w:tcW w:w="1440" w:type="dxa"/>
            <w:noWrap/>
            <w:vAlign w:val="top"/>
          </w:tcPr>
          <w:p w14:paraId="1B2047F5" w14:textId="64A881C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53.6%</w:t>
            </w:r>
          </w:p>
        </w:tc>
      </w:tr>
      <w:tr w:rsidR="00AF5B5B" w:rsidRPr="006253A9" w14:paraId="708F52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E2F36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0035</w:t>
            </w:r>
          </w:p>
        </w:tc>
        <w:tc>
          <w:tcPr>
            <w:tcW w:w="2880" w:type="dxa"/>
            <w:noWrap/>
            <w:hideMark/>
          </w:tcPr>
          <w:p w14:paraId="68A0DF9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Boston</w:t>
            </w:r>
          </w:p>
        </w:tc>
        <w:tc>
          <w:tcPr>
            <w:tcW w:w="1479" w:type="dxa"/>
            <w:noWrap/>
            <w:vAlign w:val="top"/>
          </w:tcPr>
          <w:p w14:paraId="7EAF1CB0" w14:textId="26C0359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713.99</w:t>
            </w:r>
          </w:p>
        </w:tc>
        <w:tc>
          <w:tcPr>
            <w:tcW w:w="1440" w:type="dxa"/>
            <w:noWrap/>
            <w:vAlign w:val="top"/>
          </w:tcPr>
          <w:p w14:paraId="1EEC94E9" w14:textId="70526F9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2,138.26</w:t>
            </w:r>
          </w:p>
        </w:tc>
        <w:tc>
          <w:tcPr>
            <w:tcW w:w="1530" w:type="dxa"/>
            <w:noWrap/>
            <w:vAlign w:val="top"/>
          </w:tcPr>
          <w:p w14:paraId="7519639E" w14:textId="1C11B1F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33.4%</w:t>
            </w:r>
          </w:p>
        </w:tc>
        <w:tc>
          <w:tcPr>
            <w:tcW w:w="1440" w:type="dxa"/>
            <w:noWrap/>
            <w:vAlign w:val="top"/>
          </w:tcPr>
          <w:p w14:paraId="6A0F8E58" w14:textId="058BDA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1,188.86</w:t>
            </w:r>
          </w:p>
        </w:tc>
        <w:tc>
          <w:tcPr>
            <w:tcW w:w="1440" w:type="dxa"/>
            <w:noWrap/>
            <w:vAlign w:val="top"/>
          </w:tcPr>
          <w:p w14:paraId="71D4C02D" w14:textId="7AFC82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3,517.84</w:t>
            </w:r>
          </w:p>
        </w:tc>
        <w:tc>
          <w:tcPr>
            <w:tcW w:w="1440" w:type="dxa"/>
            <w:noWrap/>
            <w:vAlign w:val="top"/>
          </w:tcPr>
          <w:p w14:paraId="09DD6202" w14:textId="6A34820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33.8%</w:t>
            </w:r>
          </w:p>
        </w:tc>
      </w:tr>
      <w:tr w:rsidR="00AF5B5B" w:rsidRPr="006253A9" w14:paraId="177CC8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56B73A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0036</w:t>
            </w:r>
          </w:p>
        </w:tc>
        <w:tc>
          <w:tcPr>
            <w:tcW w:w="2880" w:type="dxa"/>
            <w:noWrap/>
            <w:hideMark/>
          </w:tcPr>
          <w:p w14:paraId="463FC4E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Bourne</w:t>
            </w:r>
          </w:p>
        </w:tc>
        <w:tc>
          <w:tcPr>
            <w:tcW w:w="1479" w:type="dxa"/>
            <w:noWrap/>
            <w:vAlign w:val="top"/>
          </w:tcPr>
          <w:p w14:paraId="17727EFC" w14:textId="576BF6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24.69</w:t>
            </w:r>
          </w:p>
        </w:tc>
        <w:tc>
          <w:tcPr>
            <w:tcW w:w="1440" w:type="dxa"/>
            <w:noWrap/>
            <w:vAlign w:val="top"/>
          </w:tcPr>
          <w:p w14:paraId="1E7E3695" w14:textId="364514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53.54</w:t>
            </w:r>
          </w:p>
        </w:tc>
        <w:tc>
          <w:tcPr>
            <w:tcW w:w="1530" w:type="dxa"/>
            <w:noWrap/>
            <w:vAlign w:val="top"/>
          </w:tcPr>
          <w:p w14:paraId="6B00ABF9" w14:textId="389E74A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46.1%</w:t>
            </w:r>
          </w:p>
        </w:tc>
        <w:tc>
          <w:tcPr>
            <w:tcW w:w="1440" w:type="dxa"/>
            <w:noWrap/>
            <w:vAlign w:val="top"/>
          </w:tcPr>
          <w:p w14:paraId="13D251FE" w14:textId="04F8A4A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32.02</w:t>
            </w:r>
          </w:p>
        </w:tc>
        <w:tc>
          <w:tcPr>
            <w:tcW w:w="1440" w:type="dxa"/>
            <w:noWrap/>
            <w:vAlign w:val="top"/>
          </w:tcPr>
          <w:p w14:paraId="06A02B5C" w14:textId="431A41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76.99</w:t>
            </w:r>
          </w:p>
        </w:tc>
        <w:tc>
          <w:tcPr>
            <w:tcW w:w="1440" w:type="dxa"/>
            <w:noWrap/>
            <w:vAlign w:val="top"/>
          </w:tcPr>
          <w:p w14:paraId="49AC10BC" w14:textId="6AAAB9C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41.6%</w:t>
            </w:r>
          </w:p>
        </w:tc>
      </w:tr>
      <w:tr w:rsidR="00AF5B5B" w:rsidRPr="006253A9" w14:paraId="3711AC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33457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0037</w:t>
            </w:r>
          </w:p>
        </w:tc>
        <w:tc>
          <w:tcPr>
            <w:tcW w:w="2880" w:type="dxa"/>
            <w:noWrap/>
            <w:hideMark/>
          </w:tcPr>
          <w:p w14:paraId="2EFDBFE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Boxborough</w:t>
            </w:r>
          </w:p>
        </w:tc>
        <w:tc>
          <w:tcPr>
            <w:tcW w:w="1479" w:type="dxa"/>
            <w:noWrap/>
            <w:vAlign w:val="top"/>
          </w:tcPr>
          <w:p w14:paraId="57B6CAB1" w14:textId="4555816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11.74</w:t>
            </w:r>
          </w:p>
        </w:tc>
        <w:tc>
          <w:tcPr>
            <w:tcW w:w="1440" w:type="dxa"/>
            <w:noWrap/>
            <w:vAlign w:val="top"/>
          </w:tcPr>
          <w:p w14:paraId="1A8ACBBC" w14:textId="1220864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18.53</w:t>
            </w:r>
          </w:p>
        </w:tc>
        <w:tc>
          <w:tcPr>
            <w:tcW w:w="1530" w:type="dxa"/>
            <w:noWrap/>
            <w:vAlign w:val="top"/>
          </w:tcPr>
          <w:p w14:paraId="59B6A032" w14:textId="2F9A5C7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63.4%</w:t>
            </w:r>
          </w:p>
        </w:tc>
        <w:tc>
          <w:tcPr>
            <w:tcW w:w="1440" w:type="dxa"/>
            <w:noWrap/>
            <w:vAlign w:val="top"/>
          </w:tcPr>
          <w:p w14:paraId="4E2C8125" w14:textId="10A3348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11.71</w:t>
            </w:r>
          </w:p>
        </w:tc>
        <w:tc>
          <w:tcPr>
            <w:tcW w:w="1440" w:type="dxa"/>
            <w:noWrap/>
            <w:vAlign w:val="top"/>
          </w:tcPr>
          <w:p w14:paraId="1C634043" w14:textId="21BF50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20.78</w:t>
            </w:r>
          </w:p>
        </w:tc>
        <w:tc>
          <w:tcPr>
            <w:tcW w:w="1440" w:type="dxa"/>
            <w:noWrap/>
            <w:vAlign w:val="top"/>
          </w:tcPr>
          <w:p w14:paraId="26A4F952" w14:textId="6E42498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56.3%</w:t>
            </w:r>
          </w:p>
        </w:tc>
      </w:tr>
      <w:tr w:rsidR="00AF5B5B" w:rsidRPr="006253A9" w14:paraId="3833E9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C14233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0038</w:t>
            </w:r>
          </w:p>
        </w:tc>
        <w:tc>
          <w:tcPr>
            <w:tcW w:w="2880" w:type="dxa"/>
            <w:noWrap/>
            <w:hideMark/>
          </w:tcPr>
          <w:p w14:paraId="6B96BD1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Boxford</w:t>
            </w:r>
          </w:p>
        </w:tc>
        <w:tc>
          <w:tcPr>
            <w:tcW w:w="1479" w:type="dxa"/>
            <w:noWrap/>
            <w:vAlign w:val="top"/>
          </w:tcPr>
          <w:p w14:paraId="10E19864" w14:textId="07A0218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15.95</w:t>
            </w:r>
          </w:p>
        </w:tc>
        <w:tc>
          <w:tcPr>
            <w:tcW w:w="1440" w:type="dxa"/>
            <w:noWrap/>
            <w:vAlign w:val="top"/>
          </w:tcPr>
          <w:p w14:paraId="399FF73D" w14:textId="47BA1EA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25.83</w:t>
            </w:r>
          </w:p>
        </w:tc>
        <w:tc>
          <w:tcPr>
            <w:tcW w:w="1530" w:type="dxa"/>
            <w:noWrap/>
            <w:vAlign w:val="top"/>
          </w:tcPr>
          <w:p w14:paraId="48DCC0DE" w14:textId="497A714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61.8%</w:t>
            </w:r>
          </w:p>
        </w:tc>
        <w:tc>
          <w:tcPr>
            <w:tcW w:w="1440" w:type="dxa"/>
            <w:noWrap/>
            <w:vAlign w:val="top"/>
          </w:tcPr>
          <w:p w14:paraId="57DFD917" w14:textId="3FC62C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23.77</w:t>
            </w:r>
          </w:p>
        </w:tc>
        <w:tc>
          <w:tcPr>
            <w:tcW w:w="1440" w:type="dxa"/>
            <w:noWrap/>
            <w:vAlign w:val="top"/>
          </w:tcPr>
          <w:p w14:paraId="41983C65" w14:textId="1EB7C4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35.90</w:t>
            </w:r>
          </w:p>
        </w:tc>
        <w:tc>
          <w:tcPr>
            <w:tcW w:w="1440" w:type="dxa"/>
            <w:noWrap/>
            <w:vAlign w:val="top"/>
          </w:tcPr>
          <w:p w14:paraId="0851BDE5" w14:textId="310EA48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66.2%</w:t>
            </w:r>
          </w:p>
        </w:tc>
      </w:tr>
      <w:tr w:rsidR="00AF5B5B" w:rsidRPr="006253A9" w14:paraId="7EC694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A90475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0039</w:t>
            </w:r>
          </w:p>
        </w:tc>
        <w:tc>
          <w:tcPr>
            <w:tcW w:w="2880" w:type="dxa"/>
            <w:noWrap/>
            <w:hideMark/>
          </w:tcPr>
          <w:p w14:paraId="4C0D5E3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Boylston</w:t>
            </w:r>
          </w:p>
        </w:tc>
        <w:tc>
          <w:tcPr>
            <w:tcW w:w="1479" w:type="dxa"/>
            <w:noWrap/>
            <w:vAlign w:val="top"/>
          </w:tcPr>
          <w:p w14:paraId="37E38798" w14:textId="122790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6.22</w:t>
            </w:r>
          </w:p>
        </w:tc>
        <w:tc>
          <w:tcPr>
            <w:tcW w:w="1440" w:type="dxa"/>
            <w:noWrap/>
            <w:vAlign w:val="top"/>
          </w:tcPr>
          <w:p w14:paraId="2ED5AD7C" w14:textId="5FF855A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11.31</w:t>
            </w:r>
          </w:p>
        </w:tc>
        <w:tc>
          <w:tcPr>
            <w:tcW w:w="1530" w:type="dxa"/>
            <w:noWrap/>
            <w:vAlign w:val="top"/>
          </w:tcPr>
          <w:p w14:paraId="566D2AAA" w14:textId="370BB9C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55.0%</w:t>
            </w:r>
          </w:p>
        </w:tc>
        <w:tc>
          <w:tcPr>
            <w:tcW w:w="1440" w:type="dxa"/>
            <w:noWrap/>
            <w:vAlign w:val="top"/>
          </w:tcPr>
          <w:p w14:paraId="350A9393" w14:textId="474B1E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9.78</w:t>
            </w:r>
          </w:p>
        </w:tc>
        <w:tc>
          <w:tcPr>
            <w:tcW w:w="1440" w:type="dxa"/>
            <w:noWrap/>
            <w:vAlign w:val="top"/>
          </w:tcPr>
          <w:p w14:paraId="71CC43BE" w14:textId="6C91CB8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16.66</w:t>
            </w:r>
          </w:p>
        </w:tc>
        <w:tc>
          <w:tcPr>
            <w:tcW w:w="1440" w:type="dxa"/>
            <w:noWrap/>
            <w:vAlign w:val="top"/>
          </w:tcPr>
          <w:p w14:paraId="444FCBF4" w14:textId="5A00728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58.7%</w:t>
            </w:r>
          </w:p>
        </w:tc>
      </w:tr>
      <w:tr w:rsidR="00AF5B5B" w:rsidRPr="006253A9" w14:paraId="7E4E9C2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34D506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0040</w:t>
            </w:r>
          </w:p>
        </w:tc>
        <w:tc>
          <w:tcPr>
            <w:tcW w:w="2880" w:type="dxa"/>
            <w:noWrap/>
            <w:hideMark/>
          </w:tcPr>
          <w:p w14:paraId="68131BC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Braintree</w:t>
            </w:r>
          </w:p>
        </w:tc>
        <w:tc>
          <w:tcPr>
            <w:tcW w:w="1479" w:type="dxa"/>
            <w:noWrap/>
            <w:vAlign w:val="top"/>
          </w:tcPr>
          <w:p w14:paraId="401D3AEB" w14:textId="7D358BE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46.24</w:t>
            </w:r>
          </w:p>
        </w:tc>
        <w:tc>
          <w:tcPr>
            <w:tcW w:w="1440" w:type="dxa"/>
            <w:noWrap/>
            <w:vAlign w:val="top"/>
          </w:tcPr>
          <w:p w14:paraId="3C6A27DB" w14:textId="08F952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88.10</w:t>
            </w:r>
          </w:p>
        </w:tc>
        <w:tc>
          <w:tcPr>
            <w:tcW w:w="1530" w:type="dxa"/>
            <w:noWrap/>
            <w:vAlign w:val="top"/>
          </w:tcPr>
          <w:p w14:paraId="4F87D845" w14:textId="0EB430F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52.5%</w:t>
            </w:r>
          </w:p>
        </w:tc>
        <w:tc>
          <w:tcPr>
            <w:tcW w:w="1440" w:type="dxa"/>
            <w:noWrap/>
            <w:vAlign w:val="top"/>
          </w:tcPr>
          <w:p w14:paraId="2980B57F" w14:textId="48676F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79.55</w:t>
            </w:r>
          </w:p>
        </w:tc>
        <w:tc>
          <w:tcPr>
            <w:tcW w:w="1440" w:type="dxa"/>
            <w:noWrap/>
            <w:vAlign w:val="top"/>
          </w:tcPr>
          <w:p w14:paraId="49BF883A" w14:textId="16B1CB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154.18</w:t>
            </w:r>
          </w:p>
        </w:tc>
        <w:tc>
          <w:tcPr>
            <w:tcW w:w="1440" w:type="dxa"/>
            <w:noWrap/>
            <w:vAlign w:val="top"/>
          </w:tcPr>
          <w:p w14:paraId="53D9F0A9" w14:textId="79C0B3D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r>
      <w:tr w:rsidR="00AF5B5B" w:rsidRPr="006253A9" w14:paraId="20FE087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C900C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0041</w:t>
            </w:r>
          </w:p>
        </w:tc>
        <w:tc>
          <w:tcPr>
            <w:tcW w:w="2880" w:type="dxa"/>
            <w:noWrap/>
            <w:hideMark/>
          </w:tcPr>
          <w:p w14:paraId="4230655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Brewster</w:t>
            </w:r>
          </w:p>
        </w:tc>
        <w:tc>
          <w:tcPr>
            <w:tcW w:w="1479" w:type="dxa"/>
            <w:noWrap/>
            <w:vAlign w:val="top"/>
          </w:tcPr>
          <w:p w14:paraId="55AD2654" w14:textId="3B832C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15.40</w:t>
            </w:r>
          </w:p>
        </w:tc>
        <w:tc>
          <w:tcPr>
            <w:tcW w:w="1440" w:type="dxa"/>
            <w:noWrap/>
            <w:vAlign w:val="top"/>
          </w:tcPr>
          <w:p w14:paraId="6EA44F49" w14:textId="1923EBC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33.62</w:t>
            </w:r>
          </w:p>
        </w:tc>
        <w:tc>
          <w:tcPr>
            <w:tcW w:w="1530" w:type="dxa"/>
            <w:noWrap/>
            <w:vAlign w:val="top"/>
          </w:tcPr>
          <w:p w14:paraId="30829D81" w14:textId="6B13EC3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45.8%</w:t>
            </w:r>
          </w:p>
        </w:tc>
        <w:tc>
          <w:tcPr>
            <w:tcW w:w="1440" w:type="dxa"/>
            <w:noWrap/>
            <w:vAlign w:val="top"/>
          </w:tcPr>
          <w:p w14:paraId="1DE12C9E" w14:textId="147E42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21.05</w:t>
            </w:r>
          </w:p>
        </w:tc>
        <w:tc>
          <w:tcPr>
            <w:tcW w:w="1440" w:type="dxa"/>
            <w:noWrap/>
            <w:vAlign w:val="top"/>
          </w:tcPr>
          <w:p w14:paraId="62795933" w14:textId="0FDC5B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42.79</w:t>
            </w:r>
          </w:p>
        </w:tc>
        <w:tc>
          <w:tcPr>
            <w:tcW w:w="1440" w:type="dxa"/>
            <w:noWrap/>
            <w:vAlign w:val="top"/>
          </w:tcPr>
          <w:p w14:paraId="645FF562" w14:textId="6C22369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49.2%</w:t>
            </w:r>
          </w:p>
        </w:tc>
      </w:tr>
      <w:tr w:rsidR="00AF5B5B" w:rsidRPr="006253A9" w14:paraId="7AC1791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C98A21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0042</w:t>
            </w:r>
          </w:p>
        </w:tc>
        <w:tc>
          <w:tcPr>
            <w:tcW w:w="2880" w:type="dxa"/>
            <w:noWrap/>
            <w:hideMark/>
          </w:tcPr>
          <w:p w14:paraId="1690124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Bridgewater</w:t>
            </w:r>
          </w:p>
        </w:tc>
        <w:tc>
          <w:tcPr>
            <w:tcW w:w="1479" w:type="dxa"/>
            <w:noWrap/>
            <w:vAlign w:val="top"/>
          </w:tcPr>
          <w:p w14:paraId="301AA655" w14:textId="61EF5E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19.26</w:t>
            </w:r>
          </w:p>
        </w:tc>
        <w:tc>
          <w:tcPr>
            <w:tcW w:w="1440" w:type="dxa"/>
            <w:noWrap/>
            <w:vAlign w:val="top"/>
          </w:tcPr>
          <w:p w14:paraId="096BD19D" w14:textId="025D7CD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37.32</w:t>
            </w:r>
          </w:p>
        </w:tc>
        <w:tc>
          <w:tcPr>
            <w:tcW w:w="1530" w:type="dxa"/>
            <w:noWrap/>
            <w:vAlign w:val="top"/>
          </w:tcPr>
          <w:p w14:paraId="0855397F" w14:textId="315353A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c>
          <w:tcPr>
            <w:tcW w:w="1440" w:type="dxa"/>
            <w:noWrap/>
            <w:vAlign w:val="top"/>
          </w:tcPr>
          <w:p w14:paraId="488B7F39" w14:textId="1D9724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32.27</w:t>
            </w:r>
          </w:p>
        </w:tc>
        <w:tc>
          <w:tcPr>
            <w:tcW w:w="1440" w:type="dxa"/>
            <w:noWrap/>
            <w:vAlign w:val="top"/>
          </w:tcPr>
          <w:p w14:paraId="2A9C8F7D" w14:textId="0816C0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61.76</w:t>
            </w:r>
          </w:p>
        </w:tc>
        <w:tc>
          <w:tcPr>
            <w:tcW w:w="1440" w:type="dxa"/>
            <w:noWrap/>
            <w:vAlign w:val="top"/>
          </w:tcPr>
          <w:p w14:paraId="533989D2" w14:textId="793A77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52.3%</w:t>
            </w:r>
          </w:p>
        </w:tc>
      </w:tr>
      <w:tr w:rsidR="00AF5B5B" w:rsidRPr="006253A9" w14:paraId="06160D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B4FF5B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0043</w:t>
            </w:r>
          </w:p>
        </w:tc>
        <w:tc>
          <w:tcPr>
            <w:tcW w:w="2880" w:type="dxa"/>
            <w:noWrap/>
            <w:hideMark/>
          </w:tcPr>
          <w:p w14:paraId="7591954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Brimfield</w:t>
            </w:r>
          </w:p>
        </w:tc>
        <w:tc>
          <w:tcPr>
            <w:tcW w:w="1479" w:type="dxa"/>
            <w:noWrap/>
            <w:vAlign w:val="top"/>
          </w:tcPr>
          <w:p w14:paraId="6D1919D0" w14:textId="73AA37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4.86</w:t>
            </w:r>
          </w:p>
        </w:tc>
        <w:tc>
          <w:tcPr>
            <w:tcW w:w="1440" w:type="dxa"/>
            <w:noWrap/>
            <w:vAlign w:val="top"/>
          </w:tcPr>
          <w:p w14:paraId="770029FC" w14:textId="5398844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7.65</w:t>
            </w:r>
          </w:p>
        </w:tc>
        <w:tc>
          <w:tcPr>
            <w:tcW w:w="1530" w:type="dxa"/>
            <w:noWrap/>
            <w:vAlign w:val="top"/>
          </w:tcPr>
          <w:p w14:paraId="5C579843" w14:textId="5672A80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63.5%</w:t>
            </w:r>
          </w:p>
        </w:tc>
        <w:tc>
          <w:tcPr>
            <w:tcW w:w="1440" w:type="dxa"/>
            <w:noWrap/>
            <w:vAlign w:val="top"/>
          </w:tcPr>
          <w:p w14:paraId="27793BF3" w14:textId="6A12C4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6.28</w:t>
            </w:r>
          </w:p>
        </w:tc>
        <w:tc>
          <w:tcPr>
            <w:tcW w:w="1440" w:type="dxa"/>
            <w:noWrap/>
            <w:vAlign w:val="top"/>
          </w:tcPr>
          <w:p w14:paraId="70FDAB8C" w14:textId="022769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10.26</w:t>
            </w:r>
          </w:p>
        </w:tc>
        <w:tc>
          <w:tcPr>
            <w:tcW w:w="1440" w:type="dxa"/>
            <w:noWrap/>
            <w:vAlign w:val="top"/>
          </w:tcPr>
          <w:p w14:paraId="4EAB04A2" w14:textId="65519A9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61.3%</w:t>
            </w:r>
          </w:p>
        </w:tc>
      </w:tr>
      <w:tr w:rsidR="00AF5B5B" w:rsidRPr="006253A9" w14:paraId="57E313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71CBA8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0044</w:t>
            </w:r>
          </w:p>
        </w:tc>
        <w:tc>
          <w:tcPr>
            <w:tcW w:w="2880" w:type="dxa"/>
            <w:noWrap/>
            <w:hideMark/>
          </w:tcPr>
          <w:p w14:paraId="442BCDD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Brockton</w:t>
            </w:r>
          </w:p>
        </w:tc>
        <w:tc>
          <w:tcPr>
            <w:tcW w:w="1479" w:type="dxa"/>
            <w:noWrap/>
            <w:vAlign w:val="top"/>
          </w:tcPr>
          <w:p w14:paraId="5F83946E" w14:textId="7E2713D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152.34</w:t>
            </w:r>
          </w:p>
        </w:tc>
        <w:tc>
          <w:tcPr>
            <w:tcW w:w="1440" w:type="dxa"/>
            <w:noWrap/>
            <w:vAlign w:val="top"/>
          </w:tcPr>
          <w:p w14:paraId="55E22111" w14:textId="2199525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278.59</w:t>
            </w:r>
          </w:p>
        </w:tc>
        <w:tc>
          <w:tcPr>
            <w:tcW w:w="1530" w:type="dxa"/>
            <w:noWrap/>
            <w:vAlign w:val="top"/>
          </w:tcPr>
          <w:p w14:paraId="5F1B7299" w14:textId="738E7B2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54.7%</w:t>
            </w:r>
          </w:p>
        </w:tc>
        <w:tc>
          <w:tcPr>
            <w:tcW w:w="1440" w:type="dxa"/>
            <w:noWrap/>
            <w:vAlign w:val="top"/>
          </w:tcPr>
          <w:p w14:paraId="3B08473A" w14:textId="10F5E2F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228.14</w:t>
            </w:r>
          </w:p>
        </w:tc>
        <w:tc>
          <w:tcPr>
            <w:tcW w:w="1440" w:type="dxa"/>
            <w:noWrap/>
            <w:vAlign w:val="top"/>
          </w:tcPr>
          <w:p w14:paraId="47A14846" w14:textId="6306255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422.87</w:t>
            </w:r>
          </w:p>
        </w:tc>
        <w:tc>
          <w:tcPr>
            <w:tcW w:w="1440" w:type="dxa"/>
            <w:noWrap/>
            <w:vAlign w:val="top"/>
          </w:tcPr>
          <w:p w14:paraId="115E74DB" w14:textId="36D2F51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53.9%</w:t>
            </w:r>
          </w:p>
        </w:tc>
      </w:tr>
      <w:tr w:rsidR="00AF5B5B" w:rsidRPr="006253A9" w14:paraId="4181E5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7FC87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0045</w:t>
            </w:r>
          </w:p>
        </w:tc>
        <w:tc>
          <w:tcPr>
            <w:tcW w:w="2880" w:type="dxa"/>
            <w:noWrap/>
            <w:hideMark/>
          </w:tcPr>
          <w:p w14:paraId="6A3AF3A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Brookfield</w:t>
            </w:r>
          </w:p>
        </w:tc>
        <w:tc>
          <w:tcPr>
            <w:tcW w:w="1479" w:type="dxa"/>
            <w:noWrap/>
            <w:vAlign w:val="top"/>
          </w:tcPr>
          <w:p w14:paraId="72A2D0EB" w14:textId="687C288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4.16</w:t>
            </w:r>
          </w:p>
        </w:tc>
        <w:tc>
          <w:tcPr>
            <w:tcW w:w="1440" w:type="dxa"/>
            <w:noWrap/>
            <w:vAlign w:val="top"/>
          </w:tcPr>
          <w:p w14:paraId="6B35B37E" w14:textId="7870F78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7.17</w:t>
            </w:r>
          </w:p>
        </w:tc>
        <w:tc>
          <w:tcPr>
            <w:tcW w:w="1530" w:type="dxa"/>
            <w:noWrap/>
            <w:vAlign w:val="top"/>
          </w:tcPr>
          <w:p w14:paraId="0633C6D0" w14:textId="2273BD9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58.0%</w:t>
            </w:r>
          </w:p>
        </w:tc>
        <w:tc>
          <w:tcPr>
            <w:tcW w:w="1440" w:type="dxa"/>
            <w:noWrap/>
            <w:vAlign w:val="top"/>
          </w:tcPr>
          <w:p w14:paraId="0B5ECB8B" w14:textId="50247F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5.06</w:t>
            </w:r>
          </w:p>
        </w:tc>
        <w:tc>
          <w:tcPr>
            <w:tcW w:w="1440" w:type="dxa"/>
            <w:noWrap/>
            <w:vAlign w:val="top"/>
          </w:tcPr>
          <w:p w14:paraId="4EB34CE4" w14:textId="32527DA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9.24</w:t>
            </w:r>
          </w:p>
        </w:tc>
        <w:tc>
          <w:tcPr>
            <w:tcW w:w="1440" w:type="dxa"/>
            <w:noWrap/>
            <w:vAlign w:val="top"/>
          </w:tcPr>
          <w:p w14:paraId="4F99A5E9" w14:textId="474342F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54.7%</w:t>
            </w:r>
          </w:p>
        </w:tc>
      </w:tr>
      <w:tr w:rsidR="00AF5B5B" w:rsidRPr="006253A9" w14:paraId="46B4179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402B2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0046</w:t>
            </w:r>
          </w:p>
        </w:tc>
        <w:tc>
          <w:tcPr>
            <w:tcW w:w="2880" w:type="dxa"/>
            <w:noWrap/>
            <w:hideMark/>
          </w:tcPr>
          <w:p w14:paraId="4BC392C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Brookline</w:t>
            </w:r>
          </w:p>
        </w:tc>
        <w:tc>
          <w:tcPr>
            <w:tcW w:w="1479" w:type="dxa"/>
            <w:noWrap/>
            <w:vAlign w:val="top"/>
          </w:tcPr>
          <w:p w14:paraId="28E233C2" w14:textId="2B4EF4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75.98</w:t>
            </w:r>
          </w:p>
        </w:tc>
        <w:tc>
          <w:tcPr>
            <w:tcW w:w="1440" w:type="dxa"/>
            <w:noWrap/>
            <w:vAlign w:val="top"/>
          </w:tcPr>
          <w:p w14:paraId="08E8690E" w14:textId="744A394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191.30</w:t>
            </w:r>
          </w:p>
        </w:tc>
        <w:tc>
          <w:tcPr>
            <w:tcW w:w="1530" w:type="dxa"/>
            <w:noWrap/>
            <w:vAlign w:val="top"/>
          </w:tcPr>
          <w:p w14:paraId="5712EDD0" w14:textId="7E32D66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39.7%</w:t>
            </w:r>
          </w:p>
        </w:tc>
        <w:tc>
          <w:tcPr>
            <w:tcW w:w="1440" w:type="dxa"/>
            <w:noWrap/>
            <w:vAlign w:val="top"/>
          </w:tcPr>
          <w:p w14:paraId="0C3A3974" w14:textId="1DD4068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143.37</w:t>
            </w:r>
          </w:p>
        </w:tc>
        <w:tc>
          <w:tcPr>
            <w:tcW w:w="1440" w:type="dxa"/>
            <w:noWrap/>
            <w:vAlign w:val="top"/>
          </w:tcPr>
          <w:p w14:paraId="30BAD868" w14:textId="475D6B7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309.06</w:t>
            </w:r>
          </w:p>
        </w:tc>
        <w:tc>
          <w:tcPr>
            <w:tcW w:w="1440" w:type="dxa"/>
            <w:noWrap/>
            <w:vAlign w:val="top"/>
          </w:tcPr>
          <w:p w14:paraId="0B0CC947" w14:textId="617CF30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46.4%</w:t>
            </w:r>
          </w:p>
        </w:tc>
      </w:tr>
      <w:tr w:rsidR="00AF5B5B" w:rsidRPr="006253A9" w14:paraId="7BB0834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F9A82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0047</w:t>
            </w:r>
          </w:p>
        </w:tc>
        <w:tc>
          <w:tcPr>
            <w:tcW w:w="2880" w:type="dxa"/>
            <w:noWrap/>
            <w:hideMark/>
          </w:tcPr>
          <w:p w14:paraId="55B42DF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Buckland</w:t>
            </w:r>
          </w:p>
        </w:tc>
        <w:tc>
          <w:tcPr>
            <w:tcW w:w="1479" w:type="dxa"/>
            <w:noWrap/>
            <w:vAlign w:val="top"/>
          </w:tcPr>
          <w:p w14:paraId="7C54421B" w14:textId="7B9613C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1.90</w:t>
            </w:r>
          </w:p>
        </w:tc>
        <w:tc>
          <w:tcPr>
            <w:tcW w:w="1440" w:type="dxa"/>
            <w:noWrap/>
            <w:vAlign w:val="top"/>
          </w:tcPr>
          <w:p w14:paraId="4778FCCB" w14:textId="3665431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3.51</w:t>
            </w:r>
          </w:p>
        </w:tc>
        <w:tc>
          <w:tcPr>
            <w:tcW w:w="1530" w:type="dxa"/>
            <w:noWrap/>
            <w:vAlign w:val="top"/>
          </w:tcPr>
          <w:p w14:paraId="0786E2AC" w14:textId="46A6D5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54.2%</w:t>
            </w:r>
          </w:p>
        </w:tc>
        <w:tc>
          <w:tcPr>
            <w:tcW w:w="1440" w:type="dxa"/>
            <w:noWrap/>
            <w:vAlign w:val="top"/>
          </w:tcPr>
          <w:p w14:paraId="5CB29BAD" w14:textId="40FC9E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2.50</w:t>
            </w:r>
          </w:p>
        </w:tc>
        <w:tc>
          <w:tcPr>
            <w:tcW w:w="1440" w:type="dxa"/>
            <w:noWrap/>
            <w:vAlign w:val="top"/>
          </w:tcPr>
          <w:p w14:paraId="4B0B28B8" w14:textId="772D4D4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4.58</w:t>
            </w:r>
          </w:p>
        </w:tc>
        <w:tc>
          <w:tcPr>
            <w:tcW w:w="1440" w:type="dxa"/>
            <w:noWrap/>
            <w:vAlign w:val="top"/>
          </w:tcPr>
          <w:p w14:paraId="0625F1C4" w14:textId="74A6756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38FDA80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A86AE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0048</w:t>
            </w:r>
          </w:p>
        </w:tc>
        <w:tc>
          <w:tcPr>
            <w:tcW w:w="2880" w:type="dxa"/>
            <w:noWrap/>
            <w:hideMark/>
          </w:tcPr>
          <w:p w14:paraId="011AA19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Burlington</w:t>
            </w:r>
          </w:p>
        </w:tc>
        <w:tc>
          <w:tcPr>
            <w:tcW w:w="1479" w:type="dxa"/>
            <w:noWrap/>
            <w:vAlign w:val="top"/>
          </w:tcPr>
          <w:p w14:paraId="75B63775" w14:textId="6F8D9D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42.61</w:t>
            </w:r>
          </w:p>
        </w:tc>
        <w:tc>
          <w:tcPr>
            <w:tcW w:w="1440" w:type="dxa"/>
            <w:noWrap/>
            <w:vAlign w:val="top"/>
          </w:tcPr>
          <w:p w14:paraId="6A7A6B47" w14:textId="3F652BF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89.25</w:t>
            </w:r>
          </w:p>
        </w:tc>
        <w:tc>
          <w:tcPr>
            <w:tcW w:w="1530" w:type="dxa"/>
            <w:noWrap/>
            <w:vAlign w:val="top"/>
          </w:tcPr>
          <w:p w14:paraId="75727E32" w14:textId="086B3CA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47.7%</w:t>
            </w:r>
          </w:p>
        </w:tc>
        <w:tc>
          <w:tcPr>
            <w:tcW w:w="1440" w:type="dxa"/>
            <w:noWrap/>
            <w:vAlign w:val="top"/>
          </w:tcPr>
          <w:p w14:paraId="44604A96" w14:textId="061E714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72.07</w:t>
            </w:r>
          </w:p>
        </w:tc>
        <w:tc>
          <w:tcPr>
            <w:tcW w:w="1440" w:type="dxa"/>
            <w:noWrap/>
            <w:vAlign w:val="top"/>
          </w:tcPr>
          <w:p w14:paraId="3D1A313D" w14:textId="6746B75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148.94</w:t>
            </w:r>
          </w:p>
        </w:tc>
        <w:tc>
          <w:tcPr>
            <w:tcW w:w="1440" w:type="dxa"/>
            <w:noWrap/>
            <w:vAlign w:val="top"/>
          </w:tcPr>
          <w:p w14:paraId="30DFB559" w14:textId="7BA78DE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48.4%</w:t>
            </w:r>
          </w:p>
        </w:tc>
      </w:tr>
      <w:tr w:rsidR="00AF5B5B" w:rsidRPr="006253A9" w14:paraId="1489C1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622E80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0049</w:t>
            </w:r>
          </w:p>
        </w:tc>
        <w:tc>
          <w:tcPr>
            <w:tcW w:w="2880" w:type="dxa"/>
            <w:noWrap/>
            <w:hideMark/>
          </w:tcPr>
          <w:p w14:paraId="342D5C0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Cambridge</w:t>
            </w:r>
          </w:p>
        </w:tc>
        <w:tc>
          <w:tcPr>
            <w:tcW w:w="1479" w:type="dxa"/>
            <w:noWrap/>
            <w:vAlign w:val="top"/>
          </w:tcPr>
          <w:p w14:paraId="4B30EEAF" w14:textId="04EC66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126.25</w:t>
            </w:r>
          </w:p>
        </w:tc>
        <w:tc>
          <w:tcPr>
            <w:tcW w:w="1440" w:type="dxa"/>
            <w:noWrap/>
            <w:vAlign w:val="top"/>
          </w:tcPr>
          <w:p w14:paraId="2F417D80" w14:textId="7B8798D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414.01</w:t>
            </w:r>
          </w:p>
        </w:tc>
        <w:tc>
          <w:tcPr>
            <w:tcW w:w="1530" w:type="dxa"/>
            <w:noWrap/>
            <w:vAlign w:val="top"/>
          </w:tcPr>
          <w:p w14:paraId="7E786DBD" w14:textId="530B964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30.5%</w:t>
            </w:r>
          </w:p>
        </w:tc>
        <w:tc>
          <w:tcPr>
            <w:tcW w:w="1440" w:type="dxa"/>
            <w:noWrap/>
            <w:vAlign w:val="top"/>
          </w:tcPr>
          <w:p w14:paraId="6D16EE7C" w14:textId="1D6B0C7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207.63</w:t>
            </w:r>
          </w:p>
        </w:tc>
        <w:tc>
          <w:tcPr>
            <w:tcW w:w="1440" w:type="dxa"/>
            <w:noWrap/>
            <w:vAlign w:val="top"/>
          </w:tcPr>
          <w:p w14:paraId="23C7EA95" w14:textId="436F10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694.11</w:t>
            </w:r>
          </w:p>
        </w:tc>
        <w:tc>
          <w:tcPr>
            <w:tcW w:w="1440" w:type="dxa"/>
            <w:noWrap/>
            <w:vAlign w:val="top"/>
          </w:tcPr>
          <w:p w14:paraId="477F2062" w14:textId="4B44D1A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29.9%</w:t>
            </w:r>
          </w:p>
        </w:tc>
      </w:tr>
      <w:tr w:rsidR="00AF5B5B" w:rsidRPr="006253A9" w14:paraId="12475B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CB234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0050</w:t>
            </w:r>
          </w:p>
        </w:tc>
        <w:tc>
          <w:tcPr>
            <w:tcW w:w="2880" w:type="dxa"/>
            <w:noWrap/>
            <w:hideMark/>
          </w:tcPr>
          <w:p w14:paraId="23158AF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Canton</w:t>
            </w:r>
          </w:p>
        </w:tc>
        <w:tc>
          <w:tcPr>
            <w:tcW w:w="1479" w:type="dxa"/>
            <w:noWrap/>
            <w:vAlign w:val="top"/>
          </w:tcPr>
          <w:p w14:paraId="0C80678B" w14:textId="53C8113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31.54</w:t>
            </w:r>
          </w:p>
        </w:tc>
        <w:tc>
          <w:tcPr>
            <w:tcW w:w="1440" w:type="dxa"/>
            <w:noWrap/>
            <w:vAlign w:val="top"/>
          </w:tcPr>
          <w:p w14:paraId="3510FC1D" w14:textId="346DD65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65.21</w:t>
            </w:r>
          </w:p>
        </w:tc>
        <w:tc>
          <w:tcPr>
            <w:tcW w:w="1530" w:type="dxa"/>
            <w:noWrap/>
            <w:vAlign w:val="top"/>
          </w:tcPr>
          <w:p w14:paraId="67A4BC59" w14:textId="58EDF6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48.4%</w:t>
            </w:r>
          </w:p>
        </w:tc>
        <w:tc>
          <w:tcPr>
            <w:tcW w:w="1440" w:type="dxa"/>
            <w:noWrap/>
            <w:vAlign w:val="top"/>
          </w:tcPr>
          <w:p w14:paraId="35DA9E0A" w14:textId="359471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53.47</w:t>
            </w:r>
          </w:p>
        </w:tc>
        <w:tc>
          <w:tcPr>
            <w:tcW w:w="1440" w:type="dxa"/>
            <w:noWrap/>
            <w:vAlign w:val="top"/>
          </w:tcPr>
          <w:p w14:paraId="1EEDBB34" w14:textId="117A116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106.86</w:t>
            </w:r>
          </w:p>
        </w:tc>
        <w:tc>
          <w:tcPr>
            <w:tcW w:w="1440" w:type="dxa"/>
            <w:noWrap/>
            <w:vAlign w:val="top"/>
          </w:tcPr>
          <w:p w14:paraId="21337E01" w14:textId="5055438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50.0%</w:t>
            </w:r>
          </w:p>
        </w:tc>
      </w:tr>
      <w:tr w:rsidR="00AF5B5B" w:rsidRPr="006253A9" w14:paraId="492A2E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68C2E8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0051</w:t>
            </w:r>
          </w:p>
        </w:tc>
        <w:tc>
          <w:tcPr>
            <w:tcW w:w="2880" w:type="dxa"/>
            <w:noWrap/>
            <w:hideMark/>
          </w:tcPr>
          <w:p w14:paraId="5AE101F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Carlisle</w:t>
            </w:r>
          </w:p>
        </w:tc>
        <w:tc>
          <w:tcPr>
            <w:tcW w:w="1479" w:type="dxa"/>
            <w:noWrap/>
            <w:vAlign w:val="top"/>
          </w:tcPr>
          <w:p w14:paraId="05168C80" w14:textId="4E2C6E3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13.67</w:t>
            </w:r>
          </w:p>
        </w:tc>
        <w:tc>
          <w:tcPr>
            <w:tcW w:w="1440" w:type="dxa"/>
            <w:noWrap/>
            <w:vAlign w:val="top"/>
          </w:tcPr>
          <w:p w14:paraId="4D18BD73" w14:textId="04E2486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20.94</w:t>
            </w:r>
          </w:p>
        </w:tc>
        <w:tc>
          <w:tcPr>
            <w:tcW w:w="1530" w:type="dxa"/>
            <w:noWrap/>
            <w:vAlign w:val="top"/>
          </w:tcPr>
          <w:p w14:paraId="4928D266" w14:textId="1C06CF4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65.3%</w:t>
            </w:r>
          </w:p>
        </w:tc>
        <w:tc>
          <w:tcPr>
            <w:tcW w:w="1440" w:type="dxa"/>
            <w:noWrap/>
            <w:vAlign w:val="top"/>
          </w:tcPr>
          <w:p w14:paraId="3E1C62EE" w14:textId="143D0FA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19.16</w:t>
            </w:r>
          </w:p>
        </w:tc>
        <w:tc>
          <w:tcPr>
            <w:tcW w:w="1440" w:type="dxa"/>
            <w:noWrap/>
            <w:vAlign w:val="top"/>
          </w:tcPr>
          <w:p w14:paraId="620C1010" w14:textId="26EE565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30.81</w:t>
            </w:r>
          </w:p>
        </w:tc>
        <w:tc>
          <w:tcPr>
            <w:tcW w:w="1440" w:type="dxa"/>
            <w:noWrap/>
            <w:vAlign w:val="top"/>
          </w:tcPr>
          <w:p w14:paraId="03D11A38" w14:textId="1FD0C5B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62.2%</w:t>
            </w:r>
          </w:p>
        </w:tc>
      </w:tr>
      <w:tr w:rsidR="00AF5B5B" w:rsidRPr="006253A9" w14:paraId="061C69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44E61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0052</w:t>
            </w:r>
          </w:p>
        </w:tc>
        <w:tc>
          <w:tcPr>
            <w:tcW w:w="2880" w:type="dxa"/>
            <w:noWrap/>
            <w:hideMark/>
          </w:tcPr>
          <w:p w14:paraId="583AF06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Carver</w:t>
            </w:r>
          </w:p>
        </w:tc>
        <w:tc>
          <w:tcPr>
            <w:tcW w:w="1479" w:type="dxa"/>
            <w:noWrap/>
            <w:vAlign w:val="top"/>
          </w:tcPr>
          <w:p w14:paraId="68261568" w14:textId="1A9FBC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19.83</w:t>
            </w:r>
          </w:p>
        </w:tc>
        <w:tc>
          <w:tcPr>
            <w:tcW w:w="1440" w:type="dxa"/>
            <w:noWrap/>
            <w:vAlign w:val="top"/>
          </w:tcPr>
          <w:p w14:paraId="18101D23" w14:textId="41DB03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29.64</w:t>
            </w:r>
          </w:p>
        </w:tc>
        <w:tc>
          <w:tcPr>
            <w:tcW w:w="1530" w:type="dxa"/>
            <w:noWrap/>
            <w:vAlign w:val="top"/>
          </w:tcPr>
          <w:p w14:paraId="3D3A7FD6" w14:textId="75EA171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66.9%</w:t>
            </w:r>
          </w:p>
        </w:tc>
        <w:tc>
          <w:tcPr>
            <w:tcW w:w="1440" w:type="dxa"/>
            <w:noWrap/>
            <w:vAlign w:val="top"/>
          </w:tcPr>
          <w:p w14:paraId="08471075" w14:textId="1B1B1D0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23.97</w:t>
            </w:r>
          </w:p>
        </w:tc>
        <w:tc>
          <w:tcPr>
            <w:tcW w:w="1440" w:type="dxa"/>
            <w:noWrap/>
            <w:vAlign w:val="top"/>
          </w:tcPr>
          <w:p w14:paraId="294F1892" w14:textId="7AE8AB0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43.24</w:t>
            </w:r>
          </w:p>
        </w:tc>
        <w:tc>
          <w:tcPr>
            <w:tcW w:w="1440" w:type="dxa"/>
            <w:noWrap/>
            <w:vAlign w:val="top"/>
          </w:tcPr>
          <w:p w14:paraId="5A6E5821" w14:textId="094E3F9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55.4%</w:t>
            </w:r>
          </w:p>
        </w:tc>
      </w:tr>
      <w:tr w:rsidR="00AF5B5B" w:rsidRPr="006253A9" w14:paraId="49FAC5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0C48A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0053</w:t>
            </w:r>
          </w:p>
        </w:tc>
        <w:tc>
          <w:tcPr>
            <w:tcW w:w="2880" w:type="dxa"/>
            <w:noWrap/>
            <w:hideMark/>
          </w:tcPr>
          <w:p w14:paraId="714C3DB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Charlemont</w:t>
            </w:r>
          </w:p>
        </w:tc>
        <w:tc>
          <w:tcPr>
            <w:tcW w:w="1479" w:type="dxa"/>
            <w:noWrap/>
            <w:vAlign w:val="top"/>
          </w:tcPr>
          <w:p w14:paraId="14E81914" w14:textId="56A2108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1.44</w:t>
            </w:r>
          </w:p>
        </w:tc>
        <w:tc>
          <w:tcPr>
            <w:tcW w:w="1440" w:type="dxa"/>
            <w:noWrap/>
            <w:vAlign w:val="top"/>
          </w:tcPr>
          <w:p w14:paraId="2716E351" w14:textId="27B058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2.61</w:t>
            </w:r>
          </w:p>
        </w:tc>
        <w:tc>
          <w:tcPr>
            <w:tcW w:w="1530" w:type="dxa"/>
            <w:noWrap/>
            <w:vAlign w:val="top"/>
          </w:tcPr>
          <w:p w14:paraId="341B661B" w14:textId="1D28C90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55.1%</w:t>
            </w:r>
          </w:p>
        </w:tc>
        <w:tc>
          <w:tcPr>
            <w:tcW w:w="1440" w:type="dxa"/>
            <w:noWrap/>
            <w:vAlign w:val="top"/>
          </w:tcPr>
          <w:p w14:paraId="1A28DED2" w14:textId="662A0A6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3.49</w:t>
            </w:r>
          </w:p>
        </w:tc>
        <w:tc>
          <w:tcPr>
            <w:tcW w:w="1440" w:type="dxa"/>
            <w:noWrap/>
            <w:vAlign w:val="top"/>
          </w:tcPr>
          <w:p w14:paraId="2CF8DCEE" w14:textId="6872B79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5.13</w:t>
            </w:r>
          </w:p>
        </w:tc>
        <w:tc>
          <w:tcPr>
            <w:tcW w:w="1440" w:type="dxa"/>
            <w:noWrap/>
            <w:vAlign w:val="top"/>
          </w:tcPr>
          <w:p w14:paraId="62406A9B" w14:textId="77FA37D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68.0%</w:t>
            </w:r>
          </w:p>
        </w:tc>
      </w:tr>
      <w:tr w:rsidR="00AF5B5B" w:rsidRPr="006253A9" w14:paraId="628CBB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7F088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0054</w:t>
            </w:r>
          </w:p>
        </w:tc>
        <w:tc>
          <w:tcPr>
            <w:tcW w:w="2880" w:type="dxa"/>
            <w:noWrap/>
            <w:hideMark/>
          </w:tcPr>
          <w:p w14:paraId="08769B6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Charlton</w:t>
            </w:r>
          </w:p>
        </w:tc>
        <w:tc>
          <w:tcPr>
            <w:tcW w:w="1479" w:type="dxa"/>
            <w:noWrap/>
            <w:vAlign w:val="top"/>
          </w:tcPr>
          <w:p w14:paraId="49348407" w14:textId="1B0243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9.27</w:t>
            </w:r>
          </w:p>
        </w:tc>
        <w:tc>
          <w:tcPr>
            <w:tcW w:w="1440" w:type="dxa"/>
            <w:noWrap/>
            <w:vAlign w:val="top"/>
          </w:tcPr>
          <w:p w14:paraId="7EB9D090" w14:textId="72A0B5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20.04</w:t>
            </w:r>
          </w:p>
        </w:tc>
        <w:tc>
          <w:tcPr>
            <w:tcW w:w="1530" w:type="dxa"/>
            <w:noWrap/>
            <w:vAlign w:val="top"/>
          </w:tcPr>
          <w:p w14:paraId="39832437" w14:textId="037147E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46.2%</w:t>
            </w:r>
          </w:p>
        </w:tc>
        <w:tc>
          <w:tcPr>
            <w:tcW w:w="1440" w:type="dxa"/>
            <w:noWrap/>
            <w:vAlign w:val="top"/>
          </w:tcPr>
          <w:p w14:paraId="77112E37" w14:textId="6A14105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15.78</w:t>
            </w:r>
          </w:p>
        </w:tc>
        <w:tc>
          <w:tcPr>
            <w:tcW w:w="1440" w:type="dxa"/>
            <w:noWrap/>
            <w:vAlign w:val="top"/>
          </w:tcPr>
          <w:p w14:paraId="6926E4D2" w14:textId="34D03E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30.23</w:t>
            </w:r>
          </w:p>
        </w:tc>
        <w:tc>
          <w:tcPr>
            <w:tcW w:w="1440" w:type="dxa"/>
            <w:noWrap/>
            <w:vAlign w:val="top"/>
          </w:tcPr>
          <w:p w14:paraId="14253B69" w14:textId="6576DB8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52.2%</w:t>
            </w:r>
          </w:p>
        </w:tc>
      </w:tr>
      <w:tr w:rsidR="00AF5B5B" w:rsidRPr="006253A9" w14:paraId="2AC3F2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C11834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0055</w:t>
            </w:r>
          </w:p>
        </w:tc>
        <w:tc>
          <w:tcPr>
            <w:tcW w:w="2880" w:type="dxa"/>
            <w:noWrap/>
            <w:hideMark/>
          </w:tcPr>
          <w:p w14:paraId="56E737E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Chatham</w:t>
            </w:r>
          </w:p>
        </w:tc>
        <w:tc>
          <w:tcPr>
            <w:tcW w:w="1479" w:type="dxa"/>
            <w:noWrap/>
            <w:vAlign w:val="top"/>
          </w:tcPr>
          <w:p w14:paraId="7F5785D5" w14:textId="508ABAE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8.49</w:t>
            </w:r>
          </w:p>
        </w:tc>
        <w:tc>
          <w:tcPr>
            <w:tcW w:w="1440" w:type="dxa"/>
            <w:noWrap/>
            <w:vAlign w:val="top"/>
          </w:tcPr>
          <w:p w14:paraId="5BB62713" w14:textId="7C09FB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34.61</w:t>
            </w:r>
          </w:p>
        </w:tc>
        <w:tc>
          <w:tcPr>
            <w:tcW w:w="1530" w:type="dxa"/>
            <w:noWrap/>
            <w:vAlign w:val="top"/>
          </w:tcPr>
          <w:p w14:paraId="7605F6EA" w14:textId="4A3A85C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24.5%</w:t>
            </w:r>
          </w:p>
        </w:tc>
        <w:tc>
          <w:tcPr>
            <w:tcW w:w="1440" w:type="dxa"/>
            <w:noWrap/>
            <w:vAlign w:val="top"/>
          </w:tcPr>
          <w:p w14:paraId="5DDE683E" w14:textId="1BA1BCA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9.36</w:t>
            </w:r>
          </w:p>
        </w:tc>
        <w:tc>
          <w:tcPr>
            <w:tcW w:w="1440" w:type="dxa"/>
            <w:noWrap/>
            <w:vAlign w:val="top"/>
          </w:tcPr>
          <w:p w14:paraId="3851E878" w14:textId="7CAD8F8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43.97</w:t>
            </w:r>
          </w:p>
        </w:tc>
        <w:tc>
          <w:tcPr>
            <w:tcW w:w="1440" w:type="dxa"/>
            <w:noWrap/>
            <w:vAlign w:val="top"/>
          </w:tcPr>
          <w:p w14:paraId="3950042F" w14:textId="2121264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21.3%</w:t>
            </w:r>
          </w:p>
        </w:tc>
      </w:tr>
      <w:tr w:rsidR="00AF5B5B" w:rsidRPr="006253A9" w14:paraId="7EE2D23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A387C0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0056</w:t>
            </w:r>
          </w:p>
        </w:tc>
        <w:tc>
          <w:tcPr>
            <w:tcW w:w="2880" w:type="dxa"/>
            <w:noWrap/>
            <w:hideMark/>
          </w:tcPr>
          <w:p w14:paraId="23FB852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Chelmsford</w:t>
            </w:r>
          </w:p>
        </w:tc>
        <w:tc>
          <w:tcPr>
            <w:tcW w:w="1479" w:type="dxa"/>
            <w:noWrap/>
            <w:vAlign w:val="top"/>
          </w:tcPr>
          <w:p w14:paraId="03308DEE" w14:textId="1E3A39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48.77</w:t>
            </w:r>
          </w:p>
        </w:tc>
        <w:tc>
          <w:tcPr>
            <w:tcW w:w="1440" w:type="dxa"/>
            <w:noWrap/>
            <w:vAlign w:val="top"/>
          </w:tcPr>
          <w:p w14:paraId="78C185A0" w14:textId="25FAB3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94.27</w:t>
            </w:r>
          </w:p>
        </w:tc>
        <w:tc>
          <w:tcPr>
            <w:tcW w:w="1530" w:type="dxa"/>
            <w:noWrap/>
            <w:vAlign w:val="top"/>
          </w:tcPr>
          <w:p w14:paraId="333044BD" w14:textId="2B132CA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51.7%</w:t>
            </w:r>
          </w:p>
        </w:tc>
        <w:tc>
          <w:tcPr>
            <w:tcW w:w="1440" w:type="dxa"/>
            <w:noWrap/>
            <w:vAlign w:val="top"/>
          </w:tcPr>
          <w:p w14:paraId="5DC9C992" w14:textId="7165065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73.04</w:t>
            </w:r>
          </w:p>
        </w:tc>
        <w:tc>
          <w:tcPr>
            <w:tcW w:w="1440" w:type="dxa"/>
            <w:noWrap/>
            <w:vAlign w:val="top"/>
          </w:tcPr>
          <w:p w14:paraId="2146C7BF" w14:textId="1290100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142.09</w:t>
            </w:r>
          </w:p>
        </w:tc>
        <w:tc>
          <w:tcPr>
            <w:tcW w:w="1440" w:type="dxa"/>
            <w:noWrap/>
            <w:vAlign w:val="top"/>
          </w:tcPr>
          <w:p w14:paraId="3369BED5" w14:textId="586A822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51.4%</w:t>
            </w:r>
          </w:p>
        </w:tc>
      </w:tr>
      <w:tr w:rsidR="00AF5B5B" w:rsidRPr="006253A9" w14:paraId="378FCC6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EA7255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0057</w:t>
            </w:r>
          </w:p>
        </w:tc>
        <w:tc>
          <w:tcPr>
            <w:tcW w:w="2880" w:type="dxa"/>
            <w:noWrap/>
            <w:hideMark/>
          </w:tcPr>
          <w:p w14:paraId="4D50CF5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Chelsea</w:t>
            </w:r>
          </w:p>
        </w:tc>
        <w:tc>
          <w:tcPr>
            <w:tcW w:w="1479" w:type="dxa"/>
            <w:noWrap/>
            <w:vAlign w:val="top"/>
          </w:tcPr>
          <w:p w14:paraId="302E96FE" w14:textId="292462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55.55</w:t>
            </w:r>
          </w:p>
        </w:tc>
        <w:tc>
          <w:tcPr>
            <w:tcW w:w="1440" w:type="dxa"/>
            <w:noWrap/>
            <w:vAlign w:val="top"/>
          </w:tcPr>
          <w:p w14:paraId="06636113" w14:textId="0D92A71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104.91</w:t>
            </w:r>
          </w:p>
        </w:tc>
        <w:tc>
          <w:tcPr>
            <w:tcW w:w="1530" w:type="dxa"/>
            <w:noWrap/>
            <w:vAlign w:val="top"/>
          </w:tcPr>
          <w:p w14:paraId="2D8FBE5D" w14:textId="72A1081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53.0%</w:t>
            </w:r>
          </w:p>
        </w:tc>
        <w:tc>
          <w:tcPr>
            <w:tcW w:w="1440" w:type="dxa"/>
            <w:noWrap/>
            <w:vAlign w:val="top"/>
          </w:tcPr>
          <w:p w14:paraId="7E86D2EB" w14:textId="1B16F10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99.68</w:t>
            </w:r>
          </w:p>
        </w:tc>
        <w:tc>
          <w:tcPr>
            <w:tcW w:w="1440" w:type="dxa"/>
            <w:noWrap/>
            <w:vAlign w:val="top"/>
          </w:tcPr>
          <w:p w14:paraId="1556791C" w14:textId="7541894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186.20</w:t>
            </w:r>
          </w:p>
        </w:tc>
        <w:tc>
          <w:tcPr>
            <w:tcW w:w="1440" w:type="dxa"/>
            <w:noWrap/>
            <w:vAlign w:val="top"/>
          </w:tcPr>
          <w:p w14:paraId="3170E4D7" w14:textId="22C5001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53.5%</w:t>
            </w:r>
          </w:p>
        </w:tc>
      </w:tr>
      <w:tr w:rsidR="00AF5B5B" w:rsidRPr="006253A9" w14:paraId="4F2CD1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A2046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0058</w:t>
            </w:r>
          </w:p>
        </w:tc>
        <w:tc>
          <w:tcPr>
            <w:tcW w:w="2880" w:type="dxa"/>
            <w:noWrap/>
            <w:hideMark/>
          </w:tcPr>
          <w:p w14:paraId="3C8FD3F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Cheshire</w:t>
            </w:r>
          </w:p>
        </w:tc>
        <w:tc>
          <w:tcPr>
            <w:tcW w:w="1479" w:type="dxa"/>
            <w:noWrap/>
            <w:vAlign w:val="top"/>
          </w:tcPr>
          <w:p w14:paraId="74C35776" w14:textId="7BC33C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2.28</w:t>
            </w:r>
          </w:p>
        </w:tc>
        <w:tc>
          <w:tcPr>
            <w:tcW w:w="1440" w:type="dxa"/>
            <w:noWrap/>
            <w:vAlign w:val="top"/>
          </w:tcPr>
          <w:p w14:paraId="04FF3492" w14:textId="6507F9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4.28</w:t>
            </w:r>
          </w:p>
        </w:tc>
        <w:tc>
          <w:tcPr>
            <w:tcW w:w="1530" w:type="dxa"/>
            <w:noWrap/>
            <w:vAlign w:val="top"/>
          </w:tcPr>
          <w:p w14:paraId="4D906B54" w14:textId="7AE7BCD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53.2%</w:t>
            </w:r>
          </w:p>
        </w:tc>
        <w:tc>
          <w:tcPr>
            <w:tcW w:w="1440" w:type="dxa"/>
            <w:noWrap/>
            <w:vAlign w:val="top"/>
          </w:tcPr>
          <w:p w14:paraId="38724863" w14:textId="0AEAD89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3.15</w:t>
            </w:r>
          </w:p>
        </w:tc>
        <w:tc>
          <w:tcPr>
            <w:tcW w:w="1440" w:type="dxa"/>
            <w:noWrap/>
            <w:vAlign w:val="top"/>
          </w:tcPr>
          <w:p w14:paraId="134FD3C3" w14:textId="343659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5.69</w:t>
            </w:r>
          </w:p>
        </w:tc>
        <w:tc>
          <w:tcPr>
            <w:tcW w:w="1440" w:type="dxa"/>
            <w:noWrap/>
            <w:vAlign w:val="top"/>
          </w:tcPr>
          <w:p w14:paraId="787B927D" w14:textId="0846049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55.3%</w:t>
            </w:r>
          </w:p>
        </w:tc>
      </w:tr>
      <w:tr w:rsidR="00AF5B5B" w:rsidRPr="006253A9" w14:paraId="08E926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7A53D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0059</w:t>
            </w:r>
          </w:p>
        </w:tc>
        <w:tc>
          <w:tcPr>
            <w:tcW w:w="2880" w:type="dxa"/>
            <w:noWrap/>
            <w:hideMark/>
          </w:tcPr>
          <w:p w14:paraId="40EE02F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Chester</w:t>
            </w:r>
          </w:p>
        </w:tc>
        <w:tc>
          <w:tcPr>
            <w:tcW w:w="1479" w:type="dxa"/>
            <w:noWrap/>
            <w:vAlign w:val="top"/>
          </w:tcPr>
          <w:p w14:paraId="05F4A49C" w14:textId="501ABC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1.50</w:t>
            </w:r>
          </w:p>
        </w:tc>
        <w:tc>
          <w:tcPr>
            <w:tcW w:w="1440" w:type="dxa"/>
            <w:noWrap/>
            <w:vAlign w:val="top"/>
          </w:tcPr>
          <w:p w14:paraId="155BB736" w14:textId="1F4C01A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2.95</w:t>
            </w:r>
          </w:p>
        </w:tc>
        <w:tc>
          <w:tcPr>
            <w:tcW w:w="1530" w:type="dxa"/>
            <w:noWrap/>
            <w:vAlign w:val="top"/>
          </w:tcPr>
          <w:p w14:paraId="7A90517B" w14:textId="2F2C367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50.9%</w:t>
            </w:r>
          </w:p>
        </w:tc>
        <w:tc>
          <w:tcPr>
            <w:tcW w:w="1440" w:type="dxa"/>
            <w:noWrap/>
            <w:vAlign w:val="top"/>
          </w:tcPr>
          <w:p w14:paraId="0D92C4BD" w14:textId="1BF75EC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1.62</w:t>
            </w:r>
          </w:p>
        </w:tc>
        <w:tc>
          <w:tcPr>
            <w:tcW w:w="1440" w:type="dxa"/>
            <w:noWrap/>
            <w:vAlign w:val="top"/>
          </w:tcPr>
          <w:p w14:paraId="52922D3F" w14:textId="1FAF348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2.98</w:t>
            </w:r>
          </w:p>
        </w:tc>
        <w:tc>
          <w:tcPr>
            <w:tcW w:w="1440" w:type="dxa"/>
            <w:noWrap/>
            <w:vAlign w:val="top"/>
          </w:tcPr>
          <w:p w14:paraId="4CDEB8A1" w14:textId="6BF838E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54.2%</w:t>
            </w:r>
          </w:p>
        </w:tc>
      </w:tr>
      <w:tr w:rsidR="00AF5B5B" w:rsidRPr="006253A9" w14:paraId="5270E4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382877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0060</w:t>
            </w:r>
          </w:p>
        </w:tc>
        <w:tc>
          <w:tcPr>
            <w:tcW w:w="2880" w:type="dxa"/>
            <w:noWrap/>
            <w:hideMark/>
          </w:tcPr>
          <w:p w14:paraId="71950B1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Chesterfield</w:t>
            </w:r>
          </w:p>
        </w:tc>
        <w:tc>
          <w:tcPr>
            <w:tcW w:w="1479" w:type="dxa"/>
            <w:noWrap/>
            <w:vAlign w:val="top"/>
          </w:tcPr>
          <w:p w14:paraId="7DD79093" w14:textId="3C35C3C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1.41</w:t>
            </w:r>
          </w:p>
        </w:tc>
        <w:tc>
          <w:tcPr>
            <w:tcW w:w="1440" w:type="dxa"/>
            <w:noWrap/>
            <w:vAlign w:val="top"/>
          </w:tcPr>
          <w:p w14:paraId="51D25728" w14:textId="423C2D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2.52</w:t>
            </w:r>
          </w:p>
        </w:tc>
        <w:tc>
          <w:tcPr>
            <w:tcW w:w="1530" w:type="dxa"/>
            <w:noWrap/>
            <w:vAlign w:val="top"/>
          </w:tcPr>
          <w:p w14:paraId="0D6667D6" w14:textId="2326184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55.9%</w:t>
            </w:r>
          </w:p>
        </w:tc>
        <w:tc>
          <w:tcPr>
            <w:tcW w:w="1440" w:type="dxa"/>
            <w:noWrap/>
            <w:vAlign w:val="top"/>
          </w:tcPr>
          <w:p w14:paraId="2CAA291A" w14:textId="103855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1.92</w:t>
            </w:r>
          </w:p>
        </w:tc>
        <w:tc>
          <w:tcPr>
            <w:tcW w:w="1440" w:type="dxa"/>
            <w:noWrap/>
            <w:vAlign w:val="top"/>
          </w:tcPr>
          <w:p w14:paraId="16F7924E" w14:textId="4B9ADE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3.91</w:t>
            </w:r>
          </w:p>
        </w:tc>
        <w:tc>
          <w:tcPr>
            <w:tcW w:w="1440" w:type="dxa"/>
            <w:noWrap/>
            <w:vAlign w:val="top"/>
          </w:tcPr>
          <w:p w14:paraId="32B4753B" w14:textId="1F7AF0F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49.1%</w:t>
            </w:r>
          </w:p>
        </w:tc>
      </w:tr>
      <w:tr w:rsidR="00AF5B5B" w:rsidRPr="006253A9" w14:paraId="76E502B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03EF1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0061</w:t>
            </w:r>
          </w:p>
        </w:tc>
        <w:tc>
          <w:tcPr>
            <w:tcW w:w="2880" w:type="dxa"/>
            <w:noWrap/>
            <w:hideMark/>
          </w:tcPr>
          <w:p w14:paraId="41F91E2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Chicopee</w:t>
            </w:r>
          </w:p>
        </w:tc>
        <w:tc>
          <w:tcPr>
            <w:tcW w:w="1479" w:type="dxa"/>
            <w:noWrap/>
            <w:vAlign w:val="top"/>
          </w:tcPr>
          <w:p w14:paraId="0D077ABE" w14:textId="0ECD2F3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67.48</w:t>
            </w:r>
          </w:p>
        </w:tc>
        <w:tc>
          <w:tcPr>
            <w:tcW w:w="1440" w:type="dxa"/>
            <w:noWrap/>
            <w:vAlign w:val="top"/>
          </w:tcPr>
          <w:p w14:paraId="72FC8F0E" w14:textId="5B8643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129.16</w:t>
            </w:r>
          </w:p>
        </w:tc>
        <w:tc>
          <w:tcPr>
            <w:tcW w:w="1530" w:type="dxa"/>
            <w:noWrap/>
            <w:vAlign w:val="top"/>
          </w:tcPr>
          <w:p w14:paraId="5E090997" w14:textId="01B563A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52.2%</w:t>
            </w:r>
          </w:p>
        </w:tc>
        <w:tc>
          <w:tcPr>
            <w:tcW w:w="1440" w:type="dxa"/>
            <w:noWrap/>
            <w:vAlign w:val="top"/>
          </w:tcPr>
          <w:p w14:paraId="1BC1C94A" w14:textId="3EF63C9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100.39</w:t>
            </w:r>
          </w:p>
        </w:tc>
        <w:tc>
          <w:tcPr>
            <w:tcW w:w="1440" w:type="dxa"/>
            <w:noWrap/>
            <w:vAlign w:val="top"/>
          </w:tcPr>
          <w:p w14:paraId="7453D0C8" w14:textId="0D3F81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196.93</w:t>
            </w:r>
          </w:p>
        </w:tc>
        <w:tc>
          <w:tcPr>
            <w:tcW w:w="1440" w:type="dxa"/>
            <w:noWrap/>
            <w:vAlign w:val="top"/>
          </w:tcPr>
          <w:p w14:paraId="4E7D6BA3" w14:textId="14E00AF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51.0%</w:t>
            </w:r>
          </w:p>
        </w:tc>
      </w:tr>
      <w:tr w:rsidR="00AF5B5B" w:rsidRPr="006253A9" w14:paraId="1892C18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AA5C49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0062</w:t>
            </w:r>
          </w:p>
        </w:tc>
        <w:tc>
          <w:tcPr>
            <w:tcW w:w="2880" w:type="dxa"/>
            <w:noWrap/>
            <w:hideMark/>
          </w:tcPr>
          <w:p w14:paraId="547422A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Chilmark</w:t>
            </w:r>
          </w:p>
        </w:tc>
        <w:tc>
          <w:tcPr>
            <w:tcW w:w="1479" w:type="dxa"/>
            <w:noWrap/>
            <w:vAlign w:val="top"/>
          </w:tcPr>
          <w:p w14:paraId="06636C25" w14:textId="1063DB8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1.78</w:t>
            </w:r>
          </w:p>
        </w:tc>
        <w:tc>
          <w:tcPr>
            <w:tcW w:w="1440" w:type="dxa"/>
            <w:noWrap/>
            <w:vAlign w:val="top"/>
          </w:tcPr>
          <w:p w14:paraId="2F386F61" w14:textId="54CEF10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6.59</w:t>
            </w:r>
          </w:p>
        </w:tc>
        <w:tc>
          <w:tcPr>
            <w:tcW w:w="1530" w:type="dxa"/>
            <w:noWrap/>
            <w:vAlign w:val="top"/>
          </w:tcPr>
          <w:p w14:paraId="2315AEF6" w14:textId="0DF02AA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27.0%</w:t>
            </w:r>
          </w:p>
        </w:tc>
        <w:tc>
          <w:tcPr>
            <w:tcW w:w="1440" w:type="dxa"/>
            <w:noWrap/>
            <w:vAlign w:val="top"/>
          </w:tcPr>
          <w:p w14:paraId="11E5DB3A" w14:textId="0754A0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3.42</w:t>
            </w:r>
          </w:p>
        </w:tc>
        <w:tc>
          <w:tcPr>
            <w:tcW w:w="1440" w:type="dxa"/>
            <w:noWrap/>
            <w:vAlign w:val="top"/>
          </w:tcPr>
          <w:p w14:paraId="3A17FAF7" w14:textId="5187A31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10.67</w:t>
            </w:r>
          </w:p>
        </w:tc>
        <w:tc>
          <w:tcPr>
            <w:tcW w:w="1440" w:type="dxa"/>
            <w:noWrap/>
            <w:vAlign w:val="top"/>
          </w:tcPr>
          <w:p w14:paraId="4503A6BA" w14:textId="15E3112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32.1%</w:t>
            </w:r>
          </w:p>
        </w:tc>
      </w:tr>
      <w:tr w:rsidR="00AF5B5B" w:rsidRPr="006253A9" w14:paraId="2C6E670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1171D5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0063</w:t>
            </w:r>
          </w:p>
        </w:tc>
        <w:tc>
          <w:tcPr>
            <w:tcW w:w="2880" w:type="dxa"/>
            <w:noWrap/>
            <w:hideMark/>
          </w:tcPr>
          <w:p w14:paraId="7ECDE03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Clarksburg</w:t>
            </w:r>
          </w:p>
        </w:tc>
        <w:tc>
          <w:tcPr>
            <w:tcW w:w="1479" w:type="dxa"/>
            <w:noWrap/>
            <w:vAlign w:val="top"/>
          </w:tcPr>
          <w:p w14:paraId="3B1F3B47" w14:textId="298354E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2.20</w:t>
            </w:r>
          </w:p>
        </w:tc>
        <w:tc>
          <w:tcPr>
            <w:tcW w:w="1440" w:type="dxa"/>
            <w:noWrap/>
            <w:vAlign w:val="top"/>
          </w:tcPr>
          <w:p w14:paraId="3831ED88" w14:textId="40B74D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3.30</w:t>
            </w:r>
          </w:p>
        </w:tc>
        <w:tc>
          <w:tcPr>
            <w:tcW w:w="1530" w:type="dxa"/>
            <w:noWrap/>
            <w:vAlign w:val="top"/>
          </w:tcPr>
          <w:p w14:paraId="6E7252F8" w14:textId="134A1F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66.6%</w:t>
            </w:r>
          </w:p>
        </w:tc>
        <w:tc>
          <w:tcPr>
            <w:tcW w:w="1440" w:type="dxa"/>
            <w:noWrap/>
            <w:vAlign w:val="top"/>
          </w:tcPr>
          <w:p w14:paraId="32E5E8C2" w14:textId="748F85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2.86</w:t>
            </w:r>
          </w:p>
        </w:tc>
        <w:tc>
          <w:tcPr>
            <w:tcW w:w="1440" w:type="dxa"/>
            <w:noWrap/>
            <w:vAlign w:val="top"/>
          </w:tcPr>
          <w:p w14:paraId="391F2D46" w14:textId="4912C4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4.57</w:t>
            </w:r>
          </w:p>
        </w:tc>
        <w:tc>
          <w:tcPr>
            <w:tcW w:w="1440" w:type="dxa"/>
            <w:noWrap/>
            <w:vAlign w:val="top"/>
          </w:tcPr>
          <w:p w14:paraId="7C18A540" w14:textId="3B9B9A2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62.6%</w:t>
            </w:r>
          </w:p>
        </w:tc>
      </w:tr>
      <w:tr w:rsidR="00AF5B5B" w:rsidRPr="006253A9" w14:paraId="41991F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72B8A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0064</w:t>
            </w:r>
          </w:p>
        </w:tc>
        <w:tc>
          <w:tcPr>
            <w:tcW w:w="2880" w:type="dxa"/>
            <w:noWrap/>
            <w:hideMark/>
          </w:tcPr>
          <w:p w14:paraId="2623B5D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Clinton</w:t>
            </w:r>
          </w:p>
        </w:tc>
        <w:tc>
          <w:tcPr>
            <w:tcW w:w="1479" w:type="dxa"/>
            <w:noWrap/>
            <w:vAlign w:val="top"/>
          </w:tcPr>
          <w:p w14:paraId="4303CFA6" w14:textId="5936503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18.64</w:t>
            </w:r>
          </w:p>
        </w:tc>
        <w:tc>
          <w:tcPr>
            <w:tcW w:w="1440" w:type="dxa"/>
            <w:noWrap/>
            <w:vAlign w:val="top"/>
          </w:tcPr>
          <w:p w14:paraId="0441E548" w14:textId="7511DDE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33.05</w:t>
            </w:r>
          </w:p>
        </w:tc>
        <w:tc>
          <w:tcPr>
            <w:tcW w:w="1530" w:type="dxa"/>
            <w:noWrap/>
            <w:vAlign w:val="top"/>
          </w:tcPr>
          <w:p w14:paraId="6F05A3B1" w14:textId="0DFDFF9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c>
          <w:tcPr>
            <w:tcW w:w="1440" w:type="dxa"/>
            <w:noWrap/>
            <w:vAlign w:val="top"/>
          </w:tcPr>
          <w:p w14:paraId="4665A168" w14:textId="1842B70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26.02</w:t>
            </w:r>
          </w:p>
        </w:tc>
        <w:tc>
          <w:tcPr>
            <w:tcW w:w="1440" w:type="dxa"/>
            <w:noWrap/>
            <w:vAlign w:val="top"/>
          </w:tcPr>
          <w:p w14:paraId="43EDE008" w14:textId="5CD30D2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48.28</w:t>
            </w:r>
          </w:p>
        </w:tc>
        <w:tc>
          <w:tcPr>
            <w:tcW w:w="1440" w:type="dxa"/>
            <w:noWrap/>
            <w:vAlign w:val="top"/>
          </w:tcPr>
          <w:p w14:paraId="17B8772A" w14:textId="4E3621A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53.9%</w:t>
            </w:r>
          </w:p>
        </w:tc>
      </w:tr>
      <w:tr w:rsidR="00AF5B5B" w:rsidRPr="006253A9" w14:paraId="1BFB5FE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A5ADFE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0065</w:t>
            </w:r>
          </w:p>
        </w:tc>
        <w:tc>
          <w:tcPr>
            <w:tcW w:w="2880" w:type="dxa"/>
            <w:noWrap/>
            <w:hideMark/>
          </w:tcPr>
          <w:p w14:paraId="7B4D39D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Cohasset</w:t>
            </w:r>
          </w:p>
        </w:tc>
        <w:tc>
          <w:tcPr>
            <w:tcW w:w="1479" w:type="dxa"/>
            <w:noWrap/>
            <w:vAlign w:val="top"/>
          </w:tcPr>
          <w:p w14:paraId="5CB02C5E" w14:textId="0FAFF31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14.11</w:t>
            </w:r>
          </w:p>
        </w:tc>
        <w:tc>
          <w:tcPr>
            <w:tcW w:w="1440" w:type="dxa"/>
            <w:noWrap/>
            <w:vAlign w:val="top"/>
          </w:tcPr>
          <w:p w14:paraId="6DA2EE62" w14:textId="41EDEF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32.26</w:t>
            </w:r>
          </w:p>
        </w:tc>
        <w:tc>
          <w:tcPr>
            <w:tcW w:w="1530" w:type="dxa"/>
            <w:noWrap/>
            <w:vAlign w:val="top"/>
          </w:tcPr>
          <w:p w14:paraId="1EA01672" w14:textId="68D2BF7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43.8%</w:t>
            </w:r>
          </w:p>
        </w:tc>
        <w:tc>
          <w:tcPr>
            <w:tcW w:w="1440" w:type="dxa"/>
            <w:noWrap/>
            <w:vAlign w:val="top"/>
          </w:tcPr>
          <w:p w14:paraId="7E89DC2A" w14:textId="7F8C46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24.33</w:t>
            </w:r>
          </w:p>
        </w:tc>
        <w:tc>
          <w:tcPr>
            <w:tcW w:w="1440" w:type="dxa"/>
            <w:noWrap/>
            <w:vAlign w:val="top"/>
          </w:tcPr>
          <w:p w14:paraId="09D045C6" w14:textId="7AD0234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51.94</w:t>
            </w:r>
          </w:p>
        </w:tc>
        <w:tc>
          <w:tcPr>
            <w:tcW w:w="1440" w:type="dxa"/>
            <w:noWrap/>
            <w:vAlign w:val="top"/>
          </w:tcPr>
          <w:p w14:paraId="161182FE" w14:textId="10B4F50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46.8%</w:t>
            </w:r>
          </w:p>
        </w:tc>
      </w:tr>
      <w:tr w:rsidR="00AF5B5B" w:rsidRPr="006253A9" w14:paraId="7D8F65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59B8F1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0066</w:t>
            </w:r>
          </w:p>
        </w:tc>
        <w:tc>
          <w:tcPr>
            <w:tcW w:w="2880" w:type="dxa"/>
            <w:noWrap/>
            <w:hideMark/>
          </w:tcPr>
          <w:p w14:paraId="0BCE361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Colrain</w:t>
            </w:r>
          </w:p>
        </w:tc>
        <w:tc>
          <w:tcPr>
            <w:tcW w:w="1479" w:type="dxa"/>
            <w:noWrap/>
            <w:vAlign w:val="top"/>
          </w:tcPr>
          <w:p w14:paraId="00FDA8B6" w14:textId="0D2583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1.87</w:t>
            </w:r>
          </w:p>
        </w:tc>
        <w:tc>
          <w:tcPr>
            <w:tcW w:w="1440" w:type="dxa"/>
            <w:noWrap/>
            <w:vAlign w:val="top"/>
          </w:tcPr>
          <w:p w14:paraId="1E3E02DE" w14:textId="6B3417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2.88</w:t>
            </w:r>
          </w:p>
        </w:tc>
        <w:tc>
          <w:tcPr>
            <w:tcW w:w="1530" w:type="dxa"/>
            <w:noWrap/>
            <w:vAlign w:val="top"/>
          </w:tcPr>
          <w:p w14:paraId="4C00D3B1" w14:textId="07CBC89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64.9%</w:t>
            </w:r>
          </w:p>
        </w:tc>
        <w:tc>
          <w:tcPr>
            <w:tcW w:w="1440" w:type="dxa"/>
            <w:noWrap/>
            <w:vAlign w:val="top"/>
          </w:tcPr>
          <w:p w14:paraId="56C618DC" w14:textId="101D761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2.30</w:t>
            </w:r>
          </w:p>
        </w:tc>
        <w:tc>
          <w:tcPr>
            <w:tcW w:w="1440" w:type="dxa"/>
            <w:noWrap/>
            <w:vAlign w:val="top"/>
          </w:tcPr>
          <w:p w14:paraId="08B49321" w14:textId="6275754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4.45</w:t>
            </w:r>
          </w:p>
        </w:tc>
        <w:tc>
          <w:tcPr>
            <w:tcW w:w="1440" w:type="dxa"/>
            <w:noWrap/>
            <w:vAlign w:val="top"/>
          </w:tcPr>
          <w:p w14:paraId="127D1F59" w14:textId="29F2FA9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51.7%</w:t>
            </w:r>
          </w:p>
        </w:tc>
      </w:tr>
      <w:tr w:rsidR="00AF5B5B" w:rsidRPr="006253A9" w14:paraId="4FDA5CC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1235DD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0067</w:t>
            </w:r>
          </w:p>
        </w:tc>
        <w:tc>
          <w:tcPr>
            <w:tcW w:w="2880" w:type="dxa"/>
            <w:noWrap/>
            <w:hideMark/>
          </w:tcPr>
          <w:p w14:paraId="44D3BFA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Concord</w:t>
            </w:r>
          </w:p>
        </w:tc>
        <w:tc>
          <w:tcPr>
            <w:tcW w:w="1479" w:type="dxa"/>
            <w:noWrap/>
            <w:vAlign w:val="top"/>
          </w:tcPr>
          <w:p w14:paraId="0A6CF6AA" w14:textId="0448299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38.76</w:t>
            </w:r>
          </w:p>
        </w:tc>
        <w:tc>
          <w:tcPr>
            <w:tcW w:w="1440" w:type="dxa"/>
            <w:noWrap/>
            <w:vAlign w:val="top"/>
          </w:tcPr>
          <w:p w14:paraId="113F9A26" w14:textId="5B77485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66.79</w:t>
            </w:r>
          </w:p>
        </w:tc>
        <w:tc>
          <w:tcPr>
            <w:tcW w:w="1530" w:type="dxa"/>
            <w:noWrap/>
            <w:vAlign w:val="top"/>
          </w:tcPr>
          <w:p w14:paraId="500954BB" w14:textId="52E18B9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58.0%</w:t>
            </w:r>
          </w:p>
        </w:tc>
        <w:tc>
          <w:tcPr>
            <w:tcW w:w="1440" w:type="dxa"/>
            <w:noWrap/>
            <w:vAlign w:val="top"/>
          </w:tcPr>
          <w:p w14:paraId="11047B3A" w14:textId="647D1F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63.58</w:t>
            </w:r>
          </w:p>
        </w:tc>
        <w:tc>
          <w:tcPr>
            <w:tcW w:w="1440" w:type="dxa"/>
            <w:noWrap/>
            <w:vAlign w:val="top"/>
          </w:tcPr>
          <w:p w14:paraId="73F82C1F" w14:textId="68042F6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108.57</w:t>
            </w:r>
          </w:p>
        </w:tc>
        <w:tc>
          <w:tcPr>
            <w:tcW w:w="1440" w:type="dxa"/>
            <w:noWrap/>
            <w:vAlign w:val="top"/>
          </w:tcPr>
          <w:p w14:paraId="12C1891E" w14:textId="0383D62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58.6%</w:t>
            </w:r>
          </w:p>
        </w:tc>
      </w:tr>
      <w:tr w:rsidR="00AF5B5B" w:rsidRPr="006253A9" w14:paraId="6E4068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727375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0068</w:t>
            </w:r>
          </w:p>
        </w:tc>
        <w:tc>
          <w:tcPr>
            <w:tcW w:w="2880" w:type="dxa"/>
            <w:noWrap/>
            <w:hideMark/>
          </w:tcPr>
          <w:p w14:paraId="0682925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Conway</w:t>
            </w:r>
          </w:p>
        </w:tc>
        <w:tc>
          <w:tcPr>
            <w:tcW w:w="1479" w:type="dxa"/>
            <w:noWrap/>
            <w:vAlign w:val="top"/>
          </w:tcPr>
          <w:p w14:paraId="5A34107B" w14:textId="1F67F1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2.70</w:t>
            </w:r>
          </w:p>
        </w:tc>
        <w:tc>
          <w:tcPr>
            <w:tcW w:w="1440" w:type="dxa"/>
            <w:noWrap/>
            <w:vAlign w:val="top"/>
          </w:tcPr>
          <w:p w14:paraId="1A691D78" w14:textId="46C2E5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4.66</w:t>
            </w:r>
          </w:p>
        </w:tc>
        <w:tc>
          <w:tcPr>
            <w:tcW w:w="1530" w:type="dxa"/>
            <w:noWrap/>
            <w:vAlign w:val="top"/>
          </w:tcPr>
          <w:p w14:paraId="4D9C55D1" w14:textId="755B7FD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57.9%</w:t>
            </w:r>
          </w:p>
        </w:tc>
        <w:tc>
          <w:tcPr>
            <w:tcW w:w="1440" w:type="dxa"/>
            <w:noWrap/>
            <w:vAlign w:val="top"/>
          </w:tcPr>
          <w:p w14:paraId="019508DF" w14:textId="3F93335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4.27</w:t>
            </w:r>
          </w:p>
        </w:tc>
        <w:tc>
          <w:tcPr>
            <w:tcW w:w="1440" w:type="dxa"/>
            <w:noWrap/>
            <w:vAlign w:val="top"/>
          </w:tcPr>
          <w:p w14:paraId="4D821399" w14:textId="0645422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6.86</w:t>
            </w:r>
          </w:p>
        </w:tc>
        <w:tc>
          <w:tcPr>
            <w:tcW w:w="1440" w:type="dxa"/>
            <w:noWrap/>
            <w:vAlign w:val="top"/>
          </w:tcPr>
          <w:p w14:paraId="1236C474" w14:textId="18104C0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62.2%</w:t>
            </w:r>
          </w:p>
        </w:tc>
      </w:tr>
      <w:tr w:rsidR="00AF5B5B" w:rsidRPr="006253A9" w14:paraId="67A5413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7F96E6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0069</w:t>
            </w:r>
          </w:p>
        </w:tc>
        <w:tc>
          <w:tcPr>
            <w:tcW w:w="2880" w:type="dxa"/>
            <w:noWrap/>
            <w:hideMark/>
          </w:tcPr>
          <w:p w14:paraId="770C4D1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Cummington</w:t>
            </w:r>
          </w:p>
        </w:tc>
        <w:tc>
          <w:tcPr>
            <w:tcW w:w="1479" w:type="dxa"/>
            <w:noWrap/>
            <w:vAlign w:val="top"/>
          </w:tcPr>
          <w:p w14:paraId="2DF63AA2" w14:textId="42C08D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1.09</w:t>
            </w:r>
          </w:p>
        </w:tc>
        <w:tc>
          <w:tcPr>
            <w:tcW w:w="1440" w:type="dxa"/>
            <w:noWrap/>
            <w:vAlign w:val="top"/>
          </w:tcPr>
          <w:p w14:paraId="5A341338" w14:textId="0C57576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1.88</w:t>
            </w:r>
          </w:p>
        </w:tc>
        <w:tc>
          <w:tcPr>
            <w:tcW w:w="1530" w:type="dxa"/>
            <w:noWrap/>
            <w:vAlign w:val="top"/>
          </w:tcPr>
          <w:p w14:paraId="1AD2384B" w14:textId="5F82B0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58.0%</w:t>
            </w:r>
          </w:p>
        </w:tc>
        <w:tc>
          <w:tcPr>
            <w:tcW w:w="1440" w:type="dxa"/>
            <w:noWrap/>
            <w:vAlign w:val="top"/>
          </w:tcPr>
          <w:p w14:paraId="0DC64CC5" w14:textId="4441E20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0.88</w:t>
            </w:r>
          </w:p>
        </w:tc>
        <w:tc>
          <w:tcPr>
            <w:tcW w:w="1440" w:type="dxa"/>
            <w:noWrap/>
            <w:vAlign w:val="top"/>
          </w:tcPr>
          <w:p w14:paraId="0B7BEBE6" w14:textId="6682244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2.23</w:t>
            </w:r>
          </w:p>
        </w:tc>
        <w:tc>
          <w:tcPr>
            <w:tcW w:w="1440" w:type="dxa"/>
            <w:noWrap/>
            <w:vAlign w:val="top"/>
          </w:tcPr>
          <w:p w14:paraId="2C15913A" w14:textId="53D123A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39.6%</w:t>
            </w:r>
          </w:p>
        </w:tc>
      </w:tr>
      <w:tr w:rsidR="00AF5B5B" w:rsidRPr="006253A9" w14:paraId="65DC58F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C3FAA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0070</w:t>
            </w:r>
          </w:p>
        </w:tc>
        <w:tc>
          <w:tcPr>
            <w:tcW w:w="2880" w:type="dxa"/>
            <w:noWrap/>
            <w:hideMark/>
          </w:tcPr>
          <w:p w14:paraId="7E73B56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Dalton</w:t>
            </w:r>
          </w:p>
        </w:tc>
        <w:tc>
          <w:tcPr>
            <w:tcW w:w="1479" w:type="dxa"/>
            <w:noWrap/>
            <w:vAlign w:val="top"/>
          </w:tcPr>
          <w:p w14:paraId="380411DB" w14:textId="0806902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6.69</w:t>
            </w:r>
          </w:p>
        </w:tc>
        <w:tc>
          <w:tcPr>
            <w:tcW w:w="1440" w:type="dxa"/>
            <w:noWrap/>
            <w:vAlign w:val="top"/>
          </w:tcPr>
          <w:p w14:paraId="0F2DD0C2" w14:textId="49A17C1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12.35</w:t>
            </w:r>
          </w:p>
        </w:tc>
        <w:tc>
          <w:tcPr>
            <w:tcW w:w="1530" w:type="dxa"/>
            <w:noWrap/>
            <w:vAlign w:val="top"/>
          </w:tcPr>
          <w:p w14:paraId="6BAE5FEA" w14:textId="6B4D1D6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54.2%</w:t>
            </w:r>
          </w:p>
        </w:tc>
        <w:tc>
          <w:tcPr>
            <w:tcW w:w="1440" w:type="dxa"/>
            <w:noWrap/>
            <w:vAlign w:val="top"/>
          </w:tcPr>
          <w:p w14:paraId="1BA2921D" w14:textId="0DBCC72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8.68</w:t>
            </w:r>
          </w:p>
        </w:tc>
        <w:tc>
          <w:tcPr>
            <w:tcW w:w="1440" w:type="dxa"/>
            <w:noWrap/>
            <w:vAlign w:val="top"/>
          </w:tcPr>
          <w:p w14:paraId="46CC30FC" w14:textId="6234767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16.29</w:t>
            </w:r>
          </w:p>
        </w:tc>
        <w:tc>
          <w:tcPr>
            <w:tcW w:w="1440" w:type="dxa"/>
            <w:noWrap/>
            <w:vAlign w:val="top"/>
          </w:tcPr>
          <w:p w14:paraId="22801435" w14:textId="12AF3DA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53.3%</w:t>
            </w:r>
          </w:p>
        </w:tc>
      </w:tr>
      <w:tr w:rsidR="00AF5B5B" w:rsidRPr="006253A9" w14:paraId="45DBEEB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14EA01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0071</w:t>
            </w:r>
          </w:p>
        </w:tc>
        <w:tc>
          <w:tcPr>
            <w:tcW w:w="2880" w:type="dxa"/>
            <w:noWrap/>
            <w:hideMark/>
          </w:tcPr>
          <w:p w14:paraId="5060D62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Danvers</w:t>
            </w:r>
          </w:p>
        </w:tc>
        <w:tc>
          <w:tcPr>
            <w:tcW w:w="1479" w:type="dxa"/>
            <w:noWrap/>
            <w:vAlign w:val="top"/>
          </w:tcPr>
          <w:p w14:paraId="2E0414F8" w14:textId="2899D1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36.55</w:t>
            </w:r>
          </w:p>
        </w:tc>
        <w:tc>
          <w:tcPr>
            <w:tcW w:w="1440" w:type="dxa"/>
            <w:noWrap/>
            <w:vAlign w:val="top"/>
          </w:tcPr>
          <w:p w14:paraId="6DA54B87" w14:textId="3D7D3E7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78.89</w:t>
            </w:r>
          </w:p>
        </w:tc>
        <w:tc>
          <w:tcPr>
            <w:tcW w:w="1530" w:type="dxa"/>
            <w:noWrap/>
            <w:vAlign w:val="top"/>
          </w:tcPr>
          <w:p w14:paraId="794F6749" w14:textId="5D6559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46.3%</w:t>
            </w:r>
          </w:p>
        </w:tc>
        <w:tc>
          <w:tcPr>
            <w:tcW w:w="1440" w:type="dxa"/>
            <w:noWrap/>
            <w:vAlign w:val="top"/>
          </w:tcPr>
          <w:p w14:paraId="763A556D" w14:textId="567EF89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56.99</w:t>
            </w:r>
          </w:p>
        </w:tc>
        <w:tc>
          <w:tcPr>
            <w:tcW w:w="1440" w:type="dxa"/>
            <w:noWrap/>
            <w:vAlign w:val="top"/>
          </w:tcPr>
          <w:p w14:paraId="36EC24D1" w14:textId="0F003D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117.94</w:t>
            </w:r>
          </w:p>
        </w:tc>
        <w:tc>
          <w:tcPr>
            <w:tcW w:w="1440" w:type="dxa"/>
            <w:noWrap/>
            <w:vAlign w:val="top"/>
          </w:tcPr>
          <w:p w14:paraId="1C4D4743" w14:textId="48E656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48.3%</w:t>
            </w:r>
          </w:p>
        </w:tc>
      </w:tr>
      <w:tr w:rsidR="00AF5B5B" w:rsidRPr="006253A9" w14:paraId="149DFE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615A9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0072</w:t>
            </w:r>
          </w:p>
        </w:tc>
        <w:tc>
          <w:tcPr>
            <w:tcW w:w="2880" w:type="dxa"/>
            <w:noWrap/>
            <w:hideMark/>
          </w:tcPr>
          <w:p w14:paraId="2EDE101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Dartmouth</w:t>
            </w:r>
          </w:p>
        </w:tc>
        <w:tc>
          <w:tcPr>
            <w:tcW w:w="1479" w:type="dxa"/>
            <w:noWrap/>
            <w:vAlign w:val="top"/>
          </w:tcPr>
          <w:p w14:paraId="181C91D6" w14:textId="24CE35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35.63</w:t>
            </w:r>
          </w:p>
        </w:tc>
        <w:tc>
          <w:tcPr>
            <w:tcW w:w="1440" w:type="dxa"/>
            <w:noWrap/>
            <w:vAlign w:val="top"/>
          </w:tcPr>
          <w:p w14:paraId="1B1370CC" w14:textId="01F0E72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65.55</w:t>
            </w:r>
          </w:p>
        </w:tc>
        <w:tc>
          <w:tcPr>
            <w:tcW w:w="1530" w:type="dxa"/>
            <w:noWrap/>
            <w:vAlign w:val="top"/>
          </w:tcPr>
          <w:p w14:paraId="53DB0279" w14:textId="0D2042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c>
          <w:tcPr>
            <w:tcW w:w="1440" w:type="dxa"/>
            <w:noWrap/>
            <w:vAlign w:val="top"/>
          </w:tcPr>
          <w:p w14:paraId="13FAB6EC" w14:textId="014061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50.67</w:t>
            </w:r>
          </w:p>
        </w:tc>
        <w:tc>
          <w:tcPr>
            <w:tcW w:w="1440" w:type="dxa"/>
            <w:noWrap/>
            <w:vAlign w:val="top"/>
          </w:tcPr>
          <w:p w14:paraId="144842D8" w14:textId="1DB8B25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90.51</w:t>
            </w:r>
          </w:p>
        </w:tc>
        <w:tc>
          <w:tcPr>
            <w:tcW w:w="1440" w:type="dxa"/>
            <w:noWrap/>
            <w:vAlign w:val="top"/>
          </w:tcPr>
          <w:p w14:paraId="33391A68" w14:textId="71CDED0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56.0%</w:t>
            </w:r>
          </w:p>
        </w:tc>
      </w:tr>
      <w:tr w:rsidR="00AF5B5B" w:rsidRPr="006253A9" w14:paraId="512E8AC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C37CB9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0073</w:t>
            </w:r>
          </w:p>
        </w:tc>
        <w:tc>
          <w:tcPr>
            <w:tcW w:w="2880" w:type="dxa"/>
            <w:noWrap/>
            <w:hideMark/>
          </w:tcPr>
          <w:p w14:paraId="53890CD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Dedham</w:t>
            </w:r>
          </w:p>
        </w:tc>
        <w:tc>
          <w:tcPr>
            <w:tcW w:w="1479" w:type="dxa"/>
            <w:noWrap/>
            <w:vAlign w:val="top"/>
          </w:tcPr>
          <w:p w14:paraId="4BBF1A94" w14:textId="67DA3A0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33.69</w:t>
            </w:r>
          </w:p>
        </w:tc>
        <w:tc>
          <w:tcPr>
            <w:tcW w:w="1440" w:type="dxa"/>
            <w:noWrap/>
            <w:vAlign w:val="top"/>
          </w:tcPr>
          <w:p w14:paraId="7D6B849E" w14:textId="7DF6EFA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74.11</w:t>
            </w:r>
          </w:p>
        </w:tc>
        <w:tc>
          <w:tcPr>
            <w:tcW w:w="1530" w:type="dxa"/>
            <w:noWrap/>
            <w:vAlign w:val="top"/>
          </w:tcPr>
          <w:p w14:paraId="20CB8DF9" w14:textId="207111A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45.5%</w:t>
            </w:r>
          </w:p>
        </w:tc>
        <w:tc>
          <w:tcPr>
            <w:tcW w:w="1440" w:type="dxa"/>
            <w:noWrap/>
            <w:vAlign w:val="top"/>
          </w:tcPr>
          <w:p w14:paraId="3C124493" w14:textId="133752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49.63</w:t>
            </w:r>
          </w:p>
        </w:tc>
        <w:tc>
          <w:tcPr>
            <w:tcW w:w="1440" w:type="dxa"/>
            <w:noWrap/>
            <w:vAlign w:val="top"/>
          </w:tcPr>
          <w:p w14:paraId="23DDA14F" w14:textId="76D0DE8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121.53</w:t>
            </w:r>
          </w:p>
        </w:tc>
        <w:tc>
          <w:tcPr>
            <w:tcW w:w="1440" w:type="dxa"/>
            <w:noWrap/>
            <w:vAlign w:val="top"/>
          </w:tcPr>
          <w:p w14:paraId="08820861" w14:textId="338205D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40.8%</w:t>
            </w:r>
          </w:p>
        </w:tc>
      </w:tr>
      <w:tr w:rsidR="00AF5B5B" w:rsidRPr="006253A9" w14:paraId="7E8D7C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18F9B3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0074</w:t>
            </w:r>
          </w:p>
        </w:tc>
        <w:tc>
          <w:tcPr>
            <w:tcW w:w="2880" w:type="dxa"/>
            <w:noWrap/>
            <w:hideMark/>
          </w:tcPr>
          <w:p w14:paraId="7D423E0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Deerfield</w:t>
            </w:r>
          </w:p>
        </w:tc>
        <w:tc>
          <w:tcPr>
            <w:tcW w:w="1479" w:type="dxa"/>
            <w:noWrap/>
            <w:vAlign w:val="top"/>
          </w:tcPr>
          <w:p w14:paraId="71539E50" w14:textId="5838A8E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6.81</w:t>
            </w:r>
          </w:p>
        </w:tc>
        <w:tc>
          <w:tcPr>
            <w:tcW w:w="1440" w:type="dxa"/>
            <w:noWrap/>
            <w:vAlign w:val="top"/>
          </w:tcPr>
          <w:p w14:paraId="2FED58C7" w14:textId="0DD466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10.91</w:t>
            </w:r>
          </w:p>
        </w:tc>
        <w:tc>
          <w:tcPr>
            <w:tcW w:w="1530" w:type="dxa"/>
            <w:noWrap/>
            <w:vAlign w:val="top"/>
          </w:tcPr>
          <w:p w14:paraId="3F738B8E" w14:textId="17F1EC1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62.4%</w:t>
            </w:r>
          </w:p>
        </w:tc>
        <w:tc>
          <w:tcPr>
            <w:tcW w:w="1440" w:type="dxa"/>
            <w:noWrap/>
            <w:vAlign w:val="top"/>
          </w:tcPr>
          <w:p w14:paraId="4EBDA871" w14:textId="3978714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9.96</w:t>
            </w:r>
          </w:p>
        </w:tc>
        <w:tc>
          <w:tcPr>
            <w:tcW w:w="1440" w:type="dxa"/>
            <w:noWrap/>
            <w:vAlign w:val="top"/>
          </w:tcPr>
          <w:p w14:paraId="5CF3D96E" w14:textId="3778A6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17.65</w:t>
            </w:r>
          </w:p>
        </w:tc>
        <w:tc>
          <w:tcPr>
            <w:tcW w:w="1440" w:type="dxa"/>
            <w:noWrap/>
            <w:vAlign w:val="top"/>
          </w:tcPr>
          <w:p w14:paraId="11E93DC3" w14:textId="7ECF303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r>
      <w:tr w:rsidR="00AF5B5B" w:rsidRPr="006253A9" w14:paraId="4020B51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FD937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0075</w:t>
            </w:r>
          </w:p>
        </w:tc>
        <w:tc>
          <w:tcPr>
            <w:tcW w:w="2880" w:type="dxa"/>
            <w:noWrap/>
            <w:hideMark/>
          </w:tcPr>
          <w:p w14:paraId="5F10201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Dennis</w:t>
            </w:r>
          </w:p>
        </w:tc>
        <w:tc>
          <w:tcPr>
            <w:tcW w:w="1479" w:type="dxa"/>
            <w:noWrap/>
            <w:vAlign w:val="top"/>
          </w:tcPr>
          <w:p w14:paraId="08AAF71C" w14:textId="468212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14.70</w:t>
            </w:r>
          </w:p>
        </w:tc>
        <w:tc>
          <w:tcPr>
            <w:tcW w:w="1440" w:type="dxa"/>
            <w:noWrap/>
            <w:vAlign w:val="top"/>
          </w:tcPr>
          <w:p w14:paraId="21D692DD" w14:textId="6F7A4EE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42.13</w:t>
            </w:r>
          </w:p>
        </w:tc>
        <w:tc>
          <w:tcPr>
            <w:tcW w:w="1530" w:type="dxa"/>
            <w:noWrap/>
            <w:vAlign w:val="top"/>
          </w:tcPr>
          <w:p w14:paraId="3FCCE9C6" w14:textId="266E692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34.9%</w:t>
            </w:r>
          </w:p>
        </w:tc>
        <w:tc>
          <w:tcPr>
            <w:tcW w:w="1440" w:type="dxa"/>
            <w:noWrap/>
            <w:vAlign w:val="top"/>
          </w:tcPr>
          <w:p w14:paraId="33312154" w14:textId="57247D4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18.29</w:t>
            </w:r>
          </w:p>
        </w:tc>
        <w:tc>
          <w:tcPr>
            <w:tcW w:w="1440" w:type="dxa"/>
            <w:noWrap/>
            <w:vAlign w:val="top"/>
          </w:tcPr>
          <w:p w14:paraId="7ED86988" w14:textId="02942BF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59.68</w:t>
            </w:r>
          </w:p>
        </w:tc>
        <w:tc>
          <w:tcPr>
            <w:tcW w:w="1440" w:type="dxa"/>
            <w:noWrap/>
            <w:vAlign w:val="top"/>
          </w:tcPr>
          <w:p w14:paraId="4F557453" w14:textId="03C0FB8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30.7%</w:t>
            </w:r>
          </w:p>
        </w:tc>
      </w:tr>
      <w:tr w:rsidR="00AF5B5B" w:rsidRPr="006253A9" w14:paraId="538761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CF023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0076</w:t>
            </w:r>
          </w:p>
        </w:tc>
        <w:tc>
          <w:tcPr>
            <w:tcW w:w="2880" w:type="dxa"/>
            <w:noWrap/>
            <w:hideMark/>
          </w:tcPr>
          <w:p w14:paraId="3D9535A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Dighton</w:t>
            </w:r>
          </w:p>
        </w:tc>
        <w:tc>
          <w:tcPr>
            <w:tcW w:w="1479" w:type="dxa"/>
            <w:noWrap/>
            <w:vAlign w:val="top"/>
          </w:tcPr>
          <w:p w14:paraId="20370AB3" w14:textId="78CED5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7.53</w:t>
            </w:r>
          </w:p>
        </w:tc>
        <w:tc>
          <w:tcPr>
            <w:tcW w:w="1440" w:type="dxa"/>
            <w:noWrap/>
            <w:vAlign w:val="top"/>
          </w:tcPr>
          <w:p w14:paraId="7AA24B1E" w14:textId="2EF6FE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12.53</w:t>
            </w:r>
          </w:p>
        </w:tc>
        <w:tc>
          <w:tcPr>
            <w:tcW w:w="1530" w:type="dxa"/>
            <w:noWrap/>
            <w:vAlign w:val="top"/>
          </w:tcPr>
          <w:p w14:paraId="3F28B2C9" w14:textId="7F783EF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60.1%</w:t>
            </w:r>
          </w:p>
        </w:tc>
        <w:tc>
          <w:tcPr>
            <w:tcW w:w="1440" w:type="dxa"/>
            <w:noWrap/>
            <w:vAlign w:val="top"/>
          </w:tcPr>
          <w:p w14:paraId="175FB0A6" w14:textId="1C1848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10.71</w:t>
            </w:r>
          </w:p>
        </w:tc>
        <w:tc>
          <w:tcPr>
            <w:tcW w:w="1440" w:type="dxa"/>
            <w:noWrap/>
            <w:vAlign w:val="top"/>
          </w:tcPr>
          <w:p w14:paraId="4D088BCC" w14:textId="7348848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20.73</w:t>
            </w:r>
          </w:p>
        </w:tc>
        <w:tc>
          <w:tcPr>
            <w:tcW w:w="1440" w:type="dxa"/>
            <w:noWrap/>
            <w:vAlign w:val="top"/>
          </w:tcPr>
          <w:p w14:paraId="5BE7F37D" w14:textId="56A5C60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51.7%</w:t>
            </w:r>
          </w:p>
        </w:tc>
      </w:tr>
      <w:tr w:rsidR="00AF5B5B" w:rsidRPr="006253A9" w14:paraId="2936A8E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B5AC0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0077</w:t>
            </w:r>
          </w:p>
        </w:tc>
        <w:tc>
          <w:tcPr>
            <w:tcW w:w="2880" w:type="dxa"/>
            <w:noWrap/>
            <w:hideMark/>
          </w:tcPr>
          <w:p w14:paraId="5395213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Douglas</w:t>
            </w:r>
          </w:p>
        </w:tc>
        <w:tc>
          <w:tcPr>
            <w:tcW w:w="1479" w:type="dxa"/>
            <w:noWrap/>
            <w:vAlign w:val="top"/>
          </w:tcPr>
          <w:p w14:paraId="1B274BCA" w14:textId="4341449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12.71</w:t>
            </w:r>
          </w:p>
        </w:tc>
        <w:tc>
          <w:tcPr>
            <w:tcW w:w="1440" w:type="dxa"/>
            <w:noWrap/>
            <w:vAlign w:val="top"/>
          </w:tcPr>
          <w:p w14:paraId="4D9348F1" w14:textId="06204A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22.52</w:t>
            </w:r>
          </w:p>
        </w:tc>
        <w:tc>
          <w:tcPr>
            <w:tcW w:w="1530" w:type="dxa"/>
            <w:noWrap/>
            <w:vAlign w:val="top"/>
          </w:tcPr>
          <w:p w14:paraId="2662271C" w14:textId="5569419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c>
          <w:tcPr>
            <w:tcW w:w="1440" w:type="dxa"/>
            <w:noWrap/>
            <w:vAlign w:val="top"/>
          </w:tcPr>
          <w:p w14:paraId="1E8323AF" w14:textId="0678E0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17.96</w:t>
            </w:r>
          </w:p>
        </w:tc>
        <w:tc>
          <w:tcPr>
            <w:tcW w:w="1440" w:type="dxa"/>
            <w:noWrap/>
            <w:vAlign w:val="top"/>
          </w:tcPr>
          <w:p w14:paraId="27FCA121" w14:textId="15B75CF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32.01</w:t>
            </w:r>
          </w:p>
        </w:tc>
        <w:tc>
          <w:tcPr>
            <w:tcW w:w="1440" w:type="dxa"/>
            <w:noWrap/>
            <w:vAlign w:val="top"/>
          </w:tcPr>
          <w:p w14:paraId="21BE3D71" w14:textId="7D03A3B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r>
      <w:tr w:rsidR="00AF5B5B" w:rsidRPr="006253A9" w14:paraId="4ECB31F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FB2FB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0078</w:t>
            </w:r>
          </w:p>
        </w:tc>
        <w:tc>
          <w:tcPr>
            <w:tcW w:w="2880" w:type="dxa"/>
            <w:noWrap/>
            <w:hideMark/>
          </w:tcPr>
          <w:p w14:paraId="2F61577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Dover</w:t>
            </w:r>
          </w:p>
        </w:tc>
        <w:tc>
          <w:tcPr>
            <w:tcW w:w="1479" w:type="dxa"/>
            <w:noWrap/>
            <w:vAlign w:val="top"/>
          </w:tcPr>
          <w:p w14:paraId="44664D79" w14:textId="59B1C1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15.43</w:t>
            </w:r>
          </w:p>
        </w:tc>
        <w:tc>
          <w:tcPr>
            <w:tcW w:w="1440" w:type="dxa"/>
            <w:noWrap/>
            <w:vAlign w:val="top"/>
          </w:tcPr>
          <w:p w14:paraId="23B6E67D" w14:textId="44FE8C0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25.70</w:t>
            </w:r>
          </w:p>
        </w:tc>
        <w:tc>
          <w:tcPr>
            <w:tcW w:w="1530" w:type="dxa"/>
            <w:noWrap/>
            <w:vAlign w:val="top"/>
          </w:tcPr>
          <w:p w14:paraId="3AB5007C" w14:textId="0C86DB2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60.0%</w:t>
            </w:r>
          </w:p>
        </w:tc>
        <w:tc>
          <w:tcPr>
            <w:tcW w:w="1440" w:type="dxa"/>
            <w:noWrap/>
            <w:vAlign w:val="top"/>
          </w:tcPr>
          <w:p w14:paraId="4CE05BEE" w14:textId="75A8C7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22.67</w:t>
            </w:r>
          </w:p>
        </w:tc>
        <w:tc>
          <w:tcPr>
            <w:tcW w:w="1440" w:type="dxa"/>
            <w:noWrap/>
            <w:vAlign w:val="top"/>
          </w:tcPr>
          <w:p w14:paraId="56338CDB" w14:textId="2D5474E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37.40</w:t>
            </w:r>
          </w:p>
        </w:tc>
        <w:tc>
          <w:tcPr>
            <w:tcW w:w="1440" w:type="dxa"/>
            <w:noWrap/>
            <w:vAlign w:val="top"/>
          </w:tcPr>
          <w:p w14:paraId="12AF8DC5" w14:textId="171EB72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60.6%</w:t>
            </w:r>
          </w:p>
        </w:tc>
      </w:tr>
      <w:tr w:rsidR="00AF5B5B" w:rsidRPr="006253A9" w14:paraId="79FB4BC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49251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0079</w:t>
            </w:r>
          </w:p>
        </w:tc>
        <w:tc>
          <w:tcPr>
            <w:tcW w:w="2880" w:type="dxa"/>
            <w:noWrap/>
            <w:hideMark/>
          </w:tcPr>
          <w:p w14:paraId="6520414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Dracut</w:t>
            </w:r>
          </w:p>
        </w:tc>
        <w:tc>
          <w:tcPr>
            <w:tcW w:w="1479" w:type="dxa"/>
            <w:noWrap/>
            <w:vAlign w:val="top"/>
          </w:tcPr>
          <w:p w14:paraId="21748EBE" w14:textId="273FBF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34.21</w:t>
            </w:r>
          </w:p>
        </w:tc>
        <w:tc>
          <w:tcPr>
            <w:tcW w:w="1440" w:type="dxa"/>
            <w:noWrap/>
            <w:vAlign w:val="top"/>
          </w:tcPr>
          <w:p w14:paraId="0F94DBFA" w14:textId="6B162F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62.89</w:t>
            </w:r>
          </w:p>
        </w:tc>
        <w:tc>
          <w:tcPr>
            <w:tcW w:w="1530" w:type="dxa"/>
            <w:noWrap/>
            <w:vAlign w:val="top"/>
          </w:tcPr>
          <w:p w14:paraId="5CC7CE33" w14:textId="04EED0A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c>
          <w:tcPr>
            <w:tcW w:w="1440" w:type="dxa"/>
            <w:noWrap/>
            <w:vAlign w:val="top"/>
          </w:tcPr>
          <w:p w14:paraId="783E6632" w14:textId="0DFF0AD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47.44</w:t>
            </w:r>
          </w:p>
        </w:tc>
        <w:tc>
          <w:tcPr>
            <w:tcW w:w="1440" w:type="dxa"/>
            <w:noWrap/>
            <w:vAlign w:val="top"/>
          </w:tcPr>
          <w:p w14:paraId="0CE38D0B" w14:textId="01C9DB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91.40</w:t>
            </w:r>
          </w:p>
        </w:tc>
        <w:tc>
          <w:tcPr>
            <w:tcW w:w="1440" w:type="dxa"/>
            <w:noWrap/>
            <w:vAlign w:val="top"/>
          </w:tcPr>
          <w:p w14:paraId="10A6A2A9" w14:textId="456E641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51.9%</w:t>
            </w:r>
          </w:p>
        </w:tc>
      </w:tr>
      <w:tr w:rsidR="00AF5B5B" w:rsidRPr="006253A9" w14:paraId="212C36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964A3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0080</w:t>
            </w:r>
          </w:p>
        </w:tc>
        <w:tc>
          <w:tcPr>
            <w:tcW w:w="2880" w:type="dxa"/>
            <w:noWrap/>
            <w:hideMark/>
          </w:tcPr>
          <w:p w14:paraId="78A8DEE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Dudley</w:t>
            </w:r>
          </w:p>
        </w:tc>
        <w:tc>
          <w:tcPr>
            <w:tcW w:w="1479" w:type="dxa"/>
            <w:noWrap/>
            <w:vAlign w:val="top"/>
          </w:tcPr>
          <w:p w14:paraId="017BA74D" w14:textId="133756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5.69</w:t>
            </w:r>
          </w:p>
        </w:tc>
        <w:tc>
          <w:tcPr>
            <w:tcW w:w="1440" w:type="dxa"/>
            <w:noWrap/>
            <w:vAlign w:val="top"/>
          </w:tcPr>
          <w:p w14:paraId="7FCDD9C2" w14:textId="604125C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11.91</w:t>
            </w:r>
          </w:p>
        </w:tc>
        <w:tc>
          <w:tcPr>
            <w:tcW w:w="1530" w:type="dxa"/>
            <w:noWrap/>
            <w:vAlign w:val="top"/>
          </w:tcPr>
          <w:p w14:paraId="1727EECD" w14:textId="31A3AFB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47.8%</w:t>
            </w:r>
          </w:p>
        </w:tc>
        <w:tc>
          <w:tcPr>
            <w:tcW w:w="1440" w:type="dxa"/>
            <w:noWrap/>
            <w:vAlign w:val="top"/>
          </w:tcPr>
          <w:p w14:paraId="7200EF22" w14:textId="4CD498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10.22</w:t>
            </w:r>
          </w:p>
        </w:tc>
        <w:tc>
          <w:tcPr>
            <w:tcW w:w="1440" w:type="dxa"/>
            <w:noWrap/>
            <w:vAlign w:val="top"/>
          </w:tcPr>
          <w:p w14:paraId="28E2E231" w14:textId="0F7447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19.16</w:t>
            </w:r>
          </w:p>
        </w:tc>
        <w:tc>
          <w:tcPr>
            <w:tcW w:w="1440" w:type="dxa"/>
            <w:noWrap/>
            <w:vAlign w:val="top"/>
          </w:tcPr>
          <w:p w14:paraId="230C2893" w14:textId="24D3C2F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53.4%</w:t>
            </w:r>
          </w:p>
        </w:tc>
      </w:tr>
      <w:tr w:rsidR="00AF5B5B" w:rsidRPr="006253A9" w14:paraId="37EBC12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4352E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0081</w:t>
            </w:r>
          </w:p>
        </w:tc>
        <w:tc>
          <w:tcPr>
            <w:tcW w:w="2880" w:type="dxa"/>
            <w:noWrap/>
            <w:hideMark/>
          </w:tcPr>
          <w:p w14:paraId="09D01B9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Dunstable</w:t>
            </w:r>
          </w:p>
        </w:tc>
        <w:tc>
          <w:tcPr>
            <w:tcW w:w="1479" w:type="dxa"/>
            <w:noWrap/>
            <w:vAlign w:val="top"/>
          </w:tcPr>
          <w:p w14:paraId="0FC062FB" w14:textId="506E92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4.38</w:t>
            </w:r>
          </w:p>
        </w:tc>
        <w:tc>
          <w:tcPr>
            <w:tcW w:w="1440" w:type="dxa"/>
            <w:noWrap/>
            <w:vAlign w:val="top"/>
          </w:tcPr>
          <w:p w14:paraId="62A1DDD8" w14:textId="2C3E4C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6.91</w:t>
            </w:r>
          </w:p>
        </w:tc>
        <w:tc>
          <w:tcPr>
            <w:tcW w:w="1530" w:type="dxa"/>
            <w:noWrap/>
            <w:vAlign w:val="top"/>
          </w:tcPr>
          <w:p w14:paraId="76C89D2E" w14:textId="4A99922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63.4%</w:t>
            </w:r>
          </w:p>
        </w:tc>
        <w:tc>
          <w:tcPr>
            <w:tcW w:w="1440" w:type="dxa"/>
            <w:noWrap/>
            <w:vAlign w:val="top"/>
          </w:tcPr>
          <w:p w14:paraId="0942D544" w14:textId="21BF81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6.63</w:t>
            </w:r>
          </w:p>
        </w:tc>
        <w:tc>
          <w:tcPr>
            <w:tcW w:w="1440" w:type="dxa"/>
            <w:noWrap/>
            <w:vAlign w:val="top"/>
          </w:tcPr>
          <w:p w14:paraId="63FC4660" w14:textId="2F6EE7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10.70</w:t>
            </w:r>
          </w:p>
        </w:tc>
        <w:tc>
          <w:tcPr>
            <w:tcW w:w="1440" w:type="dxa"/>
            <w:noWrap/>
            <w:vAlign w:val="top"/>
          </w:tcPr>
          <w:p w14:paraId="6024C550" w14:textId="54F2C12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62.0%</w:t>
            </w:r>
          </w:p>
        </w:tc>
      </w:tr>
      <w:tr w:rsidR="00AF5B5B" w:rsidRPr="006253A9" w14:paraId="4C1B1AF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A5DF71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0082</w:t>
            </w:r>
          </w:p>
        </w:tc>
        <w:tc>
          <w:tcPr>
            <w:tcW w:w="2880" w:type="dxa"/>
            <w:noWrap/>
            <w:hideMark/>
          </w:tcPr>
          <w:p w14:paraId="31DD2C3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Duxbury</w:t>
            </w:r>
          </w:p>
        </w:tc>
        <w:tc>
          <w:tcPr>
            <w:tcW w:w="1479" w:type="dxa"/>
            <w:noWrap/>
            <w:vAlign w:val="top"/>
          </w:tcPr>
          <w:p w14:paraId="0CF5DAF4" w14:textId="37AFB02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28.47</w:t>
            </w:r>
          </w:p>
        </w:tc>
        <w:tc>
          <w:tcPr>
            <w:tcW w:w="1440" w:type="dxa"/>
            <w:noWrap/>
            <w:vAlign w:val="top"/>
          </w:tcPr>
          <w:p w14:paraId="4EDD731E" w14:textId="0E06D9D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54.29</w:t>
            </w:r>
          </w:p>
        </w:tc>
        <w:tc>
          <w:tcPr>
            <w:tcW w:w="1530" w:type="dxa"/>
            <w:noWrap/>
            <w:vAlign w:val="top"/>
          </w:tcPr>
          <w:p w14:paraId="209633BF" w14:textId="7B1736F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c>
          <w:tcPr>
            <w:tcW w:w="1440" w:type="dxa"/>
            <w:noWrap/>
            <w:vAlign w:val="top"/>
          </w:tcPr>
          <w:p w14:paraId="3D4BE4CD" w14:textId="7C1B919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41.31</w:t>
            </w:r>
          </w:p>
        </w:tc>
        <w:tc>
          <w:tcPr>
            <w:tcW w:w="1440" w:type="dxa"/>
            <w:noWrap/>
            <w:vAlign w:val="top"/>
          </w:tcPr>
          <w:p w14:paraId="23957214" w14:textId="4A5C5D3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85.75</w:t>
            </w:r>
          </w:p>
        </w:tc>
        <w:tc>
          <w:tcPr>
            <w:tcW w:w="1440" w:type="dxa"/>
            <w:noWrap/>
            <w:vAlign w:val="top"/>
          </w:tcPr>
          <w:p w14:paraId="3746286E" w14:textId="7E75484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48.2%</w:t>
            </w:r>
          </w:p>
        </w:tc>
      </w:tr>
      <w:tr w:rsidR="00AF5B5B" w:rsidRPr="006253A9" w14:paraId="0E4CBEC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E5756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0083</w:t>
            </w:r>
          </w:p>
        </w:tc>
        <w:tc>
          <w:tcPr>
            <w:tcW w:w="2880" w:type="dxa"/>
            <w:noWrap/>
            <w:hideMark/>
          </w:tcPr>
          <w:p w14:paraId="6BD4DE4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 Bridgewater</w:t>
            </w:r>
          </w:p>
        </w:tc>
        <w:tc>
          <w:tcPr>
            <w:tcW w:w="1479" w:type="dxa"/>
            <w:noWrap/>
            <w:vAlign w:val="top"/>
          </w:tcPr>
          <w:p w14:paraId="60614EE5" w14:textId="3ADD999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19.48</w:t>
            </w:r>
          </w:p>
        </w:tc>
        <w:tc>
          <w:tcPr>
            <w:tcW w:w="1440" w:type="dxa"/>
            <w:noWrap/>
            <w:vAlign w:val="top"/>
          </w:tcPr>
          <w:p w14:paraId="101C8B13" w14:textId="416FD7B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36.10</w:t>
            </w:r>
          </w:p>
        </w:tc>
        <w:tc>
          <w:tcPr>
            <w:tcW w:w="1530" w:type="dxa"/>
            <w:noWrap/>
            <w:vAlign w:val="top"/>
          </w:tcPr>
          <w:p w14:paraId="32101040" w14:textId="340CCAF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53.9%</w:t>
            </w:r>
          </w:p>
        </w:tc>
        <w:tc>
          <w:tcPr>
            <w:tcW w:w="1440" w:type="dxa"/>
            <w:noWrap/>
            <w:vAlign w:val="top"/>
          </w:tcPr>
          <w:p w14:paraId="2D4C3181" w14:textId="65CDB1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26.63</w:t>
            </w:r>
          </w:p>
        </w:tc>
        <w:tc>
          <w:tcPr>
            <w:tcW w:w="1440" w:type="dxa"/>
            <w:noWrap/>
            <w:vAlign w:val="top"/>
          </w:tcPr>
          <w:p w14:paraId="5F13FBED" w14:textId="65E9DDA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52.03</w:t>
            </w:r>
          </w:p>
        </w:tc>
        <w:tc>
          <w:tcPr>
            <w:tcW w:w="1440" w:type="dxa"/>
            <w:noWrap/>
            <w:vAlign w:val="top"/>
          </w:tcPr>
          <w:p w14:paraId="1CB499AD" w14:textId="2990936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51.2%</w:t>
            </w:r>
          </w:p>
        </w:tc>
      </w:tr>
      <w:tr w:rsidR="00AF5B5B" w:rsidRPr="006253A9" w14:paraId="3B5E6F2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13EF35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0084</w:t>
            </w:r>
          </w:p>
        </w:tc>
        <w:tc>
          <w:tcPr>
            <w:tcW w:w="2880" w:type="dxa"/>
            <w:noWrap/>
            <w:hideMark/>
          </w:tcPr>
          <w:p w14:paraId="570B1D4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 Brookfield</w:t>
            </w:r>
          </w:p>
        </w:tc>
        <w:tc>
          <w:tcPr>
            <w:tcW w:w="1479" w:type="dxa"/>
            <w:noWrap/>
            <w:vAlign w:val="top"/>
          </w:tcPr>
          <w:p w14:paraId="606F65F0" w14:textId="0EA88AF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1.31</w:t>
            </w:r>
          </w:p>
        </w:tc>
        <w:tc>
          <w:tcPr>
            <w:tcW w:w="1440" w:type="dxa"/>
            <w:noWrap/>
            <w:vAlign w:val="top"/>
          </w:tcPr>
          <w:p w14:paraId="2CA6A206" w14:textId="715488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3.24</w:t>
            </w:r>
          </w:p>
        </w:tc>
        <w:tc>
          <w:tcPr>
            <w:tcW w:w="1530" w:type="dxa"/>
            <w:noWrap/>
            <w:vAlign w:val="top"/>
          </w:tcPr>
          <w:p w14:paraId="0FA280FF" w14:textId="4958DCB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40.4%</w:t>
            </w:r>
          </w:p>
        </w:tc>
        <w:tc>
          <w:tcPr>
            <w:tcW w:w="1440" w:type="dxa"/>
            <w:noWrap/>
            <w:vAlign w:val="top"/>
          </w:tcPr>
          <w:p w14:paraId="683B6EAE" w14:textId="6B3253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2.41</w:t>
            </w:r>
          </w:p>
        </w:tc>
        <w:tc>
          <w:tcPr>
            <w:tcW w:w="1440" w:type="dxa"/>
            <w:noWrap/>
            <w:vAlign w:val="top"/>
          </w:tcPr>
          <w:p w14:paraId="4B120451" w14:textId="4BC08D2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5.48</w:t>
            </w:r>
          </w:p>
        </w:tc>
        <w:tc>
          <w:tcPr>
            <w:tcW w:w="1440" w:type="dxa"/>
            <w:noWrap/>
            <w:vAlign w:val="top"/>
          </w:tcPr>
          <w:p w14:paraId="0D3C81FA" w14:textId="7E23835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44.1%</w:t>
            </w:r>
          </w:p>
        </w:tc>
      </w:tr>
      <w:tr w:rsidR="00AF5B5B" w:rsidRPr="006253A9" w14:paraId="2C7799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DABE8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0085</w:t>
            </w:r>
          </w:p>
        </w:tc>
        <w:tc>
          <w:tcPr>
            <w:tcW w:w="2880" w:type="dxa"/>
            <w:noWrap/>
            <w:hideMark/>
          </w:tcPr>
          <w:p w14:paraId="52CB091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Eastham</w:t>
            </w:r>
          </w:p>
        </w:tc>
        <w:tc>
          <w:tcPr>
            <w:tcW w:w="1479" w:type="dxa"/>
            <w:noWrap/>
            <w:vAlign w:val="top"/>
          </w:tcPr>
          <w:p w14:paraId="5228BA54" w14:textId="31BA6E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7.38</w:t>
            </w:r>
          </w:p>
        </w:tc>
        <w:tc>
          <w:tcPr>
            <w:tcW w:w="1440" w:type="dxa"/>
            <w:noWrap/>
            <w:vAlign w:val="top"/>
          </w:tcPr>
          <w:p w14:paraId="7F8115D5" w14:textId="452980A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18.00</w:t>
            </w:r>
          </w:p>
        </w:tc>
        <w:tc>
          <w:tcPr>
            <w:tcW w:w="1530" w:type="dxa"/>
            <w:noWrap/>
            <w:vAlign w:val="top"/>
          </w:tcPr>
          <w:p w14:paraId="162F8D1C" w14:textId="282A1CF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41.0%</w:t>
            </w:r>
          </w:p>
        </w:tc>
        <w:tc>
          <w:tcPr>
            <w:tcW w:w="1440" w:type="dxa"/>
            <w:noWrap/>
            <w:vAlign w:val="top"/>
          </w:tcPr>
          <w:p w14:paraId="3945210C" w14:textId="68EEFF0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9.72</w:t>
            </w:r>
          </w:p>
        </w:tc>
        <w:tc>
          <w:tcPr>
            <w:tcW w:w="1440" w:type="dxa"/>
            <w:noWrap/>
            <w:vAlign w:val="top"/>
          </w:tcPr>
          <w:p w14:paraId="2C1193D7" w14:textId="7C2E32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31.41</w:t>
            </w:r>
          </w:p>
        </w:tc>
        <w:tc>
          <w:tcPr>
            <w:tcW w:w="1440" w:type="dxa"/>
            <w:noWrap/>
            <w:vAlign w:val="top"/>
          </w:tcPr>
          <w:p w14:paraId="396167B6" w14:textId="0AEE449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31.0%</w:t>
            </w:r>
          </w:p>
        </w:tc>
      </w:tr>
      <w:tr w:rsidR="00AF5B5B" w:rsidRPr="006253A9" w14:paraId="718278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4FEB6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0086</w:t>
            </w:r>
          </w:p>
        </w:tc>
        <w:tc>
          <w:tcPr>
            <w:tcW w:w="2880" w:type="dxa"/>
            <w:noWrap/>
            <w:hideMark/>
          </w:tcPr>
          <w:p w14:paraId="2C06889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Easthampton</w:t>
            </w:r>
          </w:p>
        </w:tc>
        <w:tc>
          <w:tcPr>
            <w:tcW w:w="1479" w:type="dxa"/>
            <w:noWrap/>
            <w:vAlign w:val="top"/>
          </w:tcPr>
          <w:p w14:paraId="11B1D45C" w14:textId="60E1B5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17.59</w:t>
            </w:r>
          </w:p>
        </w:tc>
        <w:tc>
          <w:tcPr>
            <w:tcW w:w="1440" w:type="dxa"/>
            <w:noWrap/>
            <w:vAlign w:val="top"/>
          </w:tcPr>
          <w:p w14:paraId="6E2C81F2" w14:textId="6A56A3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34.65</w:t>
            </w:r>
          </w:p>
        </w:tc>
        <w:tc>
          <w:tcPr>
            <w:tcW w:w="1530" w:type="dxa"/>
            <w:noWrap/>
            <w:vAlign w:val="top"/>
          </w:tcPr>
          <w:p w14:paraId="3C82076B" w14:textId="42A733E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50.7%</w:t>
            </w:r>
          </w:p>
        </w:tc>
        <w:tc>
          <w:tcPr>
            <w:tcW w:w="1440" w:type="dxa"/>
            <w:noWrap/>
            <w:vAlign w:val="top"/>
          </w:tcPr>
          <w:p w14:paraId="636359ED" w14:textId="2AC844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22.36</w:t>
            </w:r>
          </w:p>
        </w:tc>
        <w:tc>
          <w:tcPr>
            <w:tcW w:w="1440" w:type="dxa"/>
            <w:noWrap/>
            <w:vAlign w:val="top"/>
          </w:tcPr>
          <w:p w14:paraId="757DD2EE" w14:textId="6ABBFDF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47.10</w:t>
            </w:r>
          </w:p>
        </w:tc>
        <w:tc>
          <w:tcPr>
            <w:tcW w:w="1440" w:type="dxa"/>
            <w:noWrap/>
            <w:vAlign w:val="top"/>
          </w:tcPr>
          <w:p w14:paraId="7711DBA2" w14:textId="26E7844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47.5%</w:t>
            </w:r>
          </w:p>
        </w:tc>
      </w:tr>
      <w:tr w:rsidR="00AF5B5B" w:rsidRPr="006253A9" w14:paraId="6D66EE0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67475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0087</w:t>
            </w:r>
          </w:p>
        </w:tc>
        <w:tc>
          <w:tcPr>
            <w:tcW w:w="2880" w:type="dxa"/>
            <w:noWrap/>
            <w:hideMark/>
          </w:tcPr>
          <w:p w14:paraId="5628A3A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 Longmeadow</w:t>
            </w:r>
          </w:p>
        </w:tc>
        <w:tc>
          <w:tcPr>
            <w:tcW w:w="1479" w:type="dxa"/>
            <w:noWrap/>
            <w:vAlign w:val="top"/>
          </w:tcPr>
          <w:p w14:paraId="701B2FB5" w14:textId="5592658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23.44</w:t>
            </w:r>
          </w:p>
        </w:tc>
        <w:tc>
          <w:tcPr>
            <w:tcW w:w="1440" w:type="dxa"/>
            <w:noWrap/>
            <w:vAlign w:val="top"/>
          </w:tcPr>
          <w:p w14:paraId="5E021E20" w14:textId="55AE78F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41.14</w:t>
            </w:r>
          </w:p>
        </w:tc>
        <w:tc>
          <w:tcPr>
            <w:tcW w:w="1530" w:type="dxa"/>
            <w:noWrap/>
            <w:vAlign w:val="top"/>
          </w:tcPr>
          <w:p w14:paraId="124A96B5" w14:textId="5E37B49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c>
          <w:tcPr>
            <w:tcW w:w="1440" w:type="dxa"/>
            <w:noWrap/>
            <w:vAlign w:val="top"/>
          </w:tcPr>
          <w:p w14:paraId="52845281" w14:textId="192A3C0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38.10</w:t>
            </w:r>
          </w:p>
        </w:tc>
        <w:tc>
          <w:tcPr>
            <w:tcW w:w="1440" w:type="dxa"/>
            <w:noWrap/>
            <w:vAlign w:val="top"/>
          </w:tcPr>
          <w:p w14:paraId="395DF3E8" w14:textId="27393B9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68.78</w:t>
            </w:r>
          </w:p>
        </w:tc>
        <w:tc>
          <w:tcPr>
            <w:tcW w:w="1440" w:type="dxa"/>
            <w:noWrap/>
            <w:vAlign w:val="top"/>
          </w:tcPr>
          <w:p w14:paraId="6462EB56" w14:textId="5D26A53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55.4%</w:t>
            </w:r>
          </w:p>
        </w:tc>
      </w:tr>
      <w:tr w:rsidR="00AF5B5B" w:rsidRPr="006253A9" w14:paraId="00E38D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C6A9B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0088</w:t>
            </w:r>
          </w:p>
        </w:tc>
        <w:tc>
          <w:tcPr>
            <w:tcW w:w="2880" w:type="dxa"/>
            <w:noWrap/>
            <w:hideMark/>
          </w:tcPr>
          <w:p w14:paraId="006967E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Easton</w:t>
            </w:r>
          </w:p>
        </w:tc>
        <w:tc>
          <w:tcPr>
            <w:tcW w:w="1479" w:type="dxa"/>
            <w:noWrap/>
            <w:vAlign w:val="top"/>
          </w:tcPr>
          <w:p w14:paraId="66C32EDA" w14:textId="6B1A662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31.97</w:t>
            </w:r>
          </w:p>
        </w:tc>
        <w:tc>
          <w:tcPr>
            <w:tcW w:w="1440" w:type="dxa"/>
            <w:noWrap/>
            <w:vAlign w:val="top"/>
          </w:tcPr>
          <w:p w14:paraId="68E954A9" w14:textId="590637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58.01</w:t>
            </w:r>
          </w:p>
        </w:tc>
        <w:tc>
          <w:tcPr>
            <w:tcW w:w="1530" w:type="dxa"/>
            <w:noWrap/>
            <w:vAlign w:val="top"/>
          </w:tcPr>
          <w:p w14:paraId="5A61BC19" w14:textId="4BC885B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55.1%</w:t>
            </w:r>
          </w:p>
        </w:tc>
        <w:tc>
          <w:tcPr>
            <w:tcW w:w="1440" w:type="dxa"/>
            <w:noWrap/>
            <w:vAlign w:val="top"/>
          </w:tcPr>
          <w:p w14:paraId="7279E9B7" w14:textId="4FF86B0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48.54</w:t>
            </w:r>
          </w:p>
        </w:tc>
        <w:tc>
          <w:tcPr>
            <w:tcW w:w="1440" w:type="dxa"/>
            <w:noWrap/>
            <w:vAlign w:val="top"/>
          </w:tcPr>
          <w:p w14:paraId="4A07FB21" w14:textId="732C238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84.79</w:t>
            </w:r>
          </w:p>
        </w:tc>
        <w:tc>
          <w:tcPr>
            <w:tcW w:w="1440" w:type="dxa"/>
            <w:noWrap/>
            <w:vAlign w:val="top"/>
          </w:tcPr>
          <w:p w14:paraId="2F39FF53" w14:textId="78BEBE8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57.2%</w:t>
            </w:r>
          </w:p>
        </w:tc>
      </w:tr>
      <w:tr w:rsidR="00AF5B5B" w:rsidRPr="006253A9" w14:paraId="2B6B41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4C7DBE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0089</w:t>
            </w:r>
          </w:p>
        </w:tc>
        <w:tc>
          <w:tcPr>
            <w:tcW w:w="2880" w:type="dxa"/>
            <w:noWrap/>
            <w:hideMark/>
          </w:tcPr>
          <w:p w14:paraId="724C89A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Edgartown</w:t>
            </w:r>
          </w:p>
        </w:tc>
        <w:tc>
          <w:tcPr>
            <w:tcW w:w="1479" w:type="dxa"/>
            <w:noWrap/>
            <w:vAlign w:val="top"/>
          </w:tcPr>
          <w:p w14:paraId="7D49DBB7" w14:textId="2C2F13F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9.12</w:t>
            </w:r>
          </w:p>
        </w:tc>
        <w:tc>
          <w:tcPr>
            <w:tcW w:w="1440" w:type="dxa"/>
            <w:noWrap/>
            <w:vAlign w:val="top"/>
          </w:tcPr>
          <w:p w14:paraId="157EF072" w14:textId="66D0405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28.66</w:t>
            </w:r>
          </w:p>
        </w:tc>
        <w:tc>
          <w:tcPr>
            <w:tcW w:w="1530" w:type="dxa"/>
            <w:noWrap/>
            <w:vAlign w:val="top"/>
          </w:tcPr>
          <w:p w14:paraId="41DB0DB8" w14:textId="6FC666B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31.8%</w:t>
            </w:r>
          </w:p>
        </w:tc>
        <w:tc>
          <w:tcPr>
            <w:tcW w:w="1440" w:type="dxa"/>
            <w:noWrap/>
            <w:vAlign w:val="top"/>
          </w:tcPr>
          <w:p w14:paraId="0BAA308D" w14:textId="72D2603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16.04</w:t>
            </w:r>
          </w:p>
        </w:tc>
        <w:tc>
          <w:tcPr>
            <w:tcW w:w="1440" w:type="dxa"/>
            <w:noWrap/>
            <w:vAlign w:val="top"/>
          </w:tcPr>
          <w:p w14:paraId="1B15497F" w14:textId="151A24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45.91</w:t>
            </w:r>
          </w:p>
        </w:tc>
        <w:tc>
          <w:tcPr>
            <w:tcW w:w="1440" w:type="dxa"/>
            <w:noWrap/>
            <w:vAlign w:val="top"/>
          </w:tcPr>
          <w:p w14:paraId="1AB1506D" w14:textId="18DE959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34.9%</w:t>
            </w:r>
          </w:p>
        </w:tc>
      </w:tr>
      <w:tr w:rsidR="00AF5B5B" w:rsidRPr="006253A9" w14:paraId="33BE177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CBABCB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0090</w:t>
            </w:r>
          </w:p>
        </w:tc>
        <w:tc>
          <w:tcPr>
            <w:tcW w:w="2880" w:type="dxa"/>
            <w:noWrap/>
            <w:hideMark/>
          </w:tcPr>
          <w:p w14:paraId="32E7379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Egremont</w:t>
            </w:r>
          </w:p>
        </w:tc>
        <w:tc>
          <w:tcPr>
            <w:tcW w:w="1479" w:type="dxa"/>
            <w:noWrap/>
            <w:vAlign w:val="top"/>
          </w:tcPr>
          <w:p w14:paraId="6B4D482A" w14:textId="642F971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w:t>
            </w:r>
          </w:p>
        </w:tc>
        <w:tc>
          <w:tcPr>
            <w:tcW w:w="1440" w:type="dxa"/>
            <w:noWrap/>
            <w:vAlign w:val="top"/>
          </w:tcPr>
          <w:p w14:paraId="0ED67410" w14:textId="016E62F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3.05</w:t>
            </w:r>
          </w:p>
        </w:tc>
        <w:tc>
          <w:tcPr>
            <w:tcW w:w="1530" w:type="dxa"/>
            <w:noWrap/>
            <w:vAlign w:val="top"/>
          </w:tcPr>
          <w:p w14:paraId="542F4694" w14:textId="20CAB9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42.0%</w:t>
            </w:r>
          </w:p>
        </w:tc>
        <w:tc>
          <w:tcPr>
            <w:tcW w:w="1440" w:type="dxa"/>
            <w:noWrap/>
            <w:vAlign w:val="top"/>
          </w:tcPr>
          <w:p w14:paraId="34B38185" w14:textId="1977B5A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1.60</w:t>
            </w:r>
          </w:p>
        </w:tc>
        <w:tc>
          <w:tcPr>
            <w:tcW w:w="1440" w:type="dxa"/>
            <w:noWrap/>
            <w:vAlign w:val="top"/>
          </w:tcPr>
          <w:p w14:paraId="657C986A" w14:textId="52CFF6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4.84</w:t>
            </w:r>
          </w:p>
        </w:tc>
        <w:tc>
          <w:tcPr>
            <w:tcW w:w="1440" w:type="dxa"/>
            <w:noWrap/>
            <w:vAlign w:val="top"/>
          </w:tcPr>
          <w:p w14:paraId="77F0172F" w14:textId="11503B8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33.1%</w:t>
            </w:r>
          </w:p>
        </w:tc>
      </w:tr>
      <w:tr w:rsidR="00AF5B5B" w:rsidRPr="006253A9" w14:paraId="47894ED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E9836D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0091</w:t>
            </w:r>
          </w:p>
        </w:tc>
        <w:tc>
          <w:tcPr>
            <w:tcW w:w="2880" w:type="dxa"/>
            <w:noWrap/>
            <w:hideMark/>
          </w:tcPr>
          <w:p w14:paraId="507C761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Erving</w:t>
            </w:r>
          </w:p>
        </w:tc>
        <w:tc>
          <w:tcPr>
            <w:tcW w:w="1479" w:type="dxa"/>
            <w:noWrap/>
            <w:vAlign w:val="top"/>
          </w:tcPr>
          <w:p w14:paraId="51CB8C6D" w14:textId="209C90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3.28</w:t>
            </w:r>
          </w:p>
        </w:tc>
        <w:tc>
          <w:tcPr>
            <w:tcW w:w="1440" w:type="dxa"/>
            <w:noWrap/>
            <w:vAlign w:val="top"/>
          </w:tcPr>
          <w:p w14:paraId="08D7084B" w14:textId="4B299D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8.45</w:t>
            </w:r>
          </w:p>
        </w:tc>
        <w:tc>
          <w:tcPr>
            <w:tcW w:w="1530" w:type="dxa"/>
            <w:noWrap/>
            <w:vAlign w:val="top"/>
          </w:tcPr>
          <w:p w14:paraId="3C65DECB" w14:textId="5B9E27C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38.8%</w:t>
            </w:r>
          </w:p>
        </w:tc>
        <w:tc>
          <w:tcPr>
            <w:tcW w:w="1440" w:type="dxa"/>
            <w:noWrap/>
            <w:vAlign w:val="top"/>
          </w:tcPr>
          <w:p w14:paraId="2B20D868" w14:textId="185199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5.92</w:t>
            </w:r>
          </w:p>
        </w:tc>
        <w:tc>
          <w:tcPr>
            <w:tcW w:w="1440" w:type="dxa"/>
            <w:noWrap/>
            <w:vAlign w:val="top"/>
          </w:tcPr>
          <w:p w14:paraId="261ACC46" w14:textId="77D11FA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12.55</w:t>
            </w:r>
          </w:p>
        </w:tc>
        <w:tc>
          <w:tcPr>
            <w:tcW w:w="1440" w:type="dxa"/>
            <w:noWrap/>
            <w:vAlign w:val="top"/>
          </w:tcPr>
          <w:p w14:paraId="6D1B5FA3" w14:textId="1233522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r>
      <w:tr w:rsidR="00AF5B5B" w:rsidRPr="006253A9" w14:paraId="3554438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9A1C25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0092</w:t>
            </w:r>
          </w:p>
        </w:tc>
        <w:tc>
          <w:tcPr>
            <w:tcW w:w="2880" w:type="dxa"/>
            <w:noWrap/>
            <w:hideMark/>
          </w:tcPr>
          <w:p w14:paraId="4DA9DE6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Essex</w:t>
            </w:r>
          </w:p>
        </w:tc>
        <w:tc>
          <w:tcPr>
            <w:tcW w:w="1479" w:type="dxa"/>
            <w:noWrap/>
            <w:vAlign w:val="top"/>
          </w:tcPr>
          <w:p w14:paraId="08C5B185" w14:textId="11A65B1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5.18</w:t>
            </w:r>
          </w:p>
        </w:tc>
        <w:tc>
          <w:tcPr>
            <w:tcW w:w="1440" w:type="dxa"/>
            <w:noWrap/>
            <w:vAlign w:val="top"/>
          </w:tcPr>
          <w:p w14:paraId="2337F337" w14:textId="60B1CD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9.81</w:t>
            </w:r>
          </w:p>
        </w:tc>
        <w:tc>
          <w:tcPr>
            <w:tcW w:w="1530" w:type="dxa"/>
            <w:noWrap/>
            <w:vAlign w:val="top"/>
          </w:tcPr>
          <w:p w14:paraId="347A4BCA" w14:textId="3FDB83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52.8%</w:t>
            </w:r>
          </w:p>
        </w:tc>
        <w:tc>
          <w:tcPr>
            <w:tcW w:w="1440" w:type="dxa"/>
            <w:noWrap/>
            <w:vAlign w:val="top"/>
          </w:tcPr>
          <w:p w14:paraId="52BA50CF" w14:textId="18F7D4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8.84</w:t>
            </w:r>
          </w:p>
        </w:tc>
        <w:tc>
          <w:tcPr>
            <w:tcW w:w="1440" w:type="dxa"/>
            <w:noWrap/>
            <w:vAlign w:val="top"/>
          </w:tcPr>
          <w:p w14:paraId="50BAF987" w14:textId="65A7085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15.54</w:t>
            </w:r>
          </w:p>
        </w:tc>
        <w:tc>
          <w:tcPr>
            <w:tcW w:w="1440" w:type="dxa"/>
            <w:noWrap/>
            <w:vAlign w:val="top"/>
          </w:tcPr>
          <w:p w14:paraId="30039233" w14:textId="4D906B9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56.9%</w:t>
            </w:r>
          </w:p>
        </w:tc>
      </w:tr>
      <w:tr w:rsidR="00AF5B5B" w:rsidRPr="006253A9" w14:paraId="30FB2C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AF302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0093</w:t>
            </w:r>
          </w:p>
        </w:tc>
        <w:tc>
          <w:tcPr>
            <w:tcW w:w="2880" w:type="dxa"/>
            <w:noWrap/>
            <w:hideMark/>
          </w:tcPr>
          <w:p w14:paraId="67D795D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Everett</w:t>
            </w:r>
          </w:p>
        </w:tc>
        <w:tc>
          <w:tcPr>
            <w:tcW w:w="1479" w:type="dxa"/>
            <w:noWrap/>
            <w:vAlign w:val="top"/>
          </w:tcPr>
          <w:p w14:paraId="549C7089" w14:textId="0B29CAD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49.43</w:t>
            </w:r>
          </w:p>
        </w:tc>
        <w:tc>
          <w:tcPr>
            <w:tcW w:w="1440" w:type="dxa"/>
            <w:noWrap/>
            <w:vAlign w:val="top"/>
          </w:tcPr>
          <w:p w14:paraId="10961549" w14:textId="74F290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127.88</w:t>
            </w:r>
          </w:p>
        </w:tc>
        <w:tc>
          <w:tcPr>
            <w:tcW w:w="1530" w:type="dxa"/>
            <w:noWrap/>
            <w:vAlign w:val="top"/>
          </w:tcPr>
          <w:p w14:paraId="68BB3901" w14:textId="523C395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38.7%</w:t>
            </w:r>
          </w:p>
        </w:tc>
        <w:tc>
          <w:tcPr>
            <w:tcW w:w="1440" w:type="dxa"/>
            <w:noWrap/>
            <w:vAlign w:val="top"/>
          </w:tcPr>
          <w:p w14:paraId="7186D0FF" w14:textId="3883BBF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101.50</w:t>
            </w:r>
          </w:p>
        </w:tc>
        <w:tc>
          <w:tcPr>
            <w:tcW w:w="1440" w:type="dxa"/>
            <w:noWrap/>
            <w:vAlign w:val="top"/>
          </w:tcPr>
          <w:p w14:paraId="5C0CCD95" w14:textId="738B808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232.36</w:t>
            </w:r>
          </w:p>
        </w:tc>
        <w:tc>
          <w:tcPr>
            <w:tcW w:w="1440" w:type="dxa"/>
            <w:noWrap/>
            <w:vAlign w:val="top"/>
          </w:tcPr>
          <w:p w14:paraId="7237AC36" w14:textId="4DD5BBB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43.7%</w:t>
            </w:r>
          </w:p>
        </w:tc>
      </w:tr>
      <w:tr w:rsidR="00AF5B5B" w:rsidRPr="006253A9" w14:paraId="701600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EC4AF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0094</w:t>
            </w:r>
          </w:p>
        </w:tc>
        <w:tc>
          <w:tcPr>
            <w:tcW w:w="2880" w:type="dxa"/>
            <w:noWrap/>
            <w:hideMark/>
          </w:tcPr>
          <w:p w14:paraId="3A05F40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Fairhaven</w:t>
            </w:r>
          </w:p>
        </w:tc>
        <w:tc>
          <w:tcPr>
            <w:tcW w:w="1479" w:type="dxa"/>
            <w:noWrap/>
            <w:vAlign w:val="top"/>
          </w:tcPr>
          <w:p w14:paraId="11706148" w14:textId="07CE51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19.71</w:t>
            </w:r>
          </w:p>
        </w:tc>
        <w:tc>
          <w:tcPr>
            <w:tcW w:w="1440" w:type="dxa"/>
            <w:noWrap/>
            <w:vAlign w:val="top"/>
          </w:tcPr>
          <w:p w14:paraId="1F50B05E" w14:textId="3B4645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38.18</w:t>
            </w:r>
          </w:p>
        </w:tc>
        <w:tc>
          <w:tcPr>
            <w:tcW w:w="1530" w:type="dxa"/>
            <w:noWrap/>
            <w:vAlign w:val="top"/>
          </w:tcPr>
          <w:p w14:paraId="758ADC3D" w14:textId="744F4C2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c>
          <w:tcPr>
            <w:tcW w:w="1440" w:type="dxa"/>
            <w:noWrap/>
            <w:vAlign w:val="top"/>
          </w:tcPr>
          <w:p w14:paraId="6B30050C" w14:textId="50451C8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22.92</w:t>
            </w:r>
          </w:p>
        </w:tc>
        <w:tc>
          <w:tcPr>
            <w:tcW w:w="1440" w:type="dxa"/>
            <w:noWrap/>
            <w:vAlign w:val="top"/>
          </w:tcPr>
          <w:p w14:paraId="2C3E84FD" w14:textId="558EC56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50.94</w:t>
            </w:r>
          </w:p>
        </w:tc>
        <w:tc>
          <w:tcPr>
            <w:tcW w:w="1440" w:type="dxa"/>
            <w:noWrap/>
            <w:vAlign w:val="top"/>
          </w:tcPr>
          <w:p w14:paraId="7580997A" w14:textId="4381349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45.0%</w:t>
            </w:r>
          </w:p>
        </w:tc>
      </w:tr>
      <w:tr w:rsidR="00AF5B5B" w:rsidRPr="006253A9" w14:paraId="402075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711854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0095</w:t>
            </w:r>
          </w:p>
        </w:tc>
        <w:tc>
          <w:tcPr>
            <w:tcW w:w="2880" w:type="dxa"/>
            <w:noWrap/>
            <w:hideMark/>
          </w:tcPr>
          <w:p w14:paraId="1633DBC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Fall River</w:t>
            </w:r>
          </w:p>
        </w:tc>
        <w:tc>
          <w:tcPr>
            <w:tcW w:w="1479" w:type="dxa"/>
            <w:noWrap/>
            <w:vAlign w:val="top"/>
          </w:tcPr>
          <w:p w14:paraId="5E831DFC" w14:textId="011E45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116.24</w:t>
            </w:r>
          </w:p>
        </w:tc>
        <w:tc>
          <w:tcPr>
            <w:tcW w:w="1440" w:type="dxa"/>
            <w:noWrap/>
            <w:vAlign w:val="top"/>
          </w:tcPr>
          <w:p w14:paraId="67222B54" w14:textId="0B64A4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232.59</w:t>
            </w:r>
          </w:p>
        </w:tc>
        <w:tc>
          <w:tcPr>
            <w:tcW w:w="1530" w:type="dxa"/>
            <w:noWrap/>
            <w:vAlign w:val="top"/>
          </w:tcPr>
          <w:p w14:paraId="24E52D1A" w14:textId="25379D8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50.0%</w:t>
            </w:r>
          </w:p>
        </w:tc>
        <w:tc>
          <w:tcPr>
            <w:tcW w:w="1440" w:type="dxa"/>
            <w:noWrap/>
            <w:vAlign w:val="top"/>
          </w:tcPr>
          <w:p w14:paraId="07001464" w14:textId="6121CB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149.44</w:t>
            </w:r>
          </w:p>
        </w:tc>
        <w:tc>
          <w:tcPr>
            <w:tcW w:w="1440" w:type="dxa"/>
            <w:noWrap/>
            <w:vAlign w:val="top"/>
          </w:tcPr>
          <w:p w14:paraId="291B00EB" w14:textId="3CEBF76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316.95</w:t>
            </w:r>
          </w:p>
        </w:tc>
        <w:tc>
          <w:tcPr>
            <w:tcW w:w="1440" w:type="dxa"/>
            <w:noWrap/>
            <w:vAlign w:val="top"/>
          </w:tcPr>
          <w:p w14:paraId="0BFF00E1" w14:textId="54FEFD5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r>
      <w:tr w:rsidR="00AF5B5B" w:rsidRPr="006253A9" w14:paraId="5A8FC7A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46AF5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0096</w:t>
            </w:r>
          </w:p>
        </w:tc>
        <w:tc>
          <w:tcPr>
            <w:tcW w:w="2880" w:type="dxa"/>
            <w:noWrap/>
            <w:hideMark/>
          </w:tcPr>
          <w:p w14:paraId="0AC1926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Falmouth</w:t>
            </w:r>
          </w:p>
        </w:tc>
        <w:tc>
          <w:tcPr>
            <w:tcW w:w="1479" w:type="dxa"/>
            <w:noWrap/>
            <w:vAlign w:val="top"/>
          </w:tcPr>
          <w:p w14:paraId="3F19F4D9" w14:textId="161665C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45.95</w:t>
            </w:r>
          </w:p>
        </w:tc>
        <w:tc>
          <w:tcPr>
            <w:tcW w:w="1440" w:type="dxa"/>
            <w:noWrap/>
            <w:vAlign w:val="top"/>
          </w:tcPr>
          <w:p w14:paraId="61D2FF99" w14:textId="7E28DE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99.71</w:t>
            </w:r>
          </w:p>
        </w:tc>
        <w:tc>
          <w:tcPr>
            <w:tcW w:w="1530" w:type="dxa"/>
            <w:noWrap/>
            <w:vAlign w:val="top"/>
          </w:tcPr>
          <w:p w14:paraId="76A47775" w14:textId="776412D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46.1%</w:t>
            </w:r>
          </w:p>
        </w:tc>
        <w:tc>
          <w:tcPr>
            <w:tcW w:w="1440" w:type="dxa"/>
            <w:noWrap/>
            <w:vAlign w:val="top"/>
          </w:tcPr>
          <w:p w14:paraId="1E87AC68" w14:textId="29FD70E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60.62</w:t>
            </w:r>
          </w:p>
        </w:tc>
        <w:tc>
          <w:tcPr>
            <w:tcW w:w="1440" w:type="dxa"/>
            <w:noWrap/>
            <w:vAlign w:val="top"/>
          </w:tcPr>
          <w:p w14:paraId="55EDD0A5" w14:textId="054C9E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156.96</w:t>
            </w:r>
          </w:p>
        </w:tc>
        <w:tc>
          <w:tcPr>
            <w:tcW w:w="1440" w:type="dxa"/>
            <w:noWrap/>
            <w:vAlign w:val="top"/>
          </w:tcPr>
          <w:p w14:paraId="1F6A32FE" w14:textId="09629E0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38.6%</w:t>
            </w:r>
          </w:p>
        </w:tc>
      </w:tr>
      <w:tr w:rsidR="00AF5B5B" w:rsidRPr="006253A9" w14:paraId="462EFC8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EBC4E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0097</w:t>
            </w:r>
          </w:p>
        </w:tc>
        <w:tc>
          <w:tcPr>
            <w:tcW w:w="2880" w:type="dxa"/>
            <w:noWrap/>
            <w:hideMark/>
          </w:tcPr>
          <w:p w14:paraId="67ED032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Fitchburg</w:t>
            </w:r>
          </w:p>
        </w:tc>
        <w:tc>
          <w:tcPr>
            <w:tcW w:w="1479" w:type="dxa"/>
            <w:noWrap/>
            <w:vAlign w:val="top"/>
          </w:tcPr>
          <w:p w14:paraId="0A9F6623" w14:textId="17F6EE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53.83</w:t>
            </w:r>
          </w:p>
        </w:tc>
        <w:tc>
          <w:tcPr>
            <w:tcW w:w="1440" w:type="dxa"/>
            <w:noWrap/>
            <w:vAlign w:val="top"/>
          </w:tcPr>
          <w:p w14:paraId="201DF434" w14:textId="4BDDD6A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102.09</w:t>
            </w:r>
          </w:p>
        </w:tc>
        <w:tc>
          <w:tcPr>
            <w:tcW w:w="1530" w:type="dxa"/>
            <w:noWrap/>
            <w:vAlign w:val="top"/>
          </w:tcPr>
          <w:p w14:paraId="382E3E2A" w14:textId="3D30959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52.7%</w:t>
            </w:r>
          </w:p>
        </w:tc>
        <w:tc>
          <w:tcPr>
            <w:tcW w:w="1440" w:type="dxa"/>
            <w:noWrap/>
            <w:vAlign w:val="top"/>
          </w:tcPr>
          <w:p w14:paraId="6113B1D7" w14:textId="36652C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71.21</w:t>
            </w:r>
          </w:p>
        </w:tc>
        <w:tc>
          <w:tcPr>
            <w:tcW w:w="1440" w:type="dxa"/>
            <w:noWrap/>
            <w:vAlign w:val="top"/>
          </w:tcPr>
          <w:p w14:paraId="4B9A641D" w14:textId="1BDD745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143.22</w:t>
            </w:r>
          </w:p>
        </w:tc>
        <w:tc>
          <w:tcPr>
            <w:tcW w:w="1440" w:type="dxa"/>
            <w:noWrap/>
            <w:vAlign w:val="top"/>
          </w:tcPr>
          <w:p w14:paraId="7CFF92A9" w14:textId="381A224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49.7%</w:t>
            </w:r>
          </w:p>
        </w:tc>
      </w:tr>
      <w:tr w:rsidR="00AF5B5B" w:rsidRPr="006253A9" w14:paraId="15B3DA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39B4F3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0098</w:t>
            </w:r>
          </w:p>
        </w:tc>
        <w:tc>
          <w:tcPr>
            <w:tcW w:w="2880" w:type="dxa"/>
            <w:noWrap/>
            <w:hideMark/>
          </w:tcPr>
          <w:p w14:paraId="483BC2D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Florida</w:t>
            </w:r>
          </w:p>
        </w:tc>
        <w:tc>
          <w:tcPr>
            <w:tcW w:w="1479" w:type="dxa"/>
            <w:noWrap/>
            <w:vAlign w:val="top"/>
          </w:tcPr>
          <w:p w14:paraId="37AE3FE5" w14:textId="522BA99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1.33</w:t>
            </w:r>
          </w:p>
        </w:tc>
        <w:tc>
          <w:tcPr>
            <w:tcW w:w="1440" w:type="dxa"/>
            <w:noWrap/>
            <w:vAlign w:val="top"/>
          </w:tcPr>
          <w:p w14:paraId="32D5F7DA" w14:textId="6C73742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2.69</w:t>
            </w:r>
          </w:p>
        </w:tc>
        <w:tc>
          <w:tcPr>
            <w:tcW w:w="1530" w:type="dxa"/>
            <w:noWrap/>
            <w:vAlign w:val="top"/>
          </w:tcPr>
          <w:p w14:paraId="559240DC" w14:textId="04DE607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49.4%</w:t>
            </w:r>
          </w:p>
        </w:tc>
        <w:tc>
          <w:tcPr>
            <w:tcW w:w="1440" w:type="dxa"/>
            <w:noWrap/>
            <w:vAlign w:val="top"/>
          </w:tcPr>
          <w:p w14:paraId="66CF0984" w14:textId="0E2A83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1.73</w:t>
            </w:r>
          </w:p>
        </w:tc>
        <w:tc>
          <w:tcPr>
            <w:tcW w:w="1440" w:type="dxa"/>
            <w:noWrap/>
            <w:vAlign w:val="top"/>
          </w:tcPr>
          <w:p w14:paraId="2FAD05BD" w14:textId="698754E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3.78</w:t>
            </w:r>
          </w:p>
        </w:tc>
        <w:tc>
          <w:tcPr>
            <w:tcW w:w="1440" w:type="dxa"/>
            <w:noWrap/>
            <w:vAlign w:val="top"/>
          </w:tcPr>
          <w:p w14:paraId="1BC1F602" w14:textId="7845A8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45.8%</w:t>
            </w:r>
          </w:p>
        </w:tc>
      </w:tr>
      <w:tr w:rsidR="00AF5B5B" w:rsidRPr="006253A9" w14:paraId="7EC5BA4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E1832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0099</w:t>
            </w:r>
          </w:p>
        </w:tc>
        <w:tc>
          <w:tcPr>
            <w:tcW w:w="2880" w:type="dxa"/>
            <w:noWrap/>
            <w:hideMark/>
          </w:tcPr>
          <w:p w14:paraId="7971EBB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Foxborough</w:t>
            </w:r>
          </w:p>
        </w:tc>
        <w:tc>
          <w:tcPr>
            <w:tcW w:w="1479" w:type="dxa"/>
            <w:noWrap/>
            <w:vAlign w:val="top"/>
          </w:tcPr>
          <w:p w14:paraId="226E0A81" w14:textId="6C95B73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25.82</w:t>
            </w:r>
          </w:p>
        </w:tc>
        <w:tc>
          <w:tcPr>
            <w:tcW w:w="1440" w:type="dxa"/>
            <w:noWrap/>
            <w:vAlign w:val="top"/>
          </w:tcPr>
          <w:p w14:paraId="7295C41D" w14:textId="6BBB30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46.58</w:t>
            </w:r>
          </w:p>
        </w:tc>
        <w:tc>
          <w:tcPr>
            <w:tcW w:w="1530" w:type="dxa"/>
            <w:noWrap/>
            <w:vAlign w:val="top"/>
          </w:tcPr>
          <w:p w14:paraId="769170C9" w14:textId="216796D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55.4%</w:t>
            </w:r>
          </w:p>
        </w:tc>
        <w:tc>
          <w:tcPr>
            <w:tcW w:w="1440" w:type="dxa"/>
            <w:noWrap/>
            <w:vAlign w:val="top"/>
          </w:tcPr>
          <w:p w14:paraId="44A0D0B8" w14:textId="738C406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44.31</w:t>
            </w:r>
          </w:p>
        </w:tc>
        <w:tc>
          <w:tcPr>
            <w:tcW w:w="1440" w:type="dxa"/>
            <w:noWrap/>
            <w:vAlign w:val="top"/>
          </w:tcPr>
          <w:p w14:paraId="68740CDD" w14:textId="0BC7C8C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84.83</w:t>
            </w:r>
          </w:p>
        </w:tc>
        <w:tc>
          <w:tcPr>
            <w:tcW w:w="1440" w:type="dxa"/>
            <w:noWrap/>
            <w:vAlign w:val="top"/>
          </w:tcPr>
          <w:p w14:paraId="471E7B50" w14:textId="3AB18BD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52.2%</w:t>
            </w:r>
          </w:p>
        </w:tc>
      </w:tr>
      <w:tr w:rsidR="00AF5B5B" w:rsidRPr="006253A9" w14:paraId="42FA98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287DAD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0100</w:t>
            </w:r>
          </w:p>
        </w:tc>
        <w:tc>
          <w:tcPr>
            <w:tcW w:w="2880" w:type="dxa"/>
            <w:noWrap/>
            <w:hideMark/>
          </w:tcPr>
          <w:p w14:paraId="30E206D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Framingham</w:t>
            </w:r>
          </w:p>
        </w:tc>
        <w:tc>
          <w:tcPr>
            <w:tcW w:w="1479" w:type="dxa"/>
            <w:noWrap/>
            <w:vAlign w:val="top"/>
          </w:tcPr>
          <w:p w14:paraId="6A2D8FE5" w14:textId="23089AF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105.06</w:t>
            </w:r>
          </w:p>
        </w:tc>
        <w:tc>
          <w:tcPr>
            <w:tcW w:w="1440" w:type="dxa"/>
            <w:noWrap/>
            <w:vAlign w:val="top"/>
          </w:tcPr>
          <w:p w14:paraId="70F62598" w14:textId="2FB8848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199.95</w:t>
            </w:r>
          </w:p>
        </w:tc>
        <w:tc>
          <w:tcPr>
            <w:tcW w:w="1530" w:type="dxa"/>
            <w:noWrap/>
            <w:vAlign w:val="top"/>
          </w:tcPr>
          <w:p w14:paraId="2E0D3D85" w14:textId="795F540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52.5%</w:t>
            </w:r>
          </w:p>
        </w:tc>
        <w:tc>
          <w:tcPr>
            <w:tcW w:w="1440" w:type="dxa"/>
            <w:noWrap/>
            <w:vAlign w:val="top"/>
          </w:tcPr>
          <w:p w14:paraId="4CFDD030" w14:textId="467F6ED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166.84</w:t>
            </w:r>
          </w:p>
        </w:tc>
        <w:tc>
          <w:tcPr>
            <w:tcW w:w="1440" w:type="dxa"/>
            <w:noWrap/>
            <w:vAlign w:val="top"/>
          </w:tcPr>
          <w:p w14:paraId="4028961B" w14:textId="3E78E45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305.74</w:t>
            </w:r>
          </w:p>
        </w:tc>
        <w:tc>
          <w:tcPr>
            <w:tcW w:w="1440" w:type="dxa"/>
            <w:noWrap/>
            <w:vAlign w:val="top"/>
          </w:tcPr>
          <w:p w14:paraId="70136D63" w14:textId="3A7DFCA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501B413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ADD13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0101</w:t>
            </w:r>
          </w:p>
        </w:tc>
        <w:tc>
          <w:tcPr>
            <w:tcW w:w="2880" w:type="dxa"/>
            <w:noWrap/>
            <w:hideMark/>
          </w:tcPr>
          <w:p w14:paraId="013F178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Franklin</w:t>
            </w:r>
          </w:p>
        </w:tc>
        <w:tc>
          <w:tcPr>
            <w:tcW w:w="1479" w:type="dxa"/>
            <w:noWrap/>
            <w:vAlign w:val="top"/>
          </w:tcPr>
          <w:p w14:paraId="6C763789" w14:textId="75D81D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55.37</w:t>
            </w:r>
          </w:p>
        </w:tc>
        <w:tc>
          <w:tcPr>
            <w:tcW w:w="1440" w:type="dxa"/>
            <w:noWrap/>
            <w:vAlign w:val="top"/>
          </w:tcPr>
          <w:p w14:paraId="0E3D6408" w14:textId="2667DA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89.72</w:t>
            </w:r>
          </w:p>
        </w:tc>
        <w:tc>
          <w:tcPr>
            <w:tcW w:w="1530" w:type="dxa"/>
            <w:noWrap/>
            <w:vAlign w:val="top"/>
          </w:tcPr>
          <w:p w14:paraId="64333D14" w14:textId="0D8C035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61.7%</w:t>
            </w:r>
          </w:p>
        </w:tc>
        <w:tc>
          <w:tcPr>
            <w:tcW w:w="1440" w:type="dxa"/>
            <w:noWrap/>
            <w:vAlign w:val="top"/>
          </w:tcPr>
          <w:p w14:paraId="1CBB0E9F" w14:textId="0197929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77.65</w:t>
            </w:r>
          </w:p>
        </w:tc>
        <w:tc>
          <w:tcPr>
            <w:tcW w:w="1440" w:type="dxa"/>
            <w:noWrap/>
            <w:vAlign w:val="top"/>
          </w:tcPr>
          <w:p w14:paraId="4F2CA1E2" w14:textId="4090638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134.90</w:t>
            </w:r>
          </w:p>
        </w:tc>
        <w:tc>
          <w:tcPr>
            <w:tcW w:w="1440" w:type="dxa"/>
            <w:noWrap/>
            <w:vAlign w:val="top"/>
          </w:tcPr>
          <w:p w14:paraId="7E4B36CF" w14:textId="723FE97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57.6%</w:t>
            </w:r>
          </w:p>
        </w:tc>
      </w:tr>
      <w:tr w:rsidR="00AF5B5B" w:rsidRPr="006253A9" w14:paraId="0D258B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A2F0B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0102</w:t>
            </w:r>
          </w:p>
        </w:tc>
        <w:tc>
          <w:tcPr>
            <w:tcW w:w="2880" w:type="dxa"/>
            <w:noWrap/>
            <w:hideMark/>
          </w:tcPr>
          <w:p w14:paraId="45F98CB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Freetown</w:t>
            </w:r>
          </w:p>
        </w:tc>
        <w:tc>
          <w:tcPr>
            <w:tcW w:w="1479" w:type="dxa"/>
            <w:noWrap/>
            <w:vAlign w:val="top"/>
          </w:tcPr>
          <w:p w14:paraId="119872CC" w14:textId="48E183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11.19</w:t>
            </w:r>
          </w:p>
        </w:tc>
        <w:tc>
          <w:tcPr>
            <w:tcW w:w="1440" w:type="dxa"/>
            <w:noWrap/>
            <w:vAlign w:val="top"/>
          </w:tcPr>
          <w:p w14:paraId="2078AA91" w14:textId="36D629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19.91</w:t>
            </w:r>
          </w:p>
        </w:tc>
        <w:tc>
          <w:tcPr>
            <w:tcW w:w="1530" w:type="dxa"/>
            <w:noWrap/>
            <w:vAlign w:val="top"/>
          </w:tcPr>
          <w:p w14:paraId="503447D4" w14:textId="53CB793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56.2%</w:t>
            </w:r>
          </w:p>
        </w:tc>
        <w:tc>
          <w:tcPr>
            <w:tcW w:w="1440" w:type="dxa"/>
            <w:noWrap/>
            <w:vAlign w:val="top"/>
          </w:tcPr>
          <w:p w14:paraId="00B470FA" w14:textId="780D12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12.63</w:t>
            </w:r>
          </w:p>
        </w:tc>
        <w:tc>
          <w:tcPr>
            <w:tcW w:w="1440" w:type="dxa"/>
            <w:noWrap/>
            <w:vAlign w:val="top"/>
          </w:tcPr>
          <w:p w14:paraId="255EDBF2" w14:textId="5F42DE1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30.99</w:t>
            </w:r>
          </w:p>
        </w:tc>
        <w:tc>
          <w:tcPr>
            <w:tcW w:w="1440" w:type="dxa"/>
            <w:noWrap/>
            <w:vAlign w:val="top"/>
          </w:tcPr>
          <w:p w14:paraId="4328A470" w14:textId="1C9BCDD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40.8%</w:t>
            </w:r>
          </w:p>
        </w:tc>
      </w:tr>
      <w:tr w:rsidR="00AF5B5B" w:rsidRPr="006253A9" w14:paraId="3682D5E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52E97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0103</w:t>
            </w:r>
          </w:p>
        </w:tc>
        <w:tc>
          <w:tcPr>
            <w:tcW w:w="2880" w:type="dxa"/>
            <w:noWrap/>
            <w:hideMark/>
          </w:tcPr>
          <w:p w14:paraId="2BD2C82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Gardner</w:t>
            </w:r>
          </w:p>
        </w:tc>
        <w:tc>
          <w:tcPr>
            <w:tcW w:w="1479" w:type="dxa"/>
            <w:noWrap/>
            <w:vAlign w:val="top"/>
          </w:tcPr>
          <w:p w14:paraId="505659A9" w14:textId="1CC000B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24.61</w:t>
            </w:r>
          </w:p>
        </w:tc>
        <w:tc>
          <w:tcPr>
            <w:tcW w:w="1440" w:type="dxa"/>
            <w:noWrap/>
            <w:vAlign w:val="top"/>
          </w:tcPr>
          <w:p w14:paraId="1BBA9724" w14:textId="28FA763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49.61</w:t>
            </w:r>
          </w:p>
        </w:tc>
        <w:tc>
          <w:tcPr>
            <w:tcW w:w="1530" w:type="dxa"/>
            <w:noWrap/>
            <w:vAlign w:val="top"/>
          </w:tcPr>
          <w:p w14:paraId="60450563" w14:textId="353A917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49.6%</w:t>
            </w:r>
          </w:p>
        </w:tc>
        <w:tc>
          <w:tcPr>
            <w:tcW w:w="1440" w:type="dxa"/>
            <w:noWrap/>
            <w:vAlign w:val="top"/>
          </w:tcPr>
          <w:p w14:paraId="52EC817A" w14:textId="55F6D0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31.01</w:t>
            </w:r>
          </w:p>
        </w:tc>
        <w:tc>
          <w:tcPr>
            <w:tcW w:w="1440" w:type="dxa"/>
            <w:noWrap/>
            <w:vAlign w:val="top"/>
          </w:tcPr>
          <w:p w14:paraId="56300F58" w14:textId="75243CF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64.51</w:t>
            </w:r>
          </w:p>
        </w:tc>
        <w:tc>
          <w:tcPr>
            <w:tcW w:w="1440" w:type="dxa"/>
            <w:noWrap/>
            <w:vAlign w:val="top"/>
          </w:tcPr>
          <w:p w14:paraId="0CC97DA3" w14:textId="022C176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48.1%</w:t>
            </w:r>
          </w:p>
        </w:tc>
      </w:tr>
      <w:tr w:rsidR="00AF5B5B" w:rsidRPr="006253A9" w14:paraId="086FDF7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453BDC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0104</w:t>
            </w:r>
          </w:p>
        </w:tc>
        <w:tc>
          <w:tcPr>
            <w:tcW w:w="2880" w:type="dxa"/>
            <w:noWrap/>
            <w:hideMark/>
          </w:tcPr>
          <w:p w14:paraId="2BA3649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Aquinnah</w:t>
            </w:r>
          </w:p>
        </w:tc>
        <w:tc>
          <w:tcPr>
            <w:tcW w:w="1479" w:type="dxa"/>
            <w:noWrap/>
            <w:vAlign w:val="top"/>
          </w:tcPr>
          <w:p w14:paraId="3657AA29" w14:textId="39891FF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0.65</w:t>
            </w:r>
          </w:p>
        </w:tc>
        <w:tc>
          <w:tcPr>
            <w:tcW w:w="1440" w:type="dxa"/>
            <w:noWrap/>
            <w:vAlign w:val="top"/>
          </w:tcPr>
          <w:p w14:paraId="5C27B98A" w14:textId="6F0736C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2.58</w:t>
            </w:r>
          </w:p>
        </w:tc>
        <w:tc>
          <w:tcPr>
            <w:tcW w:w="1530" w:type="dxa"/>
            <w:noWrap/>
            <w:vAlign w:val="top"/>
          </w:tcPr>
          <w:p w14:paraId="7B05CA61" w14:textId="17659A5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25.1%</w:t>
            </w:r>
          </w:p>
        </w:tc>
        <w:tc>
          <w:tcPr>
            <w:tcW w:w="1440" w:type="dxa"/>
            <w:noWrap/>
            <w:vAlign w:val="top"/>
          </w:tcPr>
          <w:p w14:paraId="2831F6FB" w14:textId="7B9C48D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1.72</w:t>
            </w:r>
          </w:p>
        </w:tc>
        <w:tc>
          <w:tcPr>
            <w:tcW w:w="1440" w:type="dxa"/>
            <w:noWrap/>
            <w:vAlign w:val="top"/>
          </w:tcPr>
          <w:p w14:paraId="1FDCCBE2" w14:textId="6617A2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5.39</w:t>
            </w:r>
          </w:p>
        </w:tc>
        <w:tc>
          <w:tcPr>
            <w:tcW w:w="1440" w:type="dxa"/>
            <w:noWrap/>
            <w:vAlign w:val="top"/>
          </w:tcPr>
          <w:p w14:paraId="748668A0" w14:textId="0D28E2F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31.9%</w:t>
            </w:r>
          </w:p>
        </w:tc>
      </w:tr>
      <w:tr w:rsidR="00AF5B5B" w:rsidRPr="006253A9" w14:paraId="7F505B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DC1AD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0105</w:t>
            </w:r>
          </w:p>
        </w:tc>
        <w:tc>
          <w:tcPr>
            <w:tcW w:w="2880" w:type="dxa"/>
            <w:noWrap/>
            <w:hideMark/>
          </w:tcPr>
          <w:p w14:paraId="04FF733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Georgetown</w:t>
            </w:r>
          </w:p>
        </w:tc>
        <w:tc>
          <w:tcPr>
            <w:tcW w:w="1479" w:type="dxa"/>
            <w:noWrap/>
            <w:vAlign w:val="top"/>
          </w:tcPr>
          <w:p w14:paraId="56F2EFA6" w14:textId="1BC4079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12.09</w:t>
            </w:r>
          </w:p>
        </w:tc>
        <w:tc>
          <w:tcPr>
            <w:tcW w:w="1440" w:type="dxa"/>
            <w:noWrap/>
            <w:vAlign w:val="top"/>
          </w:tcPr>
          <w:p w14:paraId="40E08CC5" w14:textId="59270C5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21.92</w:t>
            </w:r>
          </w:p>
        </w:tc>
        <w:tc>
          <w:tcPr>
            <w:tcW w:w="1530" w:type="dxa"/>
            <w:noWrap/>
            <w:vAlign w:val="top"/>
          </w:tcPr>
          <w:p w14:paraId="018536C4" w14:textId="041772B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55.2%</w:t>
            </w:r>
          </w:p>
        </w:tc>
        <w:tc>
          <w:tcPr>
            <w:tcW w:w="1440" w:type="dxa"/>
            <w:noWrap/>
            <w:vAlign w:val="top"/>
          </w:tcPr>
          <w:p w14:paraId="6E929E78" w14:textId="1852006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19.07</w:t>
            </w:r>
          </w:p>
        </w:tc>
        <w:tc>
          <w:tcPr>
            <w:tcW w:w="1440" w:type="dxa"/>
            <w:noWrap/>
            <w:vAlign w:val="top"/>
          </w:tcPr>
          <w:p w14:paraId="09D65450" w14:textId="62829B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33.83</w:t>
            </w:r>
          </w:p>
        </w:tc>
        <w:tc>
          <w:tcPr>
            <w:tcW w:w="1440" w:type="dxa"/>
            <w:noWrap/>
            <w:vAlign w:val="top"/>
          </w:tcPr>
          <w:p w14:paraId="7E6D43AC" w14:textId="6315BC0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r>
      <w:tr w:rsidR="00AF5B5B" w:rsidRPr="006253A9" w14:paraId="15FA07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C9A9E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0106</w:t>
            </w:r>
          </w:p>
        </w:tc>
        <w:tc>
          <w:tcPr>
            <w:tcW w:w="2880" w:type="dxa"/>
            <w:noWrap/>
            <w:hideMark/>
          </w:tcPr>
          <w:p w14:paraId="7B87BBE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Gill</w:t>
            </w:r>
          </w:p>
        </w:tc>
        <w:tc>
          <w:tcPr>
            <w:tcW w:w="1479" w:type="dxa"/>
            <w:noWrap/>
            <w:vAlign w:val="top"/>
          </w:tcPr>
          <w:p w14:paraId="2141C8CC" w14:textId="2002736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1.39</w:t>
            </w:r>
          </w:p>
        </w:tc>
        <w:tc>
          <w:tcPr>
            <w:tcW w:w="1440" w:type="dxa"/>
            <w:noWrap/>
            <w:vAlign w:val="top"/>
          </w:tcPr>
          <w:p w14:paraId="73C0EF15" w14:textId="685F1F1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2.56</w:t>
            </w:r>
          </w:p>
        </w:tc>
        <w:tc>
          <w:tcPr>
            <w:tcW w:w="1530" w:type="dxa"/>
            <w:noWrap/>
            <w:vAlign w:val="top"/>
          </w:tcPr>
          <w:p w14:paraId="4BA0E294" w14:textId="4576795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c>
          <w:tcPr>
            <w:tcW w:w="1440" w:type="dxa"/>
            <w:noWrap/>
            <w:vAlign w:val="top"/>
          </w:tcPr>
          <w:p w14:paraId="76211B9B" w14:textId="6CEB5C3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1.93</w:t>
            </w:r>
          </w:p>
        </w:tc>
        <w:tc>
          <w:tcPr>
            <w:tcW w:w="1440" w:type="dxa"/>
            <w:noWrap/>
            <w:vAlign w:val="top"/>
          </w:tcPr>
          <w:p w14:paraId="6F2D1353" w14:textId="0EAF2BF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3.44</w:t>
            </w:r>
          </w:p>
        </w:tc>
        <w:tc>
          <w:tcPr>
            <w:tcW w:w="1440" w:type="dxa"/>
            <w:noWrap/>
            <w:vAlign w:val="top"/>
          </w:tcPr>
          <w:p w14:paraId="2F4B4779" w14:textId="680FE47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r>
      <w:tr w:rsidR="00AF5B5B" w:rsidRPr="006253A9" w14:paraId="514398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FBF2B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0107</w:t>
            </w:r>
          </w:p>
        </w:tc>
        <w:tc>
          <w:tcPr>
            <w:tcW w:w="2880" w:type="dxa"/>
            <w:noWrap/>
            <w:hideMark/>
          </w:tcPr>
          <w:p w14:paraId="639AEB3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Gloucester</w:t>
            </w:r>
          </w:p>
        </w:tc>
        <w:tc>
          <w:tcPr>
            <w:tcW w:w="1479" w:type="dxa"/>
            <w:noWrap/>
            <w:vAlign w:val="top"/>
          </w:tcPr>
          <w:p w14:paraId="493F42B3" w14:textId="0FBAD2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38.74</w:t>
            </w:r>
          </w:p>
        </w:tc>
        <w:tc>
          <w:tcPr>
            <w:tcW w:w="1440" w:type="dxa"/>
            <w:noWrap/>
            <w:vAlign w:val="top"/>
          </w:tcPr>
          <w:p w14:paraId="1AEEA811" w14:textId="2DC488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85.12</w:t>
            </w:r>
          </w:p>
        </w:tc>
        <w:tc>
          <w:tcPr>
            <w:tcW w:w="1530" w:type="dxa"/>
            <w:noWrap/>
            <w:vAlign w:val="top"/>
          </w:tcPr>
          <w:p w14:paraId="50B26240" w14:textId="42BBC47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45.5%</w:t>
            </w:r>
          </w:p>
        </w:tc>
        <w:tc>
          <w:tcPr>
            <w:tcW w:w="1440" w:type="dxa"/>
            <w:noWrap/>
            <w:vAlign w:val="top"/>
          </w:tcPr>
          <w:p w14:paraId="6670156D" w14:textId="6EE410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52.34</w:t>
            </w:r>
          </w:p>
        </w:tc>
        <w:tc>
          <w:tcPr>
            <w:tcW w:w="1440" w:type="dxa"/>
            <w:noWrap/>
            <w:vAlign w:val="top"/>
          </w:tcPr>
          <w:p w14:paraId="74F2F12D" w14:textId="5BEDBB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126.60</w:t>
            </w:r>
          </w:p>
        </w:tc>
        <w:tc>
          <w:tcPr>
            <w:tcW w:w="1440" w:type="dxa"/>
            <w:noWrap/>
            <w:vAlign w:val="top"/>
          </w:tcPr>
          <w:p w14:paraId="271B51D9" w14:textId="522CDBC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41.3%</w:t>
            </w:r>
          </w:p>
        </w:tc>
      </w:tr>
      <w:tr w:rsidR="00AF5B5B" w:rsidRPr="006253A9" w14:paraId="671E6AD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35B31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0108</w:t>
            </w:r>
          </w:p>
        </w:tc>
        <w:tc>
          <w:tcPr>
            <w:tcW w:w="2880" w:type="dxa"/>
            <w:noWrap/>
            <w:hideMark/>
          </w:tcPr>
          <w:p w14:paraId="0C241DE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Goshen</w:t>
            </w:r>
          </w:p>
        </w:tc>
        <w:tc>
          <w:tcPr>
            <w:tcW w:w="1479" w:type="dxa"/>
            <w:noWrap/>
            <w:vAlign w:val="top"/>
          </w:tcPr>
          <w:p w14:paraId="609CB2C9" w14:textId="5EC39FA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0.89</w:t>
            </w:r>
          </w:p>
        </w:tc>
        <w:tc>
          <w:tcPr>
            <w:tcW w:w="1440" w:type="dxa"/>
            <w:noWrap/>
            <w:vAlign w:val="top"/>
          </w:tcPr>
          <w:p w14:paraId="7683B0DE" w14:textId="163B6F6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2.36</w:t>
            </w:r>
          </w:p>
        </w:tc>
        <w:tc>
          <w:tcPr>
            <w:tcW w:w="1530" w:type="dxa"/>
            <w:noWrap/>
            <w:vAlign w:val="top"/>
          </w:tcPr>
          <w:p w14:paraId="35252B69" w14:textId="26BA43D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37.8%</w:t>
            </w:r>
          </w:p>
        </w:tc>
        <w:tc>
          <w:tcPr>
            <w:tcW w:w="1440" w:type="dxa"/>
            <w:noWrap/>
            <w:vAlign w:val="top"/>
          </w:tcPr>
          <w:p w14:paraId="6DFF313C" w14:textId="07DC52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1.46</w:t>
            </w:r>
          </w:p>
        </w:tc>
        <w:tc>
          <w:tcPr>
            <w:tcW w:w="1440" w:type="dxa"/>
            <w:noWrap/>
            <w:vAlign w:val="top"/>
          </w:tcPr>
          <w:p w14:paraId="7210BFAF" w14:textId="12E83EF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2.89</w:t>
            </w:r>
          </w:p>
        </w:tc>
        <w:tc>
          <w:tcPr>
            <w:tcW w:w="1440" w:type="dxa"/>
            <w:noWrap/>
            <w:vAlign w:val="top"/>
          </w:tcPr>
          <w:p w14:paraId="07968434" w14:textId="4BD74EB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50.5%</w:t>
            </w:r>
          </w:p>
        </w:tc>
      </w:tr>
      <w:tr w:rsidR="00AF5B5B" w:rsidRPr="006253A9" w14:paraId="303377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F6BD5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0109</w:t>
            </w:r>
          </w:p>
        </w:tc>
        <w:tc>
          <w:tcPr>
            <w:tcW w:w="2880" w:type="dxa"/>
            <w:noWrap/>
            <w:hideMark/>
          </w:tcPr>
          <w:p w14:paraId="58CA5B4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Gosnold</w:t>
            </w:r>
          </w:p>
        </w:tc>
        <w:tc>
          <w:tcPr>
            <w:tcW w:w="1479" w:type="dxa"/>
            <w:noWrap/>
            <w:vAlign w:val="top"/>
          </w:tcPr>
          <w:p w14:paraId="661D17EC" w14:textId="49E8A70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0.14</w:t>
            </w:r>
          </w:p>
        </w:tc>
        <w:tc>
          <w:tcPr>
            <w:tcW w:w="1440" w:type="dxa"/>
            <w:noWrap/>
            <w:vAlign w:val="top"/>
          </w:tcPr>
          <w:p w14:paraId="052BA41C" w14:textId="6986261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w:t>
            </w:r>
          </w:p>
        </w:tc>
        <w:tc>
          <w:tcPr>
            <w:tcW w:w="1530" w:type="dxa"/>
            <w:noWrap/>
            <w:vAlign w:val="top"/>
          </w:tcPr>
          <w:p w14:paraId="764384CF" w14:textId="36AD73A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11.9%</w:t>
            </w:r>
          </w:p>
        </w:tc>
        <w:tc>
          <w:tcPr>
            <w:tcW w:w="1440" w:type="dxa"/>
            <w:noWrap/>
            <w:vAlign w:val="top"/>
          </w:tcPr>
          <w:p w14:paraId="174AF3B6" w14:textId="68545A8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0.12</w:t>
            </w:r>
          </w:p>
        </w:tc>
        <w:tc>
          <w:tcPr>
            <w:tcW w:w="1440" w:type="dxa"/>
            <w:noWrap/>
            <w:vAlign w:val="top"/>
          </w:tcPr>
          <w:p w14:paraId="31743FFF" w14:textId="3290438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w:t>
            </w:r>
          </w:p>
        </w:tc>
        <w:tc>
          <w:tcPr>
            <w:tcW w:w="1440" w:type="dxa"/>
            <w:noWrap/>
            <w:vAlign w:val="top"/>
          </w:tcPr>
          <w:p w14:paraId="53C7D9ED" w14:textId="1E7132C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10.5%</w:t>
            </w:r>
          </w:p>
        </w:tc>
      </w:tr>
      <w:tr w:rsidR="00AF5B5B" w:rsidRPr="006253A9" w14:paraId="320F16E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894A7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0110</w:t>
            </w:r>
          </w:p>
        </w:tc>
        <w:tc>
          <w:tcPr>
            <w:tcW w:w="2880" w:type="dxa"/>
            <w:noWrap/>
            <w:hideMark/>
          </w:tcPr>
          <w:p w14:paraId="4AFAD5D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Grafton</w:t>
            </w:r>
          </w:p>
        </w:tc>
        <w:tc>
          <w:tcPr>
            <w:tcW w:w="1479" w:type="dxa"/>
            <w:noWrap/>
            <w:vAlign w:val="top"/>
          </w:tcPr>
          <w:p w14:paraId="13EAFA7E" w14:textId="40A6BB8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22.51</w:t>
            </w:r>
          </w:p>
        </w:tc>
        <w:tc>
          <w:tcPr>
            <w:tcW w:w="1440" w:type="dxa"/>
            <w:noWrap/>
            <w:vAlign w:val="top"/>
          </w:tcPr>
          <w:p w14:paraId="389875A3" w14:textId="6139BE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38.12</w:t>
            </w:r>
          </w:p>
        </w:tc>
        <w:tc>
          <w:tcPr>
            <w:tcW w:w="1530" w:type="dxa"/>
            <w:noWrap/>
            <w:vAlign w:val="top"/>
          </w:tcPr>
          <w:p w14:paraId="4BE5BB17" w14:textId="5ECC069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59.1%</w:t>
            </w:r>
          </w:p>
        </w:tc>
        <w:tc>
          <w:tcPr>
            <w:tcW w:w="1440" w:type="dxa"/>
            <w:noWrap/>
            <w:vAlign w:val="top"/>
          </w:tcPr>
          <w:p w14:paraId="47474922" w14:textId="65E7FD2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38.50</w:t>
            </w:r>
          </w:p>
        </w:tc>
        <w:tc>
          <w:tcPr>
            <w:tcW w:w="1440" w:type="dxa"/>
            <w:noWrap/>
            <w:vAlign w:val="top"/>
          </w:tcPr>
          <w:p w14:paraId="14CD66C9" w14:textId="73A2FF7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63.12</w:t>
            </w:r>
          </w:p>
        </w:tc>
        <w:tc>
          <w:tcPr>
            <w:tcW w:w="1440" w:type="dxa"/>
            <w:noWrap/>
            <w:vAlign w:val="top"/>
          </w:tcPr>
          <w:p w14:paraId="26ECE0CC" w14:textId="05725D7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61.0%</w:t>
            </w:r>
          </w:p>
        </w:tc>
      </w:tr>
      <w:tr w:rsidR="00AF5B5B" w:rsidRPr="006253A9" w14:paraId="2F99FC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7EE0CD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0111</w:t>
            </w:r>
          </w:p>
        </w:tc>
        <w:tc>
          <w:tcPr>
            <w:tcW w:w="2880" w:type="dxa"/>
            <w:noWrap/>
            <w:hideMark/>
          </w:tcPr>
          <w:p w14:paraId="52701A3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Granby</w:t>
            </w:r>
          </w:p>
        </w:tc>
        <w:tc>
          <w:tcPr>
            <w:tcW w:w="1479" w:type="dxa"/>
            <w:noWrap/>
            <w:vAlign w:val="top"/>
          </w:tcPr>
          <w:p w14:paraId="31AA2544" w14:textId="0381D2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8.74</w:t>
            </w:r>
          </w:p>
        </w:tc>
        <w:tc>
          <w:tcPr>
            <w:tcW w:w="1440" w:type="dxa"/>
            <w:noWrap/>
            <w:vAlign w:val="top"/>
          </w:tcPr>
          <w:p w14:paraId="67647C84" w14:textId="608E603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17.06</w:t>
            </w:r>
          </w:p>
        </w:tc>
        <w:tc>
          <w:tcPr>
            <w:tcW w:w="1530" w:type="dxa"/>
            <w:noWrap/>
            <w:vAlign w:val="top"/>
          </w:tcPr>
          <w:p w14:paraId="1509B37D" w14:textId="13DCAFB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51.3%</w:t>
            </w:r>
          </w:p>
        </w:tc>
        <w:tc>
          <w:tcPr>
            <w:tcW w:w="1440" w:type="dxa"/>
            <w:noWrap/>
            <w:vAlign w:val="top"/>
          </w:tcPr>
          <w:p w14:paraId="30378C97" w14:textId="1C48F9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9.96</w:t>
            </w:r>
          </w:p>
        </w:tc>
        <w:tc>
          <w:tcPr>
            <w:tcW w:w="1440" w:type="dxa"/>
            <w:noWrap/>
            <w:vAlign w:val="top"/>
          </w:tcPr>
          <w:p w14:paraId="5E194FF3" w14:textId="77662B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19.69</w:t>
            </w:r>
          </w:p>
        </w:tc>
        <w:tc>
          <w:tcPr>
            <w:tcW w:w="1440" w:type="dxa"/>
            <w:noWrap/>
            <w:vAlign w:val="top"/>
          </w:tcPr>
          <w:p w14:paraId="0C1D07FB" w14:textId="3DDB852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50.6%</w:t>
            </w:r>
          </w:p>
        </w:tc>
      </w:tr>
      <w:tr w:rsidR="00AF5B5B" w:rsidRPr="006253A9" w14:paraId="6A7F4E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846A3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0112</w:t>
            </w:r>
          </w:p>
        </w:tc>
        <w:tc>
          <w:tcPr>
            <w:tcW w:w="2880" w:type="dxa"/>
            <w:noWrap/>
            <w:hideMark/>
          </w:tcPr>
          <w:p w14:paraId="0FEB91B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Granville</w:t>
            </w:r>
          </w:p>
        </w:tc>
        <w:tc>
          <w:tcPr>
            <w:tcW w:w="1479" w:type="dxa"/>
            <w:noWrap/>
            <w:vAlign w:val="top"/>
          </w:tcPr>
          <w:p w14:paraId="5B426CED" w14:textId="0656FC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3.01</w:t>
            </w:r>
          </w:p>
        </w:tc>
        <w:tc>
          <w:tcPr>
            <w:tcW w:w="1440" w:type="dxa"/>
            <w:noWrap/>
            <w:vAlign w:val="top"/>
          </w:tcPr>
          <w:p w14:paraId="1E59B091" w14:textId="1FBD05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4.94</w:t>
            </w:r>
          </w:p>
        </w:tc>
        <w:tc>
          <w:tcPr>
            <w:tcW w:w="1530" w:type="dxa"/>
            <w:noWrap/>
            <w:vAlign w:val="top"/>
          </w:tcPr>
          <w:p w14:paraId="71D776CD" w14:textId="1C59537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61.0%</w:t>
            </w:r>
          </w:p>
        </w:tc>
        <w:tc>
          <w:tcPr>
            <w:tcW w:w="1440" w:type="dxa"/>
            <w:noWrap/>
            <w:vAlign w:val="top"/>
          </w:tcPr>
          <w:p w14:paraId="71F5854A" w14:textId="14C058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1.86</w:t>
            </w:r>
          </w:p>
        </w:tc>
        <w:tc>
          <w:tcPr>
            <w:tcW w:w="1440" w:type="dxa"/>
            <w:noWrap/>
            <w:vAlign w:val="top"/>
          </w:tcPr>
          <w:p w14:paraId="73075A98" w14:textId="42166B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3.91</w:t>
            </w:r>
          </w:p>
        </w:tc>
        <w:tc>
          <w:tcPr>
            <w:tcW w:w="1440" w:type="dxa"/>
            <w:noWrap/>
            <w:vAlign w:val="top"/>
          </w:tcPr>
          <w:p w14:paraId="7C2B7D04" w14:textId="7D1796A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47.6%</w:t>
            </w:r>
          </w:p>
        </w:tc>
      </w:tr>
      <w:tr w:rsidR="00AF5B5B" w:rsidRPr="006253A9" w14:paraId="229A68B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E7FFA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0113</w:t>
            </w:r>
          </w:p>
        </w:tc>
        <w:tc>
          <w:tcPr>
            <w:tcW w:w="2880" w:type="dxa"/>
            <w:noWrap/>
            <w:hideMark/>
          </w:tcPr>
          <w:p w14:paraId="4F48611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Great Barrington</w:t>
            </w:r>
          </w:p>
        </w:tc>
        <w:tc>
          <w:tcPr>
            <w:tcW w:w="1479" w:type="dxa"/>
            <w:noWrap/>
            <w:vAlign w:val="top"/>
          </w:tcPr>
          <w:p w14:paraId="26C0C57C" w14:textId="4C4D105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9.23</w:t>
            </w:r>
          </w:p>
        </w:tc>
        <w:tc>
          <w:tcPr>
            <w:tcW w:w="1440" w:type="dxa"/>
            <w:noWrap/>
            <w:vAlign w:val="top"/>
          </w:tcPr>
          <w:p w14:paraId="4C64E6A2" w14:textId="78D942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16.68</w:t>
            </w:r>
          </w:p>
        </w:tc>
        <w:tc>
          <w:tcPr>
            <w:tcW w:w="1530" w:type="dxa"/>
            <w:noWrap/>
            <w:vAlign w:val="top"/>
          </w:tcPr>
          <w:p w14:paraId="55F0C4B8" w14:textId="333E219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55.4%</w:t>
            </w:r>
          </w:p>
        </w:tc>
        <w:tc>
          <w:tcPr>
            <w:tcW w:w="1440" w:type="dxa"/>
            <w:noWrap/>
            <w:vAlign w:val="top"/>
          </w:tcPr>
          <w:p w14:paraId="10B7A7F4" w14:textId="4B52B13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16.01</w:t>
            </w:r>
          </w:p>
        </w:tc>
        <w:tc>
          <w:tcPr>
            <w:tcW w:w="1440" w:type="dxa"/>
            <w:noWrap/>
            <w:vAlign w:val="top"/>
          </w:tcPr>
          <w:p w14:paraId="70B2FEB3" w14:textId="00AF4E0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26.56</w:t>
            </w:r>
          </w:p>
        </w:tc>
        <w:tc>
          <w:tcPr>
            <w:tcW w:w="1440" w:type="dxa"/>
            <w:noWrap/>
            <w:vAlign w:val="top"/>
          </w:tcPr>
          <w:p w14:paraId="1DE208AC" w14:textId="4CD91F6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60.3%</w:t>
            </w:r>
          </w:p>
        </w:tc>
      </w:tr>
      <w:tr w:rsidR="00AF5B5B" w:rsidRPr="006253A9" w14:paraId="1F0BC1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B058B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0114</w:t>
            </w:r>
          </w:p>
        </w:tc>
        <w:tc>
          <w:tcPr>
            <w:tcW w:w="2880" w:type="dxa"/>
            <w:noWrap/>
            <w:hideMark/>
          </w:tcPr>
          <w:p w14:paraId="40489F6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Greenfield</w:t>
            </w:r>
          </w:p>
        </w:tc>
        <w:tc>
          <w:tcPr>
            <w:tcW w:w="1479" w:type="dxa"/>
            <w:noWrap/>
            <w:vAlign w:val="top"/>
          </w:tcPr>
          <w:p w14:paraId="3D18F9DB" w14:textId="604F27B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21.55</w:t>
            </w:r>
          </w:p>
        </w:tc>
        <w:tc>
          <w:tcPr>
            <w:tcW w:w="1440" w:type="dxa"/>
            <w:noWrap/>
            <w:vAlign w:val="top"/>
          </w:tcPr>
          <w:p w14:paraId="0236178F" w14:textId="25ED7FC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47.64</w:t>
            </w:r>
          </w:p>
        </w:tc>
        <w:tc>
          <w:tcPr>
            <w:tcW w:w="1530" w:type="dxa"/>
            <w:noWrap/>
            <w:vAlign w:val="top"/>
          </w:tcPr>
          <w:p w14:paraId="703289FC" w14:textId="19E3A88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45.2%</w:t>
            </w:r>
          </w:p>
        </w:tc>
        <w:tc>
          <w:tcPr>
            <w:tcW w:w="1440" w:type="dxa"/>
            <w:noWrap/>
            <w:vAlign w:val="top"/>
          </w:tcPr>
          <w:p w14:paraId="5DE47BDD" w14:textId="1BAA560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29.10</w:t>
            </w:r>
          </w:p>
        </w:tc>
        <w:tc>
          <w:tcPr>
            <w:tcW w:w="1440" w:type="dxa"/>
            <w:noWrap/>
            <w:vAlign w:val="top"/>
          </w:tcPr>
          <w:p w14:paraId="2170ACAC" w14:textId="2259C2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65.50</w:t>
            </w:r>
          </w:p>
        </w:tc>
        <w:tc>
          <w:tcPr>
            <w:tcW w:w="1440" w:type="dxa"/>
            <w:noWrap/>
            <w:vAlign w:val="top"/>
          </w:tcPr>
          <w:p w14:paraId="7A9CFEB9" w14:textId="38957C1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44.4%</w:t>
            </w:r>
          </w:p>
        </w:tc>
      </w:tr>
      <w:tr w:rsidR="00AF5B5B" w:rsidRPr="006253A9" w14:paraId="071AF0A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FACE7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0115</w:t>
            </w:r>
          </w:p>
        </w:tc>
        <w:tc>
          <w:tcPr>
            <w:tcW w:w="2880" w:type="dxa"/>
            <w:noWrap/>
            <w:hideMark/>
          </w:tcPr>
          <w:p w14:paraId="50CF9FE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Groton</w:t>
            </w:r>
          </w:p>
        </w:tc>
        <w:tc>
          <w:tcPr>
            <w:tcW w:w="1479" w:type="dxa"/>
            <w:noWrap/>
            <w:vAlign w:val="top"/>
          </w:tcPr>
          <w:p w14:paraId="4835E6E9" w14:textId="2FE37AC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14.85</w:t>
            </w:r>
          </w:p>
        </w:tc>
        <w:tc>
          <w:tcPr>
            <w:tcW w:w="1440" w:type="dxa"/>
            <w:noWrap/>
            <w:vAlign w:val="top"/>
          </w:tcPr>
          <w:p w14:paraId="56E866DD" w14:textId="42D4BD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26.80</w:t>
            </w:r>
          </w:p>
        </w:tc>
        <w:tc>
          <w:tcPr>
            <w:tcW w:w="1530" w:type="dxa"/>
            <w:noWrap/>
            <w:vAlign w:val="top"/>
          </w:tcPr>
          <w:p w14:paraId="2CBF0D8B" w14:textId="54D0178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55.4%</w:t>
            </w:r>
          </w:p>
        </w:tc>
        <w:tc>
          <w:tcPr>
            <w:tcW w:w="1440" w:type="dxa"/>
            <w:noWrap/>
            <w:vAlign w:val="top"/>
          </w:tcPr>
          <w:p w14:paraId="38775E7F" w14:textId="47F12D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22.42</w:t>
            </w:r>
          </w:p>
        </w:tc>
        <w:tc>
          <w:tcPr>
            <w:tcW w:w="1440" w:type="dxa"/>
            <w:noWrap/>
            <w:vAlign w:val="top"/>
          </w:tcPr>
          <w:p w14:paraId="5670EF2C" w14:textId="5C4BC0D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47.90</w:t>
            </w:r>
          </w:p>
        </w:tc>
        <w:tc>
          <w:tcPr>
            <w:tcW w:w="1440" w:type="dxa"/>
            <w:noWrap/>
            <w:vAlign w:val="top"/>
          </w:tcPr>
          <w:p w14:paraId="45945E4D" w14:textId="4F94FF7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46.8%</w:t>
            </w:r>
          </w:p>
        </w:tc>
      </w:tr>
      <w:tr w:rsidR="00AF5B5B" w:rsidRPr="006253A9" w14:paraId="46E395C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8F6D6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0116</w:t>
            </w:r>
          </w:p>
        </w:tc>
        <w:tc>
          <w:tcPr>
            <w:tcW w:w="2880" w:type="dxa"/>
            <w:noWrap/>
            <w:hideMark/>
          </w:tcPr>
          <w:p w14:paraId="2C657C8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Groveland</w:t>
            </w:r>
          </w:p>
        </w:tc>
        <w:tc>
          <w:tcPr>
            <w:tcW w:w="1479" w:type="dxa"/>
            <w:noWrap/>
            <w:vAlign w:val="top"/>
          </w:tcPr>
          <w:p w14:paraId="4C67655E" w14:textId="59C8EA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6.47</w:t>
            </w:r>
          </w:p>
        </w:tc>
        <w:tc>
          <w:tcPr>
            <w:tcW w:w="1440" w:type="dxa"/>
            <w:noWrap/>
            <w:vAlign w:val="top"/>
          </w:tcPr>
          <w:p w14:paraId="35A89992" w14:textId="5CBB4FC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11.37</w:t>
            </w:r>
          </w:p>
        </w:tc>
        <w:tc>
          <w:tcPr>
            <w:tcW w:w="1530" w:type="dxa"/>
            <w:noWrap/>
            <w:vAlign w:val="top"/>
          </w:tcPr>
          <w:p w14:paraId="20184863" w14:textId="77484A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56.9%</w:t>
            </w:r>
          </w:p>
        </w:tc>
        <w:tc>
          <w:tcPr>
            <w:tcW w:w="1440" w:type="dxa"/>
            <w:noWrap/>
            <w:vAlign w:val="top"/>
          </w:tcPr>
          <w:p w14:paraId="5E9DC957" w14:textId="719AB3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10.40</w:t>
            </w:r>
          </w:p>
        </w:tc>
        <w:tc>
          <w:tcPr>
            <w:tcW w:w="1440" w:type="dxa"/>
            <w:noWrap/>
            <w:vAlign w:val="top"/>
          </w:tcPr>
          <w:p w14:paraId="66420477" w14:textId="2A740AF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16.68</w:t>
            </w:r>
          </w:p>
        </w:tc>
        <w:tc>
          <w:tcPr>
            <w:tcW w:w="1440" w:type="dxa"/>
            <w:noWrap/>
            <w:vAlign w:val="top"/>
          </w:tcPr>
          <w:p w14:paraId="0DB23EB9" w14:textId="73174F7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62.4%</w:t>
            </w:r>
          </w:p>
        </w:tc>
      </w:tr>
      <w:tr w:rsidR="00AF5B5B" w:rsidRPr="006253A9" w14:paraId="4BFDEC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3F59D8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0117</w:t>
            </w:r>
          </w:p>
        </w:tc>
        <w:tc>
          <w:tcPr>
            <w:tcW w:w="2880" w:type="dxa"/>
            <w:noWrap/>
            <w:hideMark/>
          </w:tcPr>
          <w:p w14:paraId="20AA152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Hadley</w:t>
            </w:r>
          </w:p>
        </w:tc>
        <w:tc>
          <w:tcPr>
            <w:tcW w:w="1479" w:type="dxa"/>
            <w:noWrap/>
            <w:vAlign w:val="top"/>
          </w:tcPr>
          <w:p w14:paraId="37FA0E00" w14:textId="328586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5.98</w:t>
            </w:r>
          </w:p>
        </w:tc>
        <w:tc>
          <w:tcPr>
            <w:tcW w:w="1440" w:type="dxa"/>
            <w:noWrap/>
            <w:vAlign w:val="top"/>
          </w:tcPr>
          <w:p w14:paraId="0EF7DC83" w14:textId="58B2DB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15.93</w:t>
            </w:r>
          </w:p>
        </w:tc>
        <w:tc>
          <w:tcPr>
            <w:tcW w:w="1530" w:type="dxa"/>
            <w:noWrap/>
            <w:vAlign w:val="top"/>
          </w:tcPr>
          <w:p w14:paraId="55D33E24" w14:textId="451F6A7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37.6%</w:t>
            </w:r>
          </w:p>
        </w:tc>
        <w:tc>
          <w:tcPr>
            <w:tcW w:w="1440" w:type="dxa"/>
            <w:noWrap/>
            <w:vAlign w:val="top"/>
          </w:tcPr>
          <w:p w14:paraId="2403DFE5" w14:textId="6F2C6C8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8.68</w:t>
            </w:r>
          </w:p>
        </w:tc>
        <w:tc>
          <w:tcPr>
            <w:tcW w:w="1440" w:type="dxa"/>
            <w:noWrap/>
            <w:vAlign w:val="top"/>
          </w:tcPr>
          <w:p w14:paraId="43B10E7C" w14:textId="035B5E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19.53</w:t>
            </w:r>
          </w:p>
        </w:tc>
        <w:tc>
          <w:tcPr>
            <w:tcW w:w="1440" w:type="dxa"/>
            <w:noWrap/>
            <w:vAlign w:val="top"/>
          </w:tcPr>
          <w:p w14:paraId="7A859105" w14:textId="6E260E1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44.4%</w:t>
            </w:r>
          </w:p>
        </w:tc>
      </w:tr>
      <w:tr w:rsidR="00AF5B5B" w:rsidRPr="006253A9" w14:paraId="04F45E2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7784AB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0118</w:t>
            </w:r>
          </w:p>
        </w:tc>
        <w:tc>
          <w:tcPr>
            <w:tcW w:w="2880" w:type="dxa"/>
            <w:noWrap/>
            <w:hideMark/>
          </w:tcPr>
          <w:p w14:paraId="0CD84FC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Halifax</w:t>
            </w:r>
          </w:p>
        </w:tc>
        <w:tc>
          <w:tcPr>
            <w:tcW w:w="1479" w:type="dxa"/>
            <w:noWrap/>
            <w:vAlign w:val="top"/>
          </w:tcPr>
          <w:p w14:paraId="6178C587" w14:textId="501492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10.49</w:t>
            </w:r>
          </w:p>
        </w:tc>
        <w:tc>
          <w:tcPr>
            <w:tcW w:w="1440" w:type="dxa"/>
            <w:noWrap/>
            <w:vAlign w:val="top"/>
          </w:tcPr>
          <w:p w14:paraId="713EB624" w14:textId="3F954C1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17.15</w:t>
            </w:r>
          </w:p>
        </w:tc>
        <w:tc>
          <w:tcPr>
            <w:tcW w:w="1530" w:type="dxa"/>
            <w:noWrap/>
            <w:vAlign w:val="top"/>
          </w:tcPr>
          <w:p w14:paraId="0DDE64B7" w14:textId="2EEB396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61.2%</w:t>
            </w:r>
          </w:p>
        </w:tc>
        <w:tc>
          <w:tcPr>
            <w:tcW w:w="1440" w:type="dxa"/>
            <w:noWrap/>
            <w:vAlign w:val="top"/>
          </w:tcPr>
          <w:p w14:paraId="27CA67AB" w14:textId="308FFDC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12.91</w:t>
            </w:r>
          </w:p>
        </w:tc>
        <w:tc>
          <w:tcPr>
            <w:tcW w:w="1440" w:type="dxa"/>
            <w:noWrap/>
            <w:vAlign w:val="top"/>
          </w:tcPr>
          <w:p w14:paraId="1AF7E4E3" w14:textId="7C3121B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23.58</w:t>
            </w:r>
          </w:p>
        </w:tc>
        <w:tc>
          <w:tcPr>
            <w:tcW w:w="1440" w:type="dxa"/>
            <w:noWrap/>
            <w:vAlign w:val="top"/>
          </w:tcPr>
          <w:p w14:paraId="3314A32B" w14:textId="6DC32FA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54.8%</w:t>
            </w:r>
          </w:p>
        </w:tc>
      </w:tr>
      <w:tr w:rsidR="00AF5B5B" w:rsidRPr="006253A9" w14:paraId="42051DA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DCD51D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0119</w:t>
            </w:r>
          </w:p>
        </w:tc>
        <w:tc>
          <w:tcPr>
            <w:tcW w:w="2880" w:type="dxa"/>
            <w:noWrap/>
            <w:hideMark/>
          </w:tcPr>
          <w:p w14:paraId="38C9841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Hamilton</w:t>
            </w:r>
          </w:p>
        </w:tc>
        <w:tc>
          <w:tcPr>
            <w:tcW w:w="1479" w:type="dxa"/>
            <w:noWrap/>
            <w:vAlign w:val="top"/>
          </w:tcPr>
          <w:p w14:paraId="25DE32AA" w14:textId="639643F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13.87</w:t>
            </w:r>
          </w:p>
        </w:tc>
        <w:tc>
          <w:tcPr>
            <w:tcW w:w="1440" w:type="dxa"/>
            <w:noWrap/>
            <w:vAlign w:val="top"/>
          </w:tcPr>
          <w:p w14:paraId="584A6D56" w14:textId="227F8F1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22.24</w:t>
            </w:r>
          </w:p>
        </w:tc>
        <w:tc>
          <w:tcPr>
            <w:tcW w:w="1530" w:type="dxa"/>
            <w:noWrap/>
            <w:vAlign w:val="top"/>
          </w:tcPr>
          <w:p w14:paraId="3A516451" w14:textId="6FDCF86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62.4%</w:t>
            </w:r>
          </w:p>
        </w:tc>
        <w:tc>
          <w:tcPr>
            <w:tcW w:w="1440" w:type="dxa"/>
            <w:noWrap/>
            <w:vAlign w:val="top"/>
          </w:tcPr>
          <w:p w14:paraId="5F825CBA" w14:textId="4D2538F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18.58</w:t>
            </w:r>
          </w:p>
        </w:tc>
        <w:tc>
          <w:tcPr>
            <w:tcW w:w="1440" w:type="dxa"/>
            <w:noWrap/>
            <w:vAlign w:val="top"/>
          </w:tcPr>
          <w:p w14:paraId="272C3B97" w14:textId="1C1F50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29.84</w:t>
            </w:r>
          </w:p>
        </w:tc>
        <w:tc>
          <w:tcPr>
            <w:tcW w:w="1440" w:type="dxa"/>
            <w:noWrap/>
            <w:vAlign w:val="top"/>
          </w:tcPr>
          <w:p w14:paraId="66F6D889" w14:textId="327616E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62.3%</w:t>
            </w:r>
          </w:p>
        </w:tc>
      </w:tr>
      <w:tr w:rsidR="00AF5B5B" w:rsidRPr="006253A9" w14:paraId="0908772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94F0F8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0120</w:t>
            </w:r>
          </w:p>
        </w:tc>
        <w:tc>
          <w:tcPr>
            <w:tcW w:w="2880" w:type="dxa"/>
            <w:noWrap/>
            <w:hideMark/>
          </w:tcPr>
          <w:p w14:paraId="49132D3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Hampden</w:t>
            </w:r>
          </w:p>
        </w:tc>
        <w:tc>
          <w:tcPr>
            <w:tcW w:w="1479" w:type="dxa"/>
            <w:noWrap/>
            <w:vAlign w:val="top"/>
          </w:tcPr>
          <w:p w14:paraId="7FBA9741" w14:textId="185897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6.42</w:t>
            </w:r>
          </w:p>
        </w:tc>
        <w:tc>
          <w:tcPr>
            <w:tcW w:w="1440" w:type="dxa"/>
            <w:noWrap/>
            <w:vAlign w:val="top"/>
          </w:tcPr>
          <w:p w14:paraId="3449979E" w14:textId="796C6F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10.39</w:t>
            </w:r>
          </w:p>
        </w:tc>
        <w:tc>
          <w:tcPr>
            <w:tcW w:w="1530" w:type="dxa"/>
            <w:noWrap/>
            <w:vAlign w:val="top"/>
          </w:tcPr>
          <w:p w14:paraId="064A5DBF" w14:textId="4387F81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61.8%</w:t>
            </w:r>
          </w:p>
        </w:tc>
        <w:tc>
          <w:tcPr>
            <w:tcW w:w="1440" w:type="dxa"/>
            <w:noWrap/>
            <w:vAlign w:val="top"/>
          </w:tcPr>
          <w:p w14:paraId="6DFB1797" w14:textId="3031BA1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8.21</w:t>
            </w:r>
          </w:p>
        </w:tc>
        <w:tc>
          <w:tcPr>
            <w:tcW w:w="1440" w:type="dxa"/>
            <w:noWrap/>
            <w:vAlign w:val="top"/>
          </w:tcPr>
          <w:p w14:paraId="54C4E654" w14:textId="2CE1AA2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14.46</w:t>
            </w:r>
          </w:p>
        </w:tc>
        <w:tc>
          <w:tcPr>
            <w:tcW w:w="1440" w:type="dxa"/>
            <w:noWrap/>
            <w:vAlign w:val="top"/>
          </w:tcPr>
          <w:p w14:paraId="20C502B4" w14:textId="52E0529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56.8%</w:t>
            </w:r>
          </w:p>
        </w:tc>
      </w:tr>
      <w:tr w:rsidR="00AF5B5B" w:rsidRPr="006253A9" w14:paraId="0826C95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CF5F6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0121</w:t>
            </w:r>
          </w:p>
        </w:tc>
        <w:tc>
          <w:tcPr>
            <w:tcW w:w="2880" w:type="dxa"/>
            <w:noWrap/>
            <w:hideMark/>
          </w:tcPr>
          <w:p w14:paraId="428B6BD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Hancock</w:t>
            </w:r>
          </w:p>
        </w:tc>
        <w:tc>
          <w:tcPr>
            <w:tcW w:w="1479" w:type="dxa"/>
            <w:noWrap/>
            <w:vAlign w:val="top"/>
          </w:tcPr>
          <w:p w14:paraId="79B45816" w14:textId="39F3A93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1.09</w:t>
            </w:r>
          </w:p>
        </w:tc>
        <w:tc>
          <w:tcPr>
            <w:tcW w:w="1440" w:type="dxa"/>
            <w:noWrap/>
            <w:vAlign w:val="top"/>
          </w:tcPr>
          <w:p w14:paraId="16A44D6A" w14:textId="62C9227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1.49</w:t>
            </w:r>
          </w:p>
        </w:tc>
        <w:tc>
          <w:tcPr>
            <w:tcW w:w="1530" w:type="dxa"/>
            <w:noWrap/>
            <w:vAlign w:val="top"/>
          </w:tcPr>
          <w:p w14:paraId="383A9414" w14:textId="139EC5C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73.2%</w:t>
            </w:r>
          </w:p>
        </w:tc>
        <w:tc>
          <w:tcPr>
            <w:tcW w:w="1440" w:type="dxa"/>
            <w:noWrap/>
            <w:vAlign w:val="top"/>
          </w:tcPr>
          <w:p w14:paraId="3A4FA26D" w14:textId="15017A8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1.49</w:t>
            </w:r>
          </w:p>
        </w:tc>
        <w:tc>
          <w:tcPr>
            <w:tcW w:w="1440" w:type="dxa"/>
            <w:noWrap/>
            <w:vAlign w:val="top"/>
          </w:tcPr>
          <w:p w14:paraId="1C16FD4D" w14:textId="744724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2.01</w:t>
            </w:r>
          </w:p>
        </w:tc>
        <w:tc>
          <w:tcPr>
            <w:tcW w:w="1440" w:type="dxa"/>
            <w:noWrap/>
            <w:vAlign w:val="top"/>
          </w:tcPr>
          <w:p w14:paraId="39003450" w14:textId="18D204D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74.1%</w:t>
            </w:r>
          </w:p>
        </w:tc>
      </w:tr>
      <w:tr w:rsidR="00AF5B5B" w:rsidRPr="006253A9" w14:paraId="56DAAE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079AD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0122</w:t>
            </w:r>
          </w:p>
        </w:tc>
        <w:tc>
          <w:tcPr>
            <w:tcW w:w="2880" w:type="dxa"/>
            <w:noWrap/>
            <w:hideMark/>
          </w:tcPr>
          <w:p w14:paraId="65CC5B2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Hanover</w:t>
            </w:r>
          </w:p>
        </w:tc>
        <w:tc>
          <w:tcPr>
            <w:tcW w:w="1479" w:type="dxa"/>
            <w:noWrap/>
            <w:vAlign w:val="top"/>
          </w:tcPr>
          <w:p w14:paraId="6BD2160C" w14:textId="54F4C7B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23.72</w:t>
            </w:r>
          </w:p>
        </w:tc>
        <w:tc>
          <w:tcPr>
            <w:tcW w:w="1440" w:type="dxa"/>
            <w:noWrap/>
            <w:vAlign w:val="top"/>
          </w:tcPr>
          <w:p w14:paraId="75A4C89C" w14:textId="4DE7F3C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41.45</w:t>
            </w:r>
          </w:p>
        </w:tc>
        <w:tc>
          <w:tcPr>
            <w:tcW w:w="1530" w:type="dxa"/>
            <w:noWrap/>
            <w:vAlign w:val="top"/>
          </w:tcPr>
          <w:p w14:paraId="4DB10B6C" w14:textId="28F819E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57.2%</w:t>
            </w:r>
          </w:p>
        </w:tc>
        <w:tc>
          <w:tcPr>
            <w:tcW w:w="1440" w:type="dxa"/>
            <w:noWrap/>
            <w:vAlign w:val="top"/>
          </w:tcPr>
          <w:p w14:paraId="1C1006BA" w14:textId="080FC99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33.76</w:t>
            </w:r>
          </w:p>
        </w:tc>
        <w:tc>
          <w:tcPr>
            <w:tcW w:w="1440" w:type="dxa"/>
            <w:noWrap/>
            <w:vAlign w:val="top"/>
          </w:tcPr>
          <w:p w14:paraId="2DDED4E7" w14:textId="14F7C0F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66.36</w:t>
            </w:r>
          </w:p>
        </w:tc>
        <w:tc>
          <w:tcPr>
            <w:tcW w:w="1440" w:type="dxa"/>
            <w:noWrap/>
            <w:vAlign w:val="top"/>
          </w:tcPr>
          <w:p w14:paraId="589A78C2" w14:textId="7639071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50.9%</w:t>
            </w:r>
          </w:p>
        </w:tc>
      </w:tr>
      <w:tr w:rsidR="00AF5B5B" w:rsidRPr="006253A9" w14:paraId="1E94C0C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E5CBF5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0123</w:t>
            </w:r>
          </w:p>
        </w:tc>
        <w:tc>
          <w:tcPr>
            <w:tcW w:w="2880" w:type="dxa"/>
            <w:noWrap/>
            <w:hideMark/>
          </w:tcPr>
          <w:p w14:paraId="67248B5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Hanson</w:t>
            </w:r>
          </w:p>
        </w:tc>
        <w:tc>
          <w:tcPr>
            <w:tcW w:w="1479" w:type="dxa"/>
            <w:noWrap/>
            <w:vAlign w:val="top"/>
          </w:tcPr>
          <w:p w14:paraId="0002B804" w14:textId="33C0A4F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7.59</w:t>
            </w:r>
          </w:p>
        </w:tc>
        <w:tc>
          <w:tcPr>
            <w:tcW w:w="1440" w:type="dxa"/>
            <w:noWrap/>
            <w:vAlign w:val="top"/>
          </w:tcPr>
          <w:p w14:paraId="035A2D66" w14:textId="7C53B9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16.81</w:t>
            </w:r>
          </w:p>
        </w:tc>
        <w:tc>
          <w:tcPr>
            <w:tcW w:w="1530" w:type="dxa"/>
            <w:noWrap/>
            <w:vAlign w:val="top"/>
          </w:tcPr>
          <w:p w14:paraId="358C6185" w14:textId="0FD5E03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45.2%</w:t>
            </w:r>
          </w:p>
        </w:tc>
        <w:tc>
          <w:tcPr>
            <w:tcW w:w="1440" w:type="dxa"/>
            <w:noWrap/>
            <w:vAlign w:val="top"/>
          </w:tcPr>
          <w:p w14:paraId="65860D38" w14:textId="5C8B5F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11.53</w:t>
            </w:r>
          </w:p>
        </w:tc>
        <w:tc>
          <w:tcPr>
            <w:tcW w:w="1440" w:type="dxa"/>
            <w:noWrap/>
            <w:vAlign w:val="top"/>
          </w:tcPr>
          <w:p w14:paraId="62B5FF46" w14:textId="4FC4D80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25.60</w:t>
            </w:r>
          </w:p>
        </w:tc>
        <w:tc>
          <w:tcPr>
            <w:tcW w:w="1440" w:type="dxa"/>
            <w:noWrap/>
            <w:vAlign w:val="top"/>
          </w:tcPr>
          <w:p w14:paraId="7B0F09C7" w14:textId="4C85DC1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45.0%</w:t>
            </w:r>
          </w:p>
        </w:tc>
      </w:tr>
      <w:tr w:rsidR="00AF5B5B" w:rsidRPr="006253A9" w14:paraId="28C41AE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BB4F34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0124</w:t>
            </w:r>
          </w:p>
        </w:tc>
        <w:tc>
          <w:tcPr>
            <w:tcW w:w="2880" w:type="dxa"/>
            <w:noWrap/>
            <w:hideMark/>
          </w:tcPr>
          <w:p w14:paraId="77E6BCB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Hardwick</w:t>
            </w:r>
          </w:p>
        </w:tc>
        <w:tc>
          <w:tcPr>
            <w:tcW w:w="1479" w:type="dxa"/>
            <w:noWrap/>
            <w:vAlign w:val="top"/>
          </w:tcPr>
          <w:p w14:paraId="69E2C053" w14:textId="558E99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1.95</w:t>
            </w:r>
          </w:p>
        </w:tc>
        <w:tc>
          <w:tcPr>
            <w:tcW w:w="1440" w:type="dxa"/>
            <w:noWrap/>
            <w:vAlign w:val="top"/>
          </w:tcPr>
          <w:p w14:paraId="3AF91621" w14:textId="239F4B1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4.43</w:t>
            </w:r>
          </w:p>
        </w:tc>
        <w:tc>
          <w:tcPr>
            <w:tcW w:w="1530" w:type="dxa"/>
            <w:noWrap/>
            <w:vAlign w:val="top"/>
          </w:tcPr>
          <w:p w14:paraId="00D2D200" w14:textId="5617005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44.1%</w:t>
            </w:r>
          </w:p>
        </w:tc>
        <w:tc>
          <w:tcPr>
            <w:tcW w:w="1440" w:type="dxa"/>
            <w:noWrap/>
            <w:vAlign w:val="top"/>
          </w:tcPr>
          <w:p w14:paraId="32CEED98" w14:textId="4C188F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2.92</w:t>
            </w:r>
          </w:p>
        </w:tc>
        <w:tc>
          <w:tcPr>
            <w:tcW w:w="1440" w:type="dxa"/>
            <w:noWrap/>
            <w:vAlign w:val="top"/>
          </w:tcPr>
          <w:p w14:paraId="477D9E69" w14:textId="147D848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6.21</w:t>
            </w:r>
          </w:p>
        </w:tc>
        <w:tc>
          <w:tcPr>
            <w:tcW w:w="1440" w:type="dxa"/>
            <w:noWrap/>
            <w:vAlign w:val="top"/>
          </w:tcPr>
          <w:p w14:paraId="3932FE58" w14:textId="3A5D1C0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46.9%</w:t>
            </w:r>
          </w:p>
        </w:tc>
      </w:tr>
      <w:tr w:rsidR="00AF5B5B" w:rsidRPr="006253A9" w14:paraId="44108A3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649F38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0125</w:t>
            </w:r>
          </w:p>
        </w:tc>
        <w:tc>
          <w:tcPr>
            <w:tcW w:w="2880" w:type="dxa"/>
            <w:noWrap/>
            <w:hideMark/>
          </w:tcPr>
          <w:p w14:paraId="5E105E6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Harvard</w:t>
            </w:r>
          </w:p>
        </w:tc>
        <w:tc>
          <w:tcPr>
            <w:tcW w:w="1479" w:type="dxa"/>
            <w:noWrap/>
            <w:vAlign w:val="top"/>
          </w:tcPr>
          <w:p w14:paraId="35037A61" w14:textId="639469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12.05</w:t>
            </w:r>
          </w:p>
        </w:tc>
        <w:tc>
          <w:tcPr>
            <w:tcW w:w="1440" w:type="dxa"/>
            <w:noWrap/>
            <w:vAlign w:val="top"/>
          </w:tcPr>
          <w:p w14:paraId="617A9B9A" w14:textId="6394ED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20.77</w:t>
            </w:r>
          </w:p>
        </w:tc>
        <w:tc>
          <w:tcPr>
            <w:tcW w:w="1530" w:type="dxa"/>
            <w:noWrap/>
            <w:vAlign w:val="top"/>
          </w:tcPr>
          <w:p w14:paraId="37B03DE9" w14:textId="0A10042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58.0%</w:t>
            </w:r>
          </w:p>
        </w:tc>
        <w:tc>
          <w:tcPr>
            <w:tcW w:w="1440" w:type="dxa"/>
            <w:noWrap/>
            <w:vAlign w:val="top"/>
          </w:tcPr>
          <w:p w14:paraId="7F43DABF" w14:textId="0667A56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15.13</w:t>
            </w:r>
          </w:p>
        </w:tc>
        <w:tc>
          <w:tcPr>
            <w:tcW w:w="1440" w:type="dxa"/>
            <w:noWrap/>
            <w:vAlign w:val="top"/>
          </w:tcPr>
          <w:p w14:paraId="692BE00C" w14:textId="53E8282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28.90</w:t>
            </w:r>
          </w:p>
        </w:tc>
        <w:tc>
          <w:tcPr>
            <w:tcW w:w="1440" w:type="dxa"/>
            <w:noWrap/>
            <w:vAlign w:val="top"/>
          </w:tcPr>
          <w:p w14:paraId="533F2691" w14:textId="51BAC27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52.3%</w:t>
            </w:r>
          </w:p>
        </w:tc>
      </w:tr>
      <w:tr w:rsidR="00AF5B5B" w:rsidRPr="006253A9" w14:paraId="7E04192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9252B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0126</w:t>
            </w:r>
          </w:p>
        </w:tc>
        <w:tc>
          <w:tcPr>
            <w:tcW w:w="2880" w:type="dxa"/>
            <w:noWrap/>
            <w:hideMark/>
          </w:tcPr>
          <w:p w14:paraId="0D7D0DC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Harwich</w:t>
            </w:r>
          </w:p>
        </w:tc>
        <w:tc>
          <w:tcPr>
            <w:tcW w:w="1479" w:type="dxa"/>
            <w:noWrap/>
            <w:vAlign w:val="top"/>
          </w:tcPr>
          <w:p w14:paraId="118755F4" w14:textId="3485AF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17.93</w:t>
            </w:r>
          </w:p>
        </w:tc>
        <w:tc>
          <w:tcPr>
            <w:tcW w:w="1440" w:type="dxa"/>
            <w:noWrap/>
            <w:vAlign w:val="top"/>
          </w:tcPr>
          <w:p w14:paraId="0FF93B60" w14:textId="4F54FC1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48.57</w:t>
            </w:r>
          </w:p>
        </w:tc>
        <w:tc>
          <w:tcPr>
            <w:tcW w:w="1530" w:type="dxa"/>
            <w:noWrap/>
            <w:vAlign w:val="top"/>
          </w:tcPr>
          <w:p w14:paraId="67677B29" w14:textId="4076245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36.9%</w:t>
            </w:r>
          </w:p>
        </w:tc>
        <w:tc>
          <w:tcPr>
            <w:tcW w:w="1440" w:type="dxa"/>
            <w:noWrap/>
            <w:vAlign w:val="top"/>
          </w:tcPr>
          <w:p w14:paraId="07ECB0F6" w14:textId="6C70BBA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27.78</w:t>
            </w:r>
          </w:p>
        </w:tc>
        <w:tc>
          <w:tcPr>
            <w:tcW w:w="1440" w:type="dxa"/>
            <w:noWrap/>
            <w:vAlign w:val="top"/>
          </w:tcPr>
          <w:p w14:paraId="1E4D7169" w14:textId="127F8E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67.46</w:t>
            </w:r>
          </w:p>
        </w:tc>
        <w:tc>
          <w:tcPr>
            <w:tcW w:w="1440" w:type="dxa"/>
            <w:noWrap/>
            <w:vAlign w:val="top"/>
          </w:tcPr>
          <w:p w14:paraId="1C048AC9" w14:textId="04F48A9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41.2%</w:t>
            </w:r>
          </w:p>
        </w:tc>
      </w:tr>
      <w:tr w:rsidR="00AF5B5B" w:rsidRPr="006253A9" w14:paraId="43ADFB9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E46C5F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0127</w:t>
            </w:r>
          </w:p>
        </w:tc>
        <w:tc>
          <w:tcPr>
            <w:tcW w:w="2880" w:type="dxa"/>
            <w:noWrap/>
            <w:hideMark/>
          </w:tcPr>
          <w:p w14:paraId="7C26517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Hatfield</w:t>
            </w:r>
          </w:p>
        </w:tc>
        <w:tc>
          <w:tcPr>
            <w:tcW w:w="1479" w:type="dxa"/>
            <w:noWrap/>
            <w:vAlign w:val="top"/>
          </w:tcPr>
          <w:p w14:paraId="650FA12F" w14:textId="145005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4.45</w:t>
            </w:r>
          </w:p>
        </w:tc>
        <w:tc>
          <w:tcPr>
            <w:tcW w:w="1440" w:type="dxa"/>
            <w:noWrap/>
            <w:vAlign w:val="top"/>
          </w:tcPr>
          <w:p w14:paraId="23A78462" w14:textId="6FEB29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7.72</w:t>
            </w:r>
          </w:p>
        </w:tc>
        <w:tc>
          <w:tcPr>
            <w:tcW w:w="1530" w:type="dxa"/>
            <w:noWrap/>
            <w:vAlign w:val="top"/>
          </w:tcPr>
          <w:p w14:paraId="6C8E6430" w14:textId="6AD1262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57.7%</w:t>
            </w:r>
          </w:p>
        </w:tc>
        <w:tc>
          <w:tcPr>
            <w:tcW w:w="1440" w:type="dxa"/>
            <w:noWrap/>
            <w:vAlign w:val="top"/>
          </w:tcPr>
          <w:p w14:paraId="2DA6754F" w14:textId="4A76E09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5.16</w:t>
            </w:r>
          </w:p>
        </w:tc>
        <w:tc>
          <w:tcPr>
            <w:tcW w:w="1440" w:type="dxa"/>
            <w:noWrap/>
            <w:vAlign w:val="top"/>
          </w:tcPr>
          <w:p w14:paraId="65EF1284" w14:textId="1B57713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9.76</w:t>
            </w:r>
          </w:p>
        </w:tc>
        <w:tc>
          <w:tcPr>
            <w:tcW w:w="1440" w:type="dxa"/>
            <w:noWrap/>
            <w:vAlign w:val="top"/>
          </w:tcPr>
          <w:p w14:paraId="1FA64259" w14:textId="7715740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52.9%</w:t>
            </w:r>
          </w:p>
        </w:tc>
      </w:tr>
      <w:tr w:rsidR="00AF5B5B" w:rsidRPr="006253A9" w14:paraId="6FE925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499F68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0128</w:t>
            </w:r>
          </w:p>
        </w:tc>
        <w:tc>
          <w:tcPr>
            <w:tcW w:w="2880" w:type="dxa"/>
            <w:noWrap/>
            <w:hideMark/>
          </w:tcPr>
          <w:p w14:paraId="21923EC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Haverhill</w:t>
            </w:r>
          </w:p>
        </w:tc>
        <w:tc>
          <w:tcPr>
            <w:tcW w:w="1479" w:type="dxa"/>
            <w:noWrap/>
            <w:vAlign w:val="top"/>
          </w:tcPr>
          <w:p w14:paraId="027F2D91" w14:textId="60D6AE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74.05</w:t>
            </w:r>
          </w:p>
        </w:tc>
        <w:tc>
          <w:tcPr>
            <w:tcW w:w="1440" w:type="dxa"/>
            <w:noWrap/>
            <w:vAlign w:val="top"/>
          </w:tcPr>
          <w:p w14:paraId="6403BBE9" w14:textId="67A1185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148.74</w:t>
            </w:r>
          </w:p>
        </w:tc>
        <w:tc>
          <w:tcPr>
            <w:tcW w:w="1530" w:type="dxa"/>
            <w:noWrap/>
            <w:vAlign w:val="top"/>
          </w:tcPr>
          <w:p w14:paraId="7E4CC83D" w14:textId="2F716CF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49.8%</w:t>
            </w:r>
          </w:p>
        </w:tc>
        <w:tc>
          <w:tcPr>
            <w:tcW w:w="1440" w:type="dxa"/>
            <w:noWrap/>
            <w:vAlign w:val="top"/>
          </w:tcPr>
          <w:p w14:paraId="62AAC0E6" w14:textId="6B7A480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109.23</w:t>
            </w:r>
          </w:p>
        </w:tc>
        <w:tc>
          <w:tcPr>
            <w:tcW w:w="1440" w:type="dxa"/>
            <w:noWrap/>
            <w:vAlign w:val="top"/>
          </w:tcPr>
          <w:p w14:paraId="4BB71165" w14:textId="0F8E64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208.57</w:t>
            </w:r>
          </w:p>
        </w:tc>
        <w:tc>
          <w:tcPr>
            <w:tcW w:w="1440" w:type="dxa"/>
            <w:noWrap/>
            <w:vAlign w:val="top"/>
          </w:tcPr>
          <w:p w14:paraId="4923215D" w14:textId="08B423E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r>
      <w:tr w:rsidR="00AF5B5B" w:rsidRPr="006253A9" w14:paraId="298A4A6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E433B8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0129</w:t>
            </w:r>
          </w:p>
        </w:tc>
        <w:tc>
          <w:tcPr>
            <w:tcW w:w="2880" w:type="dxa"/>
            <w:noWrap/>
            <w:hideMark/>
          </w:tcPr>
          <w:p w14:paraId="544ECB4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Hawley</w:t>
            </w:r>
          </w:p>
        </w:tc>
        <w:tc>
          <w:tcPr>
            <w:tcW w:w="1479" w:type="dxa"/>
            <w:noWrap/>
            <w:vAlign w:val="top"/>
          </w:tcPr>
          <w:p w14:paraId="6DD8856E" w14:textId="483E18A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0.33</w:t>
            </w:r>
          </w:p>
        </w:tc>
        <w:tc>
          <w:tcPr>
            <w:tcW w:w="1440" w:type="dxa"/>
            <w:noWrap/>
            <w:vAlign w:val="top"/>
          </w:tcPr>
          <w:p w14:paraId="2683C0BA" w14:textId="2A2F89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1.21</w:t>
            </w:r>
          </w:p>
        </w:tc>
        <w:tc>
          <w:tcPr>
            <w:tcW w:w="1530" w:type="dxa"/>
            <w:noWrap/>
            <w:vAlign w:val="top"/>
          </w:tcPr>
          <w:p w14:paraId="27856B79" w14:textId="4BDA528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27.0%</w:t>
            </w:r>
          </w:p>
        </w:tc>
        <w:tc>
          <w:tcPr>
            <w:tcW w:w="1440" w:type="dxa"/>
            <w:noWrap/>
            <w:vAlign w:val="top"/>
          </w:tcPr>
          <w:p w14:paraId="4478DADF" w14:textId="40A542E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0.42</w:t>
            </w:r>
          </w:p>
        </w:tc>
        <w:tc>
          <w:tcPr>
            <w:tcW w:w="1440" w:type="dxa"/>
            <w:noWrap/>
            <w:vAlign w:val="top"/>
          </w:tcPr>
          <w:p w14:paraId="6B7175A6" w14:textId="290BBA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1.21</w:t>
            </w:r>
          </w:p>
        </w:tc>
        <w:tc>
          <w:tcPr>
            <w:tcW w:w="1440" w:type="dxa"/>
            <w:noWrap/>
            <w:vAlign w:val="top"/>
          </w:tcPr>
          <w:p w14:paraId="7ABB5CEF" w14:textId="0DBBAF3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35.0%</w:t>
            </w:r>
          </w:p>
        </w:tc>
      </w:tr>
      <w:tr w:rsidR="00AF5B5B" w:rsidRPr="006253A9" w14:paraId="6144A4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955FC1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0130</w:t>
            </w:r>
          </w:p>
        </w:tc>
        <w:tc>
          <w:tcPr>
            <w:tcW w:w="2880" w:type="dxa"/>
            <w:noWrap/>
            <w:hideMark/>
          </w:tcPr>
          <w:p w14:paraId="32B5FC2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Heath</w:t>
            </w:r>
          </w:p>
        </w:tc>
        <w:tc>
          <w:tcPr>
            <w:tcW w:w="1479" w:type="dxa"/>
            <w:noWrap/>
            <w:vAlign w:val="top"/>
          </w:tcPr>
          <w:p w14:paraId="0A973FE2" w14:textId="5FE818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0.82</w:t>
            </w:r>
          </w:p>
        </w:tc>
        <w:tc>
          <w:tcPr>
            <w:tcW w:w="1440" w:type="dxa"/>
            <w:noWrap/>
            <w:vAlign w:val="top"/>
          </w:tcPr>
          <w:p w14:paraId="677A812A" w14:textId="429D37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1.96</w:t>
            </w:r>
          </w:p>
        </w:tc>
        <w:tc>
          <w:tcPr>
            <w:tcW w:w="1530" w:type="dxa"/>
            <w:noWrap/>
            <w:vAlign w:val="top"/>
          </w:tcPr>
          <w:p w14:paraId="61BA0DB6" w14:textId="3C6C983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41.6%</w:t>
            </w:r>
          </w:p>
        </w:tc>
        <w:tc>
          <w:tcPr>
            <w:tcW w:w="1440" w:type="dxa"/>
            <w:noWrap/>
            <w:vAlign w:val="top"/>
          </w:tcPr>
          <w:p w14:paraId="39ACD6B6" w14:textId="3E194E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1.00</w:t>
            </w:r>
          </w:p>
        </w:tc>
        <w:tc>
          <w:tcPr>
            <w:tcW w:w="1440" w:type="dxa"/>
            <w:noWrap/>
            <w:vAlign w:val="top"/>
          </w:tcPr>
          <w:p w14:paraId="36B5C48E" w14:textId="382B7D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2.50</w:t>
            </w:r>
          </w:p>
        </w:tc>
        <w:tc>
          <w:tcPr>
            <w:tcW w:w="1440" w:type="dxa"/>
            <w:noWrap/>
            <w:vAlign w:val="top"/>
          </w:tcPr>
          <w:p w14:paraId="76425D84" w14:textId="3B9DDB0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40.0%</w:t>
            </w:r>
          </w:p>
        </w:tc>
      </w:tr>
      <w:tr w:rsidR="00AF5B5B" w:rsidRPr="006253A9" w14:paraId="283CC93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65773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0131</w:t>
            </w:r>
          </w:p>
        </w:tc>
        <w:tc>
          <w:tcPr>
            <w:tcW w:w="2880" w:type="dxa"/>
            <w:noWrap/>
            <w:hideMark/>
          </w:tcPr>
          <w:p w14:paraId="4C9A5B1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Hingham</w:t>
            </w:r>
          </w:p>
        </w:tc>
        <w:tc>
          <w:tcPr>
            <w:tcW w:w="1479" w:type="dxa"/>
            <w:noWrap/>
            <w:vAlign w:val="top"/>
          </w:tcPr>
          <w:p w14:paraId="58A5FF83" w14:textId="645E47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33.39</w:t>
            </w:r>
          </w:p>
        </w:tc>
        <w:tc>
          <w:tcPr>
            <w:tcW w:w="1440" w:type="dxa"/>
            <w:noWrap/>
            <w:vAlign w:val="top"/>
          </w:tcPr>
          <w:p w14:paraId="73482339" w14:textId="5FE2CCC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72.94</w:t>
            </w:r>
          </w:p>
        </w:tc>
        <w:tc>
          <w:tcPr>
            <w:tcW w:w="1530" w:type="dxa"/>
            <w:noWrap/>
            <w:vAlign w:val="top"/>
          </w:tcPr>
          <w:p w14:paraId="317C2B5B" w14:textId="4A1F786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45.8%</w:t>
            </w:r>
          </w:p>
        </w:tc>
        <w:tc>
          <w:tcPr>
            <w:tcW w:w="1440" w:type="dxa"/>
            <w:noWrap/>
            <w:vAlign w:val="top"/>
          </w:tcPr>
          <w:p w14:paraId="03982066" w14:textId="02E3E52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54.86</w:t>
            </w:r>
          </w:p>
        </w:tc>
        <w:tc>
          <w:tcPr>
            <w:tcW w:w="1440" w:type="dxa"/>
            <w:noWrap/>
            <w:vAlign w:val="top"/>
          </w:tcPr>
          <w:p w14:paraId="7E1F9077" w14:textId="14D6B15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106.27</w:t>
            </w:r>
          </w:p>
        </w:tc>
        <w:tc>
          <w:tcPr>
            <w:tcW w:w="1440" w:type="dxa"/>
            <w:noWrap/>
            <w:vAlign w:val="top"/>
          </w:tcPr>
          <w:p w14:paraId="1BF613E7" w14:textId="3084E70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r>
      <w:tr w:rsidR="00AF5B5B" w:rsidRPr="006253A9" w14:paraId="5977DD0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EFFFB2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0132</w:t>
            </w:r>
          </w:p>
        </w:tc>
        <w:tc>
          <w:tcPr>
            <w:tcW w:w="2880" w:type="dxa"/>
            <w:noWrap/>
            <w:hideMark/>
          </w:tcPr>
          <w:p w14:paraId="7D53D00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Hinsdale</w:t>
            </w:r>
          </w:p>
        </w:tc>
        <w:tc>
          <w:tcPr>
            <w:tcW w:w="1479" w:type="dxa"/>
            <w:noWrap/>
            <w:vAlign w:val="top"/>
          </w:tcPr>
          <w:p w14:paraId="13607EDA" w14:textId="7499A08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2.04</w:t>
            </w:r>
          </w:p>
        </w:tc>
        <w:tc>
          <w:tcPr>
            <w:tcW w:w="1440" w:type="dxa"/>
            <w:noWrap/>
            <w:vAlign w:val="top"/>
          </w:tcPr>
          <w:p w14:paraId="77EF30A8" w14:textId="27C6C2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3.18</w:t>
            </w:r>
          </w:p>
        </w:tc>
        <w:tc>
          <w:tcPr>
            <w:tcW w:w="1530" w:type="dxa"/>
            <w:noWrap/>
            <w:vAlign w:val="top"/>
          </w:tcPr>
          <w:p w14:paraId="2E2A9777" w14:textId="15A4EC9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64.1%</w:t>
            </w:r>
          </w:p>
        </w:tc>
        <w:tc>
          <w:tcPr>
            <w:tcW w:w="1440" w:type="dxa"/>
            <w:noWrap/>
            <w:vAlign w:val="top"/>
          </w:tcPr>
          <w:p w14:paraId="33018294" w14:textId="7B176BB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2.61</w:t>
            </w:r>
          </w:p>
        </w:tc>
        <w:tc>
          <w:tcPr>
            <w:tcW w:w="1440" w:type="dxa"/>
            <w:noWrap/>
            <w:vAlign w:val="top"/>
          </w:tcPr>
          <w:p w14:paraId="5BFB3324" w14:textId="3C4355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5.28</w:t>
            </w:r>
          </w:p>
        </w:tc>
        <w:tc>
          <w:tcPr>
            <w:tcW w:w="1440" w:type="dxa"/>
            <w:noWrap/>
            <w:vAlign w:val="top"/>
          </w:tcPr>
          <w:p w14:paraId="4EE5E1F1" w14:textId="5153461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49.5%</w:t>
            </w:r>
          </w:p>
        </w:tc>
      </w:tr>
      <w:tr w:rsidR="00AF5B5B" w:rsidRPr="006253A9" w14:paraId="5A2A54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667148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0133</w:t>
            </w:r>
          </w:p>
        </w:tc>
        <w:tc>
          <w:tcPr>
            <w:tcW w:w="2880" w:type="dxa"/>
            <w:noWrap/>
            <w:hideMark/>
          </w:tcPr>
          <w:p w14:paraId="1B8C829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Holbrook</w:t>
            </w:r>
          </w:p>
        </w:tc>
        <w:tc>
          <w:tcPr>
            <w:tcW w:w="1479" w:type="dxa"/>
            <w:noWrap/>
            <w:vAlign w:val="top"/>
          </w:tcPr>
          <w:p w14:paraId="787A05F5" w14:textId="4641417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14.47</w:t>
            </w:r>
          </w:p>
        </w:tc>
        <w:tc>
          <w:tcPr>
            <w:tcW w:w="1440" w:type="dxa"/>
            <w:noWrap/>
            <w:vAlign w:val="top"/>
          </w:tcPr>
          <w:p w14:paraId="7C438FEC" w14:textId="7C4B19E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29.93</w:t>
            </w:r>
          </w:p>
        </w:tc>
        <w:tc>
          <w:tcPr>
            <w:tcW w:w="1530" w:type="dxa"/>
            <w:noWrap/>
            <w:vAlign w:val="top"/>
          </w:tcPr>
          <w:p w14:paraId="46F53DC1" w14:textId="21FA0C6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48.3%</w:t>
            </w:r>
          </w:p>
        </w:tc>
        <w:tc>
          <w:tcPr>
            <w:tcW w:w="1440" w:type="dxa"/>
            <w:noWrap/>
            <w:vAlign w:val="top"/>
          </w:tcPr>
          <w:p w14:paraId="494EFA0B" w14:textId="074E28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19.71</w:t>
            </w:r>
          </w:p>
        </w:tc>
        <w:tc>
          <w:tcPr>
            <w:tcW w:w="1440" w:type="dxa"/>
            <w:noWrap/>
            <w:vAlign w:val="top"/>
          </w:tcPr>
          <w:p w14:paraId="75DB452B" w14:textId="7EF23E8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45.08</w:t>
            </w:r>
          </w:p>
        </w:tc>
        <w:tc>
          <w:tcPr>
            <w:tcW w:w="1440" w:type="dxa"/>
            <w:noWrap/>
            <w:vAlign w:val="top"/>
          </w:tcPr>
          <w:p w14:paraId="77F98644" w14:textId="363D7CF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43.7%</w:t>
            </w:r>
          </w:p>
        </w:tc>
      </w:tr>
      <w:tr w:rsidR="00AF5B5B" w:rsidRPr="006253A9" w14:paraId="2CC6592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5046F0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0134</w:t>
            </w:r>
          </w:p>
        </w:tc>
        <w:tc>
          <w:tcPr>
            <w:tcW w:w="2880" w:type="dxa"/>
            <w:noWrap/>
            <w:hideMark/>
          </w:tcPr>
          <w:p w14:paraId="3624339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Holden</w:t>
            </w:r>
          </w:p>
        </w:tc>
        <w:tc>
          <w:tcPr>
            <w:tcW w:w="1479" w:type="dxa"/>
            <w:noWrap/>
            <w:vAlign w:val="top"/>
          </w:tcPr>
          <w:p w14:paraId="25DCE03C" w14:textId="5AADCA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19.50</w:t>
            </w:r>
          </w:p>
        </w:tc>
        <w:tc>
          <w:tcPr>
            <w:tcW w:w="1440" w:type="dxa"/>
            <w:noWrap/>
            <w:vAlign w:val="top"/>
          </w:tcPr>
          <w:p w14:paraId="25931B3D" w14:textId="0D9AE95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33.42</w:t>
            </w:r>
          </w:p>
        </w:tc>
        <w:tc>
          <w:tcPr>
            <w:tcW w:w="1530" w:type="dxa"/>
            <w:noWrap/>
            <w:vAlign w:val="top"/>
          </w:tcPr>
          <w:p w14:paraId="1788CAE7" w14:textId="3C79325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58.4%</w:t>
            </w:r>
          </w:p>
        </w:tc>
        <w:tc>
          <w:tcPr>
            <w:tcW w:w="1440" w:type="dxa"/>
            <w:noWrap/>
            <w:vAlign w:val="top"/>
          </w:tcPr>
          <w:p w14:paraId="75DCCE4A" w14:textId="12D8AB9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28.92</w:t>
            </w:r>
          </w:p>
        </w:tc>
        <w:tc>
          <w:tcPr>
            <w:tcW w:w="1440" w:type="dxa"/>
            <w:noWrap/>
            <w:vAlign w:val="top"/>
          </w:tcPr>
          <w:p w14:paraId="32E2ECF0" w14:textId="036CC12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51.57</w:t>
            </w:r>
          </w:p>
        </w:tc>
        <w:tc>
          <w:tcPr>
            <w:tcW w:w="1440" w:type="dxa"/>
            <w:noWrap/>
            <w:vAlign w:val="top"/>
          </w:tcPr>
          <w:p w14:paraId="46A876FF" w14:textId="2D7B3B8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r>
      <w:tr w:rsidR="00AF5B5B" w:rsidRPr="006253A9" w14:paraId="4DCE19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55EC1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0135</w:t>
            </w:r>
          </w:p>
        </w:tc>
        <w:tc>
          <w:tcPr>
            <w:tcW w:w="2880" w:type="dxa"/>
            <w:noWrap/>
            <w:hideMark/>
          </w:tcPr>
          <w:p w14:paraId="0B4E91B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Holland</w:t>
            </w:r>
          </w:p>
        </w:tc>
        <w:tc>
          <w:tcPr>
            <w:tcW w:w="1479" w:type="dxa"/>
            <w:noWrap/>
            <w:vAlign w:val="top"/>
          </w:tcPr>
          <w:p w14:paraId="6039A44C" w14:textId="4284B48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3.61</w:t>
            </w:r>
          </w:p>
        </w:tc>
        <w:tc>
          <w:tcPr>
            <w:tcW w:w="1440" w:type="dxa"/>
            <w:noWrap/>
            <w:vAlign w:val="top"/>
          </w:tcPr>
          <w:p w14:paraId="1E60F0FF" w14:textId="6CFB9E1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5.73</w:t>
            </w:r>
          </w:p>
        </w:tc>
        <w:tc>
          <w:tcPr>
            <w:tcW w:w="1530" w:type="dxa"/>
            <w:noWrap/>
            <w:vAlign w:val="top"/>
          </w:tcPr>
          <w:p w14:paraId="080A2402" w14:textId="1E4CF1D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63.0%</w:t>
            </w:r>
          </w:p>
        </w:tc>
        <w:tc>
          <w:tcPr>
            <w:tcW w:w="1440" w:type="dxa"/>
            <w:noWrap/>
            <w:vAlign w:val="top"/>
          </w:tcPr>
          <w:p w14:paraId="08140B24" w14:textId="3019C5C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4.50</w:t>
            </w:r>
          </w:p>
        </w:tc>
        <w:tc>
          <w:tcPr>
            <w:tcW w:w="1440" w:type="dxa"/>
            <w:noWrap/>
            <w:vAlign w:val="top"/>
          </w:tcPr>
          <w:p w14:paraId="03FC1037" w14:textId="15316E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7.62</w:t>
            </w:r>
          </w:p>
        </w:tc>
        <w:tc>
          <w:tcPr>
            <w:tcW w:w="1440" w:type="dxa"/>
            <w:noWrap/>
            <w:vAlign w:val="top"/>
          </w:tcPr>
          <w:p w14:paraId="7806C0EE" w14:textId="69D794C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59.0%</w:t>
            </w:r>
          </w:p>
        </w:tc>
      </w:tr>
      <w:tr w:rsidR="00AF5B5B" w:rsidRPr="006253A9" w14:paraId="2EDF8DE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6AED88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0136</w:t>
            </w:r>
          </w:p>
        </w:tc>
        <w:tc>
          <w:tcPr>
            <w:tcW w:w="2880" w:type="dxa"/>
            <w:noWrap/>
            <w:hideMark/>
          </w:tcPr>
          <w:p w14:paraId="2CB5762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Holliston</w:t>
            </w:r>
          </w:p>
        </w:tc>
        <w:tc>
          <w:tcPr>
            <w:tcW w:w="1479" w:type="dxa"/>
            <w:noWrap/>
            <w:vAlign w:val="top"/>
          </w:tcPr>
          <w:p w14:paraId="488392F5" w14:textId="6DBE310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26.99</w:t>
            </w:r>
          </w:p>
        </w:tc>
        <w:tc>
          <w:tcPr>
            <w:tcW w:w="1440" w:type="dxa"/>
            <w:noWrap/>
            <w:vAlign w:val="top"/>
          </w:tcPr>
          <w:p w14:paraId="7AA9AF72" w14:textId="173FAD8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45.93</w:t>
            </w:r>
          </w:p>
        </w:tc>
        <w:tc>
          <w:tcPr>
            <w:tcW w:w="1530" w:type="dxa"/>
            <w:noWrap/>
            <w:vAlign w:val="top"/>
          </w:tcPr>
          <w:p w14:paraId="5ABC9E93" w14:textId="0D00BFA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58.8%</w:t>
            </w:r>
          </w:p>
        </w:tc>
        <w:tc>
          <w:tcPr>
            <w:tcW w:w="1440" w:type="dxa"/>
            <w:noWrap/>
            <w:vAlign w:val="top"/>
          </w:tcPr>
          <w:p w14:paraId="111C587A" w14:textId="559FCA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37.18</w:t>
            </w:r>
          </w:p>
        </w:tc>
        <w:tc>
          <w:tcPr>
            <w:tcW w:w="1440" w:type="dxa"/>
            <w:noWrap/>
            <w:vAlign w:val="top"/>
          </w:tcPr>
          <w:p w14:paraId="077B0974" w14:textId="25855EE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67.93</w:t>
            </w:r>
          </w:p>
        </w:tc>
        <w:tc>
          <w:tcPr>
            <w:tcW w:w="1440" w:type="dxa"/>
            <w:noWrap/>
            <w:vAlign w:val="top"/>
          </w:tcPr>
          <w:p w14:paraId="16266569" w14:textId="16935D1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54.7%</w:t>
            </w:r>
          </w:p>
        </w:tc>
      </w:tr>
      <w:tr w:rsidR="00AF5B5B" w:rsidRPr="006253A9" w14:paraId="0A0A42F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15300D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0137</w:t>
            </w:r>
          </w:p>
        </w:tc>
        <w:tc>
          <w:tcPr>
            <w:tcW w:w="2880" w:type="dxa"/>
            <w:noWrap/>
            <w:hideMark/>
          </w:tcPr>
          <w:p w14:paraId="785383C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Holyoke</w:t>
            </w:r>
          </w:p>
        </w:tc>
        <w:tc>
          <w:tcPr>
            <w:tcW w:w="1479" w:type="dxa"/>
            <w:noWrap/>
            <w:vAlign w:val="top"/>
          </w:tcPr>
          <w:p w14:paraId="36F457EB" w14:textId="643AB98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76.42</w:t>
            </w:r>
          </w:p>
        </w:tc>
        <w:tc>
          <w:tcPr>
            <w:tcW w:w="1440" w:type="dxa"/>
            <w:noWrap/>
            <w:vAlign w:val="top"/>
          </w:tcPr>
          <w:p w14:paraId="56DDA35E" w14:textId="7A0AE20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145.81</w:t>
            </w:r>
          </w:p>
        </w:tc>
        <w:tc>
          <w:tcPr>
            <w:tcW w:w="1530" w:type="dxa"/>
            <w:noWrap/>
            <w:vAlign w:val="top"/>
          </w:tcPr>
          <w:p w14:paraId="0FD1348E" w14:textId="5791BED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c>
          <w:tcPr>
            <w:tcW w:w="1440" w:type="dxa"/>
            <w:noWrap/>
            <w:vAlign w:val="top"/>
          </w:tcPr>
          <w:p w14:paraId="67D9D22C" w14:textId="64E801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82.65</w:t>
            </w:r>
          </w:p>
        </w:tc>
        <w:tc>
          <w:tcPr>
            <w:tcW w:w="1440" w:type="dxa"/>
            <w:noWrap/>
            <w:vAlign w:val="top"/>
          </w:tcPr>
          <w:p w14:paraId="2A60D0BB" w14:textId="7FF0211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166.45</w:t>
            </w:r>
          </w:p>
        </w:tc>
        <w:tc>
          <w:tcPr>
            <w:tcW w:w="1440" w:type="dxa"/>
            <w:noWrap/>
            <w:vAlign w:val="top"/>
          </w:tcPr>
          <w:p w14:paraId="5F345B3E" w14:textId="4526887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49.7%</w:t>
            </w:r>
          </w:p>
        </w:tc>
      </w:tr>
      <w:tr w:rsidR="00AF5B5B" w:rsidRPr="006253A9" w14:paraId="11B1DC3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B8961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0138</w:t>
            </w:r>
          </w:p>
        </w:tc>
        <w:tc>
          <w:tcPr>
            <w:tcW w:w="2880" w:type="dxa"/>
            <w:noWrap/>
            <w:hideMark/>
          </w:tcPr>
          <w:p w14:paraId="3263A4D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Hopedale</w:t>
            </w:r>
          </w:p>
        </w:tc>
        <w:tc>
          <w:tcPr>
            <w:tcW w:w="1479" w:type="dxa"/>
            <w:noWrap/>
            <w:vAlign w:val="top"/>
          </w:tcPr>
          <w:p w14:paraId="33B77877" w14:textId="1AEB57D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10.50</w:t>
            </w:r>
          </w:p>
        </w:tc>
        <w:tc>
          <w:tcPr>
            <w:tcW w:w="1440" w:type="dxa"/>
            <w:noWrap/>
            <w:vAlign w:val="top"/>
          </w:tcPr>
          <w:p w14:paraId="20953517" w14:textId="1A23B2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19.85</w:t>
            </w:r>
          </w:p>
        </w:tc>
        <w:tc>
          <w:tcPr>
            <w:tcW w:w="1530" w:type="dxa"/>
            <w:noWrap/>
            <w:vAlign w:val="top"/>
          </w:tcPr>
          <w:p w14:paraId="17226E40" w14:textId="1B92573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52.9%</w:t>
            </w:r>
          </w:p>
        </w:tc>
        <w:tc>
          <w:tcPr>
            <w:tcW w:w="1440" w:type="dxa"/>
            <w:noWrap/>
            <w:vAlign w:val="top"/>
          </w:tcPr>
          <w:p w14:paraId="1EEC5E40" w14:textId="20ADBA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14.81</w:t>
            </w:r>
          </w:p>
        </w:tc>
        <w:tc>
          <w:tcPr>
            <w:tcW w:w="1440" w:type="dxa"/>
            <w:noWrap/>
            <w:vAlign w:val="top"/>
          </w:tcPr>
          <w:p w14:paraId="6CE87E49" w14:textId="2924566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26.11</w:t>
            </w:r>
          </w:p>
        </w:tc>
        <w:tc>
          <w:tcPr>
            <w:tcW w:w="1440" w:type="dxa"/>
            <w:noWrap/>
            <w:vAlign w:val="top"/>
          </w:tcPr>
          <w:p w14:paraId="2E41A9D6" w14:textId="0ADB64E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56.7%</w:t>
            </w:r>
          </w:p>
        </w:tc>
      </w:tr>
      <w:tr w:rsidR="00AF5B5B" w:rsidRPr="006253A9" w14:paraId="5C822A4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5A877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0139</w:t>
            </w:r>
          </w:p>
        </w:tc>
        <w:tc>
          <w:tcPr>
            <w:tcW w:w="2880" w:type="dxa"/>
            <w:noWrap/>
            <w:hideMark/>
          </w:tcPr>
          <w:p w14:paraId="7F0BDDB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Hopkinton</w:t>
            </w:r>
          </w:p>
        </w:tc>
        <w:tc>
          <w:tcPr>
            <w:tcW w:w="1479" w:type="dxa"/>
            <w:noWrap/>
            <w:vAlign w:val="top"/>
          </w:tcPr>
          <w:p w14:paraId="054658BB" w14:textId="29A7CCC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34.10</w:t>
            </w:r>
          </w:p>
        </w:tc>
        <w:tc>
          <w:tcPr>
            <w:tcW w:w="1440" w:type="dxa"/>
            <w:noWrap/>
            <w:vAlign w:val="top"/>
          </w:tcPr>
          <w:p w14:paraId="76C6B2E8" w14:textId="7E0A0D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57.06</w:t>
            </w:r>
          </w:p>
        </w:tc>
        <w:tc>
          <w:tcPr>
            <w:tcW w:w="1530" w:type="dxa"/>
            <w:noWrap/>
            <w:vAlign w:val="top"/>
          </w:tcPr>
          <w:p w14:paraId="3FCA583B" w14:textId="3B9FA52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59.8%</w:t>
            </w:r>
          </w:p>
        </w:tc>
        <w:tc>
          <w:tcPr>
            <w:tcW w:w="1440" w:type="dxa"/>
            <w:noWrap/>
            <w:vAlign w:val="top"/>
          </w:tcPr>
          <w:p w14:paraId="50A7A347" w14:textId="2D5164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51.73</w:t>
            </w:r>
          </w:p>
        </w:tc>
        <w:tc>
          <w:tcPr>
            <w:tcW w:w="1440" w:type="dxa"/>
            <w:noWrap/>
            <w:vAlign w:val="top"/>
          </w:tcPr>
          <w:p w14:paraId="4A2FBE73" w14:textId="7852473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90.11</w:t>
            </w:r>
          </w:p>
        </w:tc>
        <w:tc>
          <w:tcPr>
            <w:tcW w:w="1440" w:type="dxa"/>
            <w:noWrap/>
            <w:vAlign w:val="top"/>
          </w:tcPr>
          <w:p w14:paraId="24AA0B95" w14:textId="4549CCC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57.4%</w:t>
            </w:r>
          </w:p>
        </w:tc>
      </w:tr>
      <w:tr w:rsidR="00AF5B5B" w:rsidRPr="006253A9" w14:paraId="7AD4E9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9D63B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0140</w:t>
            </w:r>
          </w:p>
        </w:tc>
        <w:tc>
          <w:tcPr>
            <w:tcW w:w="2880" w:type="dxa"/>
            <w:noWrap/>
            <w:hideMark/>
          </w:tcPr>
          <w:p w14:paraId="1907A04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Hubbardston</w:t>
            </w:r>
          </w:p>
        </w:tc>
        <w:tc>
          <w:tcPr>
            <w:tcW w:w="1479" w:type="dxa"/>
            <w:noWrap/>
            <w:vAlign w:val="top"/>
          </w:tcPr>
          <w:p w14:paraId="549D799F" w14:textId="47F4881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3.63</w:t>
            </w:r>
          </w:p>
        </w:tc>
        <w:tc>
          <w:tcPr>
            <w:tcW w:w="1440" w:type="dxa"/>
            <w:noWrap/>
            <w:vAlign w:val="top"/>
          </w:tcPr>
          <w:p w14:paraId="384FA5D3" w14:textId="5B5E0BF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6.64</w:t>
            </w:r>
          </w:p>
        </w:tc>
        <w:tc>
          <w:tcPr>
            <w:tcW w:w="1530" w:type="dxa"/>
            <w:noWrap/>
            <w:vAlign w:val="top"/>
          </w:tcPr>
          <w:p w14:paraId="62995A0E" w14:textId="28C5ECF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54.7%</w:t>
            </w:r>
          </w:p>
        </w:tc>
        <w:tc>
          <w:tcPr>
            <w:tcW w:w="1440" w:type="dxa"/>
            <w:noWrap/>
            <w:vAlign w:val="top"/>
          </w:tcPr>
          <w:p w14:paraId="3020B316" w14:textId="7D22709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5.16</w:t>
            </w:r>
          </w:p>
        </w:tc>
        <w:tc>
          <w:tcPr>
            <w:tcW w:w="1440" w:type="dxa"/>
            <w:noWrap/>
            <w:vAlign w:val="top"/>
          </w:tcPr>
          <w:p w14:paraId="71833153" w14:textId="730F97F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9.01</w:t>
            </w:r>
          </w:p>
        </w:tc>
        <w:tc>
          <w:tcPr>
            <w:tcW w:w="1440" w:type="dxa"/>
            <w:noWrap/>
            <w:vAlign w:val="top"/>
          </w:tcPr>
          <w:p w14:paraId="5108314A" w14:textId="68478E0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57.3%</w:t>
            </w:r>
          </w:p>
        </w:tc>
      </w:tr>
      <w:tr w:rsidR="00AF5B5B" w:rsidRPr="006253A9" w14:paraId="5CE4AF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50F30F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0141</w:t>
            </w:r>
          </w:p>
        </w:tc>
        <w:tc>
          <w:tcPr>
            <w:tcW w:w="2880" w:type="dxa"/>
            <w:noWrap/>
            <w:hideMark/>
          </w:tcPr>
          <w:p w14:paraId="42D7310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Hudson</w:t>
            </w:r>
          </w:p>
        </w:tc>
        <w:tc>
          <w:tcPr>
            <w:tcW w:w="1479" w:type="dxa"/>
            <w:noWrap/>
            <w:vAlign w:val="top"/>
          </w:tcPr>
          <w:p w14:paraId="5481A314" w14:textId="1C1897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28.39</w:t>
            </w:r>
          </w:p>
        </w:tc>
        <w:tc>
          <w:tcPr>
            <w:tcW w:w="1440" w:type="dxa"/>
            <w:noWrap/>
            <w:vAlign w:val="top"/>
          </w:tcPr>
          <w:p w14:paraId="0C5A0A90" w14:textId="4D05030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53.78</w:t>
            </w:r>
          </w:p>
        </w:tc>
        <w:tc>
          <w:tcPr>
            <w:tcW w:w="1530" w:type="dxa"/>
            <w:noWrap/>
            <w:vAlign w:val="top"/>
          </w:tcPr>
          <w:p w14:paraId="7553F70C" w14:textId="7F7161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52.8%</w:t>
            </w:r>
          </w:p>
        </w:tc>
        <w:tc>
          <w:tcPr>
            <w:tcW w:w="1440" w:type="dxa"/>
            <w:noWrap/>
            <w:vAlign w:val="top"/>
          </w:tcPr>
          <w:p w14:paraId="3139852A" w14:textId="5C035DD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42.90</w:t>
            </w:r>
          </w:p>
        </w:tc>
        <w:tc>
          <w:tcPr>
            <w:tcW w:w="1440" w:type="dxa"/>
            <w:noWrap/>
            <w:vAlign w:val="top"/>
          </w:tcPr>
          <w:p w14:paraId="06B67534" w14:textId="5E512B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83.16</w:t>
            </w:r>
          </w:p>
        </w:tc>
        <w:tc>
          <w:tcPr>
            <w:tcW w:w="1440" w:type="dxa"/>
            <w:noWrap/>
            <w:vAlign w:val="top"/>
          </w:tcPr>
          <w:p w14:paraId="20BAF04F" w14:textId="78E36E5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r>
      <w:tr w:rsidR="00AF5B5B" w:rsidRPr="006253A9" w14:paraId="5C101A6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C34834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0142</w:t>
            </w:r>
          </w:p>
        </w:tc>
        <w:tc>
          <w:tcPr>
            <w:tcW w:w="2880" w:type="dxa"/>
            <w:noWrap/>
            <w:hideMark/>
          </w:tcPr>
          <w:p w14:paraId="159CDED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Hull</w:t>
            </w:r>
          </w:p>
        </w:tc>
        <w:tc>
          <w:tcPr>
            <w:tcW w:w="1479" w:type="dxa"/>
            <w:noWrap/>
            <w:vAlign w:val="top"/>
          </w:tcPr>
          <w:p w14:paraId="3E1D7961" w14:textId="20CAAB4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15.83</w:t>
            </w:r>
          </w:p>
        </w:tc>
        <w:tc>
          <w:tcPr>
            <w:tcW w:w="1440" w:type="dxa"/>
            <w:noWrap/>
            <w:vAlign w:val="top"/>
          </w:tcPr>
          <w:p w14:paraId="0BC65C94" w14:textId="2A27E95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34.82</w:t>
            </w:r>
          </w:p>
        </w:tc>
        <w:tc>
          <w:tcPr>
            <w:tcW w:w="1530" w:type="dxa"/>
            <w:noWrap/>
            <w:vAlign w:val="top"/>
          </w:tcPr>
          <w:p w14:paraId="53DA412D" w14:textId="42A0D62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45.5%</w:t>
            </w:r>
          </w:p>
        </w:tc>
        <w:tc>
          <w:tcPr>
            <w:tcW w:w="1440" w:type="dxa"/>
            <w:noWrap/>
            <w:vAlign w:val="top"/>
          </w:tcPr>
          <w:p w14:paraId="77034A04" w14:textId="6BF1F7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18.85</w:t>
            </w:r>
          </w:p>
        </w:tc>
        <w:tc>
          <w:tcPr>
            <w:tcW w:w="1440" w:type="dxa"/>
            <w:noWrap/>
            <w:vAlign w:val="top"/>
          </w:tcPr>
          <w:p w14:paraId="543B6028" w14:textId="0446BA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43.66</w:t>
            </w:r>
          </w:p>
        </w:tc>
        <w:tc>
          <w:tcPr>
            <w:tcW w:w="1440" w:type="dxa"/>
            <w:noWrap/>
            <w:vAlign w:val="top"/>
          </w:tcPr>
          <w:p w14:paraId="04E4BD2B" w14:textId="73C7E6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43.2%</w:t>
            </w:r>
          </w:p>
        </w:tc>
      </w:tr>
      <w:tr w:rsidR="00AF5B5B" w:rsidRPr="006253A9" w14:paraId="5531C5D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0D2E4D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0143</w:t>
            </w:r>
          </w:p>
        </w:tc>
        <w:tc>
          <w:tcPr>
            <w:tcW w:w="2880" w:type="dxa"/>
            <w:noWrap/>
            <w:hideMark/>
          </w:tcPr>
          <w:p w14:paraId="65A322F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Huntington</w:t>
            </w:r>
          </w:p>
        </w:tc>
        <w:tc>
          <w:tcPr>
            <w:tcW w:w="1479" w:type="dxa"/>
            <w:noWrap/>
            <w:vAlign w:val="top"/>
          </w:tcPr>
          <w:p w14:paraId="3E81438F" w14:textId="5F26ABB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2.15</w:t>
            </w:r>
          </w:p>
        </w:tc>
        <w:tc>
          <w:tcPr>
            <w:tcW w:w="1440" w:type="dxa"/>
            <w:noWrap/>
            <w:vAlign w:val="top"/>
          </w:tcPr>
          <w:p w14:paraId="00099906" w14:textId="2D82317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3.63</w:t>
            </w:r>
          </w:p>
        </w:tc>
        <w:tc>
          <w:tcPr>
            <w:tcW w:w="1530" w:type="dxa"/>
            <w:noWrap/>
            <w:vAlign w:val="top"/>
          </w:tcPr>
          <w:p w14:paraId="0B402704" w14:textId="5FBBF8A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59.2%</w:t>
            </w:r>
          </w:p>
        </w:tc>
        <w:tc>
          <w:tcPr>
            <w:tcW w:w="1440" w:type="dxa"/>
            <w:noWrap/>
            <w:vAlign w:val="top"/>
          </w:tcPr>
          <w:p w14:paraId="372581E6" w14:textId="0BE811E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3.03</w:t>
            </w:r>
          </w:p>
        </w:tc>
        <w:tc>
          <w:tcPr>
            <w:tcW w:w="1440" w:type="dxa"/>
            <w:noWrap/>
            <w:vAlign w:val="top"/>
          </w:tcPr>
          <w:p w14:paraId="34F51397" w14:textId="65F69F9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4.70</w:t>
            </w:r>
          </w:p>
        </w:tc>
        <w:tc>
          <w:tcPr>
            <w:tcW w:w="1440" w:type="dxa"/>
            <w:noWrap/>
            <w:vAlign w:val="top"/>
          </w:tcPr>
          <w:p w14:paraId="38FD509D" w14:textId="6A8089E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64.4%</w:t>
            </w:r>
          </w:p>
        </w:tc>
      </w:tr>
      <w:tr w:rsidR="00AF5B5B" w:rsidRPr="006253A9" w14:paraId="0088C6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17FDEE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0144</w:t>
            </w:r>
          </w:p>
        </w:tc>
        <w:tc>
          <w:tcPr>
            <w:tcW w:w="2880" w:type="dxa"/>
            <w:noWrap/>
            <w:hideMark/>
          </w:tcPr>
          <w:p w14:paraId="5196882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Ipswich</w:t>
            </w:r>
          </w:p>
        </w:tc>
        <w:tc>
          <w:tcPr>
            <w:tcW w:w="1479" w:type="dxa"/>
            <w:noWrap/>
            <w:vAlign w:val="top"/>
          </w:tcPr>
          <w:p w14:paraId="16F10F91" w14:textId="547B9CD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17.93</w:t>
            </w:r>
          </w:p>
        </w:tc>
        <w:tc>
          <w:tcPr>
            <w:tcW w:w="1440" w:type="dxa"/>
            <w:noWrap/>
            <w:vAlign w:val="top"/>
          </w:tcPr>
          <w:p w14:paraId="38EEDC48" w14:textId="17B6E6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34.57</w:t>
            </w:r>
          </w:p>
        </w:tc>
        <w:tc>
          <w:tcPr>
            <w:tcW w:w="1530" w:type="dxa"/>
            <w:noWrap/>
            <w:vAlign w:val="top"/>
          </w:tcPr>
          <w:p w14:paraId="3E858F3F" w14:textId="2BB0B9B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51.9%</w:t>
            </w:r>
          </w:p>
        </w:tc>
        <w:tc>
          <w:tcPr>
            <w:tcW w:w="1440" w:type="dxa"/>
            <w:noWrap/>
            <w:vAlign w:val="top"/>
          </w:tcPr>
          <w:p w14:paraId="24D53C9B" w14:textId="5745C3A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28.12</w:t>
            </w:r>
          </w:p>
        </w:tc>
        <w:tc>
          <w:tcPr>
            <w:tcW w:w="1440" w:type="dxa"/>
            <w:noWrap/>
            <w:vAlign w:val="top"/>
          </w:tcPr>
          <w:p w14:paraId="2382BC2F" w14:textId="35EF503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51.40</w:t>
            </w:r>
          </w:p>
        </w:tc>
        <w:tc>
          <w:tcPr>
            <w:tcW w:w="1440" w:type="dxa"/>
            <w:noWrap/>
            <w:vAlign w:val="top"/>
          </w:tcPr>
          <w:p w14:paraId="697A218D" w14:textId="564A69C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54.7%</w:t>
            </w:r>
          </w:p>
        </w:tc>
      </w:tr>
      <w:tr w:rsidR="00AF5B5B" w:rsidRPr="006253A9" w14:paraId="321AEBD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A37ED1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0145</w:t>
            </w:r>
          </w:p>
        </w:tc>
        <w:tc>
          <w:tcPr>
            <w:tcW w:w="2880" w:type="dxa"/>
            <w:noWrap/>
            <w:hideMark/>
          </w:tcPr>
          <w:p w14:paraId="6E8F81D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Kingston</w:t>
            </w:r>
          </w:p>
        </w:tc>
        <w:tc>
          <w:tcPr>
            <w:tcW w:w="1479" w:type="dxa"/>
            <w:noWrap/>
            <w:vAlign w:val="top"/>
          </w:tcPr>
          <w:p w14:paraId="12741AF0" w14:textId="009A2C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16.41</w:t>
            </w:r>
          </w:p>
        </w:tc>
        <w:tc>
          <w:tcPr>
            <w:tcW w:w="1440" w:type="dxa"/>
            <w:noWrap/>
            <w:vAlign w:val="top"/>
          </w:tcPr>
          <w:p w14:paraId="0B3A298E" w14:textId="034D41C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31.77</w:t>
            </w:r>
          </w:p>
        </w:tc>
        <w:tc>
          <w:tcPr>
            <w:tcW w:w="1530" w:type="dxa"/>
            <w:noWrap/>
            <w:vAlign w:val="top"/>
          </w:tcPr>
          <w:p w14:paraId="5158E12F" w14:textId="46A0DD1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51.7%</w:t>
            </w:r>
          </w:p>
        </w:tc>
        <w:tc>
          <w:tcPr>
            <w:tcW w:w="1440" w:type="dxa"/>
            <w:noWrap/>
            <w:vAlign w:val="top"/>
          </w:tcPr>
          <w:p w14:paraId="59C3B58B" w14:textId="0F134D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24.92</w:t>
            </w:r>
          </w:p>
        </w:tc>
        <w:tc>
          <w:tcPr>
            <w:tcW w:w="1440" w:type="dxa"/>
            <w:noWrap/>
            <w:vAlign w:val="top"/>
          </w:tcPr>
          <w:p w14:paraId="44187DCC" w14:textId="50FDFF0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50.68</w:t>
            </w:r>
          </w:p>
        </w:tc>
        <w:tc>
          <w:tcPr>
            <w:tcW w:w="1440" w:type="dxa"/>
            <w:noWrap/>
            <w:vAlign w:val="top"/>
          </w:tcPr>
          <w:p w14:paraId="7A9ECEF3" w14:textId="4ED6693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49.2%</w:t>
            </w:r>
          </w:p>
        </w:tc>
      </w:tr>
      <w:tr w:rsidR="00AF5B5B" w:rsidRPr="006253A9" w14:paraId="50BBBA8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D7745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0146</w:t>
            </w:r>
          </w:p>
        </w:tc>
        <w:tc>
          <w:tcPr>
            <w:tcW w:w="2880" w:type="dxa"/>
            <w:noWrap/>
            <w:hideMark/>
          </w:tcPr>
          <w:p w14:paraId="5D9745D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Lakeville</w:t>
            </w:r>
          </w:p>
        </w:tc>
        <w:tc>
          <w:tcPr>
            <w:tcW w:w="1479" w:type="dxa"/>
            <w:noWrap/>
            <w:vAlign w:val="top"/>
          </w:tcPr>
          <w:p w14:paraId="0F5FE65C" w14:textId="2990BB0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12.71</w:t>
            </w:r>
          </w:p>
        </w:tc>
        <w:tc>
          <w:tcPr>
            <w:tcW w:w="1440" w:type="dxa"/>
            <w:noWrap/>
            <w:vAlign w:val="top"/>
          </w:tcPr>
          <w:p w14:paraId="6D151E4D" w14:textId="02B2CE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21.36</w:t>
            </w:r>
          </w:p>
        </w:tc>
        <w:tc>
          <w:tcPr>
            <w:tcW w:w="1530" w:type="dxa"/>
            <w:noWrap/>
            <w:vAlign w:val="top"/>
          </w:tcPr>
          <w:p w14:paraId="5E3869BB" w14:textId="33EA955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59.5%</w:t>
            </w:r>
          </w:p>
        </w:tc>
        <w:tc>
          <w:tcPr>
            <w:tcW w:w="1440" w:type="dxa"/>
            <w:noWrap/>
            <w:vAlign w:val="top"/>
          </w:tcPr>
          <w:p w14:paraId="353D0B38" w14:textId="6542AA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18.07</w:t>
            </w:r>
          </w:p>
        </w:tc>
        <w:tc>
          <w:tcPr>
            <w:tcW w:w="1440" w:type="dxa"/>
            <w:noWrap/>
            <w:vAlign w:val="top"/>
          </w:tcPr>
          <w:p w14:paraId="01E4267C" w14:textId="09CCC70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31.05</w:t>
            </w:r>
          </w:p>
        </w:tc>
        <w:tc>
          <w:tcPr>
            <w:tcW w:w="1440" w:type="dxa"/>
            <w:noWrap/>
            <w:vAlign w:val="top"/>
          </w:tcPr>
          <w:p w14:paraId="28A50CEF" w14:textId="39695A1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58.2%</w:t>
            </w:r>
          </w:p>
        </w:tc>
      </w:tr>
      <w:tr w:rsidR="00AF5B5B" w:rsidRPr="006253A9" w14:paraId="72A214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CF0E94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0147</w:t>
            </w:r>
          </w:p>
        </w:tc>
        <w:tc>
          <w:tcPr>
            <w:tcW w:w="2880" w:type="dxa"/>
            <w:noWrap/>
            <w:hideMark/>
          </w:tcPr>
          <w:p w14:paraId="5132F14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Lancaster</w:t>
            </w:r>
          </w:p>
        </w:tc>
        <w:tc>
          <w:tcPr>
            <w:tcW w:w="1479" w:type="dxa"/>
            <w:noWrap/>
            <w:vAlign w:val="top"/>
          </w:tcPr>
          <w:p w14:paraId="2A5F4DD8" w14:textId="3AE7782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8.26</w:t>
            </w:r>
          </w:p>
        </w:tc>
        <w:tc>
          <w:tcPr>
            <w:tcW w:w="1440" w:type="dxa"/>
            <w:noWrap/>
            <w:vAlign w:val="top"/>
          </w:tcPr>
          <w:p w14:paraId="253A2685" w14:textId="450874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14.25</w:t>
            </w:r>
          </w:p>
        </w:tc>
        <w:tc>
          <w:tcPr>
            <w:tcW w:w="1530" w:type="dxa"/>
            <w:noWrap/>
            <w:vAlign w:val="top"/>
          </w:tcPr>
          <w:p w14:paraId="42E487FE" w14:textId="149E57C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57.9%</w:t>
            </w:r>
          </w:p>
        </w:tc>
        <w:tc>
          <w:tcPr>
            <w:tcW w:w="1440" w:type="dxa"/>
            <w:noWrap/>
            <w:vAlign w:val="top"/>
          </w:tcPr>
          <w:p w14:paraId="544206A5" w14:textId="2E17AC1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14.39</w:t>
            </w:r>
          </w:p>
        </w:tc>
        <w:tc>
          <w:tcPr>
            <w:tcW w:w="1440" w:type="dxa"/>
            <w:noWrap/>
            <w:vAlign w:val="top"/>
          </w:tcPr>
          <w:p w14:paraId="0405CCF3" w14:textId="3A4CA3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22.32</w:t>
            </w:r>
          </w:p>
        </w:tc>
        <w:tc>
          <w:tcPr>
            <w:tcW w:w="1440" w:type="dxa"/>
            <w:noWrap/>
            <w:vAlign w:val="top"/>
          </w:tcPr>
          <w:p w14:paraId="6D94340E" w14:textId="321ADAC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64.5%</w:t>
            </w:r>
          </w:p>
        </w:tc>
      </w:tr>
      <w:tr w:rsidR="00AF5B5B" w:rsidRPr="006253A9" w14:paraId="5076837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01002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0148</w:t>
            </w:r>
          </w:p>
        </w:tc>
        <w:tc>
          <w:tcPr>
            <w:tcW w:w="2880" w:type="dxa"/>
            <w:noWrap/>
            <w:hideMark/>
          </w:tcPr>
          <w:p w14:paraId="746FAC0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Lanesborough</w:t>
            </w:r>
          </w:p>
        </w:tc>
        <w:tc>
          <w:tcPr>
            <w:tcW w:w="1479" w:type="dxa"/>
            <w:noWrap/>
            <w:vAlign w:val="top"/>
          </w:tcPr>
          <w:p w14:paraId="7B26D2BE" w14:textId="44F89C3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5.26</w:t>
            </w:r>
          </w:p>
        </w:tc>
        <w:tc>
          <w:tcPr>
            <w:tcW w:w="1440" w:type="dxa"/>
            <w:noWrap/>
            <w:vAlign w:val="top"/>
          </w:tcPr>
          <w:p w14:paraId="1B6FB358" w14:textId="0CBCED9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9.31</w:t>
            </w:r>
          </w:p>
        </w:tc>
        <w:tc>
          <w:tcPr>
            <w:tcW w:w="1530" w:type="dxa"/>
            <w:noWrap/>
            <w:vAlign w:val="top"/>
          </w:tcPr>
          <w:p w14:paraId="273FF53C" w14:textId="054E553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56.5%</w:t>
            </w:r>
          </w:p>
        </w:tc>
        <w:tc>
          <w:tcPr>
            <w:tcW w:w="1440" w:type="dxa"/>
            <w:noWrap/>
            <w:vAlign w:val="top"/>
          </w:tcPr>
          <w:p w14:paraId="5BAFD676" w14:textId="53BC43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6.10</w:t>
            </w:r>
          </w:p>
        </w:tc>
        <w:tc>
          <w:tcPr>
            <w:tcW w:w="1440" w:type="dxa"/>
            <w:noWrap/>
            <w:vAlign w:val="top"/>
          </w:tcPr>
          <w:p w14:paraId="03C35AA4" w14:textId="5E81B56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10.75</w:t>
            </w:r>
          </w:p>
        </w:tc>
        <w:tc>
          <w:tcPr>
            <w:tcW w:w="1440" w:type="dxa"/>
            <w:noWrap/>
            <w:vAlign w:val="top"/>
          </w:tcPr>
          <w:p w14:paraId="7878FD06" w14:textId="34D74B7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56.7%</w:t>
            </w:r>
          </w:p>
        </w:tc>
      </w:tr>
      <w:tr w:rsidR="00AF5B5B" w:rsidRPr="006253A9" w14:paraId="31BB951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D9F459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0149</w:t>
            </w:r>
          </w:p>
        </w:tc>
        <w:tc>
          <w:tcPr>
            <w:tcW w:w="2880" w:type="dxa"/>
            <w:noWrap/>
            <w:hideMark/>
          </w:tcPr>
          <w:p w14:paraId="123CF93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Lawrence</w:t>
            </w:r>
          </w:p>
        </w:tc>
        <w:tc>
          <w:tcPr>
            <w:tcW w:w="1479" w:type="dxa"/>
            <w:noWrap/>
            <w:vAlign w:val="top"/>
          </w:tcPr>
          <w:p w14:paraId="48315A2B" w14:textId="5F379A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127.55</w:t>
            </w:r>
          </w:p>
        </w:tc>
        <w:tc>
          <w:tcPr>
            <w:tcW w:w="1440" w:type="dxa"/>
            <w:noWrap/>
            <w:vAlign w:val="top"/>
          </w:tcPr>
          <w:p w14:paraId="285CFD63" w14:textId="00F23A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206.85</w:t>
            </w:r>
          </w:p>
        </w:tc>
        <w:tc>
          <w:tcPr>
            <w:tcW w:w="1530" w:type="dxa"/>
            <w:noWrap/>
            <w:vAlign w:val="top"/>
          </w:tcPr>
          <w:p w14:paraId="127189AC" w14:textId="248E5B3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61.7%</w:t>
            </w:r>
          </w:p>
        </w:tc>
        <w:tc>
          <w:tcPr>
            <w:tcW w:w="1440" w:type="dxa"/>
            <w:noWrap/>
            <w:vAlign w:val="top"/>
          </w:tcPr>
          <w:p w14:paraId="28BB42A2" w14:textId="7C99009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202.85</w:t>
            </w:r>
          </w:p>
        </w:tc>
        <w:tc>
          <w:tcPr>
            <w:tcW w:w="1440" w:type="dxa"/>
            <w:noWrap/>
            <w:vAlign w:val="top"/>
          </w:tcPr>
          <w:p w14:paraId="32F80EB4" w14:textId="6CBEDF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320.53</w:t>
            </w:r>
          </w:p>
        </w:tc>
        <w:tc>
          <w:tcPr>
            <w:tcW w:w="1440" w:type="dxa"/>
            <w:noWrap/>
            <w:vAlign w:val="top"/>
          </w:tcPr>
          <w:p w14:paraId="7158DEA9" w14:textId="43CE721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63.3%</w:t>
            </w:r>
          </w:p>
        </w:tc>
      </w:tr>
      <w:tr w:rsidR="00AF5B5B" w:rsidRPr="006253A9" w14:paraId="065CFE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4541F9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0150</w:t>
            </w:r>
          </w:p>
        </w:tc>
        <w:tc>
          <w:tcPr>
            <w:tcW w:w="2880" w:type="dxa"/>
            <w:noWrap/>
            <w:hideMark/>
          </w:tcPr>
          <w:p w14:paraId="2A4D14E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Lee</w:t>
            </w:r>
          </w:p>
        </w:tc>
        <w:tc>
          <w:tcPr>
            <w:tcW w:w="1479" w:type="dxa"/>
            <w:noWrap/>
            <w:vAlign w:val="top"/>
          </w:tcPr>
          <w:p w14:paraId="6A2810CC" w14:textId="3B2902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7.70</w:t>
            </w:r>
          </w:p>
        </w:tc>
        <w:tc>
          <w:tcPr>
            <w:tcW w:w="1440" w:type="dxa"/>
            <w:noWrap/>
            <w:vAlign w:val="top"/>
          </w:tcPr>
          <w:p w14:paraId="1E19605E" w14:textId="513A1C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15.74</w:t>
            </w:r>
          </w:p>
        </w:tc>
        <w:tc>
          <w:tcPr>
            <w:tcW w:w="1530" w:type="dxa"/>
            <w:noWrap/>
            <w:vAlign w:val="top"/>
          </w:tcPr>
          <w:p w14:paraId="4E92AC19" w14:textId="0184722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48.9%</w:t>
            </w:r>
          </w:p>
        </w:tc>
        <w:tc>
          <w:tcPr>
            <w:tcW w:w="1440" w:type="dxa"/>
            <w:noWrap/>
            <w:vAlign w:val="top"/>
          </w:tcPr>
          <w:p w14:paraId="6BE10C87" w14:textId="303FAD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12.26</w:t>
            </w:r>
          </w:p>
        </w:tc>
        <w:tc>
          <w:tcPr>
            <w:tcW w:w="1440" w:type="dxa"/>
            <w:noWrap/>
            <w:vAlign w:val="top"/>
          </w:tcPr>
          <w:p w14:paraId="33AA81E4" w14:textId="4EC5C3F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23.52</w:t>
            </w:r>
          </w:p>
        </w:tc>
        <w:tc>
          <w:tcPr>
            <w:tcW w:w="1440" w:type="dxa"/>
            <w:noWrap/>
            <w:vAlign w:val="top"/>
          </w:tcPr>
          <w:p w14:paraId="2F45E291" w14:textId="34CD75F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52.1%</w:t>
            </w:r>
          </w:p>
        </w:tc>
      </w:tr>
      <w:tr w:rsidR="00AF5B5B" w:rsidRPr="006253A9" w14:paraId="21EE2A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9770B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0151</w:t>
            </w:r>
          </w:p>
        </w:tc>
        <w:tc>
          <w:tcPr>
            <w:tcW w:w="2880" w:type="dxa"/>
            <w:noWrap/>
            <w:hideMark/>
          </w:tcPr>
          <w:p w14:paraId="24CC973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Leicester</w:t>
            </w:r>
          </w:p>
        </w:tc>
        <w:tc>
          <w:tcPr>
            <w:tcW w:w="1479" w:type="dxa"/>
            <w:noWrap/>
            <w:vAlign w:val="top"/>
          </w:tcPr>
          <w:p w14:paraId="57D103CC" w14:textId="3EBA9F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15.85</w:t>
            </w:r>
          </w:p>
        </w:tc>
        <w:tc>
          <w:tcPr>
            <w:tcW w:w="1440" w:type="dxa"/>
            <w:noWrap/>
            <w:vAlign w:val="top"/>
          </w:tcPr>
          <w:p w14:paraId="088B9084" w14:textId="37E38AE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26.07</w:t>
            </w:r>
          </w:p>
        </w:tc>
        <w:tc>
          <w:tcPr>
            <w:tcW w:w="1530" w:type="dxa"/>
            <w:noWrap/>
            <w:vAlign w:val="top"/>
          </w:tcPr>
          <w:p w14:paraId="6D33BE8A" w14:textId="745DBBF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60.8%</w:t>
            </w:r>
          </w:p>
        </w:tc>
        <w:tc>
          <w:tcPr>
            <w:tcW w:w="1440" w:type="dxa"/>
            <w:noWrap/>
            <w:vAlign w:val="top"/>
          </w:tcPr>
          <w:p w14:paraId="7521A2E0" w14:textId="16289B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20.34</w:t>
            </w:r>
          </w:p>
        </w:tc>
        <w:tc>
          <w:tcPr>
            <w:tcW w:w="1440" w:type="dxa"/>
            <w:noWrap/>
            <w:vAlign w:val="top"/>
          </w:tcPr>
          <w:p w14:paraId="26725733" w14:textId="08CFE21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33.02</w:t>
            </w:r>
          </w:p>
        </w:tc>
        <w:tc>
          <w:tcPr>
            <w:tcW w:w="1440" w:type="dxa"/>
            <w:noWrap/>
            <w:vAlign w:val="top"/>
          </w:tcPr>
          <w:p w14:paraId="0B8801B1" w14:textId="5D99C68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61.6%</w:t>
            </w:r>
          </w:p>
        </w:tc>
      </w:tr>
      <w:tr w:rsidR="00AF5B5B" w:rsidRPr="006253A9" w14:paraId="1578BDC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DEDDB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0152</w:t>
            </w:r>
          </w:p>
        </w:tc>
        <w:tc>
          <w:tcPr>
            <w:tcW w:w="2880" w:type="dxa"/>
            <w:noWrap/>
            <w:hideMark/>
          </w:tcPr>
          <w:p w14:paraId="28EC637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Lenox</w:t>
            </w:r>
          </w:p>
        </w:tc>
        <w:tc>
          <w:tcPr>
            <w:tcW w:w="1479" w:type="dxa"/>
            <w:noWrap/>
            <w:vAlign w:val="top"/>
          </w:tcPr>
          <w:p w14:paraId="0FB17A1F" w14:textId="76E84C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9.39</w:t>
            </w:r>
          </w:p>
        </w:tc>
        <w:tc>
          <w:tcPr>
            <w:tcW w:w="1440" w:type="dxa"/>
            <w:noWrap/>
            <w:vAlign w:val="top"/>
          </w:tcPr>
          <w:p w14:paraId="26A6A438" w14:textId="1A8FA68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15.75</w:t>
            </w:r>
          </w:p>
        </w:tc>
        <w:tc>
          <w:tcPr>
            <w:tcW w:w="1530" w:type="dxa"/>
            <w:noWrap/>
            <w:vAlign w:val="top"/>
          </w:tcPr>
          <w:p w14:paraId="61F6D195" w14:textId="04AF75C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59.6%</w:t>
            </w:r>
          </w:p>
        </w:tc>
        <w:tc>
          <w:tcPr>
            <w:tcW w:w="1440" w:type="dxa"/>
            <w:noWrap/>
            <w:vAlign w:val="top"/>
          </w:tcPr>
          <w:p w14:paraId="54D327C8" w14:textId="2D41818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13.00</w:t>
            </w:r>
          </w:p>
        </w:tc>
        <w:tc>
          <w:tcPr>
            <w:tcW w:w="1440" w:type="dxa"/>
            <w:noWrap/>
            <w:vAlign w:val="top"/>
          </w:tcPr>
          <w:p w14:paraId="43A9F7A7" w14:textId="6D6C93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25.06</w:t>
            </w:r>
          </w:p>
        </w:tc>
        <w:tc>
          <w:tcPr>
            <w:tcW w:w="1440" w:type="dxa"/>
            <w:noWrap/>
            <w:vAlign w:val="top"/>
          </w:tcPr>
          <w:p w14:paraId="6A8E8CE5" w14:textId="6051127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51.9%</w:t>
            </w:r>
          </w:p>
        </w:tc>
      </w:tr>
      <w:tr w:rsidR="00AF5B5B" w:rsidRPr="006253A9" w14:paraId="752C42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414449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0153</w:t>
            </w:r>
          </w:p>
        </w:tc>
        <w:tc>
          <w:tcPr>
            <w:tcW w:w="2880" w:type="dxa"/>
            <w:noWrap/>
            <w:hideMark/>
          </w:tcPr>
          <w:p w14:paraId="2899416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Leominster</w:t>
            </w:r>
          </w:p>
        </w:tc>
        <w:tc>
          <w:tcPr>
            <w:tcW w:w="1479" w:type="dxa"/>
            <w:noWrap/>
            <w:vAlign w:val="top"/>
          </w:tcPr>
          <w:p w14:paraId="1A6E1A3B" w14:textId="0DEF28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53.51</w:t>
            </w:r>
          </w:p>
        </w:tc>
        <w:tc>
          <w:tcPr>
            <w:tcW w:w="1440" w:type="dxa"/>
            <w:noWrap/>
            <w:vAlign w:val="top"/>
          </w:tcPr>
          <w:p w14:paraId="0CF103CE" w14:textId="6AEB9D8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104.05</w:t>
            </w:r>
          </w:p>
        </w:tc>
        <w:tc>
          <w:tcPr>
            <w:tcW w:w="1530" w:type="dxa"/>
            <w:noWrap/>
            <w:vAlign w:val="top"/>
          </w:tcPr>
          <w:p w14:paraId="152BBC6C" w14:textId="686E34B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51.4%</w:t>
            </w:r>
          </w:p>
        </w:tc>
        <w:tc>
          <w:tcPr>
            <w:tcW w:w="1440" w:type="dxa"/>
            <w:noWrap/>
            <w:vAlign w:val="top"/>
          </w:tcPr>
          <w:p w14:paraId="49E832C2" w14:textId="12C2B14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75.65</w:t>
            </w:r>
          </w:p>
        </w:tc>
        <w:tc>
          <w:tcPr>
            <w:tcW w:w="1440" w:type="dxa"/>
            <w:noWrap/>
            <w:vAlign w:val="top"/>
          </w:tcPr>
          <w:p w14:paraId="6BF006CE" w14:textId="62361BC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154.57</w:t>
            </w:r>
          </w:p>
        </w:tc>
        <w:tc>
          <w:tcPr>
            <w:tcW w:w="1440" w:type="dxa"/>
            <w:noWrap/>
            <w:vAlign w:val="top"/>
          </w:tcPr>
          <w:p w14:paraId="7241EDDE" w14:textId="312EFF8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48.9%</w:t>
            </w:r>
          </w:p>
        </w:tc>
      </w:tr>
      <w:tr w:rsidR="00AF5B5B" w:rsidRPr="006253A9" w14:paraId="482BB4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F4BA7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0154</w:t>
            </w:r>
          </w:p>
        </w:tc>
        <w:tc>
          <w:tcPr>
            <w:tcW w:w="2880" w:type="dxa"/>
            <w:noWrap/>
            <w:hideMark/>
          </w:tcPr>
          <w:p w14:paraId="70A1CDD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Leverett</w:t>
            </w:r>
          </w:p>
        </w:tc>
        <w:tc>
          <w:tcPr>
            <w:tcW w:w="1479" w:type="dxa"/>
            <w:noWrap/>
            <w:vAlign w:val="top"/>
          </w:tcPr>
          <w:p w14:paraId="0A62281E" w14:textId="0A723DF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3.02</w:t>
            </w:r>
          </w:p>
        </w:tc>
        <w:tc>
          <w:tcPr>
            <w:tcW w:w="1440" w:type="dxa"/>
            <w:noWrap/>
            <w:vAlign w:val="top"/>
          </w:tcPr>
          <w:p w14:paraId="72A9C22A" w14:textId="6BC11A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4.52</w:t>
            </w:r>
          </w:p>
        </w:tc>
        <w:tc>
          <w:tcPr>
            <w:tcW w:w="1530" w:type="dxa"/>
            <w:noWrap/>
            <w:vAlign w:val="top"/>
          </w:tcPr>
          <w:p w14:paraId="758AB918" w14:textId="22D911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66.8%</w:t>
            </w:r>
          </w:p>
        </w:tc>
        <w:tc>
          <w:tcPr>
            <w:tcW w:w="1440" w:type="dxa"/>
            <w:noWrap/>
            <w:vAlign w:val="top"/>
          </w:tcPr>
          <w:p w14:paraId="65EBC707" w14:textId="178295F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3.81</w:t>
            </w:r>
          </w:p>
        </w:tc>
        <w:tc>
          <w:tcPr>
            <w:tcW w:w="1440" w:type="dxa"/>
            <w:noWrap/>
            <w:vAlign w:val="top"/>
          </w:tcPr>
          <w:p w14:paraId="213F3462" w14:textId="78ECDF1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6.22</w:t>
            </w:r>
          </w:p>
        </w:tc>
        <w:tc>
          <w:tcPr>
            <w:tcW w:w="1440" w:type="dxa"/>
            <w:noWrap/>
            <w:vAlign w:val="top"/>
          </w:tcPr>
          <w:p w14:paraId="10C9491B" w14:textId="744975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61.3%</w:t>
            </w:r>
          </w:p>
        </w:tc>
      </w:tr>
      <w:tr w:rsidR="00AF5B5B" w:rsidRPr="006253A9" w14:paraId="6820839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B718F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0155</w:t>
            </w:r>
          </w:p>
        </w:tc>
        <w:tc>
          <w:tcPr>
            <w:tcW w:w="2880" w:type="dxa"/>
            <w:noWrap/>
            <w:hideMark/>
          </w:tcPr>
          <w:p w14:paraId="3E4680F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Lexington</w:t>
            </w:r>
          </w:p>
        </w:tc>
        <w:tc>
          <w:tcPr>
            <w:tcW w:w="1479" w:type="dxa"/>
            <w:noWrap/>
            <w:vAlign w:val="top"/>
          </w:tcPr>
          <w:p w14:paraId="31CF7D5F" w14:textId="0B1EC0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76.78</w:t>
            </w:r>
          </w:p>
        </w:tc>
        <w:tc>
          <w:tcPr>
            <w:tcW w:w="1440" w:type="dxa"/>
            <w:noWrap/>
            <w:vAlign w:val="top"/>
          </w:tcPr>
          <w:p w14:paraId="00096AF9" w14:textId="429E6D6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135.83</w:t>
            </w:r>
          </w:p>
        </w:tc>
        <w:tc>
          <w:tcPr>
            <w:tcW w:w="1530" w:type="dxa"/>
            <w:noWrap/>
            <w:vAlign w:val="top"/>
          </w:tcPr>
          <w:p w14:paraId="0459948C" w14:textId="38DFF6E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56.5%</w:t>
            </w:r>
          </w:p>
        </w:tc>
        <w:tc>
          <w:tcPr>
            <w:tcW w:w="1440" w:type="dxa"/>
            <w:noWrap/>
            <w:vAlign w:val="top"/>
          </w:tcPr>
          <w:p w14:paraId="7BA47A47" w14:textId="184D97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130.93</w:t>
            </w:r>
          </w:p>
        </w:tc>
        <w:tc>
          <w:tcPr>
            <w:tcW w:w="1440" w:type="dxa"/>
            <w:noWrap/>
            <w:vAlign w:val="top"/>
          </w:tcPr>
          <w:p w14:paraId="6FF3DEDC" w14:textId="5022F9A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248.60</w:t>
            </w:r>
          </w:p>
        </w:tc>
        <w:tc>
          <w:tcPr>
            <w:tcW w:w="1440" w:type="dxa"/>
            <w:noWrap/>
            <w:vAlign w:val="top"/>
          </w:tcPr>
          <w:p w14:paraId="79B9894A" w14:textId="2731A65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52.7%</w:t>
            </w:r>
          </w:p>
        </w:tc>
      </w:tr>
      <w:tr w:rsidR="00AF5B5B" w:rsidRPr="006253A9" w14:paraId="600F55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266205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0156</w:t>
            </w:r>
          </w:p>
        </w:tc>
        <w:tc>
          <w:tcPr>
            <w:tcW w:w="2880" w:type="dxa"/>
            <w:noWrap/>
            <w:hideMark/>
          </w:tcPr>
          <w:p w14:paraId="62F3583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Leyden</w:t>
            </w:r>
          </w:p>
        </w:tc>
        <w:tc>
          <w:tcPr>
            <w:tcW w:w="1479" w:type="dxa"/>
            <w:noWrap/>
            <w:vAlign w:val="top"/>
          </w:tcPr>
          <w:p w14:paraId="2C8BE8B5" w14:textId="379ACB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0.91</w:t>
            </w:r>
          </w:p>
        </w:tc>
        <w:tc>
          <w:tcPr>
            <w:tcW w:w="1440" w:type="dxa"/>
            <w:noWrap/>
            <w:vAlign w:val="top"/>
          </w:tcPr>
          <w:p w14:paraId="0E6B4079" w14:textId="68047C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1.56</w:t>
            </w:r>
          </w:p>
        </w:tc>
        <w:tc>
          <w:tcPr>
            <w:tcW w:w="1530" w:type="dxa"/>
            <w:noWrap/>
            <w:vAlign w:val="top"/>
          </w:tcPr>
          <w:p w14:paraId="439517D5" w14:textId="1896367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58.5%</w:t>
            </w:r>
          </w:p>
        </w:tc>
        <w:tc>
          <w:tcPr>
            <w:tcW w:w="1440" w:type="dxa"/>
            <w:noWrap/>
            <w:vAlign w:val="top"/>
          </w:tcPr>
          <w:p w14:paraId="49C010DB" w14:textId="1A8057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0.88</w:t>
            </w:r>
          </w:p>
        </w:tc>
        <w:tc>
          <w:tcPr>
            <w:tcW w:w="1440" w:type="dxa"/>
            <w:noWrap/>
            <w:vAlign w:val="top"/>
          </w:tcPr>
          <w:p w14:paraId="68539086" w14:textId="5240DE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w:t>
            </w:r>
          </w:p>
        </w:tc>
        <w:tc>
          <w:tcPr>
            <w:tcW w:w="1440" w:type="dxa"/>
            <w:noWrap/>
            <w:vAlign w:val="top"/>
          </w:tcPr>
          <w:p w14:paraId="68DC6541" w14:textId="4390A4E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48.4%</w:t>
            </w:r>
          </w:p>
        </w:tc>
      </w:tr>
      <w:tr w:rsidR="00AF5B5B" w:rsidRPr="006253A9" w14:paraId="4A46099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3DCE0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0157</w:t>
            </w:r>
          </w:p>
        </w:tc>
        <w:tc>
          <w:tcPr>
            <w:tcW w:w="2880" w:type="dxa"/>
            <w:noWrap/>
            <w:hideMark/>
          </w:tcPr>
          <w:p w14:paraId="2916A0C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Lincoln</w:t>
            </w:r>
          </w:p>
        </w:tc>
        <w:tc>
          <w:tcPr>
            <w:tcW w:w="1479" w:type="dxa"/>
            <w:noWrap/>
            <w:vAlign w:val="top"/>
          </w:tcPr>
          <w:p w14:paraId="64224316" w14:textId="65A0DD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12.99</w:t>
            </w:r>
          </w:p>
        </w:tc>
        <w:tc>
          <w:tcPr>
            <w:tcW w:w="1440" w:type="dxa"/>
            <w:noWrap/>
            <w:vAlign w:val="top"/>
          </w:tcPr>
          <w:p w14:paraId="11749290" w14:textId="2407317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25.75</w:t>
            </w:r>
          </w:p>
        </w:tc>
        <w:tc>
          <w:tcPr>
            <w:tcW w:w="1530" w:type="dxa"/>
            <w:noWrap/>
            <w:vAlign w:val="top"/>
          </w:tcPr>
          <w:p w14:paraId="4027638C" w14:textId="1C51B95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50.5%</w:t>
            </w:r>
          </w:p>
        </w:tc>
        <w:tc>
          <w:tcPr>
            <w:tcW w:w="1440" w:type="dxa"/>
            <w:noWrap/>
            <w:vAlign w:val="top"/>
          </w:tcPr>
          <w:p w14:paraId="4222C568" w14:textId="0F0EEEB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17.11</w:t>
            </w:r>
          </w:p>
        </w:tc>
        <w:tc>
          <w:tcPr>
            <w:tcW w:w="1440" w:type="dxa"/>
            <w:noWrap/>
            <w:vAlign w:val="top"/>
          </w:tcPr>
          <w:p w14:paraId="4AFBEE90" w14:textId="7897300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38.41</w:t>
            </w:r>
          </w:p>
        </w:tc>
        <w:tc>
          <w:tcPr>
            <w:tcW w:w="1440" w:type="dxa"/>
            <w:noWrap/>
            <w:vAlign w:val="top"/>
          </w:tcPr>
          <w:p w14:paraId="3DFBE49A" w14:textId="3541618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44.5%</w:t>
            </w:r>
          </w:p>
        </w:tc>
      </w:tr>
      <w:tr w:rsidR="00AF5B5B" w:rsidRPr="006253A9" w14:paraId="5134C1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BEA4FC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0158</w:t>
            </w:r>
          </w:p>
        </w:tc>
        <w:tc>
          <w:tcPr>
            <w:tcW w:w="2880" w:type="dxa"/>
            <w:noWrap/>
            <w:hideMark/>
          </w:tcPr>
          <w:p w14:paraId="6702628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Littleton</w:t>
            </w:r>
          </w:p>
        </w:tc>
        <w:tc>
          <w:tcPr>
            <w:tcW w:w="1479" w:type="dxa"/>
            <w:noWrap/>
            <w:vAlign w:val="top"/>
          </w:tcPr>
          <w:p w14:paraId="618B80FB" w14:textId="6306458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15.48</w:t>
            </w:r>
          </w:p>
        </w:tc>
        <w:tc>
          <w:tcPr>
            <w:tcW w:w="1440" w:type="dxa"/>
            <w:noWrap/>
            <w:vAlign w:val="top"/>
          </w:tcPr>
          <w:p w14:paraId="3FDFFB25" w14:textId="2E3854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29.48</w:t>
            </w:r>
          </w:p>
        </w:tc>
        <w:tc>
          <w:tcPr>
            <w:tcW w:w="1530" w:type="dxa"/>
            <w:noWrap/>
            <w:vAlign w:val="top"/>
          </w:tcPr>
          <w:p w14:paraId="0EB28BBE" w14:textId="4F2928A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52.5%</w:t>
            </w:r>
          </w:p>
        </w:tc>
        <w:tc>
          <w:tcPr>
            <w:tcW w:w="1440" w:type="dxa"/>
            <w:noWrap/>
            <w:vAlign w:val="top"/>
          </w:tcPr>
          <w:p w14:paraId="72A7AE92" w14:textId="0543C7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24.95</w:t>
            </w:r>
          </w:p>
        </w:tc>
        <w:tc>
          <w:tcPr>
            <w:tcW w:w="1440" w:type="dxa"/>
            <w:noWrap/>
            <w:vAlign w:val="top"/>
          </w:tcPr>
          <w:p w14:paraId="25E0F9DF" w14:textId="604693F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60.10</w:t>
            </w:r>
          </w:p>
        </w:tc>
        <w:tc>
          <w:tcPr>
            <w:tcW w:w="1440" w:type="dxa"/>
            <w:noWrap/>
            <w:vAlign w:val="top"/>
          </w:tcPr>
          <w:p w14:paraId="42DEA9F7" w14:textId="432F190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41.5%</w:t>
            </w:r>
          </w:p>
        </w:tc>
      </w:tr>
      <w:tr w:rsidR="00AF5B5B" w:rsidRPr="006253A9" w14:paraId="52D706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001455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0159</w:t>
            </w:r>
          </w:p>
        </w:tc>
        <w:tc>
          <w:tcPr>
            <w:tcW w:w="2880" w:type="dxa"/>
            <w:noWrap/>
            <w:hideMark/>
          </w:tcPr>
          <w:p w14:paraId="7BCD1D8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Longmeadow</w:t>
            </w:r>
          </w:p>
        </w:tc>
        <w:tc>
          <w:tcPr>
            <w:tcW w:w="1479" w:type="dxa"/>
            <w:noWrap/>
            <w:vAlign w:val="top"/>
          </w:tcPr>
          <w:p w14:paraId="06F37E12" w14:textId="06F2D7F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28.30</w:t>
            </w:r>
          </w:p>
        </w:tc>
        <w:tc>
          <w:tcPr>
            <w:tcW w:w="1440" w:type="dxa"/>
            <w:noWrap/>
            <w:vAlign w:val="top"/>
          </w:tcPr>
          <w:p w14:paraId="463835E8" w14:textId="6C2567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48.27</w:t>
            </w:r>
          </w:p>
        </w:tc>
        <w:tc>
          <w:tcPr>
            <w:tcW w:w="1530" w:type="dxa"/>
            <w:noWrap/>
            <w:vAlign w:val="top"/>
          </w:tcPr>
          <w:p w14:paraId="7578D60D" w14:textId="0A87F39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58.6%</w:t>
            </w:r>
          </w:p>
        </w:tc>
        <w:tc>
          <w:tcPr>
            <w:tcW w:w="1440" w:type="dxa"/>
            <w:noWrap/>
            <w:vAlign w:val="top"/>
          </w:tcPr>
          <w:p w14:paraId="37B8A995" w14:textId="0027CC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41.37</w:t>
            </w:r>
          </w:p>
        </w:tc>
        <w:tc>
          <w:tcPr>
            <w:tcW w:w="1440" w:type="dxa"/>
            <w:noWrap/>
            <w:vAlign w:val="top"/>
          </w:tcPr>
          <w:p w14:paraId="424E9285" w14:textId="3AE669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72.03</w:t>
            </w:r>
          </w:p>
        </w:tc>
        <w:tc>
          <w:tcPr>
            <w:tcW w:w="1440" w:type="dxa"/>
            <w:noWrap/>
            <w:vAlign w:val="top"/>
          </w:tcPr>
          <w:p w14:paraId="5B57C68A" w14:textId="51710F7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57.4%</w:t>
            </w:r>
          </w:p>
        </w:tc>
      </w:tr>
      <w:tr w:rsidR="00AF5B5B" w:rsidRPr="006253A9" w14:paraId="206600E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E32932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0160</w:t>
            </w:r>
          </w:p>
        </w:tc>
        <w:tc>
          <w:tcPr>
            <w:tcW w:w="2880" w:type="dxa"/>
            <w:noWrap/>
            <w:hideMark/>
          </w:tcPr>
          <w:p w14:paraId="1544618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Lowell</w:t>
            </w:r>
          </w:p>
        </w:tc>
        <w:tc>
          <w:tcPr>
            <w:tcW w:w="1479" w:type="dxa"/>
            <w:noWrap/>
            <w:vAlign w:val="top"/>
          </w:tcPr>
          <w:p w14:paraId="7B5EB635" w14:textId="23F779C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151.37</w:t>
            </w:r>
          </w:p>
        </w:tc>
        <w:tc>
          <w:tcPr>
            <w:tcW w:w="1440" w:type="dxa"/>
            <w:noWrap/>
            <w:vAlign w:val="top"/>
          </w:tcPr>
          <w:p w14:paraId="7B810F9A" w14:textId="256D911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297.94</w:t>
            </w:r>
          </w:p>
        </w:tc>
        <w:tc>
          <w:tcPr>
            <w:tcW w:w="1530" w:type="dxa"/>
            <w:noWrap/>
            <w:vAlign w:val="top"/>
          </w:tcPr>
          <w:p w14:paraId="21408CFF" w14:textId="4B68496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50.8%</w:t>
            </w:r>
          </w:p>
        </w:tc>
        <w:tc>
          <w:tcPr>
            <w:tcW w:w="1440" w:type="dxa"/>
            <w:noWrap/>
            <w:vAlign w:val="top"/>
          </w:tcPr>
          <w:p w14:paraId="446DC477" w14:textId="2E081E1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211.87</w:t>
            </w:r>
          </w:p>
        </w:tc>
        <w:tc>
          <w:tcPr>
            <w:tcW w:w="1440" w:type="dxa"/>
            <w:noWrap/>
            <w:vAlign w:val="top"/>
          </w:tcPr>
          <w:p w14:paraId="4216DB0D" w14:textId="7E359B9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385.49</w:t>
            </w:r>
          </w:p>
        </w:tc>
        <w:tc>
          <w:tcPr>
            <w:tcW w:w="1440" w:type="dxa"/>
            <w:noWrap/>
            <w:vAlign w:val="top"/>
          </w:tcPr>
          <w:p w14:paraId="01DE690E" w14:textId="3A2EABB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55.0%</w:t>
            </w:r>
          </w:p>
        </w:tc>
      </w:tr>
      <w:tr w:rsidR="00AF5B5B" w:rsidRPr="006253A9" w14:paraId="0266B6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43DE5F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0161</w:t>
            </w:r>
          </w:p>
        </w:tc>
        <w:tc>
          <w:tcPr>
            <w:tcW w:w="2880" w:type="dxa"/>
            <w:noWrap/>
            <w:hideMark/>
          </w:tcPr>
          <w:p w14:paraId="55AC80E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Ludlow</w:t>
            </w:r>
          </w:p>
        </w:tc>
        <w:tc>
          <w:tcPr>
            <w:tcW w:w="1479" w:type="dxa"/>
            <w:noWrap/>
            <w:vAlign w:val="top"/>
          </w:tcPr>
          <w:p w14:paraId="55DA435C" w14:textId="54904DD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26.15</w:t>
            </w:r>
          </w:p>
        </w:tc>
        <w:tc>
          <w:tcPr>
            <w:tcW w:w="1440" w:type="dxa"/>
            <w:noWrap/>
            <w:vAlign w:val="top"/>
          </w:tcPr>
          <w:p w14:paraId="3156FCA9" w14:textId="77A6C4A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49.50</w:t>
            </w:r>
          </w:p>
        </w:tc>
        <w:tc>
          <w:tcPr>
            <w:tcW w:w="1530" w:type="dxa"/>
            <w:noWrap/>
            <w:vAlign w:val="top"/>
          </w:tcPr>
          <w:p w14:paraId="7127A9DF" w14:textId="51E93EA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52.8%</w:t>
            </w:r>
          </w:p>
        </w:tc>
        <w:tc>
          <w:tcPr>
            <w:tcW w:w="1440" w:type="dxa"/>
            <w:noWrap/>
            <w:vAlign w:val="top"/>
          </w:tcPr>
          <w:p w14:paraId="19ACBEFC" w14:textId="6131BF8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38.97</w:t>
            </w:r>
          </w:p>
        </w:tc>
        <w:tc>
          <w:tcPr>
            <w:tcW w:w="1440" w:type="dxa"/>
            <w:noWrap/>
            <w:vAlign w:val="top"/>
          </w:tcPr>
          <w:p w14:paraId="13277D7A" w14:textId="79AA79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75.59</w:t>
            </w:r>
          </w:p>
        </w:tc>
        <w:tc>
          <w:tcPr>
            <w:tcW w:w="1440" w:type="dxa"/>
            <w:noWrap/>
            <w:vAlign w:val="top"/>
          </w:tcPr>
          <w:p w14:paraId="6D056013" w14:textId="757599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r>
      <w:tr w:rsidR="00AF5B5B" w:rsidRPr="006253A9" w14:paraId="331CEA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97B2DF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0162</w:t>
            </w:r>
          </w:p>
        </w:tc>
        <w:tc>
          <w:tcPr>
            <w:tcW w:w="2880" w:type="dxa"/>
            <w:noWrap/>
            <w:hideMark/>
          </w:tcPr>
          <w:p w14:paraId="459F472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Lunenburg</w:t>
            </w:r>
          </w:p>
        </w:tc>
        <w:tc>
          <w:tcPr>
            <w:tcW w:w="1479" w:type="dxa"/>
            <w:noWrap/>
            <w:vAlign w:val="top"/>
          </w:tcPr>
          <w:p w14:paraId="0A78AB23" w14:textId="011B6CB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15.15</w:t>
            </w:r>
          </w:p>
        </w:tc>
        <w:tc>
          <w:tcPr>
            <w:tcW w:w="1440" w:type="dxa"/>
            <w:noWrap/>
            <w:vAlign w:val="top"/>
          </w:tcPr>
          <w:p w14:paraId="524A11A4" w14:textId="2DD9887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26.43</w:t>
            </w:r>
          </w:p>
        </w:tc>
        <w:tc>
          <w:tcPr>
            <w:tcW w:w="1530" w:type="dxa"/>
            <w:noWrap/>
            <w:vAlign w:val="top"/>
          </w:tcPr>
          <w:p w14:paraId="7E9395B1" w14:textId="70592E4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57.3%</w:t>
            </w:r>
          </w:p>
        </w:tc>
        <w:tc>
          <w:tcPr>
            <w:tcW w:w="1440" w:type="dxa"/>
            <w:noWrap/>
            <w:vAlign w:val="top"/>
          </w:tcPr>
          <w:p w14:paraId="7EE2B4B0" w14:textId="55733C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22.86</w:t>
            </w:r>
          </w:p>
        </w:tc>
        <w:tc>
          <w:tcPr>
            <w:tcW w:w="1440" w:type="dxa"/>
            <w:noWrap/>
            <w:vAlign w:val="top"/>
          </w:tcPr>
          <w:p w14:paraId="5A3ABAD9" w14:textId="7B62ED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41.88</w:t>
            </w:r>
          </w:p>
        </w:tc>
        <w:tc>
          <w:tcPr>
            <w:tcW w:w="1440" w:type="dxa"/>
            <w:noWrap/>
            <w:vAlign w:val="top"/>
          </w:tcPr>
          <w:p w14:paraId="1A1EFADD" w14:textId="5553970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3294DE8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75E694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0163</w:t>
            </w:r>
          </w:p>
        </w:tc>
        <w:tc>
          <w:tcPr>
            <w:tcW w:w="2880" w:type="dxa"/>
            <w:noWrap/>
            <w:hideMark/>
          </w:tcPr>
          <w:p w14:paraId="7BFA9F8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Lynn</w:t>
            </w:r>
          </w:p>
        </w:tc>
        <w:tc>
          <w:tcPr>
            <w:tcW w:w="1479" w:type="dxa"/>
            <w:noWrap/>
            <w:vAlign w:val="top"/>
          </w:tcPr>
          <w:p w14:paraId="58C65E33" w14:textId="4D9674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140.29</w:t>
            </w:r>
          </w:p>
        </w:tc>
        <w:tc>
          <w:tcPr>
            <w:tcW w:w="1440" w:type="dxa"/>
            <w:noWrap/>
            <w:vAlign w:val="top"/>
          </w:tcPr>
          <w:p w14:paraId="4D189CE0" w14:textId="382F3BD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269.16</w:t>
            </w:r>
          </w:p>
        </w:tc>
        <w:tc>
          <w:tcPr>
            <w:tcW w:w="1530" w:type="dxa"/>
            <w:noWrap/>
            <w:vAlign w:val="top"/>
          </w:tcPr>
          <w:p w14:paraId="444708C1" w14:textId="0D7AB1F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52.1%</w:t>
            </w:r>
          </w:p>
        </w:tc>
        <w:tc>
          <w:tcPr>
            <w:tcW w:w="1440" w:type="dxa"/>
            <w:noWrap/>
            <w:vAlign w:val="top"/>
          </w:tcPr>
          <w:p w14:paraId="7427A39C" w14:textId="40C1CE1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221.67</w:t>
            </w:r>
          </w:p>
        </w:tc>
        <w:tc>
          <w:tcPr>
            <w:tcW w:w="1440" w:type="dxa"/>
            <w:noWrap/>
            <w:vAlign w:val="top"/>
          </w:tcPr>
          <w:p w14:paraId="2FBC8D29" w14:textId="6327F71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423.18</w:t>
            </w:r>
          </w:p>
        </w:tc>
        <w:tc>
          <w:tcPr>
            <w:tcW w:w="1440" w:type="dxa"/>
            <w:noWrap/>
            <w:vAlign w:val="top"/>
          </w:tcPr>
          <w:p w14:paraId="6F80308A" w14:textId="03B2B06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r>
      <w:tr w:rsidR="00AF5B5B" w:rsidRPr="006253A9" w14:paraId="6C4782E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2A83B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0164</w:t>
            </w:r>
          </w:p>
        </w:tc>
        <w:tc>
          <w:tcPr>
            <w:tcW w:w="2880" w:type="dxa"/>
            <w:noWrap/>
            <w:hideMark/>
          </w:tcPr>
          <w:p w14:paraId="3E0AE72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Lynnfield</w:t>
            </w:r>
          </w:p>
        </w:tc>
        <w:tc>
          <w:tcPr>
            <w:tcW w:w="1479" w:type="dxa"/>
            <w:noWrap/>
            <w:vAlign w:val="top"/>
          </w:tcPr>
          <w:p w14:paraId="4353AD4C" w14:textId="6004321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19.36</w:t>
            </w:r>
          </w:p>
        </w:tc>
        <w:tc>
          <w:tcPr>
            <w:tcW w:w="1440" w:type="dxa"/>
            <w:noWrap/>
            <w:vAlign w:val="top"/>
          </w:tcPr>
          <w:p w14:paraId="7C2C116D" w14:textId="1D000F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36.41</w:t>
            </w:r>
          </w:p>
        </w:tc>
        <w:tc>
          <w:tcPr>
            <w:tcW w:w="1530" w:type="dxa"/>
            <w:noWrap/>
            <w:vAlign w:val="top"/>
          </w:tcPr>
          <w:p w14:paraId="41A5741D" w14:textId="5469C14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53.2%</w:t>
            </w:r>
          </w:p>
        </w:tc>
        <w:tc>
          <w:tcPr>
            <w:tcW w:w="1440" w:type="dxa"/>
            <w:noWrap/>
            <w:vAlign w:val="top"/>
          </w:tcPr>
          <w:p w14:paraId="03645D92" w14:textId="546E840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32.98</w:t>
            </w:r>
          </w:p>
        </w:tc>
        <w:tc>
          <w:tcPr>
            <w:tcW w:w="1440" w:type="dxa"/>
            <w:noWrap/>
            <w:vAlign w:val="top"/>
          </w:tcPr>
          <w:p w14:paraId="3C666622" w14:textId="5958636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60.68</w:t>
            </w:r>
          </w:p>
        </w:tc>
        <w:tc>
          <w:tcPr>
            <w:tcW w:w="1440" w:type="dxa"/>
            <w:noWrap/>
            <w:vAlign w:val="top"/>
          </w:tcPr>
          <w:p w14:paraId="3F68F3C1" w14:textId="4EA6841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54.3%</w:t>
            </w:r>
          </w:p>
        </w:tc>
      </w:tr>
      <w:tr w:rsidR="00AF5B5B" w:rsidRPr="006253A9" w14:paraId="30636C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75867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0165</w:t>
            </w:r>
          </w:p>
        </w:tc>
        <w:tc>
          <w:tcPr>
            <w:tcW w:w="2880" w:type="dxa"/>
            <w:noWrap/>
            <w:hideMark/>
          </w:tcPr>
          <w:p w14:paraId="4DB3BBF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Malden</w:t>
            </w:r>
          </w:p>
        </w:tc>
        <w:tc>
          <w:tcPr>
            <w:tcW w:w="1479" w:type="dxa"/>
            <w:noWrap/>
            <w:vAlign w:val="top"/>
          </w:tcPr>
          <w:p w14:paraId="033F2344" w14:textId="0077E08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65.89</w:t>
            </w:r>
          </w:p>
        </w:tc>
        <w:tc>
          <w:tcPr>
            <w:tcW w:w="1440" w:type="dxa"/>
            <w:noWrap/>
            <w:vAlign w:val="top"/>
          </w:tcPr>
          <w:p w14:paraId="28389915" w14:textId="69460E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151.19</w:t>
            </w:r>
          </w:p>
        </w:tc>
        <w:tc>
          <w:tcPr>
            <w:tcW w:w="1530" w:type="dxa"/>
            <w:noWrap/>
            <w:vAlign w:val="top"/>
          </w:tcPr>
          <w:p w14:paraId="1E558902" w14:textId="755C41D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43.6%</w:t>
            </w:r>
          </w:p>
        </w:tc>
        <w:tc>
          <w:tcPr>
            <w:tcW w:w="1440" w:type="dxa"/>
            <w:noWrap/>
            <w:vAlign w:val="top"/>
          </w:tcPr>
          <w:p w14:paraId="5275DC0E" w14:textId="0A12AB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95.64</w:t>
            </w:r>
          </w:p>
        </w:tc>
        <w:tc>
          <w:tcPr>
            <w:tcW w:w="1440" w:type="dxa"/>
            <w:noWrap/>
            <w:vAlign w:val="top"/>
          </w:tcPr>
          <w:p w14:paraId="0E87E61F" w14:textId="44B7C80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197.50</w:t>
            </w:r>
          </w:p>
        </w:tc>
        <w:tc>
          <w:tcPr>
            <w:tcW w:w="1440" w:type="dxa"/>
            <w:noWrap/>
            <w:vAlign w:val="top"/>
          </w:tcPr>
          <w:p w14:paraId="0E93EF5C" w14:textId="4CD231F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48.4%</w:t>
            </w:r>
          </w:p>
        </w:tc>
      </w:tr>
      <w:tr w:rsidR="00AF5B5B" w:rsidRPr="006253A9" w14:paraId="16A3B49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14A796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0166</w:t>
            </w:r>
          </w:p>
        </w:tc>
        <w:tc>
          <w:tcPr>
            <w:tcW w:w="2880" w:type="dxa"/>
            <w:noWrap/>
            <w:hideMark/>
          </w:tcPr>
          <w:p w14:paraId="51216C3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Manchester</w:t>
            </w:r>
          </w:p>
        </w:tc>
        <w:tc>
          <w:tcPr>
            <w:tcW w:w="1479" w:type="dxa"/>
            <w:noWrap/>
            <w:vAlign w:val="top"/>
          </w:tcPr>
          <w:p w14:paraId="0A41728B" w14:textId="5730E10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8.96</w:t>
            </w:r>
          </w:p>
        </w:tc>
        <w:tc>
          <w:tcPr>
            <w:tcW w:w="1440" w:type="dxa"/>
            <w:noWrap/>
            <w:vAlign w:val="top"/>
          </w:tcPr>
          <w:p w14:paraId="0BD3FBF1" w14:textId="49B829A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18.24</w:t>
            </w:r>
          </w:p>
        </w:tc>
        <w:tc>
          <w:tcPr>
            <w:tcW w:w="1530" w:type="dxa"/>
            <w:noWrap/>
            <w:vAlign w:val="top"/>
          </w:tcPr>
          <w:p w14:paraId="5E74FDED" w14:textId="624539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49.1%</w:t>
            </w:r>
          </w:p>
        </w:tc>
        <w:tc>
          <w:tcPr>
            <w:tcW w:w="1440" w:type="dxa"/>
            <w:noWrap/>
            <w:vAlign w:val="top"/>
          </w:tcPr>
          <w:p w14:paraId="493E61D6" w14:textId="01C1C1F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15.77</w:t>
            </w:r>
          </w:p>
        </w:tc>
        <w:tc>
          <w:tcPr>
            <w:tcW w:w="1440" w:type="dxa"/>
            <w:noWrap/>
            <w:vAlign w:val="top"/>
          </w:tcPr>
          <w:p w14:paraId="793C286E" w14:textId="24E0A61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29.97</w:t>
            </w:r>
          </w:p>
        </w:tc>
        <w:tc>
          <w:tcPr>
            <w:tcW w:w="1440" w:type="dxa"/>
            <w:noWrap/>
            <w:vAlign w:val="top"/>
          </w:tcPr>
          <w:p w14:paraId="13E7EE10" w14:textId="5E585C8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52.6%</w:t>
            </w:r>
          </w:p>
        </w:tc>
      </w:tr>
      <w:tr w:rsidR="00AF5B5B" w:rsidRPr="006253A9" w14:paraId="32C998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546D2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0167</w:t>
            </w:r>
          </w:p>
        </w:tc>
        <w:tc>
          <w:tcPr>
            <w:tcW w:w="2880" w:type="dxa"/>
            <w:noWrap/>
            <w:hideMark/>
          </w:tcPr>
          <w:p w14:paraId="3EEB8E7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Mansfield</w:t>
            </w:r>
          </w:p>
        </w:tc>
        <w:tc>
          <w:tcPr>
            <w:tcW w:w="1479" w:type="dxa"/>
            <w:noWrap/>
            <w:vAlign w:val="top"/>
          </w:tcPr>
          <w:p w14:paraId="6DC622C8" w14:textId="6BD4ABA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38.37</w:t>
            </w:r>
          </w:p>
        </w:tc>
        <w:tc>
          <w:tcPr>
            <w:tcW w:w="1440" w:type="dxa"/>
            <w:noWrap/>
            <w:vAlign w:val="top"/>
          </w:tcPr>
          <w:p w14:paraId="65313689" w14:textId="31FAEA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71.67</w:t>
            </w:r>
          </w:p>
        </w:tc>
        <w:tc>
          <w:tcPr>
            <w:tcW w:w="1530" w:type="dxa"/>
            <w:noWrap/>
            <w:vAlign w:val="top"/>
          </w:tcPr>
          <w:p w14:paraId="2C06048E" w14:textId="77425DF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53.5%</w:t>
            </w:r>
          </w:p>
        </w:tc>
        <w:tc>
          <w:tcPr>
            <w:tcW w:w="1440" w:type="dxa"/>
            <w:noWrap/>
            <w:vAlign w:val="top"/>
          </w:tcPr>
          <w:p w14:paraId="7DE98CCE" w14:textId="75A498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58.33</w:t>
            </w:r>
          </w:p>
        </w:tc>
        <w:tc>
          <w:tcPr>
            <w:tcW w:w="1440" w:type="dxa"/>
            <w:noWrap/>
            <w:vAlign w:val="top"/>
          </w:tcPr>
          <w:p w14:paraId="03CBB725" w14:textId="03DC9C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105.78</w:t>
            </w:r>
          </w:p>
        </w:tc>
        <w:tc>
          <w:tcPr>
            <w:tcW w:w="1440" w:type="dxa"/>
            <w:noWrap/>
            <w:vAlign w:val="top"/>
          </w:tcPr>
          <w:p w14:paraId="393DC71B" w14:textId="53C339A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55.1%</w:t>
            </w:r>
          </w:p>
        </w:tc>
      </w:tr>
      <w:tr w:rsidR="00AF5B5B" w:rsidRPr="006253A9" w14:paraId="48BFBF6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AFAB57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0168</w:t>
            </w:r>
          </w:p>
        </w:tc>
        <w:tc>
          <w:tcPr>
            <w:tcW w:w="2880" w:type="dxa"/>
            <w:noWrap/>
            <w:hideMark/>
          </w:tcPr>
          <w:p w14:paraId="7F11A71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Marblehead</w:t>
            </w:r>
          </w:p>
        </w:tc>
        <w:tc>
          <w:tcPr>
            <w:tcW w:w="1479" w:type="dxa"/>
            <w:noWrap/>
            <w:vAlign w:val="top"/>
          </w:tcPr>
          <w:p w14:paraId="63443B87" w14:textId="7CF399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32.08</w:t>
            </w:r>
          </w:p>
        </w:tc>
        <w:tc>
          <w:tcPr>
            <w:tcW w:w="1440" w:type="dxa"/>
            <w:noWrap/>
            <w:vAlign w:val="top"/>
          </w:tcPr>
          <w:p w14:paraId="4BAC94F7" w14:textId="23FC11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64.74</w:t>
            </w:r>
          </w:p>
        </w:tc>
        <w:tc>
          <w:tcPr>
            <w:tcW w:w="1530" w:type="dxa"/>
            <w:noWrap/>
            <w:vAlign w:val="top"/>
          </w:tcPr>
          <w:p w14:paraId="36DBA94A" w14:textId="4FB34B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49.5%</w:t>
            </w:r>
          </w:p>
        </w:tc>
        <w:tc>
          <w:tcPr>
            <w:tcW w:w="1440" w:type="dxa"/>
            <w:noWrap/>
            <w:vAlign w:val="top"/>
          </w:tcPr>
          <w:p w14:paraId="23FA4264" w14:textId="2AC16F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51.37</w:t>
            </w:r>
          </w:p>
        </w:tc>
        <w:tc>
          <w:tcPr>
            <w:tcW w:w="1440" w:type="dxa"/>
            <w:noWrap/>
            <w:vAlign w:val="top"/>
          </w:tcPr>
          <w:p w14:paraId="52D1CD3E" w14:textId="34C85C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95.76</w:t>
            </w:r>
          </w:p>
        </w:tc>
        <w:tc>
          <w:tcPr>
            <w:tcW w:w="1440" w:type="dxa"/>
            <w:noWrap/>
            <w:vAlign w:val="top"/>
          </w:tcPr>
          <w:p w14:paraId="55BBB856" w14:textId="1664DFC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53.6%</w:t>
            </w:r>
          </w:p>
        </w:tc>
      </w:tr>
      <w:tr w:rsidR="00AF5B5B" w:rsidRPr="006253A9" w14:paraId="775E37F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F1F0F7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0169</w:t>
            </w:r>
          </w:p>
        </w:tc>
        <w:tc>
          <w:tcPr>
            <w:tcW w:w="2880" w:type="dxa"/>
            <w:noWrap/>
            <w:hideMark/>
          </w:tcPr>
          <w:p w14:paraId="65A1066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Marion</w:t>
            </w:r>
          </w:p>
        </w:tc>
        <w:tc>
          <w:tcPr>
            <w:tcW w:w="1479" w:type="dxa"/>
            <w:noWrap/>
            <w:vAlign w:val="top"/>
          </w:tcPr>
          <w:p w14:paraId="6D802E14" w14:textId="0EEFDA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8.96</w:t>
            </w:r>
          </w:p>
        </w:tc>
        <w:tc>
          <w:tcPr>
            <w:tcW w:w="1440" w:type="dxa"/>
            <w:noWrap/>
            <w:vAlign w:val="top"/>
          </w:tcPr>
          <w:p w14:paraId="6974B517" w14:textId="7CBEC6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16.12</w:t>
            </w:r>
          </w:p>
        </w:tc>
        <w:tc>
          <w:tcPr>
            <w:tcW w:w="1530" w:type="dxa"/>
            <w:noWrap/>
            <w:vAlign w:val="top"/>
          </w:tcPr>
          <w:p w14:paraId="3D542F10" w14:textId="234A093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55.6%</w:t>
            </w:r>
          </w:p>
        </w:tc>
        <w:tc>
          <w:tcPr>
            <w:tcW w:w="1440" w:type="dxa"/>
            <w:noWrap/>
            <w:vAlign w:val="top"/>
          </w:tcPr>
          <w:p w14:paraId="619E4E61" w14:textId="0B1BE2F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11.54</w:t>
            </w:r>
          </w:p>
        </w:tc>
        <w:tc>
          <w:tcPr>
            <w:tcW w:w="1440" w:type="dxa"/>
            <w:noWrap/>
            <w:vAlign w:val="top"/>
          </w:tcPr>
          <w:p w14:paraId="1131C9B7" w14:textId="5EBE619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24.05</w:t>
            </w:r>
          </w:p>
        </w:tc>
        <w:tc>
          <w:tcPr>
            <w:tcW w:w="1440" w:type="dxa"/>
            <w:noWrap/>
            <w:vAlign w:val="top"/>
          </w:tcPr>
          <w:p w14:paraId="3E14293A" w14:textId="7A0D1F5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48.0%</w:t>
            </w:r>
          </w:p>
        </w:tc>
      </w:tr>
      <w:tr w:rsidR="00AF5B5B" w:rsidRPr="006253A9" w14:paraId="69D459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9501B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0170</w:t>
            </w:r>
          </w:p>
        </w:tc>
        <w:tc>
          <w:tcPr>
            <w:tcW w:w="2880" w:type="dxa"/>
            <w:noWrap/>
            <w:hideMark/>
          </w:tcPr>
          <w:p w14:paraId="1370FD7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Marlborough</w:t>
            </w:r>
          </w:p>
        </w:tc>
        <w:tc>
          <w:tcPr>
            <w:tcW w:w="1479" w:type="dxa"/>
            <w:noWrap/>
            <w:vAlign w:val="top"/>
          </w:tcPr>
          <w:p w14:paraId="70B97D0C" w14:textId="67803B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55.15</w:t>
            </w:r>
          </w:p>
        </w:tc>
        <w:tc>
          <w:tcPr>
            <w:tcW w:w="1440" w:type="dxa"/>
            <w:noWrap/>
            <w:vAlign w:val="top"/>
          </w:tcPr>
          <w:p w14:paraId="16FF30FE" w14:textId="57AD6ED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108.70</w:t>
            </w:r>
          </w:p>
        </w:tc>
        <w:tc>
          <w:tcPr>
            <w:tcW w:w="1530" w:type="dxa"/>
            <w:noWrap/>
            <w:vAlign w:val="top"/>
          </w:tcPr>
          <w:p w14:paraId="57074F06" w14:textId="78CBB27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50.7%</w:t>
            </w:r>
          </w:p>
        </w:tc>
        <w:tc>
          <w:tcPr>
            <w:tcW w:w="1440" w:type="dxa"/>
            <w:noWrap/>
            <w:vAlign w:val="top"/>
          </w:tcPr>
          <w:p w14:paraId="4E6F6F59" w14:textId="19435B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80.90</w:t>
            </w:r>
          </w:p>
        </w:tc>
        <w:tc>
          <w:tcPr>
            <w:tcW w:w="1440" w:type="dxa"/>
            <w:noWrap/>
            <w:vAlign w:val="top"/>
          </w:tcPr>
          <w:p w14:paraId="240F7ED4" w14:textId="6B6D04B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164.95</w:t>
            </w:r>
          </w:p>
        </w:tc>
        <w:tc>
          <w:tcPr>
            <w:tcW w:w="1440" w:type="dxa"/>
            <w:noWrap/>
            <w:vAlign w:val="top"/>
          </w:tcPr>
          <w:p w14:paraId="01814829" w14:textId="45E0F3F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49.0%</w:t>
            </w:r>
          </w:p>
        </w:tc>
      </w:tr>
      <w:tr w:rsidR="00AF5B5B" w:rsidRPr="006253A9" w14:paraId="266428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281586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0171</w:t>
            </w:r>
          </w:p>
        </w:tc>
        <w:tc>
          <w:tcPr>
            <w:tcW w:w="2880" w:type="dxa"/>
            <w:noWrap/>
            <w:hideMark/>
          </w:tcPr>
          <w:p w14:paraId="072857D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Marshfield</w:t>
            </w:r>
          </w:p>
        </w:tc>
        <w:tc>
          <w:tcPr>
            <w:tcW w:w="1479" w:type="dxa"/>
            <w:noWrap/>
            <w:vAlign w:val="top"/>
          </w:tcPr>
          <w:p w14:paraId="31BF4580" w14:textId="3CD2A72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40.16</w:t>
            </w:r>
          </w:p>
        </w:tc>
        <w:tc>
          <w:tcPr>
            <w:tcW w:w="1440" w:type="dxa"/>
            <w:noWrap/>
            <w:vAlign w:val="top"/>
          </w:tcPr>
          <w:p w14:paraId="11DA0A48" w14:textId="0E9C27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70.21</w:t>
            </w:r>
          </w:p>
        </w:tc>
        <w:tc>
          <w:tcPr>
            <w:tcW w:w="1530" w:type="dxa"/>
            <w:noWrap/>
            <w:vAlign w:val="top"/>
          </w:tcPr>
          <w:p w14:paraId="74C92A45" w14:textId="7EF3B5D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57.2%</w:t>
            </w:r>
          </w:p>
        </w:tc>
        <w:tc>
          <w:tcPr>
            <w:tcW w:w="1440" w:type="dxa"/>
            <w:noWrap/>
            <w:vAlign w:val="top"/>
          </w:tcPr>
          <w:p w14:paraId="64678928" w14:textId="6582A8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52.56</w:t>
            </w:r>
          </w:p>
        </w:tc>
        <w:tc>
          <w:tcPr>
            <w:tcW w:w="1440" w:type="dxa"/>
            <w:noWrap/>
            <w:vAlign w:val="top"/>
          </w:tcPr>
          <w:p w14:paraId="7305B98A" w14:textId="12F8378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102.38</w:t>
            </w:r>
          </w:p>
        </w:tc>
        <w:tc>
          <w:tcPr>
            <w:tcW w:w="1440" w:type="dxa"/>
            <w:noWrap/>
            <w:vAlign w:val="top"/>
          </w:tcPr>
          <w:p w14:paraId="3DABE68F" w14:textId="6733FDB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51.3%</w:t>
            </w:r>
          </w:p>
        </w:tc>
      </w:tr>
      <w:tr w:rsidR="00AF5B5B" w:rsidRPr="006253A9" w14:paraId="44AC11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B7D4F4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0172</w:t>
            </w:r>
          </w:p>
        </w:tc>
        <w:tc>
          <w:tcPr>
            <w:tcW w:w="2880" w:type="dxa"/>
            <w:noWrap/>
            <w:hideMark/>
          </w:tcPr>
          <w:p w14:paraId="41565F3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Mashpee</w:t>
            </w:r>
          </w:p>
        </w:tc>
        <w:tc>
          <w:tcPr>
            <w:tcW w:w="1479" w:type="dxa"/>
            <w:noWrap/>
            <w:vAlign w:val="top"/>
          </w:tcPr>
          <w:p w14:paraId="298F51FE" w14:textId="1F3214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21.59</w:t>
            </w:r>
          </w:p>
        </w:tc>
        <w:tc>
          <w:tcPr>
            <w:tcW w:w="1440" w:type="dxa"/>
            <w:noWrap/>
            <w:vAlign w:val="top"/>
          </w:tcPr>
          <w:p w14:paraId="7A4939AA" w14:textId="53B67EA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46.58</w:t>
            </w:r>
          </w:p>
        </w:tc>
        <w:tc>
          <w:tcPr>
            <w:tcW w:w="1530" w:type="dxa"/>
            <w:noWrap/>
            <w:vAlign w:val="top"/>
          </w:tcPr>
          <w:p w14:paraId="66361808" w14:textId="2AE2B35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46.4%</w:t>
            </w:r>
          </w:p>
        </w:tc>
        <w:tc>
          <w:tcPr>
            <w:tcW w:w="1440" w:type="dxa"/>
            <w:noWrap/>
            <w:vAlign w:val="top"/>
          </w:tcPr>
          <w:p w14:paraId="4444CCB0" w14:textId="3F3A9D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29.06</w:t>
            </w:r>
          </w:p>
        </w:tc>
        <w:tc>
          <w:tcPr>
            <w:tcW w:w="1440" w:type="dxa"/>
            <w:noWrap/>
            <w:vAlign w:val="top"/>
          </w:tcPr>
          <w:p w14:paraId="1E6D575A" w14:textId="2FAE955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65.58</w:t>
            </w:r>
          </w:p>
        </w:tc>
        <w:tc>
          <w:tcPr>
            <w:tcW w:w="1440" w:type="dxa"/>
            <w:noWrap/>
            <w:vAlign w:val="top"/>
          </w:tcPr>
          <w:p w14:paraId="63BCE23F" w14:textId="7782F24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44.3%</w:t>
            </w:r>
          </w:p>
        </w:tc>
      </w:tr>
      <w:tr w:rsidR="00AF5B5B" w:rsidRPr="006253A9" w14:paraId="5D7400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37FF4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0173</w:t>
            </w:r>
          </w:p>
        </w:tc>
        <w:tc>
          <w:tcPr>
            <w:tcW w:w="2880" w:type="dxa"/>
            <w:noWrap/>
            <w:hideMark/>
          </w:tcPr>
          <w:p w14:paraId="3748DBE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Mattapoisett</w:t>
            </w:r>
          </w:p>
        </w:tc>
        <w:tc>
          <w:tcPr>
            <w:tcW w:w="1479" w:type="dxa"/>
            <w:noWrap/>
            <w:vAlign w:val="top"/>
          </w:tcPr>
          <w:p w14:paraId="0129CF1F" w14:textId="1342025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11.16</w:t>
            </w:r>
          </w:p>
        </w:tc>
        <w:tc>
          <w:tcPr>
            <w:tcW w:w="1440" w:type="dxa"/>
            <w:noWrap/>
            <w:vAlign w:val="top"/>
          </w:tcPr>
          <w:p w14:paraId="3BFB7855" w14:textId="4B9522A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19.93</w:t>
            </w:r>
          </w:p>
        </w:tc>
        <w:tc>
          <w:tcPr>
            <w:tcW w:w="1530" w:type="dxa"/>
            <w:noWrap/>
            <w:vAlign w:val="top"/>
          </w:tcPr>
          <w:p w14:paraId="394424D4" w14:textId="65A5324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56.0%</w:t>
            </w:r>
          </w:p>
        </w:tc>
        <w:tc>
          <w:tcPr>
            <w:tcW w:w="1440" w:type="dxa"/>
            <w:noWrap/>
            <w:vAlign w:val="top"/>
          </w:tcPr>
          <w:p w14:paraId="0645B70E" w14:textId="1F2DF1B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14.65</w:t>
            </w:r>
          </w:p>
        </w:tc>
        <w:tc>
          <w:tcPr>
            <w:tcW w:w="1440" w:type="dxa"/>
            <w:noWrap/>
            <w:vAlign w:val="top"/>
          </w:tcPr>
          <w:p w14:paraId="3B8C45FD" w14:textId="35ED63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29.70</w:t>
            </w:r>
          </w:p>
        </w:tc>
        <w:tc>
          <w:tcPr>
            <w:tcW w:w="1440" w:type="dxa"/>
            <w:noWrap/>
            <w:vAlign w:val="top"/>
          </w:tcPr>
          <w:p w14:paraId="0F65D3B4" w14:textId="0B9EC59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49.3%</w:t>
            </w:r>
          </w:p>
        </w:tc>
      </w:tr>
      <w:tr w:rsidR="00AF5B5B" w:rsidRPr="006253A9" w14:paraId="2CC6BA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44784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0174</w:t>
            </w:r>
          </w:p>
        </w:tc>
        <w:tc>
          <w:tcPr>
            <w:tcW w:w="2880" w:type="dxa"/>
            <w:noWrap/>
            <w:hideMark/>
          </w:tcPr>
          <w:p w14:paraId="4BC7421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Maynard</w:t>
            </w:r>
          </w:p>
        </w:tc>
        <w:tc>
          <w:tcPr>
            <w:tcW w:w="1479" w:type="dxa"/>
            <w:noWrap/>
            <w:vAlign w:val="top"/>
          </w:tcPr>
          <w:p w14:paraId="363E4CD6" w14:textId="22AD06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14.73</w:t>
            </w:r>
          </w:p>
        </w:tc>
        <w:tc>
          <w:tcPr>
            <w:tcW w:w="1440" w:type="dxa"/>
            <w:noWrap/>
            <w:vAlign w:val="top"/>
          </w:tcPr>
          <w:p w14:paraId="0F166C3C" w14:textId="211748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29.34</w:t>
            </w:r>
          </w:p>
        </w:tc>
        <w:tc>
          <w:tcPr>
            <w:tcW w:w="1530" w:type="dxa"/>
            <w:noWrap/>
            <w:vAlign w:val="top"/>
          </w:tcPr>
          <w:p w14:paraId="6A430001" w14:textId="38072A4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50.2%</w:t>
            </w:r>
          </w:p>
        </w:tc>
        <w:tc>
          <w:tcPr>
            <w:tcW w:w="1440" w:type="dxa"/>
            <w:noWrap/>
            <w:vAlign w:val="top"/>
          </w:tcPr>
          <w:p w14:paraId="276407C6" w14:textId="149CE2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23.83</w:t>
            </w:r>
          </w:p>
        </w:tc>
        <w:tc>
          <w:tcPr>
            <w:tcW w:w="1440" w:type="dxa"/>
            <w:noWrap/>
            <w:vAlign w:val="top"/>
          </w:tcPr>
          <w:p w14:paraId="438AEF80" w14:textId="1FBEB5A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48.80</w:t>
            </w:r>
          </w:p>
        </w:tc>
        <w:tc>
          <w:tcPr>
            <w:tcW w:w="1440" w:type="dxa"/>
            <w:noWrap/>
            <w:vAlign w:val="top"/>
          </w:tcPr>
          <w:p w14:paraId="4412E0A9" w14:textId="78EDAB6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48.8%</w:t>
            </w:r>
          </w:p>
        </w:tc>
      </w:tr>
      <w:tr w:rsidR="00AF5B5B" w:rsidRPr="006253A9" w14:paraId="302397D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EF51CE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0175</w:t>
            </w:r>
          </w:p>
        </w:tc>
        <w:tc>
          <w:tcPr>
            <w:tcW w:w="2880" w:type="dxa"/>
            <w:noWrap/>
            <w:hideMark/>
          </w:tcPr>
          <w:p w14:paraId="7C6376E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Medfield</w:t>
            </w:r>
          </w:p>
        </w:tc>
        <w:tc>
          <w:tcPr>
            <w:tcW w:w="1479" w:type="dxa"/>
            <w:noWrap/>
            <w:vAlign w:val="top"/>
          </w:tcPr>
          <w:p w14:paraId="0ED56EB6" w14:textId="47D3F8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25.77</w:t>
            </w:r>
          </w:p>
        </w:tc>
        <w:tc>
          <w:tcPr>
            <w:tcW w:w="1440" w:type="dxa"/>
            <w:noWrap/>
            <w:vAlign w:val="top"/>
          </w:tcPr>
          <w:p w14:paraId="2D04FA16" w14:textId="5926A0B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45.52</w:t>
            </w:r>
          </w:p>
        </w:tc>
        <w:tc>
          <w:tcPr>
            <w:tcW w:w="1530" w:type="dxa"/>
            <w:noWrap/>
            <w:vAlign w:val="top"/>
          </w:tcPr>
          <w:p w14:paraId="32FAD9C9" w14:textId="428CF00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56.6%</w:t>
            </w:r>
          </w:p>
        </w:tc>
        <w:tc>
          <w:tcPr>
            <w:tcW w:w="1440" w:type="dxa"/>
            <w:noWrap/>
            <w:vAlign w:val="top"/>
          </w:tcPr>
          <w:p w14:paraId="5C81CBE9" w14:textId="7CE2B1A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38.60</w:t>
            </w:r>
          </w:p>
        </w:tc>
        <w:tc>
          <w:tcPr>
            <w:tcW w:w="1440" w:type="dxa"/>
            <w:noWrap/>
            <w:vAlign w:val="top"/>
          </w:tcPr>
          <w:p w14:paraId="7A7885F4" w14:textId="298EE8B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67.22</w:t>
            </w:r>
          </w:p>
        </w:tc>
        <w:tc>
          <w:tcPr>
            <w:tcW w:w="1440" w:type="dxa"/>
            <w:noWrap/>
            <w:vAlign w:val="top"/>
          </w:tcPr>
          <w:p w14:paraId="7CB7D973" w14:textId="4B0E7E3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57.4%</w:t>
            </w:r>
          </w:p>
        </w:tc>
      </w:tr>
      <w:tr w:rsidR="00AF5B5B" w:rsidRPr="006253A9" w14:paraId="6CDE4CA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8618F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0176</w:t>
            </w:r>
          </w:p>
        </w:tc>
        <w:tc>
          <w:tcPr>
            <w:tcW w:w="2880" w:type="dxa"/>
            <w:noWrap/>
            <w:hideMark/>
          </w:tcPr>
          <w:p w14:paraId="13784BC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Medford</w:t>
            </w:r>
          </w:p>
        </w:tc>
        <w:tc>
          <w:tcPr>
            <w:tcW w:w="1479" w:type="dxa"/>
            <w:noWrap/>
            <w:vAlign w:val="top"/>
          </w:tcPr>
          <w:p w14:paraId="08FF731A" w14:textId="5A69D70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56.75</w:t>
            </w:r>
          </w:p>
        </w:tc>
        <w:tc>
          <w:tcPr>
            <w:tcW w:w="1440" w:type="dxa"/>
            <w:noWrap/>
            <w:vAlign w:val="top"/>
          </w:tcPr>
          <w:p w14:paraId="4AEF5834" w14:textId="3641768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131.15</w:t>
            </w:r>
          </w:p>
        </w:tc>
        <w:tc>
          <w:tcPr>
            <w:tcW w:w="1530" w:type="dxa"/>
            <w:noWrap/>
            <w:vAlign w:val="top"/>
          </w:tcPr>
          <w:p w14:paraId="5B179FBA" w14:textId="412DF16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43.3%</w:t>
            </w:r>
          </w:p>
        </w:tc>
        <w:tc>
          <w:tcPr>
            <w:tcW w:w="1440" w:type="dxa"/>
            <w:noWrap/>
            <w:vAlign w:val="top"/>
          </w:tcPr>
          <w:p w14:paraId="34577E6F" w14:textId="3A7895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75.30</w:t>
            </w:r>
          </w:p>
        </w:tc>
        <w:tc>
          <w:tcPr>
            <w:tcW w:w="1440" w:type="dxa"/>
            <w:noWrap/>
            <w:vAlign w:val="top"/>
          </w:tcPr>
          <w:p w14:paraId="1B9A3654" w14:textId="0F3C4A6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178.38</w:t>
            </w:r>
          </w:p>
        </w:tc>
        <w:tc>
          <w:tcPr>
            <w:tcW w:w="1440" w:type="dxa"/>
            <w:noWrap/>
            <w:vAlign w:val="top"/>
          </w:tcPr>
          <w:p w14:paraId="0622EB5E" w14:textId="4E914C3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42.2%</w:t>
            </w:r>
          </w:p>
        </w:tc>
      </w:tr>
      <w:tr w:rsidR="00AF5B5B" w:rsidRPr="006253A9" w14:paraId="743A0D4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30C2A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0177</w:t>
            </w:r>
          </w:p>
        </w:tc>
        <w:tc>
          <w:tcPr>
            <w:tcW w:w="2880" w:type="dxa"/>
            <w:noWrap/>
            <w:hideMark/>
          </w:tcPr>
          <w:p w14:paraId="14A905F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Medway</w:t>
            </w:r>
          </w:p>
        </w:tc>
        <w:tc>
          <w:tcPr>
            <w:tcW w:w="1479" w:type="dxa"/>
            <w:noWrap/>
            <w:vAlign w:val="top"/>
          </w:tcPr>
          <w:p w14:paraId="3355D700" w14:textId="298A8A9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23.44</w:t>
            </w:r>
          </w:p>
        </w:tc>
        <w:tc>
          <w:tcPr>
            <w:tcW w:w="1440" w:type="dxa"/>
            <w:noWrap/>
            <w:vAlign w:val="top"/>
          </w:tcPr>
          <w:p w14:paraId="7F25FCC7" w14:textId="3DC889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38.21</w:t>
            </w:r>
          </w:p>
        </w:tc>
        <w:tc>
          <w:tcPr>
            <w:tcW w:w="1530" w:type="dxa"/>
            <w:noWrap/>
            <w:vAlign w:val="top"/>
          </w:tcPr>
          <w:p w14:paraId="6F5F6011" w14:textId="2DC3CAE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61.3%</w:t>
            </w:r>
          </w:p>
        </w:tc>
        <w:tc>
          <w:tcPr>
            <w:tcW w:w="1440" w:type="dxa"/>
            <w:noWrap/>
            <w:vAlign w:val="top"/>
          </w:tcPr>
          <w:p w14:paraId="38F55D18" w14:textId="1577E6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32.33</w:t>
            </w:r>
          </w:p>
        </w:tc>
        <w:tc>
          <w:tcPr>
            <w:tcW w:w="1440" w:type="dxa"/>
            <w:noWrap/>
            <w:vAlign w:val="top"/>
          </w:tcPr>
          <w:p w14:paraId="3801315E" w14:textId="19D08E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62.25</w:t>
            </w:r>
          </w:p>
        </w:tc>
        <w:tc>
          <w:tcPr>
            <w:tcW w:w="1440" w:type="dxa"/>
            <w:noWrap/>
            <w:vAlign w:val="top"/>
          </w:tcPr>
          <w:p w14:paraId="20CFC036" w14:textId="186AEDB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51.9%</w:t>
            </w:r>
          </w:p>
        </w:tc>
      </w:tr>
      <w:tr w:rsidR="00AF5B5B" w:rsidRPr="006253A9" w14:paraId="2E2751C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1B913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0178</w:t>
            </w:r>
          </w:p>
        </w:tc>
        <w:tc>
          <w:tcPr>
            <w:tcW w:w="2880" w:type="dxa"/>
            <w:noWrap/>
            <w:hideMark/>
          </w:tcPr>
          <w:p w14:paraId="269DD42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Melrose</w:t>
            </w:r>
          </w:p>
        </w:tc>
        <w:tc>
          <w:tcPr>
            <w:tcW w:w="1479" w:type="dxa"/>
            <w:noWrap/>
            <w:vAlign w:val="top"/>
          </w:tcPr>
          <w:p w14:paraId="0FE09D6F" w14:textId="0772BB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31.34</w:t>
            </w:r>
          </w:p>
        </w:tc>
        <w:tc>
          <w:tcPr>
            <w:tcW w:w="1440" w:type="dxa"/>
            <w:noWrap/>
            <w:vAlign w:val="top"/>
          </w:tcPr>
          <w:p w14:paraId="370466D1" w14:textId="7B92D9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68.09</w:t>
            </w:r>
          </w:p>
        </w:tc>
        <w:tc>
          <w:tcPr>
            <w:tcW w:w="1530" w:type="dxa"/>
            <w:noWrap/>
            <w:vAlign w:val="top"/>
          </w:tcPr>
          <w:p w14:paraId="3EE9424F" w14:textId="7611BAA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46.0%</w:t>
            </w:r>
          </w:p>
        </w:tc>
        <w:tc>
          <w:tcPr>
            <w:tcW w:w="1440" w:type="dxa"/>
            <w:noWrap/>
            <w:vAlign w:val="top"/>
          </w:tcPr>
          <w:p w14:paraId="15A19722" w14:textId="47F29FB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42.65</w:t>
            </w:r>
          </w:p>
        </w:tc>
        <w:tc>
          <w:tcPr>
            <w:tcW w:w="1440" w:type="dxa"/>
            <w:noWrap/>
            <w:vAlign w:val="top"/>
          </w:tcPr>
          <w:p w14:paraId="732FC34C" w14:textId="3E8DE45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98.76</w:t>
            </w:r>
          </w:p>
        </w:tc>
        <w:tc>
          <w:tcPr>
            <w:tcW w:w="1440" w:type="dxa"/>
            <w:noWrap/>
            <w:vAlign w:val="top"/>
          </w:tcPr>
          <w:p w14:paraId="0A64338C" w14:textId="6A579EF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43.2%</w:t>
            </w:r>
          </w:p>
        </w:tc>
      </w:tr>
      <w:tr w:rsidR="00AF5B5B" w:rsidRPr="006253A9" w14:paraId="4BF14D3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79082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0179</w:t>
            </w:r>
          </w:p>
        </w:tc>
        <w:tc>
          <w:tcPr>
            <w:tcW w:w="2880" w:type="dxa"/>
            <w:noWrap/>
            <w:hideMark/>
          </w:tcPr>
          <w:p w14:paraId="7F397C6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Mendon</w:t>
            </w:r>
          </w:p>
        </w:tc>
        <w:tc>
          <w:tcPr>
            <w:tcW w:w="1479" w:type="dxa"/>
            <w:noWrap/>
            <w:vAlign w:val="top"/>
          </w:tcPr>
          <w:p w14:paraId="5B657D63" w14:textId="500C41F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5.86</w:t>
            </w:r>
          </w:p>
        </w:tc>
        <w:tc>
          <w:tcPr>
            <w:tcW w:w="1440" w:type="dxa"/>
            <w:noWrap/>
            <w:vAlign w:val="top"/>
          </w:tcPr>
          <w:p w14:paraId="5F882B62" w14:textId="70978D5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11.22</w:t>
            </w:r>
          </w:p>
        </w:tc>
        <w:tc>
          <w:tcPr>
            <w:tcW w:w="1530" w:type="dxa"/>
            <w:noWrap/>
            <w:vAlign w:val="top"/>
          </w:tcPr>
          <w:p w14:paraId="05F54870" w14:textId="2850AF1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52.2%</w:t>
            </w:r>
          </w:p>
        </w:tc>
        <w:tc>
          <w:tcPr>
            <w:tcW w:w="1440" w:type="dxa"/>
            <w:noWrap/>
            <w:vAlign w:val="top"/>
          </w:tcPr>
          <w:p w14:paraId="2DE8B180" w14:textId="0DDE06D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10.74</w:t>
            </w:r>
          </w:p>
        </w:tc>
        <w:tc>
          <w:tcPr>
            <w:tcW w:w="1440" w:type="dxa"/>
            <w:noWrap/>
            <w:vAlign w:val="top"/>
          </w:tcPr>
          <w:p w14:paraId="52EE59E9" w14:textId="4520E71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19.69</w:t>
            </w:r>
          </w:p>
        </w:tc>
        <w:tc>
          <w:tcPr>
            <w:tcW w:w="1440" w:type="dxa"/>
            <w:noWrap/>
            <w:vAlign w:val="top"/>
          </w:tcPr>
          <w:p w14:paraId="1CFC1464" w14:textId="2AA721D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54.5%</w:t>
            </w:r>
          </w:p>
        </w:tc>
      </w:tr>
      <w:tr w:rsidR="00AF5B5B" w:rsidRPr="006253A9" w14:paraId="50CDB5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32CCBD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0180</w:t>
            </w:r>
          </w:p>
        </w:tc>
        <w:tc>
          <w:tcPr>
            <w:tcW w:w="2880" w:type="dxa"/>
            <w:noWrap/>
            <w:hideMark/>
          </w:tcPr>
          <w:p w14:paraId="6894D72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Merrimac</w:t>
            </w:r>
          </w:p>
        </w:tc>
        <w:tc>
          <w:tcPr>
            <w:tcW w:w="1479" w:type="dxa"/>
            <w:noWrap/>
            <w:vAlign w:val="top"/>
          </w:tcPr>
          <w:p w14:paraId="310F3ADB" w14:textId="4F1BE7E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5.76</w:t>
            </w:r>
          </w:p>
        </w:tc>
        <w:tc>
          <w:tcPr>
            <w:tcW w:w="1440" w:type="dxa"/>
            <w:noWrap/>
            <w:vAlign w:val="top"/>
          </w:tcPr>
          <w:p w14:paraId="3051B0D0" w14:textId="359738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11.09</w:t>
            </w:r>
          </w:p>
        </w:tc>
        <w:tc>
          <w:tcPr>
            <w:tcW w:w="1530" w:type="dxa"/>
            <w:noWrap/>
            <w:vAlign w:val="top"/>
          </w:tcPr>
          <w:p w14:paraId="48F8D974" w14:textId="16227A5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51.9%</w:t>
            </w:r>
          </w:p>
        </w:tc>
        <w:tc>
          <w:tcPr>
            <w:tcW w:w="1440" w:type="dxa"/>
            <w:noWrap/>
            <w:vAlign w:val="top"/>
          </w:tcPr>
          <w:p w14:paraId="0DBB1255" w14:textId="011F54E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9.05</w:t>
            </w:r>
          </w:p>
        </w:tc>
        <w:tc>
          <w:tcPr>
            <w:tcW w:w="1440" w:type="dxa"/>
            <w:noWrap/>
            <w:vAlign w:val="top"/>
          </w:tcPr>
          <w:p w14:paraId="5CBAFC87" w14:textId="5F1276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15.82</w:t>
            </w:r>
          </w:p>
        </w:tc>
        <w:tc>
          <w:tcPr>
            <w:tcW w:w="1440" w:type="dxa"/>
            <w:noWrap/>
            <w:vAlign w:val="top"/>
          </w:tcPr>
          <w:p w14:paraId="0C76A2FC" w14:textId="4473BDF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57.2%</w:t>
            </w:r>
          </w:p>
        </w:tc>
      </w:tr>
      <w:tr w:rsidR="00AF5B5B" w:rsidRPr="006253A9" w14:paraId="15F7CE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EC0238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0181</w:t>
            </w:r>
          </w:p>
        </w:tc>
        <w:tc>
          <w:tcPr>
            <w:tcW w:w="2880" w:type="dxa"/>
            <w:noWrap/>
            <w:hideMark/>
          </w:tcPr>
          <w:p w14:paraId="2C202F9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Methuen</w:t>
            </w:r>
          </w:p>
        </w:tc>
        <w:tc>
          <w:tcPr>
            <w:tcW w:w="1479" w:type="dxa"/>
            <w:noWrap/>
            <w:vAlign w:val="top"/>
          </w:tcPr>
          <w:p w14:paraId="69CF62CA" w14:textId="223824D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62.50</w:t>
            </w:r>
          </w:p>
        </w:tc>
        <w:tc>
          <w:tcPr>
            <w:tcW w:w="1440" w:type="dxa"/>
            <w:noWrap/>
            <w:vAlign w:val="top"/>
          </w:tcPr>
          <w:p w14:paraId="540DC788" w14:textId="35B30E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117.72</w:t>
            </w:r>
          </w:p>
        </w:tc>
        <w:tc>
          <w:tcPr>
            <w:tcW w:w="1530" w:type="dxa"/>
            <w:noWrap/>
            <w:vAlign w:val="top"/>
          </w:tcPr>
          <w:p w14:paraId="2FAC98AE" w14:textId="2D05228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53.1%</w:t>
            </w:r>
          </w:p>
        </w:tc>
        <w:tc>
          <w:tcPr>
            <w:tcW w:w="1440" w:type="dxa"/>
            <w:noWrap/>
            <w:vAlign w:val="top"/>
          </w:tcPr>
          <w:p w14:paraId="0B6A10BF" w14:textId="715261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90.58</w:t>
            </w:r>
          </w:p>
        </w:tc>
        <w:tc>
          <w:tcPr>
            <w:tcW w:w="1440" w:type="dxa"/>
            <w:noWrap/>
            <w:vAlign w:val="top"/>
          </w:tcPr>
          <w:p w14:paraId="7F113870" w14:textId="1E32E97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167.38</w:t>
            </w:r>
          </w:p>
        </w:tc>
        <w:tc>
          <w:tcPr>
            <w:tcW w:w="1440" w:type="dxa"/>
            <w:noWrap/>
            <w:vAlign w:val="top"/>
          </w:tcPr>
          <w:p w14:paraId="52AF24B6" w14:textId="40E93FC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54.1%</w:t>
            </w:r>
          </w:p>
        </w:tc>
      </w:tr>
      <w:tr w:rsidR="00AF5B5B" w:rsidRPr="006253A9" w14:paraId="42710B6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EAD6D1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0182</w:t>
            </w:r>
          </w:p>
        </w:tc>
        <w:tc>
          <w:tcPr>
            <w:tcW w:w="2880" w:type="dxa"/>
            <w:noWrap/>
            <w:hideMark/>
          </w:tcPr>
          <w:p w14:paraId="3E3DF20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Middleborough</w:t>
            </w:r>
          </w:p>
        </w:tc>
        <w:tc>
          <w:tcPr>
            <w:tcW w:w="1479" w:type="dxa"/>
            <w:noWrap/>
            <w:vAlign w:val="top"/>
          </w:tcPr>
          <w:p w14:paraId="697BC47F" w14:textId="09B060E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31.62</w:t>
            </w:r>
          </w:p>
        </w:tc>
        <w:tc>
          <w:tcPr>
            <w:tcW w:w="1440" w:type="dxa"/>
            <w:noWrap/>
            <w:vAlign w:val="top"/>
          </w:tcPr>
          <w:p w14:paraId="4C2E2BEE" w14:textId="104438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63.92</w:t>
            </w:r>
          </w:p>
        </w:tc>
        <w:tc>
          <w:tcPr>
            <w:tcW w:w="1530" w:type="dxa"/>
            <w:noWrap/>
            <w:vAlign w:val="top"/>
          </w:tcPr>
          <w:p w14:paraId="2258239A" w14:textId="5483BED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49.5%</w:t>
            </w:r>
          </w:p>
        </w:tc>
        <w:tc>
          <w:tcPr>
            <w:tcW w:w="1440" w:type="dxa"/>
            <w:noWrap/>
            <w:vAlign w:val="top"/>
          </w:tcPr>
          <w:p w14:paraId="2A5A9221" w14:textId="68D543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43.22</w:t>
            </w:r>
          </w:p>
        </w:tc>
        <w:tc>
          <w:tcPr>
            <w:tcW w:w="1440" w:type="dxa"/>
            <w:noWrap/>
            <w:vAlign w:val="top"/>
          </w:tcPr>
          <w:p w14:paraId="6FA4C4E4" w14:textId="59422B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85.88</w:t>
            </w:r>
          </w:p>
        </w:tc>
        <w:tc>
          <w:tcPr>
            <w:tcW w:w="1440" w:type="dxa"/>
            <w:noWrap/>
            <w:vAlign w:val="top"/>
          </w:tcPr>
          <w:p w14:paraId="1F2254EB" w14:textId="1912FD6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50.3%</w:t>
            </w:r>
          </w:p>
        </w:tc>
      </w:tr>
      <w:tr w:rsidR="00AF5B5B" w:rsidRPr="006253A9" w14:paraId="1423C6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CEA06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0183</w:t>
            </w:r>
          </w:p>
        </w:tc>
        <w:tc>
          <w:tcPr>
            <w:tcW w:w="2880" w:type="dxa"/>
            <w:noWrap/>
            <w:hideMark/>
          </w:tcPr>
          <w:p w14:paraId="62ECFF5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Middlefield</w:t>
            </w:r>
          </w:p>
        </w:tc>
        <w:tc>
          <w:tcPr>
            <w:tcW w:w="1479" w:type="dxa"/>
            <w:noWrap/>
            <w:vAlign w:val="top"/>
          </w:tcPr>
          <w:p w14:paraId="390C779C" w14:textId="64C9BD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0.57</w:t>
            </w:r>
          </w:p>
        </w:tc>
        <w:tc>
          <w:tcPr>
            <w:tcW w:w="1440" w:type="dxa"/>
            <w:noWrap/>
            <w:vAlign w:val="top"/>
          </w:tcPr>
          <w:p w14:paraId="2E556EB2" w14:textId="778425F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1.26</w:t>
            </w:r>
          </w:p>
        </w:tc>
        <w:tc>
          <w:tcPr>
            <w:tcW w:w="1530" w:type="dxa"/>
            <w:noWrap/>
            <w:vAlign w:val="top"/>
          </w:tcPr>
          <w:p w14:paraId="1E846008" w14:textId="6A895F0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45.6%</w:t>
            </w:r>
          </w:p>
        </w:tc>
        <w:tc>
          <w:tcPr>
            <w:tcW w:w="1440" w:type="dxa"/>
            <w:noWrap/>
            <w:vAlign w:val="top"/>
          </w:tcPr>
          <w:p w14:paraId="5764E3AE" w14:textId="601F8C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0.48</w:t>
            </w:r>
          </w:p>
        </w:tc>
        <w:tc>
          <w:tcPr>
            <w:tcW w:w="1440" w:type="dxa"/>
            <w:noWrap/>
            <w:vAlign w:val="top"/>
          </w:tcPr>
          <w:p w14:paraId="547F5CB5" w14:textId="20C9D47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w:t>
            </w:r>
          </w:p>
        </w:tc>
        <w:tc>
          <w:tcPr>
            <w:tcW w:w="1440" w:type="dxa"/>
            <w:noWrap/>
            <w:vAlign w:val="top"/>
          </w:tcPr>
          <w:p w14:paraId="35146512" w14:textId="0BDAE0C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37.7%</w:t>
            </w:r>
          </w:p>
        </w:tc>
      </w:tr>
      <w:tr w:rsidR="00AF5B5B" w:rsidRPr="006253A9" w14:paraId="019E94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75843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0184</w:t>
            </w:r>
          </w:p>
        </w:tc>
        <w:tc>
          <w:tcPr>
            <w:tcW w:w="2880" w:type="dxa"/>
            <w:noWrap/>
            <w:hideMark/>
          </w:tcPr>
          <w:p w14:paraId="265DCE6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Middleton</w:t>
            </w:r>
          </w:p>
        </w:tc>
        <w:tc>
          <w:tcPr>
            <w:tcW w:w="1479" w:type="dxa"/>
            <w:noWrap/>
            <w:vAlign w:val="top"/>
          </w:tcPr>
          <w:p w14:paraId="77C33301" w14:textId="5E1C20E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12.85</w:t>
            </w:r>
          </w:p>
        </w:tc>
        <w:tc>
          <w:tcPr>
            <w:tcW w:w="1440" w:type="dxa"/>
            <w:noWrap/>
            <w:vAlign w:val="top"/>
          </w:tcPr>
          <w:p w14:paraId="1688B06A" w14:textId="7D7106D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20.88</w:t>
            </w:r>
          </w:p>
        </w:tc>
        <w:tc>
          <w:tcPr>
            <w:tcW w:w="1530" w:type="dxa"/>
            <w:noWrap/>
            <w:vAlign w:val="top"/>
          </w:tcPr>
          <w:p w14:paraId="14E4A083" w14:textId="0228492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61.5%</w:t>
            </w:r>
          </w:p>
        </w:tc>
        <w:tc>
          <w:tcPr>
            <w:tcW w:w="1440" w:type="dxa"/>
            <w:noWrap/>
            <w:vAlign w:val="top"/>
          </w:tcPr>
          <w:p w14:paraId="21EE7871" w14:textId="02F9CE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22.51</w:t>
            </w:r>
          </w:p>
        </w:tc>
        <w:tc>
          <w:tcPr>
            <w:tcW w:w="1440" w:type="dxa"/>
            <w:noWrap/>
            <w:vAlign w:val="top"/>
          </w:tcPr>
          <w:p w14:paraId="548F3907" w14:textId="201B32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35.63</w:t>
            </w:r>
          </w:p>
        </w:tc>
        <w:tc>
          <w:tcPr>
            <w:tcW w:w="1440" w:type="dxa"/>
            <w:noWrap/>
            <w:vAlign w:val="top"/>
          </w:tcPr>
          <w:p w14:paraId="158BA14E" w14:textId="240DE3D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63.2%</w:t>
            </w:r>
          </w:p>
        </w:tc>
      </w:tr>
      <w:tr w:rsidR="00AF5B5B" w:rsidRPr="006253A9" w14:paraId="7CD533B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B50DD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0185</w:t>
            </w:r>
          </w:p>
        </w:tc>
        <w:tc>
          <w:tcPr>
            <w:tcW w:w="2880" w:type="dxa"/>
            <w:noWrap/>
            <w:hideMark/>
          </w:tcPr>
          <w:p w14:paraId="2BE16C5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Milford</w:t>
            </w:r>
          </w:p>
        </w:tc>
        <w:tc>
          <w:tcPr>
            <w:tcW w:w="1479" w:type="dxa"/>
            <w:noWrap/>
            <w:vAlign w:val="top"/>
          </w:tcPr>
          <w:p w14:paraId="02062C7C" w14:textId="7D42ACB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37.58</w:t>
            </w:r>
          </w:p>
        </w:tc>
        <w:tc>
          <w:tcPr>
            <w:tcW w:w="1440" w:type="dxa"/>
            <w:noWrap/>
            <w:vAlign w:val="top"/>
          </w:tcPr>
          <w:p w14:paraId="41E55395" w14:textId="69769D1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68.80</w:t>
            </w:r>
          </w:p>
        </w:tc>
        <w:tc>
          <w:tcPr>
            <w:tcW w:w="1530" w:type="dxa"/>
            <w:noWrap/>
            <w:vAlign w:val="top"/>
          </w:tcPr>
          <w:p w14:paraId="15C4605D" w14:textId="067C593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c>
          <w:tcPr>
            <w:tcW w:w="1440" w:type="dxa"/>
            <w:noWrap/>
            <w:vAlign w:val="top"/>
          </w:tcPr>
          <w:p w14:paraId="29B1831D" w14:textId="04FA974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59.93</w:t>
            </w:r>
          </w:p>
        </w:tc>
        <w:tc>
          <w:tcPr>
            <w:tcW w:w="1440" w:type="dxa"/>
            <w:noWrap/>
            <w:vAlign w:val="top"/>
          </w:tcPr>
          <w:p w14:paraId="19FFB346" w14:textId="2C47AE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112.92</w:t>
            </w:r>
          </w:p>
        </w:tc>
        <w:tc>
          <w:tcPr>
            <w:tcW w:w="1440" w:type="dxa"/>
            <w:noWrap/>
            <w:vAlign w:val="top"/>
          </w:tcPr>
          <w:p w14:paraId="018D3FB4" w14:textId="19C439D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53.1%</w:t>
            </w:r>
          </w:p>
        </w:tc>
      </w:tr>
      <w:tr w:rsidR="00AF5B5B" w:rsidRPr="006253A9" w14:paraId="728F26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A2E059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0186</w:t>
            </w:r>
          </w:p>
        </w:tc>
        <w:tc>
          <w:tcPr>
            <w:tcW w:w="2880" w:type="dxa"/>
            <w:noWrap/>
            <w:hideMark/>
          </w:tcPr>
          <w:p w14:paraId="7299537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Millbury</w:t>
            </w:r>
          </w:p>
        </w:tc>
        <w:tc>
          <w:tcPr>
            <w:tcW w:w="1479" w:type="dxa"/>
            <w:noWrap/>
            <w:vAlign w:val="top"/>
          </w:tcPr>
          <w:p w14:paraId="7F24AFE2" w14:textId="7238429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18.65</w:t>
            </w:r>
          </w:p>
        </w:tc>
        <w:tc>
          <w:tcPr>
            <w:tcW w:w="1440" w:type="dxa"/>
            <w:noWrap/>
            <w:vAlign w:val="top"/>
          </w:tcPr>
          <w:p w14:paraId="3D7C6A69" w14:textId="0DAAEE6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32.17</w:t>
            </w:r>
          </w:p>
        </w:tc>
        <w:tc>
          <w:tcPr>
            <w:tcW w:w="1530" w:type="dxa"/>
            <w:noWrap/>
            <w:vAlign w:val="top"/>
          </w:tcPr>
          <w:p w14:paraId="690B1AFA" w14:textId="2C6D8FF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58.0%</w:t>
            </w:r>
          </w:p>
        </w:tc>
        <w:tc>
          <w:tcPr>
            <w:tcW w:w="1440" w:type="dxa"/>
            <w:noWrap/>
            <w:vAlign w:val="top"/>
          </w:tcPr>
          <w:p w14:paraId="6A16EB0B" w14:textId="5C3299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27.21</w:t>
            </w:r>
          </w:p>
        </w:tc>
        <w:tc>
          <w:tcPr>
            <w:tcW w:w="1440" w:type="dxa"/>
            <w:noWrap/>
            <w:vAlign w:val="top"/>
          </w:tcPr>
          <w:p w14:paraId="0C43F95D" w14:textId="16C4758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46.82</w:t>
            </w:r>
          </w:p>
        </w:tc>
        <w:tc>
          <w:tcPr>
            <w:tcW w:w="1440" w:type="dxa"/>
            <w:noWrap/>
            <w:vAlign w:val="top"/>
          </w:tcPr>
          <w:p w14:paraId="26C21BA2" w14:textId="1707D70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58.1%</w:t>
            </w:r>
          </w:p>
        </w:tc>
      </w:tr>
      <w:tr w:rsidR="00AF5B5B" w:rsidRPr="006253A9" w14:paraId="02664C2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8B8ADB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0187</w:t>
            </w:r>
          </w:p>
        </w:tc>
        <w:tc>
          <w:tcPr>
            <w:tcW w:w="2880" w:type="dxa"/>
            <w:noWrap/>
            <w:hideMark/>
          </w:tcPr>
          <w:p w14:paraId="5FEE35C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Millis</w:t>
            </w:r>
          </w:p>
        </w:tc>
        <w:tc>
          <w:tcPr>
            <w:tcW w:w="1479" w:type="dxa"/>
            <w:noWrap/>
            <w:vAlign w:val="top"/>
          </w:tcPr>
          <w:p w14:paraId="5090FDF6" w14:textId="5632115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11.59</w:t>
            </w:r>
          </w:p>
        </w:tc>
        <w:tc>
          <w:tcPr>
            <w:tcW w:w="1440" w:type="dxa"/>
            <w:noWrap/>
            <w:vAlign w:val="top"/>
          </w:tcPr>
          <w:p w14:paraId="656B9FD4" w14:textId="42ABB19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22.11</w:t>
            </w:r>
          </w:p>
        </w:tc>
        <w:tc>
          <w:tcPr>
            <w:tcW w:w="1530" w:type="dxa"/>
            <w:noWrap/>
            <w:vAlign w:val="top"/>
          </w:tcPr>
          <w:p w14:paraId="6CDF8392" w14:textId="068DA2A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c>
          <w:tcPr>
            <w:tcW w:w="1440" w:type="dxa"/>
            <w:noWrap/>
            <w:vAlign w:val="top"/>
          </w:tcPr>
          <w:p w14:paraId="55C76608" w14:textId="1C60A6A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18.82</w:t>
            </w:r>
          </w:p>
        </w:tc>
        <w:tc>
          <w:tcPr>
            <w:tcW w:w="1440" w:type="dxa"/>
            <w:noWrap/>
            <w:vAlign w:val="top"/>
          </w:tcPr>
          <w:p w14:paraId="5DA2339F" w14:textId="78A3302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35.51</w:t>
            </w:r>
          </w:p>
        </w:tc>
        <w:tc>
          <w:tcPr>
            <w:tcW w:w="1440" w:type="dxa"/>
            <w:noWrap/>
            <w:vAlign w:val="top"/>
          </w:tcPr>
          <w:p w14:paraId="32A33820" w14:textId="3C751A3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53.0%</w:t>
            </w:r>
          </w:p>
        </w:tc>
      </w:tr>
      <w:tr w:rsidR="00AF5B5B" w:rsidRPr="006253A9" w14:paraId="4EE67F4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83C0C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0188</w:t>
            </w:r>
          </w:p>
        </w:tc>
        <w:tc>
          <w:tcPr>
            <w:tcW w:w="2880" w:type="dxa"/>
            <w:noWrap/>
            <w:hideMark/>
          </w:tcPr>
          <w:p w14:paraId="3E87082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Millville</w:t>
            </w:r>
          </w:p>
        </w:tc>
        <w:tc>
          <w:tcPr>
            <w:tcW w:w="1479" w:type="dxa"/>
            <w:noWrap/>
            <w:vAlign w:val="top"/>
          </w:tcPr>
          <w:p w14:paraId="5D51A98C" w14:textId="5FD42EF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2.52</w:t>
            </w:r>
          </w:p>
        </w:tc>
        <w:tc>
          <w:tcPr>
            <w:tcW w:w="1440" w:type="dxa"/>
            <w:noWrap/>
            <w:vAlign w:val="top"/>
          </w:tcPr>
          <w:p w14:paraId="20E23BB9" w14:textId="2ACCC83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5.06</w:t>
            </w:r>
          </w:p>
        </w:tc>
        <w:tc>
          <w:tcPr>
            <w:tcW w:w="1530" w:type="dxa"/>
            <w:noWrap/>
            <w:vAlign w:val="top"/>
          </w:tcPr>
          <w:p w14:paraId="2219F636" w14:textId="043DB5F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49.8%</w:t>
            </w:r>
          </w:p>
        </w:tc>
        <w:tc>
          <w:tcPr>
            <w:tcW w:w="1440" w:type="dxa"/>
            <w:noWrap/>
            <w:vAlign w:val="top"/>
          </w:tcPr>
          <w:p w14:paraId="59072C77" w14:textId="22B12F9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3.66</w:t>
            </w:r>
          </w:p>
        </w:tc>
        <w:tc>
          <w:tcPr>
            <w:tcW w:w="1440" w:type="dxa"/>
            <w:noWrap/>
            <w:vAlign w:val="top"/>
          </w:tcPr>
          <w:p w14:paraId="0341A993" w14:textId="6BDA9DC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6.60</w:t>
            </w:r>
          </w:p>
        </w:tc>
        <w:tc>
          <w:tcPr>
            <w:tcW w:w="1440" w:type="dxa"/>
            <w:noWrap/>
            <w:vAlign w:val="top"/>
          </w:tcPr>
          <w:p w14:paraId="091325CD" w14:textId="36671C2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55.5%</w:t>
            </w:r>
          </w:p>
        </w:tc>
      </w:tr>
      <w:tr w:rsidR="00AF5B5B" w:rsidRPr="006253A9" w14:paraId="2CAEBAA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BAE6DC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0189</w:t>
            </w:r>
          </w:p>
        </w:tc>
        <w:tc>
          <w:tcPr>
            <w:tcW w:w="2880" w:type="dxa"/>
            <w:noWrap/>
            <w:hideMark/>
          </w:tcPr>
          <w:p w14:paraId="6DB6966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Milton</w:t>
            </w:r>
          </w:p>
        </w:tc>
        <w:tc>
          <w:tcPr>
            <w:tcW w:w="1479" w:type="dxa"/>
            <w:noWrap/>
            <w:vAlign w:val="top"/>
          </w:tcPr>
          <w:p w14:paraId="10B5CEB5" w14:textId="551D6FD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35.42</w:t>
            </w:r>
          </w:p>
        </w:tc>
        <w:tc>
          <w:tcPr>
            <w:tcW w:w="1440" w:type="dxa"/>
            <w:noWrap/>
            <w:vAlign w:val="top"/>
          </w:tcPr>
          <w:p w14:paraId="29C7BA04" w14:textId="29AD29F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72.70</w:t>
            </w:r>
          </w:p>
        </w:tc>
        <w:tc>
          <w:tcPr>
            <w:tcW w:w="1530" w:type="dxa"/>
            <w:noWrap/>
            <w:vAlign w:val="top"/>
          </w:tcPr>
          <w:p w14:paraId="6E37F122" w14:textId="72C21BA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48.7%</w:t>
            </w:r>
          </w:p>
        </w:tc>
        <w:tc>
          <w:tcPr>
            <w:tcW w:w="1440" w:type="dxa"/>
            <w:noWrap/>
            <w:vAlign w:val="top"/>
          </w:tcPr>
          <w:p w14:paraId="732AA2B4" w14:textId="1EF29F9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59.93</w:t>
            </w:r>
          </w:p>
        </w:tc>
        <w:tc>
          <w:tcPr>
            <w:tcW w:w="1440" w:type="dxa"/>
            <w:noWrap/>
            <w:vAlign w:val="top"/>
          </w:tcPr>
          <w:p w14:paraId="45B0CF3F" w14:textId="59677F4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114.19</w:t>
            </w:r>
          </w:p>
        </w:tc>
        <w:tc>
          <w:tcPr>
            <w:tcW w:w="1440" w:type="dxa"/>
            <w:noWrap/>
            <w:vAlign w:val="top"/>
          </w:tcPr>
          <w:p w14:paraId="2B0B8778" w14:textId="3EA529C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52.5%</w:t>
            </w:r>
          </w:p>
        </w:tc>
      </w:tr>
      <w:tr w:rsidR="00AF5B5B" w:rsidRPr="006253A9" w14:paraId="47727F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63C076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0190</w:t>
            </w:r>
          </w:p>
        </w:tc>
        <w:tc>
          <w:tcPr>
            <w:tcW w:w="2880" w:type="dxa"/>
            <w:noWrap/>
            <w:hideMark/>
          </w:tcPr>
          <w:p w14:paraId="07F455E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Monroe</w:t>
            </w:r>
          </w:p>
        </w:tc>
        <w:tc>
          <w:tcPr>
            <w:tcW w:w="1479" w:type="dxa"/>
            <w:noWrap/>
            <w:vAlign w:val="top"/>
          </w:tcPr>
          <w:p w14:paraId="439153B1" w14:textId="6625FAE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0.12</w:t>
            </w:r>
          </w:p>
        </w:tc>
        <w:tc>
          <w:tcPr>
            <w:tcW w:w="1440" w:type="dxa"/>
            <w:noWrap/>
            <w:vAlign w:val="top"/>
          </w:tcPr>
          <w:p w14:paraId="39448B09" w14:textId="707A73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0.44</w:t>
            </w:r>
          </w:p>
        </w:tc>
        <w:tc>
          <w:tcPr>
            <w:tcW w:w="1530" w:type="dxa"/>
            <w:noWrap/>
            <w:vAlign w:val="top"/>
          </w:tcPr>
          <w:p w14:paraId="1596BB07" w14:textId="4C840B0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28.2%</w:t>
            </w:r>
          </w:p>
        </w:tc>
        <w:tc>
          <w:tcPr>
            <w:tcW w:w="1440" w:type="dxa"/>
            <w:noWrap/>
            <w:vAlign w:val="top"/>
          </w:tcPr>
          <w:p w14:paraId="5291BE74" w14:textId="49C910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0.18</w:t>
            </w:r>
          </w:p>
        </w:tc>
        <w:tc>
          <w:tcPr>
            <w:tcW w:w="1440" w:type="dxa"/>
            <w:noWrap/>
            <w:vAlign w:val="top"/>
          </w:tcPr>
          <w:p w14:paraId="3C4449D9" w14:textId="349228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1.01</w:t>
            </w:r>
          </w:p>
        </w:tc>
        <w:tc>
          <w:tcPr>
            <w:tcW w:w="1440" w:type="dxa"/>
            <w:noWrap/>
            <w:vAlign w:val="top"/>
          </w:tcPr>
          <w:p w14:paraId="22D1DE47" w14:textId="5A77139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18.2%</w:t>
            </w:r>
          </w:p>
        </w:tc>
      </w:tr>
      <w:tr w:rsidR="00AF5B5B" w:rsidRPr="006253A9" w14:paraId="0E39521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8CCF8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0191</w:t>
            </w:r>
          </w:p>
        </w:tc>
        <w:tc>
          <w:tcPr>
            <w:tcW w:w="2880" w:type="dxa"/>
            <w:noWrap/>
            <w:hideMark/>
          </w:tcPr>
          <w:p w14:paraId="4B0339F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Monson</w:t>
            </w:r>
          </w:p>
        </w:tc>
        <w:tc>
          <w:tcPr>
            <w:tcW w:w="1479" w:type="dxa"/>
            <w:noWrap/>
            <w:vAlign w:val="top"/>
          </w:tcPr>
          <w:p w14:paraId="55D3F8EC" w14:textId="38AB6B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12.80</w:t>
            </w:r>
          </w:p>
        </w:tc>
        <w:tc>
          <w:tcPr>
            <w:tcW w:w="1440" w:type="dxa"/>
            <w:noWrap/>
            <w:vAlign w:val="top"/>
          </w:tcPr>
          <w:p w14:paraId="40014C0D" w14:textId="7AB6523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23.88</w:t>
            </w:r>
          </w:p>
        </w:tc>
        <w:tc>
          <w:tcPr>
            <w:tcW w:w="1530" w:type="dxa"/>
            <w:noWrap/>
            <w:vAlign w:val="top"/>
          </w:tcPr>
          <w:p w14:paraId="0CCF7228" w14:textId="13E7438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53.6%</w:t>
            </w:r>
          </w:p>
        </w:tc>
        <w:tc>
          <w:tcPr>
            <w:tcW w:w="1440" w:type="dxa"/>
            <w:noWrap/>
            <w:vAlign w:val="top"/>
          </w:tcPr>
          <w:p w14:paraId="0D5B1D6F" w14:textId="23646A0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15.10</w:t>
            </w:r>
          </w:p>
        </w:tc>
        <w:tc>
          <w:tcPr>
            <w:tcW w:w="1440" w:type="dxa"/>
            <w:noWrap/>
            <w:vAlign w:val="top"/>
          </w:tcPr>
          <w:p w14:paraId="7B84E7F0" w14:textId="27F72D0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28.33</w:t>
            </w:r>
          </w:p>
        </w:tc>
        <w:tc>
          <w:tcPr>
            <w:tcW w:w="1440" w:type="dxa"/>
            <w:noWrap/>
            <w:vAlign w:val="top"/>
          </w:tcPr>
          <w:p w14:paraId="34C2E05E" w14:textId="00CDFE0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53.3%</w:t>
            </w:r>
          </w:p>
        </w:tc>
      </w:tr>
      <w:tr w:rsidR="00AF5B5B" w:rsidRPr="006253A9" w14:paraId="40249D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80EA76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0192</w:t>
            </w:r>
          </w:p>
        </w:tc>
        <w:tc>
          <w:tcPr>
            <w:tcW w:w="2880" w:type="dxa"/>
            <w:noWrap/>
            <w:hideMark/>
          </w:tcPr>
          <w:p w14:paraId="7537ED1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Montague</w:t>
            </w:r>
          </w:p>
        </w:tc>
        <w:tc>
          <w:tcPr>
            <w:tcW w:w="1479" w:type="dxa"/>
            <w:noWrap/>
            <w:vAlign w:val="top"/>
          </w:tcPr>
          <w:p w14:paraId="7D901FD6" w14:textId="28184F5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8.16</w:t>
            </w:r>
          </w:p>
        </w:tc>
        <w:tc>
          <w:tcPr>
            <w:tcW w:w="1440" w:type="dxa"/>
            <w:noWrap/>
            <w:vAlign w:val="top"/>
          </w:tcPr>
          <w:p w14:paraId="1D225ED6" w14:textId="41D5CE4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14.64</w:t>
            </w:r>
          </w:p>
        </w:tc>
        <w:tc>
          <w:tcPr>
            <w:tcW w:w="1530" w:type="dxa"/>
            <w:noWrap/>
            <w:vAlign w:val="top"/>
          </w:tcPr>
          <w:p w14:paraId="4A9D0897" w14:textId="10AAB0F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55.7%</w:t>
            </w:r>
          </w:p>
        </w:tc>
        <w:tc>
          <w:tcPr>
            <w:tcW w:w="1440" w:type="dxa"/>
            <w:noWrap/>
            <w:vAlign w:val="top"/>
          </w:tcPr>
          <w:p w14:paraId="055F6253" w14:textId="73A26ED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10.79</w:t>
            </w:r>
          </w:p>
        </w:tc>
        <w:tc>
          <w:tcPr>
            <w:tcW w:w="1440" w:type="dxa"/>
            <w:noWrap/>
            <w:vAlign w:val="top"/>
          </w:tcPr>
          <w:p w14:paraId="374BB8FC" w14:textId="643BC8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20.57</w:t>
            </w:r>
          </w:p>
        </w:tc>
        <w:tc>
          <w:tcPr>
            <w:tcW w:w="1440" w:type="dxa"/>
            <w:noWrap/>
            <w:vAlign w:val="top"/>
          </w:tcPr>
          <w:p w14:paraId="6F04632D" w14:textId="6726959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r>
      <w:tr w:rsidR="00AF5B5B" w:rsidRPr="006253A9" w14:paraId="7770A87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7ACF4B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0193</w:t>
            </w:r>
          </w:p>
        </w:tc>
        <w:tc>
          <w:tcPr>
            <w:tcW w:w="2880" w:type="dxa"/>
            <w:noWrap/>
            <w:hideMark/>
          </w:tcPr>
          <w:p w14:paraId="2136239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Monterey</w:t>
            </w:r>
          </w:p>
        </w:tc>
        <w:tc>
          <w:tcPr>
            <w:tcW w:w="1479" w:type="dxa"/>
            <w:noWrap/>
            <w:vAlign w:val="top"/>
          </w:tcPr>
          <w:p w14:paraId="350060C0" w14:textId="0D511D0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0.92</w:t>
            </w:r>
          </w:p>
        </w:tc>
        <w:tc>
          <w:tcPr>
            <w:tcW w:w="1440" w:type="dxa"/>
            <w:noWrap/>
            <w:vAlign w:val="top"/>
          </w:tcPr>
          <w:p w14:paraId="6A8C7A1E" w14:textId="0B9E226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2.76</w:t>
            </w:r>
          </w:p>
        </w:tc>
        <w:tc>
          <w:tcPr>
            <w:tcW w:w="1530" w:type="dxa"/>
            <w:noWrap/>
            <w:vAlign w:val="top"/>
          </w:tcPr>
          <w:p w14:paraId="2A35BEF8" w14:textId="3EEC517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33.3%</w:t>
            </w:r>
          </w:p>
        </w:tc>
        <w:tc>
          <w:tcPr>
            <w:tcW w:w="1440" w:type="dxa"/>
            <w:noWrap/>
            <w:vAlign w:val="top"/>
          </w:tcPr>
          <w:p w14:paraId="6AEC0369" w14:textId="6020881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1.60</w:t>
            </w:r>
          </w:p>
        </w:tc>
        <w:tc>
          <w:tcPr>
            <w:tcW w:w="1440" w:type="dxa"/>
            <w:noWrap/>
            <w:vAlign w:val="top"/>
          </w:tcPr>
          <w:p w14:paraId="7B4BD2BE" w14:textId="4D6F1F8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4.71</w:t>
            </w:r>
          </w:p>
        </w:tc>
        <w:tc>
          <w:tcPr>
            <w:tcW w:w="1440" w:type="dxa"/>
            <w:noWrap/>
            <w:vAlign w:val="top"/>
          </w:tcPr>
          <w:p w14:paraId="26E0D01E" w14:textId="74C0EC0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34.0%</w:t>
            </w:r>
          </w:p>
        </w:tc>
      </w:tr>
      <w:tr w:rsidR="00AF5B5B" w:rsidRPr="006253A9" w14:paraId="5E822B7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7FD0AB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0194</w:t>
            </w:r>
          </w:p>
        </w:tc>
        <w:tc>
          <w:tcPr>
            <w:tcW w:w="2880" w:type="dxa"/>
            <w:noWrap/>
            <w:hideMark/>
          </w:tcPr>
          <w:p w14:paraId="019114F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Montgomery</w:t>
            </w:r>
          </w:p>
        </w:tc>
        <w:tc>
          <w:tcPr>
            <w:tcW w:w="1479" w:type="dxa"/>
            <w:noWrap/>
            <w:vAlign w:val="top"/>
          </w:tcPr>
          <w:p w14:paraId="35DE9662" w14:textId="420C28F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0.86</w:t>
            </w:r>
          </w:p>
        </w:tc>
        <w:tc>
          <w:tcPr>
            <w:tcW w:w="1440" w:type="dxa"/>
            <w:noWrap/>
            <w:vAlign w:val="top"/>
          </w:tcPr>
          <w:p w14:paraId="373C0618" w14:textId="37937D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1.47</w:t>
            </w:r>
          </w:p>
        </w:tc>
        <w:tc>
          <w:tcPr>
            <w:tcW w:w="1530" w:type="dxa"/>
            <w:noWrap/>
            <w:vAlign w:val="top"/>
          </w:tcPr>
          <w:p w14:paraId="14C29984" w14:textId="5CD3DFC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58.3%</w:t>
            </w:r>
          </w:p>
        </w:tc>
        <w:tc>
          <w:tcPr>
            <w:tcW w:w="1440" w:type="dxa"/>
            <w:noWrap/>
            <w:vAlign w:val="top"/>
          </w:tcPr>
          <w:p w14:paraId="08882BC8" w14:textId="737557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w:t>
            </w:r>
          </w:p>
        </w:tc>
        <w:tc>
          <w:tcPr>
            <w:tcW w:w="1440" w:type="dxa"/>
            <w:noWrap/>
            <w:vAlign w:val="top"/>
          </w:tcPr>
          <w:p w14:paraId="6B044E6D" w14:textId="60E887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1.90</w:t>
            </w:r>
          </w:p>
        </w:tc>
        <w:tc>
          <w:tcPr>
            <w:tcW w:w="1440" w:type="dxa"/>
            <w:noWrap/>
            <w:vAlign w:val="top"/>
          </w:tcPr>
          <w:p w14:paraId="1F41A356" w14:textId="168942B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55.7%</w:t>
            </w:r>
          </w:p>
        </w:tc>
      </w:tr>
      <w:tr w:rsidR="00AF5B5B" w:rsidRPr="006253A9" w14:paraId="60C3F2C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2CA9BC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0195</w:t>
            </w:r>
          </w:p>
        </w:tc>
        <w:tc>
          <w:tcPr>
            <w:tcW w:w="2880" w:type="dxa"/>
            <w:noWrap/>
            <w:hideMark/>
          </w:tcPr>
          <w:p w14:paraId="71C6B41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Mount Washington</w:t>
            </w:r>
          </w:p>
        </w:tc>
        <w:tc>
          <w:tcPr>
            <w:tcW w:w="1479" w:type="dxa"/>
            <w:noWrap/>
            <w:vAlign w:val="top"/>
          </w:tcPr>
          <w:p w14:paraId="6EF8139F" w14:textId="548759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0.13</w:t>
            </w:r>
          </w:p>
        </w:tc>
        <w:tc>
          <w:tcPr>
            <w:tcW w:w="1440" w:type="dxa"/>
            <w:noWrap/>
            <w:vAlign w:val="top"/>
          </w:tcPr>
          <w:p w14:paraId="3E15B45F" w14:textId="092C654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0.62</w:t>
            </w:r>
          </w:p>
        </w:tc>
        <w:tc>
          <w:tcPr>
            <w:tcW w:w="1530" w:type="dxa"/>
            <w:noWrap/>
            <w:vAlign w:val="top"/>
          </w:tcPr>
          <w:p w14:paraId="61B572DB" w14:textId="471A725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20.2%</w:t>
            </w:r>
          </w:p>
        </w:tc>
        <w:tc>
          <w:tcPr>
            <w:tcW w:w="1440" w:type="dxa"/>
            <w:noWrap/>
            <w:vAlign w:val="top"/>
          </w:tcPr>
          <w:p w14:paraId="09042D4E" w14:textId="252D00F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0.02</w:t>
            </w:r>
          </w:p>
        </w:tc>
        <w:tc>
          <w:tcPr>
            <w:tcW w:w="1440" w:type="dxa"/>
            <w:noWrap/>
            <w:vAlign w:val="top"/>
          </w:tcPr>
          <w:p w14:paraId="004AB27A" w14:textId="4FF512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0.89</w:t>
            </w:r>
          </w:p>
        </w:tc>
        <w:tc>
          <w:tcPr>
            <w:tcW w:w="1440" w:type="dxa"/>
            <w:noWrap/>
            <w:vAlign w:val="top"/>
          </w:tcPr>
          <w:p w14:paraId="4CAD9B15" w14:textId="581F3FE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2.6%</w:t>
            </w:r>
          </w:p>
        </w:tc>
      </w:tr>
      <w:tr w:rsidR="00AF5B5B" w:rsidRPr="006253A9" w14:paraId="203D127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844DB7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0196</w:t>
            </w:r>
          </w:p>
        </w:tc>
        <w:tc>
          <w:tcPr>
            <w:tcW w:w="2880" w:type="dxa"/>
            <w:noWrap/>
            <w:hideMark/>
          </w:tcPr>
          <w:p w14:paraId="64A50A2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Nahant</w:t>
            </w:r>
          </w:p>
        </w:tc>
        <w:tc>
          <w:tcPr>
            <w:tcW w:w="1479" w:type="dxa"/>
            <w:noWrap/>
            <w:vAlign w:val="top"/>
          </w:tcPr>
          <w:p w14:paraId="2A8429EE" w14:textId="74E5696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3.50</w:t>
            </w:r>
          </w:p>
        </w:tc>
        <w:tc>
          <w:tcPr>
            <w:tcW w:w="1440" w:type="dxa"/>
            <w:noWrap/>
            <w:vAlign w:val="top"/>
          </w:tcPr>
          <w:p w14:paraId="2B49512D" w14:textId="3A2D360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8.95</w:t>
            </w:r>
          </w:p>
        </w:tc>
        <w:tc>
          <w:tcPr>
            <w:tcW w:w="1530" w:type="dxa"/>
            <w:noWrap/>
            <w:vAlign w:val="top"/>
          </w:tcPr>
          <w:p w14:paraId="36BBEA4A" w14:textId="358F9E0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39.2%</w:t>
            </w:r>
          </w:p>
        </w:tc>
        <w:tc>
          <w:tcPr>
            <w:tcW w:w="1440" w:type="dxa"/>
            <w:noWrap/>
            <w:vAlign w:val="top"/>
          </w:tcPr>
          <w:p w14:paraId="6217E289" w14:textId="0387C9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4.28</w:t>
            </w:r>
          </w:p>
        </w:tc>
        <w:tc>
          <w:tcPr>
            <w:tcW w:w="1440" w:type="dxa"/>
            <w:noWrap/>
            <w:vAlign w:val="top"/>
          </w:tcPr>
          <w:p w14:paraId="495A90D0" w14:textId="2D75111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12.99</w:t>
            </w:r>
          </w:p>
        </w:tc>
        <w:tc>
          <w:tcPr>
            <w:tcW w:w="1440" w:type="dxa"/>
            <w:noWrap/>
            <w:vAlign w:val="top"/>
          </w:tcPr>
          <w:p w14:paraId="32725CBF" w14:textId="109B1AE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32.9%</w:t>
            </w:r>
          </w:p>
        </w:tc>
      </w:tr>
      <w:tr w:rsidR="00AF5B5B" w:rsidRPr="006253A9" w14:paraId="60CCD72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1FAEAF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0197</w:t>
            </w:r>
          </w:p>
        </w:tc>
        <w:tc>
          <w:tcPr>
            <w:tcW w:w="2880" w:type="dxa"/>
            <w:noWrap/>
            <w:hideMark/>
          </w:tcPr>
          <w:p w14:paraId="7214463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Nantucket</w:t>
            </w:r>
          </w:p>
        </w:tc>
        <w:tc>
          <w:tcPr>
            <w:tcW w:w="1479" w:type="dxa"/>
            <w:noWrap/>
            <w:vAlign w:val="top"/>
          </w:tcPr>
          <w:p w14:paraId="0ED59E72" w14:textId="61BC15A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21.89</w:t>
            </w:r>
          </w:p>
        </w:tc>
        <w:tc>
          <w:tcPr>
            <w:tcW w:w="1440" w:type="dxa"/>
            <w:noWrap/>
            <w:vAlign w:val="top"/>
          </w:tcPr>
          <w:p w14:paraId="342C2A65" w14:textId="37CBF7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68.72</w:t>
            </w:r>
          </w:p>
        </w:tc>
        <w:tc>
          <w:tcPr>
            <w:tcW w:w="1530" w:type="dxa"/>
            <w:noWrap/>
            <w:vAlign w:val="top"/>
          </w:tcPr>
          <w:p w14:paraId="1D633A43" w14:textId="151B43D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31.8%</w:t>
            </w:r>
          </w:p>
        </w:tc>
        <w:tc>
          <w:tcPr>
            <w:tcW w:w="1440" w:type="dxa"/>
            <w:noWrap/>
            <w:vAlign w:val="top"/>
          </w:tcPr>
          <w:p w14:paraId="02BEE074" w14:textId="5426EB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33.71</w:t>
            </w:r>
          </w:p>
        </w:tc>
        <w:tc>
          <w:tcPr>
            <w:tcW w:w="1440" w:type="dxa"/>
            <w:noWrap/>
            <w:vAlign w:val="top"/>
          </w:tcPr>
          <w:p w14:paraId="6FB579E2" w14:textId="7B1A7D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101.96</w:t>
            </w:r>
          </w:p>
        </w:tc>
        <w:tc>
          <w:tcPr>
            <w:tcW w:w="1440" w:type="dxa"/>
            <w:noWrap/>
            <w:vAlign w:val="top"/>
          </w:tcPr>
          <w:p w14:paraId="2011D8B4" w14:textId="66CC338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33.1%</w:t>
            </w:r>
          </w:p>
        </w:tc>
      </w:tr>
      <w:tr w:rsidR="00AF5B5B" w:rsidRPr="006253A9" w14:paraId="4D82DC9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D66F43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0198</w:t>
            </w:r>
          </w:p>
        </w:tc>
        <w:tc>
          <w:tcPr>
            <w:tcW w:w="2880" w:type="dxa"/>
            <w:noWrap/>
            <w:hideMark/>
          </w:tcPr>
          <w:p w14:paraId="61B2F3C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Natick</w:t>
            </w:r>
          </w:p>
        </w:tc>
        <w:tc>
          <w:tcPr>
            <w:tcW w:w="1479" w:type="dxa"/>
            <w:noWrap/>
            <w:vAlign w:val="top"/>
          </w:tcPr>
          <w:p w14:paraId="293E5243" w14:textId="0F9D2A2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48.78</w:t>
            </w:r>
          </w:p>
        </w:tc>
        <w:tc>
          <w:tcPr>
            <w:tcW w:w="1440" w:type="dxa"/>
            <w:noWrap/>
            <w:vAlign w:val="top"/>
          </w:tcPr>
          <w:p w14:paraId="56E6A6AF" w14:textId="589497E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101.01</w:t>
            </w:r>
          </w:p>
        </w:tc>
        <w:tc>
          <w:tcPr>
            <w:tcW w:w="1530" w:type="dxa"/>
            <w:noWrap/>
            <w:vAlign w:val="top"/>
          </w:tcPr>
          <w:p w14:paraId="69957950" w14:textId="0E9CF01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48.3%</w:t>
            </w:r>
          </w:p>
        </w:tc>
        <w:tc>
          <w:tcPr>
            <w:tcW w:w="1440" w:type="dxa"/>
            <w:noWrap/>
            <w:vAlign w:val="top"/>
          </w:tcPr>
          <w:p w14:paraId="265BE7ED" w14:textId="1A947E4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78.69</w:t>
            </w:r>
          </w:p>
        </w:tc>
        <w:tc>
          <w:tcPr>
            <w:tcW w:w="1440" w:type="dxa"/>
            <w:noWrap/>
            <w:vAlign w:val="top"/>
          </w:tcPr>
          <w:p w14:paraId="2EDD3E39" w14:textId="71A4865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161.56</w:t>
            </w:r>
          </w:p>
        </w:tc>
        <w:tc>
          <w:tcPr>
            <w:tcW w:w="1440" w:type="dxa"/>
            <w:noWrap/>
            <w:vAlign w:val="top"/>
          </w:tcPr>
          <w:p w14:paraId="78A8E35A" w14:textId="78665C2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48.7%</w:t>
            </w:r>
          </w:p>
        </w:tc>
      </w:tr>
      <w:tr w:rsidR="00AF5B5B" w:rsidRPr="006253A9" w14:paraId="347A12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56465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0199</w:t>
            </w:r>
          </w:p>
        </w:tc>
        <w:tc>
          <w:tcPr>
            <w:tcW w:w="2880" w:type="dxa"/>
            <w:noWrap/>
            <w:hideMark/>
          </w:tcPr>
          <w:p w14:paraId="78D5EA4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Needham</w:t>
            </w:r>
          </w:p>
        </w:tc>
        <w:tc>
          <w:tcPr>
            <w:tcW w:w="1479" w:type="dxa"/>
            <w:noWrap/>
            <w:vAlign w:val="top"/>
          </w:tcPr>
          <w:p w14:paraId="418A4C43" w14:textId="01B718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52.34</w:t>
            </w:r>
          </w:p>
        </w:tc>
        <w:tc>
          <w:tcPr>
            <w:tcW w:w="1440" w:type="dxa"/>
            <w:noWrap/>
            <w:vAlign w:val="top"/>
          </w:tcPr>
          <w:p w14:paraId="719C7A7B" w14:textId="133B810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114.50</w:t>
            </w:r>
          </w:p>
        </w:tc>
        <w:tc>
          <w:tcPr>
            <w:tcW w:w="1530" w:type="dxa"/>
            <w:noWrap/>
            <w:vAlign w:val="top"/>
          </w:tcPr>
          <w:p w14:paraId="1B13C037" w14:textId="39D0679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45.7%</w:t>
            </w:r>
          </w:p>
        </w:tc>
        <w:tc>
          <w:tcPr>
            <w:tcW w:w="1440" w:type="dxa"/>
            <w:noWrap/>
            <w:vAlign w:val="top"/>
          </w:tcPr>
          <w:p w14:paraId="5FC1B773" w14:textId="326B3B9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97.17</w:t>
            </w:r>
          </w:p>
        </w:tc>
        <w:tc>
          <w:tcPr>
            <w:tcW w:w="1440" w:type="dxa"/>
            <w:noWrap/>
            <w:vAlign w:val="top"/>
          </w:tcPr>
          <w:p w14:paraId="25A79CD5" w14:textId="01A4DA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193.08</w:t>
            </w:r>
          </w:p>
        </w:tc>
        <w:tc>
          <w:tcPr>
            <w:tcW w:w="1440" w:type="dxa"/>
            <w:noWrap/>
            <w:vAlign w:val="top"/>
          </w:tcPr>
          <w:p w14:paraId="2A3859FE" w14:textId="1664897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50.3%</w:t>
            </w:r>
          </w:p>
        </w:tc>
      </w:tr>
      <w:tr w:rsidR="00AF5B5B" w:rsidRPr="006253A9" w14:paraId="1C3AF23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A31790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0200</w:t>
            </w:r>
          </w:p>
        </w:tc>
        <w:tc>
          <w:tcPr>
            <w:tcW w:w="2880" w:type="dxa"/>
            <w:noWrap/>
            <w:hideMark/>
          </w:tcPr>
          <w:p w14:paraId="66FCE0D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Ashford</w:t>
            </w:r>
          </w:p>
        </w:tc>
        <w:tc>
          <w:tcPr>
            <w:tcW w:w="1479" w:type="dxa"/>
            <w:noWrap/>
            <w:vAlign w:val="top"/>
          </w:tcPr>
          <w:p w14:paraId="0E4AE6D6" w14:textId="01CA82C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0.30</w:t>
            </w:r>
          </w:p>
        </w:tc>
        <w:tc>
          <w:tcPr>
            <w:tcW w:w="1440" w:type="dxa"/>
            <w:noWrap/>
            <w:vAlign w:val="top"/>
          </w:tcPr>
          <w:p w14:paraId="6A8658D6" w14:textId="283AF31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0.47</w:t>
            </w:r>
          </w:p>
        </w:tc>
        <w:tc>
          <w:tcPr>
            <w:tcW w:w="1530" w:type="dxa"/>
            <w:noWrap/>
            <w:vAlign w:val="top"/>
          </w:tcPr>
          <w:p w14:paraId="3F0AF351" w14:textId="16D9FE7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62.8%</w:t>
            </w:r>
          </w:p>
        </w:tc>
        <w:tc>
          <w:tcPr>
            <w:tcW w:w="1440" w:type="dxa"/>
            <w:noWrap/>
            <w:vAlign w:val="top"/>
          </w:tcPr>
          <w:p w14:paraId="222541A5" w14:textId="6A5E5CD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0.37</w:t>
            </w:r>
          </w:p>
        </w:tc>
        <w:tc>
          <w:tcPr>
            <w:tcW w:w="1440" w:type="dxa"/>
            <w:noWrap/>
            <w:vAlign w:val="top"/>
          </w:tcPr>
          <w:p w14:paraId="0A541AE8" w14:textId="1C8ED43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0.62</w:t>
            </w:r>
          </w:p>
        </w:tc>
        <w:tc>
          <w:tcPr>
            <w:tcW w:w="1440" w:type="dxa"/>
            <w:noWrap/>
            <w:vAlign w:val="top"/>
          </w:tcPr>
          <w:p w14:paraId="5798E017" w14:textId="1DDC997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60.1%</w:t>
            </w:r>
          </w:p>
        </w:tc>
      </w:tr>
      <w:tr w:rsidR="00AF5B5B" w:rsidRPr="006253A9" w14:paraId="158E891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C6BAD7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0201</w:t>
            </w:r>
          </w:p>
        </w:tc>
        <w:tc>
          <w:tcPr>
            <w:tcW w:w="2880" w:type="dxa"/>
            <w:noWrap/>
            <w:hideMark/>
          </w:tcPr>
          <w:p w14:paraId="69EB1EA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Bedford</w:t>
            </w:r>
          </w:p>
        </w:tc>
        <w:tc>
          <w:tcPr>
            <w:tcW w:w="1479" w:type="dxa"/>
            <w:noWrap/>
            <w:vAlign w:val="top"/>
          </w:tcPr>
          <w:p w14:paraId="7C04A843" w14:textId="0CFE95E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126.15</w:t>
            </w:r>
          </w:p>
        </w:tc>
        <w:tc>
          <w:tcPr>
            <w:tcW w:w="1440" w:type="dxa"/>
            <w:noWrap/>
            <w:vAlign w:val="top"/>
          </w:tcPr>
          <w:p w14:paraId="59B8153D" w14:textId="48B6E2C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264.30</w:t>
            </w:r>
          </w:p>
        </w:tc>
        <w:tc>
          <w:tcPr>
            <w:tcW w:w="1530" w:type="dxa"/>
            <w:noWrap/>
            <w:vAlign w:val="top"/>
          </w:tcPr>
          <w:p w14:paraId="0613AB97" w14:textId="20798FF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47.7%</w:t>
            </w:r>
          </w:p>
        </w:tc>
        <w:tc>
          <w:tcPr>
            <w:tcW w:w="1440" w:type="dxa"/>
            <w:noWrap/>
            <w:vAlign w:val="top"/>
          </w:tcPr>
          <w:p w14:paraId="3BAA7EF2" w14:textId="2D77685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177.52</w:t>
            </w:r>
          </w:p>
        </w:tc>
        <w:tc>
          <w:tcPr>
            <w:tcW w:w="1440" w:type="dxa"/>
            <w:noWrap/>
            <w:vAlign w:val="top"/>
          </w:tcPr>
          <w:p w14:paraId="16D4E182" w14:textId="1695C92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373.83</w:t>
            </w:r>
          </w:p>
        </w:tc>
        <w:tc>
          <w:tcPr>
            <w:tcW w:w="1440" w:type="dxa"/>
            <w:noWrap/>
            <w:vAlign w:val="top"/>
          </w:tcPr>
          <w:p w14:paraId="7FDBF8A9" w14:textId="1FE4E19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47.5%</w:t>
            </w:r>
          </w:p>
        </w:tc>
      </w:tr>
      <w:tr w:rsidR="00AF5B5B" w:rsidRPr="006253A9" w14:paraId="45AA69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2D1D8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0202</w:t>
            </w:r>
          </w:p>
        </w:tc>
        <w:tc>
          <w:tcPr>
            <w:tcW w:w="2880" w:type="dxa"/>
            <w:noWrap/>
            <w:hideMark/>
          </w:tcPr>
          <w:p w14:paraId="15D2A16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Braintree</w:t>
            </w:r>
          </w:p>
        </w:tc>
        <w:tc>
          <w:tcPr>
            <w:tcW w:w="1479" w:type="dxa"/>
            <w:noWrap/>
            <w:vAlign w:val="top"/>
          </w:tcPr>
          <w:p w14:paraId="4C86D2B2" w14:textId="0CB0CB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0.98</w:t>
            </w:r>
          </w:p>
        </w:tc>
        <w:tc>
          <w:tcPr>
            <w:tcW w:w="1440" w:type="dxa"/>
            <w:noWrap/>
            <w:vAlign w:val="top"/>
          </w:tcPr>
          <w:p w14:paraId="6B4DCE2E" w14:textId="558457F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1.70</w:t>
            </w:r>
          </w:p>
        </w:tc>
        <w:tc>
          <w:tcPr>
            <w:tcW w:w="1530" w:type="dxa"/>
            <w:noWrap/>
            <w:vAlign w:val="top"/>
          </w:tcPr>
          <w:p w14:paraId="22EB9A8C" w14:textId="3123C11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57.3%</w:t>
            </w:r>
          </w:p>
        </w:tc>
        <w:tc>
          <w:tcPr>
            <w:tcW w:w="1440" w:type="dxa"/>
            <w:noWrap/>
            <w:vAlign w:val="top"/>
          </w:tcPr>
          <w:p w14:paraId="4394ACA0" w14:textId="6FCFFE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1.37</w:t>
            </w:r>
          </w:p>
        </w:tc>
        <w:tc>
          <w:tcPr>
            <w:tcW w:w="1440" w:type="dxa"/>
            <w:noWrap/>
            <w:vAlign w:val="top"/>
          </w:tcPr>
          <w:p w14:paraId="39AF3FB5" w14:textId="511BE0B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2.41</w:t>
            </w:r>
          </w:p>
        </w:tc>
        <w:tc>
          <w:tcPr>
            <w:tcW w:w="1440" w:type="dxa"/>
            <w:noWrap/>
            <w:vAlign w:val="top"/>
          </w:tcPr>
          <w:p w14:paraId="132BC478" w14:textId="3B773F7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56.8%</w:t>
            </w:r>
          </w:p>
        </w:tc>
      </w:tr>
      <w:tr w:rsidR="00AF5B5B" w:rsidRPr="006253A9" w14:paraId="403DB7C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95A9F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0203</w:t>
            </w:r>
          </w:p>
        </w:tc>
        <w:tc>
          <w:tcPr>
            <w:tcW w:w="2880" w:type="dxa"/>
            <w:noWrap/>
            <w:hideMark/>
          </w:tcPr>
          <w:p w14:paraId="49A6A5D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Newbury</w:t>
            </w:r>
          </w:p>
        </w:tc>
        <w:tc>
          <w:tcPr>
            <w:tcW w:w="1479" w:type="dxa"/>
            <w:noWrap/>
            <w:vAlign w:val="top"/>
          </w:tcPr>
          <w:p w14:paraId="1935615B" w14:textId="2FD3952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7.39</w:t>
            </w:r>
          </w:p>
        </w:tc>
        <w:tc>
          <w:tcPr>
            <w:tcW w:w="1440" w:type="dxa"/>
            <w:noWrap/>
            <w:vAlign w:val="top"/>
          </w:tcPr>
          <w:p w14:paraId="2FE4ACA3" w14:textId="3F3DB0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15.74</w:t>
            </w:r>
          </w:p>
        </w:tc>
        <w:tc>
          <w:tcPr>
            <w:tcW w:w="1530" w:type="dxa"/>
            <w:noWrap/>
            <w:vAlign w:val="top"/>
          </w:tcPr>
          <w:p w14:paraId="72BFB51D" w14:textId="62B2FF7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46.9%</w:t>
            </w:r>
          </w:p>
        </w:tc>
        <w:tc>
          <w:tcPr>
            <w:tcW w:w="1440" w:type="dxa"/>
            <w:noWrap/>
            <w:vAlign w:val="top"/>
          </w:tcPr>
          <w:p w14:paraId="3F9419D0" w14:textId="5894AB2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9.70</w:t>
            </w:r>
          </w:p>
        </w:tc>
        <w:tc>
          <w:tcPr>
            <w:tcW w:w="1440" w:type="dxa"/>
            <w:noWrap/>
            <w:vAlign w:val="top"/>
          </w:tcPr>
          <w:p w14:paraId="2FAF1934" w14:textId="20982D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20.65</w:t>
            </w:r>
          </w:p>
        </w:tc>
        <w:tc>
          <w:tcPr>
            <w:tcW w:w="1440" w:type="dxa"/>
            <w:noWrap/>
            <w:vAlign w:val="top"/>
          </w:tcPr>
          <w:p w14:paraId="6B66B528" w14:textId="6FA0515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47.0%</w:t>
            </w:r>
          </w:p>
        </w:tc>
      </w:tr>
      <w:tr w:rsidR="00AF5B5B" w:rsidRPr="006253A9" w14:paraId="2972CB4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ABF45C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0204</w:t>
            </w:r>
          </w:p>
        </w:tc>
        <w:tc>
          <w:tcPr>
            <w:tcW w:w="2880" w:type="dxa"/>
            <w:noWrap/>
            <w:hideMark/>
          </w:tcPr>
          <w:p w14:paraId="36E39A0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Newburyport</w:t>
            </w:r>
          </w:p>
        </w:tc>
        <w:tc>
          <w:tcPr>
            <w:tcW w:w="1479" w:type="dxa"/>
            <w:noWrap/>
            <w:vAlign w:val="top"/>
          </w:tcPr>
          <w:p w14:paraId="54992974" w14:textId="56BF963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25.17</w:t>
            </w:r>
          </w:p>
        </w:tc>
        <w:tc>
          <w:tcPr>
            <w:tcW w:w="1440" w:type="dxa"/>
            <w:noWrap/>
            <w:vAlign w:val="top"/>
          </w:tcPr>
          <w:p w14:paraId="12D82D59" w14:textId="1F6704C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52.01</w:t>
            </w:r>
          </w:p>
        </w:tc>
        <w:tc>
          <w:tcPr>
            <w:tcW w:w="1530" w:type="dxa"/>
            <w:noWrap/>
            <w:vAlign w:val="top"/>
          </w:tcPr>
          <w:p w14:paraId="0A505985" w14:textId="68A9E1A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48.4%</w:t>
            </w:r>
          </w:p>
        </w:tc>
        <w:tc>
          <w:tcPr>
            <w:tcW w:w="1440" w:type="dxa"/>
            <w:noWrap/>
            <w:vAlign w:val="top"/>
          </w:tcPr>
          <w:p w14:paraId="478700E8" w14:textId="67BC15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38.70</w:t>
            </w:r>
          </w:p>
        </w:tc>
        <w:tc>
          <w:tcPr>
            <w:tcW w:w="1440" w:type="dxa"/>
            <w:noWrap/>
            <w:vAlign w:val="top"/>
          </w:tcPr>
          <w:p w14:paraId="213AA9F6" w14:textId="6410A0C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82.70</w:t>
            </w:r>
          </w:p>
        </w:tc>
        <w:tc>
          <w:tcPr>
            <w:tcW w:w="1440" w:type="dxa"/>
            <w:noWrap/>
            <w:vAlign w:val="top"/>
          </w:tcPr>
          <w:p w14:paraId="62970880" w14:textId="6755EA7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46.8%</w:t>
            </w:r>
          </w:p>
        </w:tc>
      </w:tr>
      <w:tr w:rsidR="00AF5B5B" w:rsidRPr="006253A9" w14:paraId="412E0CB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EE66E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0205</w:t>
            </w:r>
          </w:p>
        </w:tc>
        <w:tc>
          <w:tcPr>
            <w:tcW w:w="2880" w:type="dxa"/>
            <w:noWrap/>
            <w:hideMark/>
          </w:tcPr>
          <w:p w14:paraId="5BEF41A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Marlborough</w:t>
            </w:r>
          </w:p>
        </w:tc>
        <w:tc>
          <w:tcPr>
            <w:tcW w:w="1479" w:type="dxa"/>
            <w:noWrap/>
            <w:vAlign w:val="top"/>
          </w:tcPr>
          <w:p w14:paraId="04B770CE" w14:textId="0CEC192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1.79</w:t>
            </w:r>
          </w:p>
        </w:tc>
        <w:tc>
          <w:tcPr>
            <w:tcW w:w="1440" w:type="dxa"/>
            <w:noWrap/>
            <w:vAlign w:val="top"/>
          </w:tcPr>
          <w:p w14:paraId="0C6F31FB" w14:textId="7CB23E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3.53</w:t>
            </w:r>
          </w:p>
        </w:tc>
        <w:tc>
          <w:tcPr>
            <w:tcW w:w="1530" w:type="dxa"/>
            <w:noWrap/>
            <w:vAlign w:val="top"/>
          </w:tcPr>
          <w:p w14:paraId="20DD24EE" w14:textId="540E500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50.9%</w:t>
            </w:r>
          </w:p>
        </w:tc>
        <w:tc>
          <w:tcPr>
            <w:tcW w:w="1440" w:type="dxa"/>
            <w:noWrap/>
            <w:vAlign w:val="top"/>
          </w:tcPr>
          <w:p w14:paraId="5EDE8185" w14:textId="25F0A6C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2.84</w:t>
            </w:r>
          </w:p>
        </w:tc>
        <w:tc>
          <w:tcPr>
            <w:tcW w:w="1440" w:type="dxa"/>
            <w:noWrap/>
            <w:vAlign w:val="top"/>
          </w:tcPr>
          <w:p w14:paraId="191BBAF6" w14:textId="25ECBC3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5.80</w:t>
            </w:r>
          </w:p>
        </w:tc>
        <w:tc>
          <w:tcPr>
            <w:tcW w:w="1440" w:type="dxa"/>
            <w:noWrap/>
            <w:vAlign w:val="top"/>
          </w:tcPr>
          <w:p w14:paraId="57E03B91" w14:textId="44A8D48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49.0%</w:t>
            </w:r>
          </w:p>
        </w:tc>
      </w:tr>
      <w:tr w:rsidR="00AF5B5B" w:rsidRPr="006253A9" w14:paraId="1FB3C6F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EAB48D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0206</w:t>
            </w:r>
          </w:p>
        </w:tc>
        <w:tc>
          <w:tcPr>
            <w:tcW w:w="2880" w:type="dxa"/>
            <w:noWrap/>
            <w:hideMark/>
          </w:tcPr>
          <w:p w14:paraId="2C15161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 Salem</w:t>
            </w:r>
          </w:p>
        </w:tc>
        <w:tc>
          <w:tcPr>
            <w:tcW w:w="1479" w:type="dxa"/>
            <w:noWrap/>
            <w:vAlign w:val="top"/>
          </w:tcPr>
          <w:p w14:paraId="3FFDA24F" w14:textId="04C2282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1.10</w:t>
            </w:r>
          </w:p>
        </w:tc>
        <w:tc>
          <w:tcPr>
            <w:tcW w:w="1440" w:type="dxa"/>
            <w:noWrap/>
            <w:vAlign w:val="top"/>
          </w:tcPr>
          <w:p w14:paraId="004899C1" w14:textId="2556B83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1.89</w:t>
            </w:r>
          </w:p>
        </w:tc>
        <w:tc>
          <w:tcPr>
            <w:tcW w:w="1530" w:type="dxa"/>
            <w:noWrap/>
            <w:vAlign w:val="top"/>
          </w:tcPr>
          <w:p w14:paraId="7C3F278C" w14:textId="319B838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58.3%</w:t>
            </w:r>
          </w:p>
        </w:tc>
        <w:tc>
          <w:tcPr>
            <w:tcW w:w="1440" w:type="dxa"/>
            <w:noWrap/>
            <w:vAlign w:val="top"/>
          </w:tcPr>
          <w:p w14:paraId="1DDD2D09" w14:textId="09E9005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1.61</w:t>
            </w:r>
          </w:p>
        </w:tc>
        <w:tc>
          <w:tcPr>
            <w:tcW w:w="1440" w:type="dxa"/>
            <w:noWrap/>
            <w:vAlign w:val="top"/>
          </w:tcPr>
          <w:p w14:paraId="491567D8" w14:textId="36B5DE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3.03</w:t>
            </w:r>
          </w:p>
        </w:tc>
        <w:tc>
          <w:tcPr>
            <w:tcW w:w="1440" w:type="dxa"/>
            <w:noWrap/>
            <w:vAlign w:val="top"/>
          </w:tcPr>
          <w:p w14:paraId="553D9E70" w14:textId="4AAF348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53.2%</w:t>
            </w:r>
          </w:p>
        </w:tc>
      </w:tr>
      <w:tr w:rsidR="00AF5B5B" w:rsidRPr="006253A9" w14:paraId="3E4DD9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E4BC3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0207</w:t>
            </w:r>
          </w:p>
        </w:tc>
        <w:tc>
          <w:tcPr>
            <w:tcW w:w="2880" w:type="dxa"/>
            <w:noWrap/>
            <w:hideMark/>
          </w:tcPr>
          <w:p w14:paraId="38152C3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Newton</w:t>
            </w:r>
          </w:p>
        </w:tc>
        <w:tc>
          <w:tcPr>
            <w:tcW w:w="1479" w:type="dxa"/>
            <w:noWrap/>
            <w:vAlign w:val="top"/>
          </w:tcPr>
          <w:p w14:paraId="1F4E60EC" w14:textId="4F8841D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145.98</w:t>
            </w:r>
          </w:p>
        </w:tc>
        <w:tc>
          <w:tcPr>
            <w:tcW w:w="1440" w:type="dxa"/>
            <w:noWrap/>
            <w:vAlign w:val="top"/>
          </w:tcPr>
          <w:p w14:paraId="1CE90BE3" w14:textId="33B24FB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281.61</w:t>
            </w:r>
          </w:p>
        </w:tc>
        <w:tc>
          <w:tcPr>
            <w:tcW w:w="1530" w:type="dxa"/>
            <w:noWrap/>
            <w:vAlign w:val="top"/>
          </w:tcPr>
          <w:p w14:paraId="3379C840" w14:textId="2D63AFD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51.8%</w:t>
            </w:r>
          </w:p>
        </w:tc>
        <w:tc>
          <w:tcPr>
            <w:tcW w:w="1440" w:type="dxa"/>
            <w:noWrap/>
            <w:vAlign w:val="top"/>
          </w:tcPr>
          <w:p w14:paraId="62040F59" w14:textId="7515460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230.43</w:t>
            </w:r>
          </w:p>
        </w:tc>
        <w:tc>
          <w:tcPr>
            <w:tcW w:w="1440" w:type="dxa"/>
            <w:noWrap/>
            <w:vAlign w:val="top"/>
          </w:tcPr>
          <w:p w14:paraId="50CDA9D7" w14:textId="6ABF97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460.11</w:t>
            </w:r>
          </w:p>
        </w:tc>
        <w:tc>
          <w:tcPr>
            <w:tcW w:w="1440" w:type="dxa"/>
            <w:noWrap/>
            <w:vAlign w:val="top"/>
          </w:tcPr>
          <w:p w14:paraId="7CF97525" w14:textId="52104B8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50.1%</w:t>
            </w:r>
          </w:p>
        </w:tc>
      </w:tr>
      <w:tr w:rsidR="00AF5B5B" w:rsidRPr="006253A9" w14:paraId="246246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B926B3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0208</w:t>
            </w:r>
          </w:p>
        </w:tc>
        <w:tc>
          <w:tcPr>
            <w:tcW w:w="2880" w:type="dxa"/>
            <w:noWrap/>
            <w:hideMark/>
          </w:tcPr>
          <w:p w14:paraId="4B2725B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Norfolk</w:t>
            </w:r>
          </w:p>
        </w:tc>
        <w:tc>
          <w:tcPr>
            <w:tcW w:w="1479" w:type="dxa"/>
            <w:noWrap/>
            <w:vAlign w:val="top"/>
          </w:tcPr>
          <w:p w14:paraId="37DDF0E9" w14:textId="3BAD9F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16.20</w:t>
            </w:r>
          </w:p>
        </w:tc>
        <w:tc>
          <w:tcPr>
            <w:tcW w:w="1440" w:type="dxa"/>
            <w:noWrap/>
            <w:vAlign w:val="top"/>
          </w:tcPr>
          <w:p w14:paraId="586FECEA" w14:textId="21DE966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28.58</w:t>
            </w:r>
          </w:p>
        </w:tc>
        <w:tc>
          <w:tcPr>
            <w:tcW w:w="1530" w:type="dxa"/>
            <w:noWrap/>
            <w:vAlign w:val="top"/>
          </w:tcPr>
          <w:p w14:paraId="58E0B7C8" w14:textId="002A845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56.7%</w:t>
            </w:r>
          </w:p>
        </w:tc>
        <w:tc>
          <w:tcPr>
            <w:tcW w:w="1440" w:type="dxa"/>
            <w:noWrap/>
            <w:vAlign w:val="top"/>
          </w:tcPr>
          <w:p w14:paraId="3FF74747" w14:textId="37BA2C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23.78</w:t>
            </w:r>
          </w:p>
        </w:tc>
        <w:tc>
          <w:tcPr>
            <w:tcW w:w="1440" w:type="dxa"/>
            <w:noWrap/>
            <w:vAlign w:val="top"/>
          </w:tcPr>
          <w:p w14:paraId="0C763D8C" w14:textId="54C058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44.08</w:t>
            </w:r>
          </w:p>
        </w:tc>
        <w:tc>
          <w:tcPr>
            <w:tcW w:w="1440" w:type="dxa"/>
            <w:noWrap/>
            <w:vAlign w:val="top"/>
          </w:tcPr>
          <w:p w14:paraId="2F23D3AA" w14:textId="3A7AFB8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53.9%</w:t>
            </w:r>
          </w:p>
        </w:tc>
      </w:tr>
      <w:tr w:rsidR="00AF5B5B" w:rsidRPr="006253A9" w14:paraId="5BA2EE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9317CD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0209</w:t>
            </w:r>
          </w:p>
        </w:tc>
        <w:tc>
          <w:tcPr>
            <w:tcW w:w="2880" w:type="dxa"/>
            <w:noWrap/>
            <w:hideMark/>
          </w:tcPr>
          <w:p w14:paraId="2A8EA93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Adams</w:t>
            </w:r>
          </w:p>
        </w:tc>
        <w:tc>
          <w:tcPr>
            <w:tcW w:w="1479" w:type="dxa"/>
            <w:noWrap/>
            <w:vAlign w:val="top"/>
          </w:tcPr>
          <w:p w14:paraId="3DFE2813" w14:textId="07D8F72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20.91</w:t>
            </w:r>
          </w:p>
        </w:tc>
        <w:tc>
          <w:tcPr>
            <w:tcW w:w="1440" w:type="dxa"/>
            <w:noWrap/>
            <w:vAlign w:val="top"/>
          </w:tcPr>
          <w:p w14:paraId="5A54483A" w14:textId="2E0B5A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41.98</w:t>
            </w:r>
          </w:p>
        </w:tc>
        <w:tc>
          <w:tcPr>
            <w:tcW w:w="1530" w:type="dxa"/>
            <w:noWrap/>
            <w:vAlign w:val="top"/>
          </w:tcPr>
          <w:p w14:paraId="6E63C56A" w14:textId="40AB178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49.8%</w:t>
            </w:r>
          </w:p>
        </w:tc>
        <w:tc>
          <w:tcPr>
            <w:tcW w:w="1440" w:type="dxa"/>
            <w:noWrap/>
            <w:vAlign w:val="top"/>
          </w:tcPr>
          <w:p w14:paraId="04996660" w14:textId="040C73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22.39</w:t>
            </w:r>
          </w:p>
        </w:tc>
        <w:tc>
          <w:tcPr>
            <w:tcW w:w="1440" w:type="dxa"/>
            <w:noWrap/>
            <w:vAlign w:val="top"/>
          </w:tcPr>
          <w:p w14:paraId="0BF935E3" w14:textId="329E7D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48.19</w:t>
            </w:r>
          </w:p>
        </w:tc>
        <w:tc>
          <w:tcPr>
            <w:tcW w:w="1440" w:type="dxa"/>
            <w:noWrap/>
            <w:vAlign w:val="top"/>
          </w:tcPr>
          <w:p w14:paraId="7295041A" w14:textId="6406073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46.4%</w:t>
            </w:r>
          </w:p>
        </w:tc>
      </w:tr>
      <w:tr w:rsidR="00AF5B5B" w:rsidRPr="006253A9" w14:paraId="75BBBB7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4A0465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0210</w:t>
            </w:r>
          </w:p>
        </w:tc>
        <w:tc>
          <w:tcPr>
            <w:tcW w:w="2880" w:type="dxa"/>
            <w:noWrap/>
            <w:hideMark/>
          </w:tcPr>
          <w:p w14:paraId="63B6A96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Northampton</w:t>
            </w:r>
          </w:p>
        </w:tc>
        <w:tc>
          <w:tcPr>
            <w:tcW w:w="1479" w:type="dxa"/>
            <w:noWrap/>
            <w:vAlign w:val="top"/>
          </w:tcPr>
          <w:p w14:paraId="718CD629" w14:textId="428EA45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28.15</w:t>
            </w:r>
          </w:p>
        </w:tc>
        <w:tc>
          <w:tcPr>
            <w:tcW w:w="1440" w:type="dxa"/>
            <w:noWrap/>
            <w:vAlign w:val="top"/>
          </w:tcPr>
          <w:p w14:paraId="4300E0A0" w14:textId="5D9174B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68.74</w:t>
            </w:r>
          </w:p>
        </w:tc>
        <w:tc>
          <w:tcPr>
            <w:tcW w:w="1530" w:type="dxa"/>
            <w:noWrap/>
            <w:vAlign w:val="top"/>
          </w:tcPr>
          <w:p w14:paraId="13B62C2D" w14:textId="667B81C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41.0%</w:t>
            </w:r>
          </w:p>
        </w:tc>
        <w:tc>
          <w:tcPr>
            <w:tcW w:w="1440" w:type="dxa"/>
            <w:noWrap/>
            <w:vAlign w:val="top"/>
          </w:tcPr>
          <w:p w14:paraId="4EC969DA" w14:textId="0ED193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38.72</w:t>
            </w:r>
          </w:p>
        </w:tc>
        <w:tc>
          <w:tcPr>
            <w:tcW w:w="1440" w:type="dxa"/>
            <w:noWrap/>
            <w:vAlign w:val="top"/>
          </w:tcPr>
          <w:p w14:paraId="1FEEB02E" w14:textId="496C46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95.75</w:t>
            </w:r>
          </w:p>
        </w:tc>
        <w:tc>
          <w:tcPr>
            <w:tcW w:w="1440" w:type="dxa"/>
            <w:noWrap/>
            <w:vAlign w:val="top"/>
          </w:tcPr>
          <w:p w14:paraId="22E9A257" w14:textId="39047B8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40.4%</w:t>
            </w:r>
          </w:p>
        </w:tc>
      </w:tr>
      <w:tr w:rsidR="00AF5B5B" w:rsidRPr="006253A9" w14:paraId="5CFE36A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E13296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0211</w:t>
            </w:r>
          </w:p>
        </w:tc>
        <w:tc>
          <w:tcPr>
            <w:tcW w:w="2880" w:type="dxa"/>
            <w:noWrap/>
            <w:hideMark/>
          </w:tcPr>
          <w:p w14:paraId="002853B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Andover</w:t>
            </w:r>
          </w:p>
        </w:tc>
        <w:tc>
          <w:tcPr>
            <w:tcW w:w="1479" w:type="dxa"/>
            <w:noWrap/>
            <w:vAlign w:val="top"/>
          </w:tcPr>
          <w:p w14:paraId="2620AAFD" w14:textId="597858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38.98</w:t>
            </w:r>
          </w:p>
        </w:tc>
        <w:tc>
          <w:tcPr>
            <w:tcW w:w="1440" w:type="dxa"/>
            <w:noWrap/>
            <w:vAlign w:val="top"/>
          </w:tcPr>
          <w:p w14:paraId="4E4C6A07" w14:textId="2BC1AD9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77.50</w:t>
            </w:r>
          </w:p>
        </w:tc>
        <w:tc>
          <w:tcPr>
            <w:tcW w:w="1530" w:type="dxa"/>
            <w:noWrap/>
            <w:vAlign w:val="top"/>
          </w:tcPr>
          <w:p w14:paraId="648C66A8" w14:textId="38F60A4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50.3%</w:t>
            </w:r>
          </w:p>
        </w:tc>
        <w:tc>
          <w:tcPr>
            <w:tcW w:w="1440" w:type="dxa"/>
            <w:noWrap/>
            <w:vAlign w:val="top"/>
          </w:tcPr>
          <w:p w14:paraId="794B2C3F" w14:textId="2723A5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58.20</w:t>
            </w:r>
          </w:p>
        </w:tc>
        <w:tc>
          <w:tcPr>
            <w:tcW w:w="1440" w:type="dxa"/>
            <w:noWrap/>
            <w:vAlign w:val="top"/>
          </w:tcPr>
          <w:p w14:paraId="53ED5855" w14:textId="3A73E4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105.87</w:t>
            </w:r>
          </w:p>
        </w:tc>
        <w:tc>
          <w:tcPr>
            <w:tcW w:w="1440" w:type="dxa"/>
            <w:noWrap/>
            <w:vAlign w:val="top"/>
          </w:tcPr>
          <w:p w14:paraId="5362A100" w14:textId="27363CB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55.0%</w:t>
            </w:r>
          </w:p>
        </w:tc>
      </w:tr>
      <w:tr w:rsidR="00AF5B5B" w:rsidRPr="006253A9" w14:paraId="69179C6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F8420F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0212</w:t>
            </w:r>
          </w:p>
        </w:tc>
        <w:tc>
          <w:tcPr>
            <w:tcW w:w="2880" w:type="dxa"/>
            <w:noWrap/>
            <w:hideMark/>
          </w:tcPr>
          <w:p w14:paraId="2AF0FA8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Attleborough</w:t>
            </w:r>
          </w:p>
        </w:tc>
        <w:tc>
          <w:tcPr>
            <w:tcW w:w="1479" w:type="dxa"/>
            <w:noWrap/>
            <w:vAlign w:val="top"/>
          </w:tcPr>
          <w:p w14:paraId="79C79DE6" w14:textId="368AEF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43.10</w:t>
            </w:r>
          </w:p>
        </w:tc>
        <w:tc>
          <w:tcPr>
            <w:tcW w:w="1440" w:type="dxa"/>
            <w:noWrap/>
            <w:vAlign w:val="top"/>
          </w:tcPr>
          <w:p w14:paraId="7A017BBC" w14:textId="6DEE998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78.79</w:t>
            </w:r>
          </w:p>
        </w:tc>
        <w:tc>
          <w:tcPr>
            <w:tcW w:w="1530" w:type="dxa"/>
            <w:noWrap/>
            <w:vAlign w:val="top"/>
          </w:tcPr>
          <w:p w14:paraId="25F4CCD1" w14:textId="012AAA2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54.7%</w:t>
            </w:r>
          </w:p>
        </w:tc>
        <w:tc>
          <w:tcPr>
            <w:tcW w:w="1440" w:type="dxa"/>
            <w:noWrap/>
            <w:vAlign w:val="top"/>
          </w:tcPr>
          <w:p w14:paraId="3B622898" w14:textId="126BC9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56.78</w:t>
            </w:r>
          </w:p>
        </w:tc>
        <w:tc>
          <w:tcPr>
            <w:tcW w:w="1440" w:type="dxa"/>
            <w:noWrap/>
            <w:vAlign w:val="top"/>
          </w:tcPr>
          <w:p w14:paraId="3FBC31AD" w14:textId="4F02662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101.91</w:t>
            </w:r>
          </w:p>
        </w:tc>
        <w:tc>
          <w:tcPr>
            <w:tcW w:w="1440" w:type="dxa"/>
            <w:noWrap/>
            <w:vAlign w:val="top"/>
          </w:tcPr>
          <w:p w14:paraId="31CA8740" w14:textId="0F8AB5A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55.7%</w:t>
            </w:r>
          </w:p>
        </w:tc>
      </w:tr>
      <w:tr w:rsidR="00AF5B5B" w:rsidRPr="006253A9" w14:paraId="6DCB83A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9D70A2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0213</w:t>
            </w:r>
          </w:p>
        </w:tc>
        <w:tc>
          <w:tcPr>
            <w:tcW w:w="2880" w:type="dxa"/>
            <w:noWrap/>
            <w:hideMark/>
          </w:tcPr>
          <w:p w14:paraId="59AC8C7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Northborough</w:t>
            </w:r>
          </w:p>
        </w:tc>
        <w:tc>
          <w:tcPr>
            <w:tcW w:w="1479" w:type="dxa"/>
            <w:noWrap/>
            <w:vAlign w:val="top"/>
          </w:tcPr>
          <w:p w14:paraId="4B95DACB" w14:textId="3ED99C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28.37</w:t>
            </w:r>
          </w:p>
        </w:tc>
        <w:tc>
          <w:tcPr>
            <w:tcW w:w="1440" w:type="dxa"/>
            <w:noWrap/>
            <w:vAlign w:val="top"/>
          </w:tcPr>
          <w:p w14:paraId="4EF7799C" w14:textId="11D3D8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42.87</w:t>
            </w:r>
          </w:p>
        </w:tc>
        <w:tc>
          <w:tcPr>
            <w:tcW w:w="1530" w:type="dxa"/>
            <w:noWrap/>
            <w:vAlign w:val="top"/>
          </w:tcPr>
          <w:p w14:paraId="070123AD" w14:textId="5D35638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66.2%</w:t>
            </w:r>
          </w:p>
        </w:tc>
        <w:tc>
          <w:tcPr>
            <w:tcW w:w="1440" w:type="dxa"/>
            <w:noWrap/>
            <w:vAlign w:val="top"/>
          </w:tcPr>
          <w:p w14:paraId="51C25AB2" w14:textId="5CB577F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40.21</w:t>
            </w:r>
          </w:p>
        </w:tc>
        <w:tc>
          <w:tcPr>
            <w:tcW w:w="1440" w:type="dxa"/>
            <w:noWrap/>
            <w:vAlign w:val="top"/>
          </w:tcPr>
          <w:p w14:paraId="281E3702" w14:textId="1CDA3F1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64.88</w:t>
            </w:r>
          </w:p>
        </w:tc>
        <w:tc>
          <w:tcPr>
            <w:tcW w:w="1440" w:type="dxa"/>
            <w:noWrap/>
            <w:vAlign w:val="top"/>
          </w:tcPr>
          <w:p w14:paraId="2A310120" w14:textId="079E4B7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62.0%</w:t>
            </w:r>
          </w:p>
        </w:tc>
      </w:tr>
      <w:tr w:rsidR="00AF5B5B" w:rsidRPr="006253A9" w14:paraId="2E65E1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85C64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0214</w:t>
            </w:r>
          </w:p>
        </w:tc>
        <w:tc>
          <w:tcPr>
            <w:tcW w:w="2880" w:type="dxa"/>
            <w:noWrap/>
            <w:hideMark/>
          </w:tcPr>
          <w:p w14:paraId="2E1559E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Northbridge</w:t>
            </w:r>
          </w:p>
        </w:tc>
        <w:tc>
          <w:tcPr>
            <w:tcW w:w="1479" w:type="dxa"/>
            <w:noWrap/>
            <w:vAlign w:val="top"/>
          </w:tcPr>
          <w:p w14:paraId="0426DC45" w14:textId="3F4D043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24.45</w:t>
            </w:r>
          </w:p>
        </w:tc>
        <w:tc>
          <w:tcPr>
            <w:tcW w:w="1440" w:type="dxa"/>
            <w:noWrap/>
            <w:vAlign w:val="top"/>
          </w:tcPr>
          <w:p w14:paraId="61DD0560" w14:textId="232995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41.79</w:t>
            </w:r>
          </w:p>
        </w:tc>
        <w:tc>
          <w:tcPr>
            <w:tcW w:w="1530" w:type="dxa"/>
            <w:noWrap/>
            <w:vAlign w:val="top"/>
          </w:tcPr>
          <w:p w14:paraId="77242A8F" w14:textId="240257C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58.5%</w:t>
            </w:r>
          </w:p>
        </w:tc>
        <w:tc>
          <w:tcPr>
            <w:tcW w:w="1440" w:type="dxa"/>
            <w:noWrap/>
            <w:vAlign w:val="top"/>
          </w:tcPr>
          <w:p w14:paraId="4181A55D" w14:textId="65AB28F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30.13</w:t>
            </w:r>
          </w:p>
        </w:tc>
        <w:tc>
          <w:tcPr>
            <w:tcW w:w="1440" w:type="dxa"/>
            <w:noWrap/>
            <w:vAlign w:val="top"/>
          </w:tcPr>
          <w:p w14:paraId="25B1AC8A" w14:textId="1752A4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48.56</w:t>
            </w:r>
          </w:p>
        </w:tc>
        <w:tc>
          <w:tcPr>
            <w:tcW w:w="1440" w:type="dxa"/>
            <w:noWrap/>
            <w:vAlign w:val="top"/>
          </w:tcPr>
          <w:p w14:paraId="2C34F61D" w14:textId="0BE7C86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62.0%</w:t>
            </w:r>
          </w:p>
        </w:tc>
      </w:tr>
      <w:tr w:rsidR="00AF5B5B" w:rsidRPr="006253A9" w14:paraId="5740E55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59A18B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0215</w:t>
            </w:r>
          </w:p>
        </w:tc>
        <w:tc>
          <w:tcPr>
            <w:tcW w:w="2880" w:type="dxa"/>
            <w:noWrap/>
            <w:hideMark/>
          </w:tcPr>
          <w:p w14:paraId="53B324D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Brookfield</w:t>
            </w:r>
          </w:p>
        </w:tc>
        <w:tc>
          <w:tcPr>
            <w:tcW w:w="1479" w:type="dxa"/>
            <w:noWrap/>
            <w:vAlign w:val="top"/>
          </w:tcPr>
          <w:p w14:paraId="1A98DEFD" w14:textId="348C8D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7.05</w:t>
            </w:r>
          </w:p>
        </w:tc>
        <w:tc>
          <w:tcPr>
            <w:tcW w:w="1440" w:type="dxa"/>
            <w:noWrap/>
            <w:vAlign w:val="top"/>
          </w:tcPr>
          <w:p w14:paraId="75AF610E" w14:textId="11A9B6A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12.33</w:t>
            </w:r>
          </w:p>
        </w:tc>
        <w:tc>
          <w:tcPr>
            <w:tcW w:w="1530" w:type="dxa"/>
            <w:noWrap/>
            <w:vAlign w:val="top"/>
          </w:tcPr>
          <w:p w14:paraId="642B4B6C" w14:textId="79649AD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57.2%</w:t>
            </w:r>
          </w:p>
        </w:tc>
        <w:tc>
          <w:tcPr>
            <w:tcW w:w="1440" w:type="dxa"/>
            <w:noWrap/>
            <w:vAlign w:val="top"/>
          </w:tcPr>
          <w:p w14:paraId="6BF95974" w14:textId="21616AB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8.21</w:t>
            </w:r>
          </w:p>
        </w:tc>
        <w:tc>
          <w:tcPr>
            <w:tcW w:w="1440" w:type="dxa"/>
            <w:noWrap/>
            <w:vAlign w:val="top"/>
          </w:tcPr>
          <w:p w14:paraId="57E9B492" w14:textId="4AD167E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15.13</w:t>
            </w:r>
          </w:p>
        </w:tc>
        <w:tc>
          <w:tcPr>
            <w:tcW w:w="1440" w:type="dxa"/>
            <w:noWrap/>
            <w:vAlign w:val="top"/>
          </w:tcPr>
          <w:p w14:paraId="3BC12193" w14:textId="2495B85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54.3%</w:t>
            </w:r>
          </w:p>
        </w:tc>
      </w:tr>
      <w:tr w:rsidR="00AF5B5B" w:rsidRPr="006253A9" w14:paraId="0E7E7D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AC348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0216</w:t>
            </w:r>
          </w:p>
        </w:tc>
        <w:tc>
          <w:tcPr>
            <w:tcW w:w="2880" w:type="dxa"/>
            <w:noWrap/>
            <w:hideMark/>
          </w:tcPr>
          <w:p w14:paraId="3C6899D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Northfield</w:t>
            </w:r>
          </w:p>
        </w:tc>
        <w:tc>
          <w:tcPr>
            <w:tcW w:w="1479" w:type="dxa"/>
            <w:noWrap/>
            <w:vAlign w:val="top"/>
          </w:tcPr>
          <w:p w14:paraId="13E2320F" w14:textId="3A11B35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3.74</w:t>
            </w:r>
          </w:p>
        </w:tc>
        <w:tc>
          <w:tcPr>
            <w:tcW w:w="1440" w:type="dxa"/>
            <w:noWrap/>
            <w:vAlign w:val="top"/>
          </w:tcPr>
          <w:p w14:paraId="67A72D55" w14:textId="675C73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6.13</w:t>
            </w:r>
          </w:p>
        </w:tc>
        <w:tc>
          <w:tcPr>
            <w:tcW w:w="1530" w:type="dxa"/>
            <w:noWrap/>
            <w:vAlign w:val="top"/>
          </w:tcPr>
          <w:p w14:paraId="13830573" w14:textId="15171C0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61.0%</w:t>
            </w:r>
          </w:p>
        </w:tc>
        <w:tc>
          <w:tcPr>
            <w:tcW w:w="1440" w:type="dxa"/>
            <w:noWrap/>
            <w:vAlign w:val="top"/>
          </w:tcPr>
          <w:p w14:paraId="2474D203" w14:textId="1B74C7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5.28</w:t>
            </w:r>
          </w:p>
        </w:tc>
        <w:tc>
          <w:tcPr>
            <w:tcW w:w="1440" w:type="dxa"/>
            <w:noWrap/>
            <w:vAlign w:val="top"/>
          </w:tcPr>
          <w:p w14:paraId="30A990A3" w14:textId="4C26412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8.86</w:t>
            </w:r>
          </w:p>
        </w:tc>
        <w:tc>
          <w:tcPr>
            <w:tcW w:w="1440" w:type="dxa"/>
            <w:noWrap/>
            <w:vAlign w:val="top"/>
          </w:tcPr>
          <w:p w14:paraId="741E84FE" w14:textId="469BD19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59.6%</w:t>
            </w:r>
          </w:p>
        </w:tc>
      </w:tr>
      <w:tr w:rsidR="00AF5B5B" w:rsidRPr="006253A9" w14:paraId="63BD48A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5AFED1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0217</w:t>
            </w:r>
          </w:p>
        </w:tc>
        <w:tc>
          <w:tcPr>
            <w:tcW w:w="2880" w:type="dxa"/>
            <w:noWrap/>
            <w:hideMark/>
          </w:tcPr>
          <w:p w14:paraId="692768B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North Reading</w:t>
            </w:r>
          </w:p>
        </w:tc>
        <w:tc>
          <w:tcPr>
            <w:tcW w:w="1479" w:type="dxa"/>
            <w:noWrap/>
            <w:vAlign w:val="top"/>
          </w:tcPr>
          <w:p w14:paraId="27E91AC2" w14:textId="038B5CC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20.99</w:t>
            </w:r>
          </w:p>
        </w:tc>
        <w:tc>
          <w:tcPr>
            <w:tcW w:w="1440" w:type="dxa"/>
            <w:noWrap/>
            <w:vAlign w:val="top"/>
          </w:tcPr>
          <w:p w14:paraId="34B45BFE" w14:textId="04988B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43.23</w:t>
            </w:r>
          </w:p>
        </w:tc>
        <w:tc>
          <w:tcPr>
            <w:tcW w:w="1530" w:type="dxa"/>
            <w:noWrap/>
            <w:vAlign w:val="top"/>
          </w:tcPr>
          <w:p w14:paraId="0639FF1C" w14:textId="7B14117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48.5%</w:t>
            </w:r>
          </w:p>
        </w:tc>
        <w:tc>
          <w:tcPr>
            <w:tcW w:w="1440" w:type="dxa"/>
            <w:noWrap/>
            <w:vAlign w:val="top"/>
          </w:tcPr>
          <w:p w14:paraId="79FC94DC" w14:textId="533661A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37.32</w:t>
            </w:r>
          </w:p>
        </w:tc>
        <w:tc>
          <w:tcPr>
            <w:tcW w:w="1440" w:type="dxa"/>
            <w:noWrap/>
            <w:vAlign w:val="top"/>
          </w:tcPr>
          <w:p w14:paraId="69E7A4E5" w14:textId="0CBDBB8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74.88</w:t>
            </w:r>
          </w:p>
        </w:tc>
        <w:tc>
          <w:tcPr>
            <w:tcW w:w="1440" w:type="dxa"/>
            <w:noWrap/>
            <w:vAlign w:val="top"/>
          </w:tcPr>
          <w:p w14:paraId="76ADD176" w14:textId="5A8FFC1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49.8%</w:t>
            </w:r>
          </w:p>
        </w:tc>
      </w:tr>
      <w:tr w:rsidR="00AF5B5B" w:rsidRPr="006253A9" w14:paraId="403AA9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98712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0218</w:t>
            </w:r>
          </w:p>
        </w:tc>
        <w:tc>
          <w:tcPr>
            <w:tcW w:w="2880" w:type="dxa"/>
            <w:noWrap/>
            <w:hideMark/>
          </w:tcPr>
          <w:p w14:paraId="4639BA2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Norton</w:t>
            </w:r>
          </w:p>
        </w:tc>
        <w:tc>
          <w:tcPr>
            <w:tcW w:w="1479" w:type="dxa"/>
            <w:noWrap/>
            <w:vAlign w:val="top"/>
          </w:tcPr>
          <w:p w14:paraId="2FA6A9F5" w14:textId="21DD17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27.41</w:t>
            </w:r>
          </w:p>
        </w:tc>
        <w:tc>
          <w:tcPr>
            <w:tcW w:w="1440" w:type="dxa"/>
            <w:noWrap/>
            <w:vAlign w:val="top"/>
          </w:tcPr>
          <w:p w14:paraId="27D2DC4B" w14:textId="1139CF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50.15</w:t>
            </w:r>
          </w:p>
        </w:tc>
        <w:tc>
          <w:tcPr>
            <w:tcW w:w="1530" w:type="dxa"/>
            <w:noWrap/>
            <w:vAlign w:val="top"/>
          </w:tcPr>
          <w:p w14:paraId="5F59FD3D" w14:textId="419BA4E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c>
          <w:tcPr>
            <w:tcW w:w="1440" w:type="dxa"/>
            <w:noWrap/>
            <w:vAlign w:val="top"/>
          </w:tcPr>
          <w:p w14:paraId="1A54FEC1" w14:textId="26666F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35.60</w:t>
            </w:r>
          </w:p>
        </w:tc>
        <w:tc>
          <w:tcPr>
            <w:tcW w:w="1440" w:type="dxa"/>
            <w:noWrap/>
            <w:vAlign w:val="top"/>
          </w:tcPr>
          <w:p w14:paraId="49BDF3AD" w14:textId="18FA54F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65.81</w:t>
            </w:r>
          </w:p>
        </w:tc>
        <w:tc>
          <w:tcPr>
            <w:tcW w:w="1440" w:type="dxa"/>
            <w:noWrap/>
            <w:vAlign w:val="top"/>
          </w:tcPr>
          <w:p w14:paraId="173A0B38" w14:textId="60496A7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54.1%</w:t>
            </w:r>
          </w:p>
        </w:tc>
      </w:tr>
      <w:tr w:rsidR="00AF5B5B" w:rsidRPr="006253A9" w14:paraId="679DEF3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57F883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0219</w:t>
            </w:r>
          </w:p>
        </w:tc>
        <w:tc>
          <w:tcPr>
            <w:tcW w:w="2880" w:type="dxa"/>
            <w:noWrap/>
            <w:hideMark/>
          </w:tcPr>
          <w:p w14:paraId="2899410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Norwell</w:t>
            </w:r>
          </w:p>
        </w:tc>
        <w:tc>
          <w:tcPr>
            <w:tcW w:w="1479" w:type="dxa"/>
            <w:noWrap/>
            <w:vAlign w:val="top"/>
          </w:tcPr>
          <w:p w14:paraId="1A609957" w14:textId="0B2EA5E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19.75</w:t>
            </w:r>
          </w:p>
        </w:tc>
        <w:tc>
          <w:tcPr>
            <w:tcW w:w="1440" w:type="dxa"/>
            <w:noWrap/>
            <w:vAlign w:val="top"/>
          </w:tcPr>
          <w:p w14:paraId="06E75262" w14:textId="70E91EA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38.56</w:t>
            </w:r>
          </w:p>
        </w:tc>
        <w:tc>
          <w:tcPr>
            <w:tcW w:w="1530" w:type="dxa"/>
            <w:noWrap/>
            <w:vAlign w:val="top"/>
          </w:tcPr>
          <w:p w14:paraId="735040C8" w14:textId="1F44BE0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51.2%</w:t>
            </w:r>
          </w:p>
        </w:tc>
        <w:tc>
          <w:tcPr>
            <w:tcW w:w="1440" w:type="dxa"/>
            <w:noWrap/>
            <w:vAlign w:val="top"/>
          </w:tcPr>
          <w:p w14:paraId="68D227EC" w14:textId="11797B8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32.35</w:t>
            </w:r>
          </w:p>
        </w:tc>
        <w:tc>
          <w:tcPr>
            <w:tcW w:w="1440" w:type="dxa"/>
            <w:noWrap/>
            <w:vAlign w:val="top"/>
          </w:tcPr>
          <w:p w14:paraId="61527EE5" w14:textId="00942E7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60.71</w:t>
            </w:r>
          </w:p>
        </w:tc>
        <w:tc>
          <w:tcPr>
            <w:tcW w:w="1440" w:type="dxa"/>
            <w:noWrap/>
            <w:vAlign w:val="top"/>
          </w:tcPr>
          <w:p w14:paraId="34DB0231" w14:textId="0561DA3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53.3%</w:t>
            </w:r>
          </w:p>
        </w:tc>
      </w:tr>
      <w:tr w:rsidR="00AF5B5B" w:rsidRPr="006253A9" w14:paraId="5F81BE3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0EDF5B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0220</w:t>
            </w:r>
          </w:p>
        </w:tc>
        <w:tc>
          <w:tcPr>
            <w:tcW w:w="2880" w:type="dxa"/>
            <w:noWrap/>
            <w:hideMark/>
          </w:tcPr>
          <w:p w14:paraId="33F8D2F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Norwood</w:t>
            </w:r>
          </w:p>
        </w:tc>
        <w:tc>
          <w:tcPr>
            <w:tcW w:w="1479" w:type="dxa"/>
            <w:noWrap/>
            <w:vAlign w:val="top"/>
          </w:tcPr>
          <w:p w14:paraId="6BC2F565" w14:textId="03B738C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37.31</w:t>
            </w:r>
          </w:p>
        </w:tc>
        <w:tc>
          <w:tcPr>
            <w:tcW w:w="1440" w:type="dxa"/>
            <w:noWrap/>
            <w:vAlign w:val="top"/>
          </w:tcPr>
          <w:p w14:paraId="314D1A74" w14:textId="5A0D9A8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95.66</w:t>
            </w:r>
          </w:p>
        </w:tc>
        <w:tc>
          <w:tcPr>
            <w:tcW w:w="1530" w:type="dxa"/>
            <w:noWrap/>
            <w:vAlign w:val="top"/>
          </w:tcPr>
          <w:p w14:paraId="75FCAA3B" w14:textId="15FAF4E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39.0%</w:t>
            </w:r>
          </w:p>
        </w:tc>
        <w:tc>
          <w:tcPr>
            <w:tcW w:w="1440" w:type="dxa"/>
            <w:noWrap/>
            <w:vAlign w:val="top"/>
          </w:tcPr>
          <w:p w14:paraId="791B8E52" w14:textId="446C78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55.67</w:t>
            </w:r>
          </w:p>
        </w:tc>
        <w:tc>
          <w:tcPr>
            <w:tcW w:w="1440" w:type="dxa"/>
            <w:noWrap/>
            <w:vAlign w:val="top"/>
          </w:tcPr>
          <w:p w14:paraId="312FC76B" w14:textId="68BE2D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140.95</w:t>
            </w:r>
          </w:p>
        </w:tc>
        <w:tc>
          <w:tcPr>
            <w:tcW w:w="1440" w:type="dxa"/>
            <w:noWrap/>
            <w:vAlign w:val="top"/>
          </w:tcPr>
          <w:p w14:paraId="11020F71" w14:textId="6CAE818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39.5%</w:t>
            </w:r>
          </w:p>
        </w:tc>
      </w:tr>
      <w:tr w:rsidR="00AF5B5B" w:rsidRPr="006253A9" w14:paraId="5D2E486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F6BF93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0221</w:t>
            </w:r>
          </w:p>
        </w:tc>
        <w:tc>
          <w:tcPr>
            <w:tcW w:w="2880" w:type="dxa"/>
            <w:noWrap/>
            <w:hideMark/>
          </w:tcPr>
          <w:p w14:paraId="3C44584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Oak Bluffs</w:t>
            </w:r>
          </w:p>
        </w:tc>
        <w:tc>
          <w:tcPr>
            <w:tcW w:w="1479" w:type="dxa"/>
            <w:noWrap/>
            <w:vAlign w:val="top"/>
          </w:tcPr>
          <w:p w14:paraId="24FC209F" w14:textId="44074F5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9.30</w:t>
            </w:r>
          </w:p>
        </w:tc>
        <w:tc>
          <w:tcPr>
            <w:tcW w:w="1440" w:type="dxa"/>
            <w:noWrap/>
            <w:vAlign w:val="top"/>
          </w:tcPr>
          <w:p w14:paraId="777C3266" w14:textId="0B3BE59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23.04</w:t>
            </w:r>
          </w:p>
        </w:tc>
        <w:tc>
          <w:tcPr>
            <w:tcW w:w="1530" w:type="dxa"/>
            <w:noWrap/>
            <w:vAlign w:val="top"/>
          </w:tcPr>
          <w:p w14:paraId="72A66D8F" w14:textId="33E4FB0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40.3%</w:t>
            </w:r>
          </w:p>
        </w:tc>
        <w:tc>
          <w:tcPr>
            <w:tcW w:w="1440" w:type="dxa"/>
            <w:noWrap/>
            <w:vAlign w:val="top"/>
          </w:tcPr>
          <w:p w14:paraId="75C6068D" w14:textId="7F24E8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15.56</w:t>
            </w:r>
          </w:p>
        </w:tc>
        <w:tc>
          <w:tcPr>
            <w:tcW w:w="1440" w:type="dxa"/>
            <w:noWrap/>
            <w:vAlign w:val="top"/>
          </w:tcPr>
          <w:p w14:paraId="48F635F3" w14:textId="4947BE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33.89</w:t>
            </w:r>
          </w:p>
        </w:tc>
        <w:tc>
          <w:tcPr>
            <w:tcW w:w="1440" w:type="dxa"/>
            <w:noWrap/>
            <w:vAlign w:val="top"/>
          </w:tcPr>
          <w:p w14:paraId="28808651" w14:textId="2AA052B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45.9%</w:t>
            </w:r>
          </w:p>
        </w:tc>
      </w:tr>
      <w:tr w:rsidR="00AF5B5B" w:rsidRPr="006253A9" w14:paraId="4036AF9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9D841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0222</w:t>
            </w:r>
          </w:p>
        </w:tc>
        <w:tc>
          <w:tcPr>
            <w:tcW w:w="2880" w:type="dxa"/>
            <w:noWrap/>
            <w:hideMark/>
          </w:tcPr>
          <w:p w14:paraId="5CE1684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Oakham</w:t>
            </w:r>
          </w:p>
        </w:tc>
        <w:tc>
          <w:tcPr>
            <w:tcW w:w="1479" w:type="dxa"/>
            <w:noWrap/>
            <w:vAlign w:val="top"/>
          </w:tcPr>
          <w:p w14:paraId="4E6A6AA5" w14:textId="1255FFB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1.46</w:t>
            </w:r>
          </w:p>
        </w:tc>
        <w:tc>
          <w:tcPr>
            <w:tcW w:w="1440" w:type="dxa"/>
            <w:noWrap/>
            <w:vAlign w:val="top"/>
          </w:tcPr>
          <w:p w14:paraId="638A29A2" w14:textId="3BFD35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2.61</w:t>
            </w:r>
          </w:p>
        </w:tc>
        <w:tc>
          <w:tcPr>
            <w:tcW w:w="1530" w:type="dxa"/>
            <w:noWrap/>
            <w:vAlign w:val="top"/>
          </w:tcPr>
          <w:p w14:paraId="466C290F" w14:textId="21E9A7F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55.9%</w:t>
            </w:r>
          </w:p>
        </w:tc>
        <w:tc>
          <w:tcPr>
            <w:tcW w:w="1440" w:type="dxa"/>
            <w:noWrap/>
            <w:vAlign w:val="top"/>
          </w:tcPr>
          <w:p w14:paraId="3E6FEBEE" w14:textId="77074DC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w:t>
            </w:r>
          </w:p>
        </w:tc>
        <w:tc>
          <w:tcPr>
            <w:tcW w:w="1440" w:type="dxa"/>
            <w:noWrap/>
            <w:vAlign w:val="top"/>
          </w:tcPr>
          <w:p w14:paraId="66BAEE3D" w14:textId="05BB0C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4.01</w:t>
            </w:r>
          </w:p>
        </w:tc>
        <w:tc>
          <w:tcPr>
            <w:tcW w:w="1440" w:type="dxa"/>
            <w:noWrap/>
            <w:vAlign w:val="top"/>
          </w:tcPr>
          <w:p w14:paraId="2C527FC4" w14:textId="4D7CB4A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61.9%</w:t>
            </w:r>
          </w:p>
        </w:tc>
      </w:tr>
      <w:tr w:rsidR="00AF5B5B" w:rsidRPr="006253A9" w14:paraId="58E0CD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CFAD76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0223</w:t>
            </w:r>
          </w:p>
        </w:tc>
        <w:tc>
          <w:tcPr>
            <w:tcW w:w="2880" w:type="dxa"/>
            <w:noWrap/>
            <w:hideMark/>
          </w:tcPr>
          <w:p w14:paraId="0E25351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Orange</w:t>
            </w:r>
          </w:p>
        </w:tc>
        <w:tc>
          <w:tcPr>
            <w:tcW w:w="1479" w:type="dxa"/>
            <w:noWrap/>
            <w:vAlign w:val="top"/>
          </w:tcPr>
          <w:p w14:paraId="4472D4E7" w14:textId="5B3245A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11.09</w:t>
            </w:r>
          </w:p>
        </w:tc>
        <w:tc>
          <w:tcPr>
            <w:tcW w:w="1440" w:type="dxa"/>
            <w:noWrap/>
            <w:vAlign w:val="top"/>
          </w:tcPr>
          <w:p w14:paraId="045E6D13" w14:textId="2F56C7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18.39</w:t>
            </w:r>
          </w:p>
        </w:tc>
        <w:tc>
          <w:tcPr>
            <w:tcW w:w="1530" w:type="dxa"/>
            <w:noWrap/>
            <w:vAlign w:val="top"/>
          </w:tcPr>
          <w:p w14:paraId="358B2C7F" w14:textId="548049E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60.3%</w:t>
            </w:r>
          </w:p>
        </w:tc>
        <w:tc>
          <w:tcPr>
            <w:tcW w:w="1440" w:type="dxa"/>
            <w:noWrap/>
            <w:vAlign w:val="top"/>
          </w:tcPr>
          <w:p w14:paraId="3736DFA0" w14:textId="6F4B02B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12.71</w:t>
            </w:r>
          </w:p>
        </w:tc>
        <w:tc>
          <w:tcPr>
            <w:tcW w:w="1440" w:type="dxa"/>
            <w:noWrap/>
            <w:vAlign w:val="top"/>
          </w:tcPr>
          <w:p w14:paraId="4F2DCEA5" w14:textId="403E88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22.59</w:t>
            </w:r>
          </w:p>
        </w:tc>
        <w:tc>
          <w:tcPr>
            <w:tcW w:w="1440" w:type="dxa"/>
            <w:noWrap/>
            <w:vAlign w:val="top"/>
          </w:tcPr>
          <w:p w14:paraId="2B5D81C2" w14:textId="7D719D6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56.3%</w:t>
            </w:r>
          </w:p>
        </w:tc>
      </w:tr>
      <w:tr w:rsidR="00AF5B5B" w:rsidRPr="006253A9" w14:paraId="5846938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334590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0224</w:t>
            </w:r>
          </w:p>
        </w:tc>
        <w:tc>
          <w:tcPr>
            <w:tcW w:w="2880" w:type="dxa"/>
            <w:noWrap/>
            <w:hideMark/>
          </w:tcPr>
          <w:p w14:paraId="4A49653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Orleans</w:t>
            </w:r>
          </w:p>
        </w:tc>
        <w:tc>
          <w:tcPr>
            <w:tcW w:w="1479" w:type="dxa"/>
            <w:noWrap/>
            <w:vAlign w:val="top"/>
          </w:tcPr>
          <w:p w14:paraId="7CBD0E33" w14:textId="5962360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7.30</w:t>
            </w:r>
          </w:p>
        </w:tc>
        <w:tc>
          <w:tcPr>
            <w:tcW w:w="1440" w:type="dxa"/>
            <w:noWrap/>
            <w:vAlign w:val="top"/>
          </w:tcPr>
          <w:p w14:paraId="7BD6BA34" w14:textId="3C518F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22.67</w:t>
            </w:r>
          </w:p>
        </w:tc>
        <w:tc>
          <w:tcPr>
            <w:tcW w:w="1530" w:type="dxa"/>
            <w:noWrap/>
            <w:vAlign w:val="top"/>
          </w:tcPr>
          <w:p w14:paraId="77B24A82" w14:textId="0C2C05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32.2%</w:t>
            </w:r>
          </w:p>
        </w:tc>
        <w:tc>
          <w:tcPr>
            <w:tcW w:w="1440" w:type="dxa"/>
            <w:noWrap/>
            <w:vAlign w:val="top"/>
          </w:tcPr>
          <w:p w14:paraId="0DE1538B" w14:textId="6CC704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9.96</w:t>
            </w:r>
          </w:p>
        </w:tc>
        <w:tc>
          <w:tcPr>
            <w:tcW w:w="1440" w:type="dxa"/>
            <w:noWrap/>
            <w:vAlign w:val="top"/>
          </w:tcPr>
          <w:p w14:paraId="184EA7C8" w14:textId="2BE519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38.68</w:t>
            </w:r>
          </w:p>
        </w:tc>
        <w:tc>
          <w:tcPr>
            <w:tcW w:w="1440" w:type="dxa"/>
            <w:noWrap/>
            <w:vAlign w:val="top"/>
          </w:tcPr>
          <w:p w14:paraId="1C87648C" w14:textId="2BF9776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25.8%</w:t>
            </w:r>
          </w:p>
        </w:tc>
      </w:tr>
      <w:tr w:rsidR="00AF5B5B" w:rsidRPr="006253A9" w14:paraId="03D80F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697B69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0225</w:t>
            </w:r>
          </w:p>
        </w:tc>
        <w:tc>
          <w:tcPr>
            <w:tcW w:w="2880" w:type="dxa"/>
            <w:noWrap/>
            <w:hideMark/>
          </w:tcPr>
          <w:p w14:paraId="25443F9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Otis</w:t>
            </w:r>
          </w:p>
        </w:tc>
        <w:tc>
          <w:tcPr>
            <w:tcW w:w="1479" w:type="dxa"/>
            <w:noWrap/>
            <w:vAlign w:val="top"/>
          </w:tcPr>
          <w:p w14:paraId="4648F01B" w14:textId="3A7B85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1.67</w:t>
            </w:r>
          </w:p>
        </w:tc>
        <w:tc>
          <w:tcPr>
            <w:tcW w:w="1440" w:type="dxa"/>
            <w:noWrap/>
            <w:vAlign w:val="top"/>
          </w:tcPr>
          <w:p w14:paraId="77300AA1" w14:textId="77C8C8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3.56</w:t>
            </w:r>
          </w:p>
        </w:tc>
        <w:tc>
          <w:tcPr>
            <w:tcW w:w="1530" w:type="dxa"/>
            <w:noWrap/>
            <w:vAlign w:val="top"/>
          </w:tcPr>
          <w:p w14:paraId="0914C5FE" w14:textId="42C3ED2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46.9%</w:t>
            </w:r>
          </w:p>
        </w:tc>
        <w:tc>
          <w:tcPr>
            <w:tcW w:w="1440" w:type="dxa"/>
            <w:noWrap/>
            <w:vAlign w:val="top"/>
          </w:tcPr>
          <w:p w14:paraId="7CFC4C5B" w14:textId="12304F3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2.42</w:t>
            </w:r>
          </w:p>
        </w:tc>
        <w:tc>
          <w:tcPr>
            <w:tcW w:w="1440" w:type="dxa"/>
            <w:noWrap/>
            <w:vAlign w:val="top"/>
          </w:tcPr>
          <w:p w14:paraId="760A29E7" w14:textId="6843CFF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6.53</w:t>
            </w:r>
          </w:p>
        </w:tc>
        <w:tc>
          <w:tcPr>
            <w:tcW w:w="1440" w:type="dxa"/>
            <w:noWrap/>
            <w:vAlign w:val="top"/>
          </w:tcPr>
          <w:p w14:paraId="7EF68404" w14:textId="2585009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37.0%</w:t>
            </w:r>
          </w:p>
        </w:tc>
      </w:tr>
      <w:tr w:rsidR="00AF5B5B" w:rsidRPr="006253A9" w14:paraId="217FA4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2D3A68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0226</w:t>
            </w:r>
          </w:p>
        </w:tc>
        <w:tc>
          <w:tcPr>
            <w:tcW w:w="2880" w:type="dxa"/>
            <w:noWrap/>
            <w:hideMark/>
          </w:tcPr>
          <w:p w14:paraId="5CA8672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Oxford</w:t>
            </w:r>
          </w:p>
        </w:tc>
        <w:tc>
          <w:tcPr>
            <w:tcW w:w="1479" w:type="dxa"/>
            <w:noWrap/>
            <w:vAlign w:val="top"/>
          </w:tcPr>
          <w:p w14:paraId="438A2267" w14:textId="67818C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17.59</w:t>
            </w:r>
          </w:p>
        </w:tc>
        <w:tc>
          <w:tcPr>
            <w:tcW w:w="1440" w:type="dxa"/>
            <w:noWrap/>
            <w:vAlign w:val="top"/>
          </w:tcPr>
          <w:p w14:paraId="25569E17" w14:textId="006FDB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34.17</w:t>
            </w:r>
          </w:p>
        </w:tc>
        <w:tc>
          <w:tcPr>
            <w:tcW w:w="1530" w:type="dxa"/>
            <w:noWrap/>
            <w:vAlign w:val="top"/>
          </w:tcPr>
          <w:p w14:paraId="06FB9593" w14:textId="35D0A28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51.5%</w:t>
            </w:r>
          </w:p>
        </w:tc>
        <w:tc>
          <w:tcPr>
            <w:tcW w:w="1440" w:type="dxa"/>
            <w:noWrap/>
            <w:vAlign w:val="top"/>
          </w:tcPr>
          <w:p w14:paraId="7CA5EB3C" w14:textId="1BCCC5D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23.03</w:t>
            </w:r>
          </w:p>
        </w:tc>
        <w:tc>
          <w:tcPr>
            <w:tcW w:w="1440" w:type="dxa"/>
            <w:noWrap/>
            <w:vAlign w:val="top"/>
          </w:tcPr>
          <w:p w14:paraId="043E5DE7" w14:textId="23DB774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43.95</w:t>
            </w:r>
          </w:p>
        </w:tc>
        <w:tc>
          <w:tcPr>
            <w:tcW w:w="1440" w:type="dxa"/>
            <w:noWrap/>
            <w:vAlign w:val="top"/>
          </w:tcPr>
          <w:p w14:paraId="67A51931" w14:textId="77754C1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r>
      <w:tr w:rsidR="00AF5B5B" w:rsidRPr="006253A9" w14:paraId="09FEE51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D0084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0227</w:t>
            </w:r>
          </w:p>
        </w:tc>
        <w:tc>
          <w:tcPr>
            <w:tcW w:w="2880" w:type="dxa"/>
            <w:noWrap/>
            <w:hideMark/>
          </w:tcPr>
          <w:p w14:paraId="1FD9620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Palmer</w:t>
            </w:r>
          </w:p>
        </w:tc>
        <w:tc>
          <w:tcPr>
            <w:tcW w:w="1479" w:type="dxa"/>
            <w:noWrap/>
            <w:vAlign w:val="top"/>
          </w:tcPr>
          <w:p w14:paraId="7191A9A3" w14:textId="612C4AC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19.37</w:t>
            </w:r>
          </w:p>
        </w:tc>
        <w:tc>
          <w:tcPr>
            <w:tcW w:w="1440" w:type="dxa"/>
            <w:noWrap/>
            <w:vAlign w:val="top"/>
          </w:tcPr>
          <w:p w14:paraId="7C25B3EB" w14:textId="735FD9D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33.72</w:t>
            </w:r>
          </w:p>
        </w:tc>
        <w:tc>
          <w:tcPr>
            <w:tcW w:w="1530" w:type="dxa"/>
            <w:noWrap/>
            <w:vAlign w:val="top"/>
          </w:tcPr>
          <w:p w14:paraId="4D74392E" w14:textId="10163ED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57.4%</w:t>
            </w:r>
          </w:p>
        </w:tc>
        <w:tc>
          <w:tcPr>
            <w:tcW w:w="1440" w:type="dxa"/>
            <w:noWrap/>
            <w:vAlign w:val="top"/>
          </w:tcPr>
          <w:p w14:paraId="7EC26875" w14:textId="7262AC0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21.92</w:t>
            </w:r>
          </w:p>
        </w:tc>
        <w:tc>
          <w:tcPr>
            <w:tcW w:w="1440" w:type="dxa"/>
            <w:noWrap/>
            <w:vAlign w:val="top"/>
          </w:tcPr>
          <w:p w14:paraId="032E4D0A" w14:textId="6FE2C4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40.83</w:t>
            </w:r>
          </w:p>
        </w:tc>
        <w:tc>
          <w:tcPr>
            <w:tcW w:w="1440" w:type="dxa"/>
            <w:noWrap/>
            <w:vAlign w:val="top"/>
          </w:tcPr>
          <w:p w14:paraId="224E27EA" w14:textId="086D652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53.7%</w:t>
            </w:r>
          </w:p>
        </w:tc>
      </w:tr>
      <w:tr w:rsidR="00AF5B5B" w:rsidRPr="006253A9" w14:paraId="056D703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2A7755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0228</w:t>
            </w:r>
          </w:p>
        </w:tc>
        <w:tc>
          <w:tcPr>
            <w:tcW w:w="2880" w:type="dxa"/>
            <w:noWrap/>
            <w:hideMark/>
          </w:tcPr>
          <w:p w14:paraId="3D4CE66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Paxton</w:t>
            </w:r>
          </w:p>
        </w:tc>
        <w:tc>
          <w:tcPr>
            <w:tcW w:w="1479" w:type="dxa"/>
            <w:noWrap/>
            <w:vAlign w:val="top"/>
          </w:tcPr>
          <w:p w14:paraId="4A30549D" w14:textId="45FD442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4.68</w:t>
            </w:r>
          </w:p>
        </w:tc>
        <w:tc>
          <w:tcPr>
            <w:tcW w:w="1440" w:type="dxa"/>
            <w:noWrap/>
            <w:vAlign w:val="top"/>
          </w:tcPr>
          <w:p w14:paraId="3B2AD849" w14:textId="540CB0C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8.96</w:t>
            </w:r>
          </w:p>
        </w:tc>
        <w:tc>
          <w:tcPr>
            <w:tcW w:w="1530" w:type="dxa"/>
            <w:noWrap/>
            <w:vAlign w:val="top"/>
          </w:tcPr>
          <w:p w14:paraId="75B84CC5" w14:textId="728097E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52.2%</w:t>
            </w:r>
          </w:p>
        </w:tc>
        <w:tc>
          <w:tcPr>
            <w:tcW w:w="1440" w:type="dxa"/>
            <w:noWrap/>
            <w:vAlign w:val="top"/>
          </w:tcPr>
          <w:p w14:paraId="3A66231E" w14:textId="2505AEC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6.54</w:t>
            </w:r>
          </w:p>
        </w:tc>
        <w:tc>
          <w:tcPr>
            <w:tcW w:w="1440" w:type="dxa"/>
            <w:noWrap/>
            <w:vAlign w:val="top"/>
          </w:tcPr>
          <w:p w14:paraId="7B5E11FB" w14:textId="593BA0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13.42</w:t>
            </w:r>
          </w:p>
        </w:tc>
        <w:tc>
          <w:tcPr>
            <w:tcW w:w="1440" w:type="dxa"/>
            <w:noWrap/>
            <w:vAlign w:val="top"/>
          </w:tcPr>
          <w:p w14:paraId="62E4D373" w14:textId="0DAF23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48.8%</w:t>
            </w:r>
          </w:p>
        </w:tc>
      </w:tr>
      <w:tr w:rsidR="00AF5B5B" w:rsidRPr="006253A9" w14:paraId="052E20C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276E9F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0229</w:t>
            </w:r>
          </w:p>
        </w:tc>
        <w:tc>
          <w:tcPr>
            <w:tcW w:w="2880" w:type="dxa"/>
            <w:noWrap/>
            <w:hideMark/>
          </w:tcPr>
          <w:p w14:paraId="36FB59F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Peabody</w:t>
            </w:r>
          </w:p>
        </w:tc>
        <w:tc>
          <w:tcPr>
            <w:tcW w:w="1479" w:type="dxa"/>
            <w:noWrap/>
            <w:vAlign w:val="top"/>
          </w:tcPr>
          <w:p w14:paraId="63B818E6" w14:textId="546F1D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56.81</w:t>
            </w:r>
          </w:p>
        </w:tc>
        <w:tc>
          <w:tcPr>
            <w:tcW w:w="1440" w:type="dxa"/>
            <w:noWrap/>
            <w:vAlign w:val="top"/>
          </w:tcPr>
          <w:p w14:paraId="28A00F2A" w14:textId="0E19151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139.91</w:t>
            </w:r>
          </w:p>
        </w:tc>
        <w:tc>
          <w:tcPr>
            <w:tcW w:w="1530" w:type="dxa"/>
            <w:noWrap/>
            <w:vAlign w:val="top"/>
          </w:tcPr>
          <w:p w14:paraId="1F728F68" w14:textId="20825A6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40.6%</w:t>
            </w:r>
          </w:p>
        </w:tc>
        <w:tc>
          <w:tcPr>
            <w:tcW w:w="1440" w:type="dxa"/>
            <w:noWrap/>
            <w:vAlign w:val="top"/>
          </w:tcPr>
          <w:p w14:paraId="08F457C2" w14:textId="1830463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84.33</w:t>
            </w:r>
          </w:p>
        </w:tc>
        <w:tc>
          <w:tcPr>
            <w:tcW w:w="1440" w:type="dxa"/>
            <w:noWrap/>
            <w:vAlign w:val="top"/>
          </w:tcPr>
          <w:p w14:paraId="20D77230" w14:textId="149A67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189.35</w:t>
            </w:r>
          </w:p>
        </w:tc>
        <w:tc>
          <w:tcPr>
            <w:tcW w:w="1440" w:type="dxa"/>
            <w:noWrap/>
            <w:vAlign w:val="top"/>
          </w:tcPr>
          <w:p w14:paraId="04446492" w14:textId="14A9D2D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44.5%</w:t>
            </w:r>
          </w:p>
        </w:tc>
      </w:tr>
      <w:tr w:rsidR="00AF5B5B" w:rsidRPr="006253A9" w14:paraId="6C84716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5AC036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0230</w:t>
            </w:r>
          </w:p>
        </w:tc>
        <w:tc>
          <w:tcPr>
            <w:tcW w:w="2880" w:type="dxa"/>
            <w:noWrap/>
            <w:hideMark/>
          </w:tcPr>
          <w:p w14:paraId="430A639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Pelham</w:t>
            </w:r>
          </w:p>
        </w:tc>
        <w:tc>
          <w:tcPr>
            <w:tcW w:w="1479" w:type="dxa"/>
            <w:noWrap/>
            <w:vAlign w:val="top"/>
          </w:tcPr>
          <w:p w14:paraId="009BC9BD" w14:textId="437B58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2.32</w:t>
            </w:r>
          </w:p>
        </w:tc>
        <w:tc>
          <w:tcPr>
            <w:tcW w:w="1440" w:type="dxa"/>
            <w:noWrap/>
            <w:vAlign w:val="top"/>
          </w:tcPr>
          <w:p w14:paraId="73971360" w14:textId="7FDE436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3.68</w:t>
            </w:r>
          </w:p>
        </w:tc>
        <w:tc>
          <w:tcPr>
            <w:tcW w:w="1530" w:type="dxa"/>
            <w:noWrap/>
            <w:vAlign w:val="top"/>
          </w:tcPr>
          <w:p w14:paraId="05CF412A" w14:textId="088471B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63.0%</w:t>
            </w:r>
          </w:p>
        </w:tc>
        <w:tc>
          <w:tcPr>
            <w:tcW w:w="1440" w:type="dxa"/>
            <w:noWrap/>
            <w:vAlign w:val="top"/>
          </w:tcPr>
          <w:p w14:paraId="7B03ADDD" w14:textId="456C598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2.80</w:t>
            </w:r>
          </w:p>
        </w:tc>
        <w:tc>
          <w:tcPr>
            <w:tcW w:w="1440" w:type="dxa"/>
            <w:noWrap/>
            <w:vAlign w:val="top"/>
          </w:tcPr>
          <w:p w14:paraId="5731EDAC" w14:textId="24C3B2E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4.91</w:t>
            </w:r>
          </w:p>
        </w:tc>
        <w:tc>
          <w:tcPr>
            <w:tcW w:w="1440" w:type="dxa"/>
            <w:noWrap/>
            <w:vAlign w:val="top"/>
          </w:tcPr>
          <w:p w14:paraId="3177B906" w14:textId="57CB15D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r>
      <w:tr w:rsidR="00AF5B5B" w:rsidRPr="006253A9" w14:paraId="57CD7E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FFA2F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0231</w:t>
            </w:r>
          </w:p>
        </w:tc>
        <w:tc>
          <w:tcPr>
            <w:tcW w:w="2880" w:type="dxa"/>
            <w:noWrap/>
            <w:hideMark/>
          </w:tcPr>
          <w:p w14:paraId="7D1C6F4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Pembroke</w:t>
            </w:r>
          </w:p>
        </w:tc>
        <w:tc>
          <w:tcPr>
            <w:tcW w:w="1479" w:type="dxa"/>
            <w:noWrap/>
            <w:vAlign w:val="top"/>
          </w:tcPr>
          <w:p w14:paraId="46E6709B" w14:textId="326CBD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26.37</w:t>
            </w:r>
          </w:p>
        </w:tc>
        <w:tc>
          <w:tcPr>
            <w:tcW w:w="1440" w:type="dxa"/>
            <w:noWrap/>
            <w:vAlign w:val="top"/>
          </w:tcPr>
          <w:p w14:paraId="117AB491" w14:textId="41D48B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46.88</w:t>
            </w:r>
          </w:p>
        </w:tc>
        <w:tc>
          <w:tcPr>
            <w:tcW w:w="1530" w:type="dxa"/>
            <w:noWrap/>
            <w:vAlign w:val="top"/>
          </w:tcPr>
          <w:p w14:paraId="2B6DD261" w14:textId="258E3D7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56.2%</w:t>
            </w:r>
          </w:p>
        </w:tc>
        <w:tc>
          <w:tcPr>
            <w:tcW w:w="1440" w:type="dxa"/>
            <w:noWrap/>
            <w:vAlign w:val="top"/>
          </w:tcPr>
          <w:p w14:paraId="2F2C9374" w14:textId="0F20D1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38.37</w:t>
            </w:r>
          </w:p>
        </w:tc>
        <w:tc>
          <w:tcPr>
            <w:tcW w:w="1440" w:type="dxa"/>
            <w:noWrap/>
            <w:vAlign w:val="top"/>
          </w:tcPr>
          <w:p w14:paraId="5C21962A" w14:textId="15170AA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69.15</w:t>
            </w:r>
          </w:p>
        </w:tc>
        <w:tc>
          <w:tcPr>
            <w:tcW w:w="1440" w:type="dxa"/>
            <w:noWrap/>
            <w:vAlign w:val="top"/>
          </w:tcPr>
          <w:p w14:paraId="0F8ABEF9" w14:textId="7765CA8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55.5%</w:t>
            </w:r>
          </w:p>
        </w:tc>
      </w:tr>
      <w:tr w:rsidR="00AF5B5B" w:rsidRPr="006253A9" w14:paraId="4743B6D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17B7A6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0232</w:t>
            </w:r>
          </w:p>
        </w:tc>
        <w:tc>
          <w:tcPr>
            <w:tcW w:w="2880" w:type="dxa"/>
            <w:noWrap/>
            <w:hideMark/>
          </w:tcPr>
          <w:p w14:paraId="7912885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Pepperell</w:t>
            </w:r>
          </w:p>
        </w:tc>
        <w:tc>
          <w:tcPr>
            <w:tcW w:w="1479" w:type="dxa"/>
            <w:noWrap/>
            <w:vAlign w:val="top"/>
          </w:tcPr>
          <w:p w14:paraId="57057F25" w14:textId="5855542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9.62</w:t>
            </w:r>
          </w:p>
        </w:tc>
        <w:tc>
          <w:tcPr>
            <w:tcW w:w="1440" w:type="dxa"/>
            <w:noWrap/>
            <w:vAlign w:val="top"/>
          </w:tcPr>
          <w:p w14:paraId="08EB9878" w14:textId="3F6603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16.26</w:t>
            </w:r>
          </w:p>
        </w:tc>
        <w:tc>
          <w:tcPr>
            <w:tcW w:w="1530" w:type="dxa"/>
            <w:noWrap/>
            <w:vAlign w:val="top"/>
          </w:tcPr>
          <w:p w14:paraId="5144E7E5" w14:textId="2A0F0FF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59.2%</w:t>
            </w:r>
          </w:p>
        </w:tc>
        <w:tc>
          <w:tcPr>
            <w:tcW w:w="1440" w:type="dxa"/>
            <w:noWrap/>
            <w:vAlign w:val="top"/>
          </w:tcPr>
          <w:p w14:paraId="5B810DC9" w14:textId="33D4D22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17.61</w:t>
            </w:r>
          </w:p>
        </w:tc>
        <w:tc>
          <w:tcPr>
            <w:tcW w:w="1440" w:type="dxa"/>
            <w:noWrap/>
            <w:vAlign w:val="top"/>
          </w:tcPr>
          <w:p w14:paraId="00FAD0CF" w14:textId="5583E40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27.18</w:t>
            </w:r>
          </w:p>
        </w:tc>
        <w:tc>
          <w:tcPr>
            <w:tcW w:w="1440" w:type="dxa"/>
            <w:noWrap/>
            <w:vAlign w:val="top"/>
          </w:tcPr>
          <w:p w14:paraId="3129412F" w14:textId="2C87D98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64.8%</w:t>
            </w:r>
          </w:p>
        </w:tc>
      </w:tr>
      <w:tr w:rsidR="00AF5B5B" w:rsidRPr="006253A9" w14:paraId="4AE1D6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CA9C4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0233</w:t>
            </w:r>
          </w:p>
        </w:tc>
        <w:tc>
          <w:tcPr>
            <w:tcW w:w="2880" w:type="dxa"/>
            <w:noWrap/>
            <w:hideMark/>
          </w:tcPr>
          <w:p w14:paraId="76DAAD9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Peru</w:t>
            </w:r>
          </w:p>
        </w:tc>
        <w:tc>
          <w:tcPr>
            <w:tcW w:w="1479" w:type="dxa"/>
            <w:noWrap/>
            <w:vAlign w:val="top"/>
          </w:tcPr>
          <w:p w14:paraId="3E41F9C8" w14:textId="670EF09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0.84</w:t>
            </w:r>
          </w:p>
        </w:tc>
        <w:tc>
          <w:tcPr>
            <w:tcW w:w="1440" w:type="dxa"/>
            <w:noWrap/>
            <w:vAlign w:val="top"/>
          </w:tcPr>
          <w:p w14:paraId="0418409B" w14:textId="511F195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1.55</w:t>
            </w:r>
          </w:p>
        </w:tc>
        <w:tc>
          <w:tcPr>
            <w:tcW w:w="1530" w:type="dxa"/>
            <w:noWrap/>
            <w:vAlign w:val="top"/>
          </w:tcPr>
          <w:p w14:paraId="317330B5" w14:textId="36992B3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c>
          <w:tcPr>
            <w:tcW w:w="1440" w:type="dxa"/>
            <w:noWrap/>
            <w:vAlign w:val="top"/>
          </w:tcPr>
          <w:p w14:paraId="2B2064A6" w14:textId="1F2F7AB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w:t>
            </w:r>
          </w:p>
        </w:tc>
        <w:tc>
          <w:tcPr>
            <w:tcW w:w="1440" w:type="dxa"/>
            <w:noWrap/>
            <w:vAlign w:val="top"/>
          </w:tcPr>
          <w:p w14:paraId="14C2066E" w14:textId="67F784A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2.68</w:t>
            </w:r>
          </w:p>
        </w:tc>
        <w:tc>
          <w:tcPr>
            <w:tcW w:w="1440" w:type="dxa"/>
            <w:noWrap/>
            <w:vAlign w:val="top"/>
          </w:tcPr>
          <w:p w14:paraId="727D606E" w14:textId="0AD7A66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38.7%</w:t>
            </w:r>
          </w:p>
        </w:tc>
      </w:tr>
      <w:tr w:rsidR="00AF5B5B" w:rsidRPr="006253A9" w14:paraId="567477E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4F421A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0234</w:t>
            </w:r>
          </w:p>
        </w:tc>
        <w:tc>
          <w:tcPr>
            <w:tcW w:w="2880" w:type="dxa"/>
            <w:noWrap/>
            <w:hideMark/>
          </w:tcPr>
          <w:p w14:paraId="34BCCA5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Petersham</w:t>
            </w:r>
          </w:p>
        </w:tc>
        <w:tc>
          <w:tcPr>
            <w:tcW w:w="1479" w:type="dxa"/>
            <w:noWrap/>
            <w:vAlign w:val="top"/>
          </w:tcPr>
          <w:p w14:paraId="49ABDD19" w14:textId="4BA8062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1.85</w:t>
            </w:r>
          </w:p>
        </w:tc>
        <w:tc>
          <w:tcPr>
            <w:tcW w:w="1440" w:type="dxa"/>
            <w:noWrap/>
            <w:vAlign w:val="top"/>
          </w:tcPr>
          <w:p w14:paraId="614DF254" w14:textId="7B075D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3.00</w:t>
            </w:r>
          </w:p>
        </w:tc>
        <w:tc>
          <w:tcPr>
            <w:tcW w:w="1530" w:type="dxa"/>
            <w:noWrap/>
            <w:vAlign w:val="top"/>
          </w:tcPr>
          <w:p w14:paraId="06567016" w14:textId="2EB0BCA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61.7%</w:t>
            </w:r>
          </w:p>
        </w:tc>
        <w:tc>
          <w:tcPr>
            <w:tcW w:w="1440" w:type="dxa"/>
            <w:noWrap/>
            <w:vAlign w:val="top"/>
          </w:tcPr>
          <w:p w14:paraId="3D16C13A" w14:textId="14B72B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w:t>
            </w:r>
          </w:p>
        </w:tc>
        <w:tc>
          <w:tcPr>
            <w:tcW w:w="1440" w:type="dxa"/>
            <w:noWrap/>
            <w:vAlign w:val="top"/>
          </w:tcPr>
          <w:p w14:paraId="2CFFA19E" w14:textId="15F607C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4.26</w:t>
            </w:r>
          </w:p>
        </w:tc>
        <w:tc>
          <w:tcPr>
            <w:tcW w:w="1440" w:type="dxa"/>
            <w:noWrap/>
            <w:vAlign w:val="top"/>
          </w:tcPr>
          <w:p w14:paraId="65E7F22E" w14:textId="560124E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58.2%</w:t>
            </w:r>
          </w:p>
        </w:tc>
      </w:tr>
      <w:tr w:rsidR="00AF5B5B" w:rsidRPr="006253A9" w14:paraId="394C5F8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D298F9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0235</w:t>
            </w:r>
          </w:p>
        </w:tc>
        <w:tc>
          <w:tcPr>
            <w:tcW w:w="2880" w:type="dxa"/>
            <w:noWrap/>
            <w:hideMark/>
          </w:tcPr>
          <w:p w14:paraId="4E75B10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Phillipston</w:t>
            </w:r>
          </w:p>
        </w:tc>
        <w:tc>
          <w:tcPr>
            <w:tcW w:w="1479" w:type="dxa"/>
            <w:noWrap/>
            <w:vAlign w:val="top"/>
          </w:tcPr>
          <w:p w14:paraId="14151CFB" w14:textId="2A2D90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w:t>
            </w:r>
          </w:p>
        </w:tc>
        <w:tc>
          <w:tcPr>
            <w:tcW w:w="1440" w:type="dxa"/>
            <w:noWrap/>
            <w:vAlign w:val="top"/>
          </w:tcPr>
          <w:p w14:paraId="09058EF2" w14:textId="1DA290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2.47</w:t>
            </w:r>
          </w:p>
        </w:tc>
        <w:tc>
          <w:tcPr>
            <w:tcW w:w="1530" w:type="dxa"/>
            <w:noWrap/>
            <w:vAlign w:val="top"/>
          </w:tcPr>
          <w:p w14:paraId="35499183" w14:textId="0C32EF4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41.4%</w:t>
            </w:r>
          </w:p>
        </w:tc>
        <w:tc>
          <w:tcPr>
            <w:tcW w:w="1440" w:type="dxa"/>
            <w:noWrap/>
            <w:vAlign w:val="top"/>
          </w:tcPr>
          <w:p w14:paraId="62601FE3" w14:textId="1474E0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w:t>
            </w:r>
          </w:p>
        </w:tc>
        <w:tc>
          <w:tcPr>
            <w:tcW w:w="1440" w:type="dxa"/>
            <w:noWrap/>
            <w:vAlign w:val="top"/>
          </w:tcPr>
          <w:p w14:paraId="1CB42461" w14:textId="296017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4.03</w:t>
            </w:r>
          </w:p>
        </w:tc>
        <w:tc>
          <w:tcPr>
            <w:tcW w:w="1440" w:type="dxa"/>
            <w:noWrap/>
            <w:vAlign w:val="top"/>
          </w:tcPr>
          <w:p w14:paraId="45E459B5" w14:textId="18439A3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45.3%</w:t>
            </w:r>
          </w:p>
        </w:tc>
      </w:tr>
      <w:tr w:rsidR="00AF5B5B" w:rsidRPr="006253A9" w14:paraId="6170557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F8C96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0236</w:t>
            </w:r>
          </w:p>
        </w:tc>
        <w:tc>
          <w:tcPr>
            <w:tcW w:w="2880" w:type="dxa"/>
            <w:noWrap/>
            <w:hideMark/>
          </w:tcPr>
          <w:p w14:paraId="00526F3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Pittsfield</w:t>
            </w:r>
          </w:p>
        </w:tc>
        <w:tc>
          <w:tcPr>
            <w:tcW w:w="1479" w:type="dxa"/>
            <w:noWrap/>
            <w:vAlign w:val="top"/>
          </w:tcPr>
          <w:p w14:paraId="7580ACA6" w14:textId="05F626C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60.55</w:t>
            </w:r>
          </w:p>
        </w:tc>
        <w:tc>
          <w:tcPr>
            <w:tcW w:w="1440" w:type="dxa"/>
            <w:noWrap/>
            <w:vAlign w:val="top"/>
          </w:tcPr>
          <w:p w14:paraId="646C5431" w14:textId="66766AD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124.52</w:t>
            </w:r>
          </w:p>
        </w:tc>
        <w:tc>
          <w:tcPr>
            <w:tcW w:w="1530" w:type="dxa"/>
            <w:noWrap/>
            <w:vAlign w:val="top"/>
          </w:tcPr>
          <w:p w14:paraId="2AE6B5A4" w14:textId="093B867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48.6%</w:t>
            </w:r>
          </w:p>
        </w:tc>
        <w:tc>
          <w:tcPr>
            <w:tcW w:w="1440" w:type="dxa"/>
            <w:noWrap/>
            <w:vAlign w:val="top"/>
          </w:tcPr>
          <w:p w14:paraId="6FD3263F" w14:textId="44F80E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85.73</w:t>
            </w:r>
          </w:p>
        </w:tc>
        <w:tc>
          <w:tcPr>
            <w:tcW w:w="1440" w:type="dxa"/>
            <w:noWrap/>
            <w:vAlign w:val="top"/>
          </w:tcPr>
          <w:p w14:paraId="126F3EA4" w14:textId="18264C6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180.09</w:t>
            </w:r>
          </w:p>
        </w:tc>
        <w:tc>
          <w:tcPr>
            <w:tcW w:w="1440" w:type="dxa"/>
            <w:noWrap/>
            <w:vAlign w:val="top"/>
          </w:tcPr>
          <w:p w14:paraId="50C2E7E1" w14:textId="1635F41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47.6%</w:t>
            </w:r>
          </w:p>
        </w:tc>
      </w:tr>
      <w:tr w:rsidR="00AF5B5B" w:rsidRPr="006253A9" w14:paraId="3837252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D8B873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0237</w:t>
            </w:r>
          </w:p>
        </w:tc>
        <w:tc>
          <w:tcPr>
            <w:tcW w:w="2880" w:type="dxa"/>
            <w:noWrap/>
            <w:hideMark/>
          </w:tcPr>
          <w:p w14:paraId="5CCFA37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Plainfield</w:t>
            </w:r>
          </w:p>
        </w:tc>
        <w:tc>
          <w:tcPr>
            <w:tcW w:w="1479" w:type="dxa"/>
            <w:noWrap/>
            <w:vAlign w:val="top"/>
          </w:tcPr>
          <w:p w14:paraId="24BF25E9" w14:textId="3933B0C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0.66</w:t>
            </w:r>
          </w:p>
        </w:tc>
        <w:tc>
          <w:tcPr>
            <w:tcW w:w="1440" w:type="dxa"/>
            <w:noWrap/>
            <w:vAlign w:val="top"/>
          </w:tcPr>
          <w:p w14:paraId="541E2406" w14:textId="55267CD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1.37</w:t>
            </w:r>
          </w:p>
        </w:tc>
        <w:tc>
          <w:tcPr>
            <w:tcW w:w="1530" w:type="dxa"/>
            <w:noWrap/>
            <w:vAlign w:val="top"/>
          </w:tcPr>
          <w:p w14:paraId="2358E5DB" w14:textId="6EB519D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48.0%</w:t>
            </w:r>
          </w:p>
        </w:tc>
        <w:tc>
          <w:tcPr>
            <w:tcW w:w="1440" w:type="dxa"/>
            <w:noWrap/>
            <w:vAlign w:val="top"/>
          </w:tcPr>
          <w:p w14:paraId="2476B6B6" w14:textId="5051648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0.81</w:t>
            </w:r>
          </w:p>
        </w:tc>
        <w:tc>
          <w:tcPr>
            <w:tcW w:w="1440" w:type="dxa"/>
            <w:noWrap/>
            <w:vAlign w:val="top"/>
          </w:tcPr>
          <w:p w14:paraId="794C27C6" w14:textId="2C941CC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2.50</w:t>
            </w:r>
          </w:p>
        </w:tc>
        <w:tc>
          <w:tcPr>
            <w:tcW w:w="1440" w:type="dxa"/>
            <w:noWrap/>
            <w:vAlign w:val="top"/>
          </w:tcPr>
          <w:p w14:paraId="799ED7F4" w14:textId="1695C8D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32.5%</w:t>
            </w:r>
          </w:p>
        </w:tc>
      </w:tr>
      <w:tr w:rsidR="00AF5B5B" w:rsidRPr="006253A9" w14:paraId="6032AB4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698EAD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0238</w:t>
            </w:r>
          </w:p>
        </w:tc>
        <w:tc>
          <w:tcPr>
            <w:tcW w:w="2880" w:type="dxa"/>
            <w:noWrap/>
            <w:hideMark/>
          </w:tcPr>
          <w:p w14:paraId="23750D6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Plainville</w:t>
            </w:r>
          </w:p>
        </w:tc>
        <w:tc>
          <w:tcPr>
            <w:tcW w:w="1479" w:type="dxa"/>
            <w:noWrap/>
            <w:vAlign w:val="top"/>
          </w:tcPr>
          <w:p w14:paraId="5C8FC1BE" w14:textId="3B03924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11.85</w:t>
            </w:r>
          </w:p>
        </w:tc>
        <w:tc>
          <w:tcPr>
            <w:tcW w:w="1440" w:type="dxa"/>
            <w:noWrap/>
            <w:vAlign w:val="top"/>
          </w:tcPr>
          <w:p w14:paraId="12087F00" w14:textId="36E3E7D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22.89</w:t>
            </w:r>
          </w:p>
        </w:tc>
        <w:tc>
          <w:tcPr>
            <w:tcW w:w="1530" w:type="dxa"/>
            <w:noWrap/>
            <w:vAlign w:val="top"/>
          </w:tcPr>
          <w:p w14:paraId="6AFCE8D5" w14:textId="3BB4532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51.8%</w:t>
            </w:r>
          </w:p>
        </w:tc>
        <w:tc>
          <w:tcPr>
            <w:tcW w:w="1440" w:type="dxa"/>
            <w:noWrap/>
            <w:vAlign w:val="top"/>
          </w:tcPr>
          <w:p w14:paraId="037D1850" w14:textId="17F176B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19.06</w:t>
            </w:r>
          </w:p>
        </w:tc>
        <w:tc>
          <w:tcPr>
            <w:tcW w:w="1440" w:type="dxa"/>
            <w:noWrap/>
            <w:vAlign w:val="top"/>
          </w:tcPr>
          <w:p w14:paraId="711A5BF3" w14:textId="2E5F588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39.09</w:t>
            </w:r>
          </w:p>
        </w:tc>
        <w:tc>
          <w:tcPr>
            <w:tcW w:w="1440" w:type="dxa"/>
            <w:noWrap/>
            <w:vAlign w:val="top"/>
          </w:tcPr>
          <w:p w14:paraId="1B465D89" w14:textId="6E483D0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48.8%</w:t>
            </w:r>
          </w:p>
        </w:tc>
      </w:tr>
      <w:tr w:rsidR="00AF5B5B" w:rsidRPr="006253A9" w14:paraId="5290916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2E28CA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0239</w:t>
            </w:r>
          </w:p>
        </w:tc>
        <w:tc>
          <w:tcPr>
            <w:tcW w:w="2880" w:type="dxa"/>
            <w:noWrap/>
            <w:hideMark/>
          </w:tcPr>
          <w:p w14:paraId="1839C64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Plymouth</w:t>
            </w:r>
          </w:p>
        </w:tc>
        <w:tc>
          <w:tcPr>
            <w:tcW w:w="1479" w:type="dxa"/>
            <w:noWrap/>
            <w:vAlign w:val="top"/>
          </w:tcPr>
          <w:p w14:paraId="7B7901DC" w14:textId="658176D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82.31</w:t>
            </w:r>
          </w:p>
        </w:tc>
        <w:tc>
          <w:tcPr>
            <w:tcW w:w="1440" w:type="dxa"/>
            <w:noWrap/>
            <w:vAlign w:val="top"/>
          </w:tcPr>
          <w:p w14:paraId="6C495439" w14:textId="7C6C81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157.44</w:t>
            </w:r>
          </w:p>
        </w:tc>
        <w:tc>
          <w:tcPr>
            <w:tcW w:w="1530" w:type="dxa"/>
            <w:noWrap/>
            <w:vAlign w:val="top"/>
          </w:tcPr>
          <w:p w14:paraId="5430FFEC" w14:textId="13E8F5A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52.3%</w:t>
            </w:r>
          </w:p>
        </w:tc>
        <w:tc>
          <w:tcPr>
            <w:tcW w:w="1440" w:type="dxa"/>
            <w:noWrap/>
            <w:vAlign w:val="top"/>
          </w:tcPr>
          <w:p w14:paraId="76D6EC41" w14:textId="17A324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127.43</w:t>
            </w:r>
          </w:p>
        </w:tc>
        <w:tc>
          <w:tcPr>
            <w:tcW w:w="1440" w:type="dxa"/>
            <w:noWrap/>
            <w:vAlign w:val="top"/>
          </w:tcPr>
          <w:p w14:paraId="2E326C8E" w14:textId="4449DD3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262.12</w:t>
            </w:r>
          </w:p>
        </w:tc>
        <w:tc>
          <w:tcPr>
            <w:tcW w:w="1440" w:type="dxa"/>
            <w:noWrap/>
            <w:vAlign w:val="top"/>
          </w:tcPr>
          <w:p w14:paraId="5F7B4FA3" w14:textId="0FDF3A4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48.6%</w:t>
            </w:r>
          </w:p>
        </w:tc>
      </w:tr>
      <w:tr w:rsidR="00AF5B5B" w:rsidRPr="006253A9" w14:paraId="6427D90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F27A3C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0240</w:t>
            </w:r>
          </w:p>
        </w:tc>
        <w:tc>
          <w:tcPr>
            <w:tcW w:w="2880" w:type="dxa"/>
            <w:noWrap/>
            <w:hideMark/>
          </w:tcPr>
          <w:p w14:paraId="7EC3682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Plympton</w:t>
            </w:r>
          </w:p>
        </w:tc>
        <w:tc>
          <w:tcPr>
            <w:tcW w:w="1479" w:type="dxa"/>
            <w:noWrap/>
            <w:vAlign w:val="top"/>
          </w:tcPr>
          <w:p w14:paraId="297E9B79" w14:textId="09D38D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4.35</w:t>
            </w:r>
          </w:p>
        </w:tc>
        <w:tc>
          <w:tcPr>
            <w:tcW w:w="1440" w:type="dxa"/>
            <w:noWrap/>
            <w:vAlign w:val="top"/>
          </w:tcPr>
          <w:p w14:paraId="791F3091" w14:textId="52183AD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6.67</w:t>
            </w:r>
          </w:p>
        </w:tc>
        <w:tc>
          <w:tcPr>
            <w:tcW w:w="1530" w:type="dxa"/>
            <w:noWrap/>
            <w:vAlign w:val="top"/>
          </w:tcPr>
          <w:p w14:paraId="3C97330C" w14:textId="3243A1A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65.2%</w:t>
            </w:r>
          </w:p>
        </w:tc>
        <w:tc>
          <w:tcPr>
            <w:tcW w:w="1440" w:type="dxa"/>
            <w:noWrap/>
            <w:vAlign w:val="top"/>
          </w:tcPr>
          <w:p w14:paraId="0F8E1D51" w14:textId="3193D2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6.12</w:t>
            </w:r>
          </w:p>
        </w:tc>
        <w:tc>
          <w:tcPr>
            <w:tcW w:w="1440" w:type="dxa"/>
            <w:noWrap/>
            <w:vAlign w:val="top"/>
          </w:tcPr>
          <w:p w14:paraId="5A076A9D" w14:textId="423ED5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11.62</w:t>
            </w:r>
          </w:p>
        </w:tc>
        <w:tc>
          <w:tcPr>
            <w:tcW w:w="1440" w:type="dxa"/>
            <w:noWrap/>
            <w:vAlign w:val="top"/>
          </w:tcPr>
          <w:p w14:paraId="69920018" w14:textId="1ACA390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52.7%</w:t>
            </w:r>
          </w:p>
        </w:tc>
      </w:tr>
      <w:tr w:rsidR="00AF5B5B" w:rsidRPr="006253A9" w14:paraId="76243B6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7BEC17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0241</w:t>
            </w:r>
          </w:p>
        </w:tc>
        <w:tc>
          <w:tcPr>
            <w:tcW w:w="2880" w:type="dxa"/>
            <w:noWrap/>
            <w:hideMark/>
          </w:tcPr>
          <w:p w14:paraId="1C116BE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Princeton</w:t>
            </w:r>
          </w:p>
        </w:tc>
        <w:tc>
          <w:tcPr>
            <w:tcW w:w="1479" w:type="dxa"/>
            <w:noWrap/>
            <w:vAlign w:val="top"/>
          </w:tcPr>
          <w:p w14:paraId="6364EC5B" w14:textId="7D4A471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4.32</w:t>
            </w:r>
          </w:p>
        </w:tc>
        <w:tc>
          <w:tcPr>
            <w:tcW w:w="1440" w:type="dxa"/>
            <w:noWrap/>
            <w:vAlign w:val="top"/>
          </w:tcPr>
          <w:p w14:paraId="31CC59CB" w14:textId="3A753D0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7.75</w:t>
            </w:r>
          </w:p>
        </w:tc>
        <w:tc>
          <w:tcPr>
            <w:tcW w:w="1530" w:type="dxa"/>
            <w:noWrap/>
            <w:vAlign w:val="top"/>
          </w:tcPr>
          <w:p w14:paraId="079D8875" w14:textId="4CB6B43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55.8%</w:t>
            </w:r>
          </w:p>
        </w:tc>
        <w:tc>
          <w:tcPr>
            <w:tcW w:w="1440" w:type="dxa"/>
            <w:noWrap/>
            <w:vAlign w:val="top"/>
          </w:tcPr>
          <w:p w14:paraId="41889D76" w14:textId="6A3878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5.20</w:t>
            </w:r>
          </w:p>
        </w:tc>
        <w:tc>
          <w:tcPr>
            <w:tcW w:w="1440" w:type="dxa"/>
            <w:noWrap/>
            <w:vAlign w:val="top"/>
          </w:tcPr>
          <w:p w14:paraId="310D911C" w14:textId="3CA548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10.01</w:t>
            </w:r>
          </w:p>
        </w:tc>
        <w:tc>
          <w:tcPr>
            <w:tcW w:w="1440" w:type="dxa"/>
            <w:noWrap/>
            <w:vAlign w:val="top"/>
          </w:tcPr>
          <w:p w14:paraId="70849F75" w14:textId="0B23F8D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51.9%</w:t>
            </w:r>
          </w:p>
        </w:tc>
      </w:tr>
      <w:tr w:rsidR="00AF5B5B" w:rsidRPr="006253A9" w14:paraId="1751AB4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707183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0242</w:t>
            </w:r>
          </w:p>
        </w:tc>
        <w:tc>
          <w:tcPr>
            <w:tcW w:w="2880" w:type="dxa"/>
            <w:noWrap/>
            <w:hideMark/>
          </w:tcPr>
          <w:p w14:paraId="1638A1F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Provincetown</w:t>
            </w:r>
          </w:p>
        </w:tc>
        <w:tc>
          <w:tcPr>
            <w:tcW w:w="1479" w:type="dxa"/>
            <w:noWrap/>
            <w:vAlign w:val="top"/>
          </w:tcPr>
          <w:p w14:paraId="15AA4C1C" w14:textId="522BEF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4.79</w:t>
            </w:r>
          </w:p>
        </w:tc>
        <w:tc>
          <w:tcPr>
            <w:tcW w:w="1440" w:type="dxa"/>
            <w:noWrap/>
            <w:vAlign w:val="top"/>
          </w:tcPr>
          <w:p w14:paraId="41369DAC" w14:textId="36D38A0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19.91</w:t>
            </w:r>
          </w:p>
        </w:tc>
        <w:tc>
          <w:tcPr>
            <w:tcW w:w="1530" w:type="dxa"/>
            <w:noWrap/>
            <w:vAlign w:val="top"/>
          </w:tcPr>
          <w:p w14:paraId="674B9E9B" w14:textId="09B60E5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24.0%</w:t>
            </w:r>
          </w:p>
        </w:tc>
        <w:tc>
          <w:tcPr>
            <w:tcW w:w="1440" w:type="dxa"/>
            <w:noWrap/>
            <w:vAlign w:val="top"/>
          </w:tcPr>
          <w:p w14:paraId="5B109951" w14:textId="60D8A1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6.22</w:t>
            </w:r>
          </w:p>
        </w:tc>
        <w:tc>
          <w:tcPr>
            <w:tcW w:w="1440" w:type="dxa"/>
            <w:noWrap/>
            <w:vAlign w:val="top"/>
          </w:tcPr>
          <w:p w14:paraId="26D69FAE" w14:textId="35C458C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38.76</w:t>
            </w:r>
          </w:p>
        </w:tc>
        <w:tc>
          <w:tcPr>
            <w:tcW w:w="1440" w:type="dxa"/>
            <w:noWrap/>
            <w:vAlign w:val="top"/>
          </w:tcPr>
          <w:p w14:paraId="12B8953B" w14:textId="121343A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16.1%</w:t>
            </w:r>
          </w:p>
        </w:tc>
      </w:tr>
      <w:tr w:rsidR="00AF5B5B" w:rsidRPr="006253A9" w14:paraId="2FAF924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24163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0243</w:t>
            </w:r>
          </w:p>
        </w:tc>
        <w:tc>
          <w:tcPr>
            <w:tcW w:w="2880" w:type="dxa"/>
            <w:noWrap/>
            <w:hideMark/>
          </w:tcPr>
          <w:p w14:paraId="0A74EC8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Quincy</w:t>
            </w:r>
          </w:p>
        </w:tc>
        <w:tc>
          <w:tcPr>
            <w:tcW w:w="1479" w:type="dxa"/>
            <w:noWrap/>
            <w:vAlign w:val="top"/>
          </w:tcPr>
          <w:p w14:paraId="42A31238" w14:textId="61B84A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91.75</w:t>
            </w:r>
          </w:p>
        </w:tc>
        <w:tc>
          <w:tcPr>
            <w:tcW w:w="1440" w:type="dxa"/>
            <w:noWrap/>
            <w:vAlign w:val="top"/>
          </w:tcPr>
          <w:p w14:paraId="04FECF01" w14:textId="58AF87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261.17</w:t>
            </w:r>
          </w:p>
        </w:tc>
        <w:tc>
          <w:tcPr>
            <w:tcW w:w="1530" w:type="dxa"/>
            <w:noWrap/>
            <w:vAlign w:val="top"/>
          </w:tcPr>
          <w:p w14:paraId="3E5818FA" w14:textId="4FBFBF6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35.1%</w:t>
            </w:r>
          </w:p>
        </w:tc>
        <w:tc>
          <w:tcPr>
            <w:tcW w:w="1440" w:type="dxa"/>
            <w:noWrap/>
            <w:vAlign w:val="top"/>
          </w:tcPr>
          <w:p w14:paraId="54C310D3" w14:textId="04DAD34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144.60</w:t>
            </w:r>
          </w:p>
        </w:tc>
        <w:tc>
          <w:tcPr>
            <w:tcW w:w="1440" w:type="dxa"/>
            <w:noWrap/>
            <w:vAlign w:val="top"/>
          </w:tcPr>
          <w:p w14:paraId="5A695EF8" w14:textId="19FA1B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354.86</w:t>
            </w:r>
          </w:p>
        </w:tc>
        <w:tc>
          <w:tcPr>
            <w:tcW w:w="1440" w:type="dxa"/>
            <w:noWrap/>
            <w:vAlign w:val="top"/>
          </w:tcPr>
          <w:p w14:paraId="176D34A6" w14:textId="347203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40.7%</w:t>
            </w:r>
          </w:p>
        </w:tc>
      </w:tr>
      <w:tr w:rsidR="00AF5B5B" w:rsidRPr="006253A9" w14:paraId="4CA0E84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D8B019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0244</w:t>
            </w:r>
          </w:p>
        </w:tc>
        <w:tc>
          <w:tcPr>
            <w:tcW w:w="2880" w:type="dxa"/>
            <w:noWrap/>
            <w:hideMark/>
          </w:tcPr>
          <w:p w14:paraId="58C8AAE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Randolph</w:t>
            </w:r>
          </w:p>
        </w:tc>
        <w:tc>
          <w:tcPr>
            <w:tcW w:w="1479" w:type="dxa"/>
            <w:noWrap/>
            <w:vAlign w:val="top"/>
          </w:tcPr>
          <w:p w14:paraId="2550A6C0" w14:textId="0F6BA4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36.38</w:t>
            </w:r>
          </w:p>
        </w:tc>
        <w:tc>
          <w:tcPr>
            <w:tcW w:w="1440" w:type="dxa"/>
            <w:noWrap/>
            <w:vAlign w:val="top"/>
          </w:tcPr>
          <w:p w14:paraId="2219D6E3" w14:textId="16A182C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74.22</w:t>
            </w:r>
          </w:p>
        </w:tc>
        <w:tc>
          <w:tcPr>
            <w:tcW w:w="1530" w:type="dxa"/>
            <w:noWrap/>
            <w:vAlign w:val="top"/>
          </w:tcPr>
          <w:p w14:paraId="545592B6" w14:textId="49B9338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49.0%</w:t>
            </w:r>
          </w:p>
        </w:tc>
        <w:tc>
          <w:tcPr>
            <w:tcW w:w="1440" w:type="dxa"/>
            <w:noWrap/>
            <w:vAlign w:val="top"/>
          </w:tcPr>
          <w:p w14:paraId="71EA3E8F" w14:textId="748C2C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57.32</w:t>
            </w:r>
          </w:p>
        </w:tc>
        <w:tc>
          <w:tcPr>
            <w:tcW w:w="1440" w:type="dxa"/>
            <w:noWrap/>
            <w:vAlign w:val="top"/>
          </w:tcPr>
          <w:p w14:paraId="426EEA1C" w14:textId="5D07C19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112.36</w:t>
            </w:r>
          </w:p>
        </w:tc>
        <w:tc>
          <w:tcPr>
            <w:tcW w:w="1440" w:type="dxa"/>
            <w:noWrap/>
            <w:vAlign w:val="top"/>
          </w:tcPr>
          <w:p w14:paraId="34181F3F" w14:textId="03ED3D7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51.0%</w:t>
            </w:r>
          </w:p>
        </w:tc>
      </w:tr>
      <w:tr w:rsidR="00AF5B5B" w:rsidRPr="006253A9" w14:paraId="1038EB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3FC730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0245</w:t>
            </w:r>
          </w:p>
        </w:tc>
        <w:tc>
          <w:tcPr>
            <w:tcW w:w="2880" w:type="dxa"/>
            <w:noWrap/>
            <w:hideMark/>
          </w:tcPr>
          <w:p w14:paraId="16D53E4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Raynham</w:t>
            </w:r>
          </w:p>
        </w:tc>
        <w:tc>
          <w:tcPr>
            <w:tcW w:w="1479" w:type="dxa"/>
            <w:noWrap/>
            <w:vAlign w:val="top"/>
          </w:tcPr>
          <w:p w14:paraId="0DC27A11" w14:textId="37704FF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12.80</w:t>
            </w:r>
          </w:p>
        </w:tc>
        <w:tc>
          <w:tcPr>
            <w:tcW w:w="1440" w:type="dxa"/>
            <w:noWrap/>
            <w:vAlign w:val="top"/>
          </w:tcPr>
          <w:p w14:paraId="78D19CF6" w14:textId="3AD01E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28.21</w:t>
            </w:r>
          </w:p>
        </w:tc>
        <w:tc>
          <w:tcPr>
            <w:tcW w:w="1530" w:type="dxa"/>
            <w:noWrap/>
            <w:vAlign w:val="top"/>
          </w:tcPr>
          <w:p w14:paraId="1C7F91D0" w14:textId="48C84C6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45.4%</w:t>
            </w:r>
          </w:p>
        </w:tc>
        <w:tc>
          <w:tcPr>
            <w:tcW w:w="1440" w:type="dxa"/>
            <w:noWrap/>
            <w:vAlign w:val="top"/>
          </w:tcPr>
          <w:p w14:paraId="6509A98F" w14:textId="6358E6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21.10</w:t>
            </w:r>
          </w:p>
        </w:tc>
        <w:tc>
          <w:tcPr>
            <w:tcW w:w="1440" w:type="dxa"/>
            <w:noWrap/>
            <w:vAlign w:val="top"/>
          </w:tcPr>
          <w:p w14:paraId="3EBABA5A" w14:textId="2117A7F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44.01</w:t>
            </w:r>
          </w:p>
        </w:tc>
        <w:tc>
          <w:tcPr>
            <w:tcW w:w="1440" w:type="dxa"/>
            <w:noWrap/>
            <w:vAlign w:val="top"/>
          </w:tcPr>
          <w:p w14:paraId="1C8BDBA6" w14:textId="792E38F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47.9%</w:t>
            </w:r>
          </w:p>
        </w:tc>
      </w:tr>
      <w:tr w:rsidR="00AF5B5B" w:rsidRPr="006253A9" w14:paraId="3E7655F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AB921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0246</w:t>
            </w:r>
          </w:p>
        </w:tc>
        <w:tc>
          <w:tcPr>
            <w:tcW w:w="2880" w:type="dxa"/>
            <w:noWrap/>
            <w:hideMark/>
          </w:tcPr>
          <w:p w14:paraId="3B0FE3E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Reading</w:t>
            </w:r>
          </w:p>
        </w:tc>
        <w:tc>
          <w:tcPr>
            <w:tcW w:w="1479" w:type="dxa"/>
            <w:noWrap/>
            <w:vAlign w:val="top"/>
          </w:tcPr>
          <w:p w14:paraId="6BA7F335" w14:textId="1F1531D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38.64</w:t>
            </w:r>
          </w:p>
        </w:tc>
        <w:tc>
          <w:tcPr>
            <w:tcW w:w="1440" w:type="dxa"/>
            <w:noWrap/>
            <w:vAlign w:val="top"/>
          </w:tcPr>
          <w:p w14:paraId="252A189D" w14:textId="33239F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72.41</w:t>
            </w:r>
          </w:p>
        </w:tc>
        <w:tc>
          <w:tcPr>
            <w:tcW w:w="1530" w:type="dxa"/>
            <w:noWrap/>
            <w:vAlign w:val="top"/>
          </w:tcPr>
          <w:p w14:paraId="5AFF094A" w14:textId="10E6417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53.4%</w:t>
            </w:r>
          </w:p>
        </w:tc>
        <w:tc>
          <w:tcPr>
            <w:tcW w:w="1440" w:type="dxa"/>
            <w:noWrap/>
            <w:vAlign w:val="top"/>
          </w:tcPr>
          <w:p w14:paraId="051435F3" w14:textId="3A9517B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58.21</w:t>
            </w:r>
          </w:p>
        </w:tc>
        <w:tc>
          <w:tcPr>
            <w:tcW w:w="1440" w:type="dxa"/>
            <w:noWrap/>
            <w:vAlign w:val="top"/>
          </w:tcPr>
          <w:p w14:paraId="73666B7D" w14:textId="23190C5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107.08</w:t>
            </w:r>
          </w:p>
        </w:tc>
        <w:tc>
          <w:tcPr>
            <w:tcW w:w="1440" w:type="dxa"/>
            <w:noWrap/>
            <w:vAlign w:val="top"/>
          </w:tcPr>
          <w:p w14:paraId="3B368DCD" w14:textId="475CBC8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r>
      <w:tr w:rsidR="00AF5B5B" w:rsidRPr="006253A9" w14:paraId="79F5E2C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CCDD7C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0247</w:t>
            </w:r>
          </w:p>
        </w:tc>
        <w:tc>
          <w:tcPr>
            <w:tcW w:w="2880" w:type="dxa"/>
            <w:noWrap/>
            <w:hideMark/>
          </w:tcPr>
          <w:p w14:paraId="5FDBB35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Rehoboth</w:t>
            </w:r>
          </w:p>
        </w:tc>
        <w:tc>
          <w:tcPr>
            <w:tcW w:w="1479" w:type="dxa"/>
            <w:noWrap/>
            <w:vAlign w:val="top"/>
          </w:tcPr>
          <w:p w14:paraId="0A7C572B" w14:textId="1B5A59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10.75</w:t>
            </w:r>
          </w:p>
        </w:tc>
        <w:tc>
          <w:tcPr>
            <w:tcW w:w="1440" w:type="dxa"/>
            <w:noWrap/>
            <w:vAlign w:val="top"/>
          </w:tcPr>
          <w:p w14:paraId="5F28CD6F" w14:textId="383F7C0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18.32</w:t>
            </w:r>
          </w:p>
        </w:tc>
        <w:tc>
          <w:tcPr>
            <w:tcW w:w="1530" w:type="dxa"/>
            <w:noWrap/>
            <w:vAlign w:val="top"/>
          </w:tcPr>
          <w:p w14:paraId="3B5DF9BC" w14:textId="123F1FC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58.7%</w:t>
            </w:r>
          </w:p>
        </w:tc>
        <w:tc>
          <w:tcPr>
            <w:tcW w:w="1440" w:type="dxa"/>
            <w:noWrap/>
            <w:vAlign w:val="top"/>
          </w:tcPr>
          <w:p w14:paraId="1F42760B" w14:textId="310A3DA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18.45</w:t>
            </w:r>
          </w:p>
        </w:tc>
        <w:tc>
          <w:tcPr>
            <w:tcW w:w="1440" w:type="dxa"/>
            <w:noWrap/>
            <w:vAlign w:val="top"/>
          </w:tcPr>
          <w:p w14:paraId="53B7482E" w14:textId="45DA938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30.00</w:t>
            </w:r>
          </w:p>
        </w:tc>
        <w:tc>
          <w:tcPr>
            <w:tcW w:w="1440" w:type="dxa"/>
            <w:noWrap/>
            <w:vAlign w:val="top"/>
          </w:tcPr>
          <w:p w14:paraId="3958F1CA" w14:textId="18484E5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61.5%</w:t>
            </w:r>
          </w:p>
        </w:tc>
      </w:tr>
      <w:tr w:rsidR="00AF5B5B" w:rsidRPr="006253A9" w14:paraId="4955448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909742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0248</w:t>
            </w:r>
          </w:p>
        </w:tc>
        <w:tc>
          <w:tcPr>
            <w:tcW w:w="2880" w:type="dxa"/>
            <w:noWrap/>
            <w:hideMark/>
          </w:tcPr>
          <w:p w14:paraId="2ABA259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Revere</w:t>
            </w:r>
          </w:p>
        </w:tc>
        <w:tc>
          <w:tcPr>
            <w:tcW w:w="1479" w:type="dxa"/>
            <w:noWrap/>
            <w:vAlign w:val="top"/>
          </w:tcPr>
          <w:p w14:paraId="4240930E" w14:textId="7EB56D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54.32</w:t>
            </w:r>
          </w:p>
        </w:tc>
        <w:tc>
          <w:tcPr>
            <w:tcW w:w="1440" w:type="dxa"/>
            <w:noWrap/>
            <w:vAlign w:val="top"/>
          </w:tcPr>
          <w:p w14:paraId="42565654" w14:textId="6E95BC3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113.91</w:t>
            </w:r>
          </w:p>
        </w:tc>
        <w:tc>
          <w:tcPr>
            <w:tcW w:w="1530" w:type="dxa"/>
            <w:noWrap/>
            <w:vAlign w:val="top"/>
          </w:tcPr>
          <w:p w14:paraId="053AB0FB" w14:textId="4E05935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47.7%</w:t>
            </w:r>
          </w:p>
        </w:tc>
        <w:tc>
          <w:tcPr>
            <w:tcW w:w="1440" w:type="dxa"/>
            <w:noWrap/>
            <w:vAlign w:val="top"/>
          </w:tcPr>
          <w:p w14:paraId="37A44634" w14:textId="35B480E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102.56</w:t>
            </w:r>
          </w:p>
        </w:tc>
        <w:tc>
          <w:tcPr>
            <w:tcW w:w="1440" w:type="dxa"/>
            <w:noWrap/>
            <w:vAlign w:val="top"/>
          </w:tcPr>
          <w:p w14:paraId="34261B7F" w14:textId="2270CB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202.00</w:t>
            </w:r>
          </w:p>
        </w:tc>
        <w:tc>
          <w:tcPr>
            <w:tcW w:w="1440" w:type="dxa"/>
            <w:noWrap/>
            <w:vAlign w:val="top"/>
          </w:tcPr>
          <w:p w14:paraId="34F9B27A" w14:textId="2B9C43C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50.8%</w:t>
            </w:r>
          </w:p>
        </w:tc>
      </w:tr>
      <w:tr w:rsidR="00AF5B5B" w:rsidRPr="006253A9" w14:paraId="0092F6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733342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0249</w:t>
            </w:r>
          </w:p>
        </w:tc>
        <w:tc>
          <w:tcPr>
            <w:tcW w:w="2880" w:type="dxa"/>
            <w:noWrap/>
            <w:hideMark/>
          </w:tcPr>
          <w:p w14:paraId="32659E9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Richmond</w:t>
            </w:r>
          </w:p>
        </w:tc>
        <w:tc>
          <w:tcPr>
            <w:tcW w:w="1479" w:type="dxa"/>
            <w:noWrap/>
            <w:vAlign w:val="top"/>
          </w:tcPr>
          <w:p w14:paraId="7F8173BF" w14:textId="4C82F5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2.87</w:t>
            </w:r>
          </w:p>
        </w:tc>
        <w:tc>
          <w:tcPr>
            <w:tcW w:w="1440" w:type="dxa"/>
            <w:noWrap/>
            <w:vAlign w:val="top"/>
          </w:tcPr>
          <w:p w14:paraId="24425A61" w14:textId="55F898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4.93</w:t>
            </w:r>
          </w:p>
        </w:tc>
        <w:tc>
          <w:tcPr>
            <w:tcW w:w="1530" w:type="dxa"/>
            <w:noWrap/>
            <w:vAlign w:val="top"/>
          </w:tcPr>
          <w:p w14:paraId="2091F59C" w14:textId="5B92485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58.2%</w:t>
            </w:r>
          </w:p>
        </w:tc>
        <w:tc>
          <w:tcPr>
            <w:tcW w:w="1440" w:type="dxa"/>
            <w:noWrap/>
            <w:vAlign w:val="top"/>
          </w:tcPr>
          <w:p w14:paraId="1A882842" w14:textId="6781EE5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3.18</w:t>
            </w:r>
          </w:p>
        </w:tc>
        <w:tc>
          <w:tcPr>
            <w:tcW w:w="1440" w:type="dxa"/>
            <w:noWrap/>
            <w:vAlign w:val="top"/>
          </w:tcPr>
          <w:p w14:paraId="747D237F" w14:textId="30A677D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5.82</w:t>
            </w:r>
          </w:p>
        </w:tc>
        <w:tc>
          <w:tcPr>
            <w:tcW w:w="1440" w:type="dxa"/>
            <w:noWrap/>
            <w:vAlign w:val="top"/>
          </w:tcPr>
          <w:p w14:paraId="7FC7AFD3" w14:textId="1B0F8B8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54.5%</w:t>
            </w:r>
          </w:p>
        </w:tc>
      </w:tr>
      <w:tr w:rsidR="00AF5B5B" w:rsidRPr="006253A9" w14:paraId="4A86BFB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FBCA6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0250</w:t>
            </w:r>
          </w:p>
        </w:tc>
        <w:tc>
          <w:tcPr>
            <w:tcW w:w="2880" w:type="dxa"/>
            <w:noWrap/>
            <w:hideMark/>
          </w:tcPr>
          <w:p w14:paraId="768FF2D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Rochester</w:t>
            </w:r>
          </w:p>
        </w:tc>
        <w:tc>
          <w:tcPr>
            <w:tcW w:w="1479" w:type="dxa"/>
            <w:noWrap/>
            <w:vAlign w:val="top"/>
          </w:tcPr>
          <w:p w14:paraId="0B64BE6D" w14:textId="5319D0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8.93</w:t>
            </w:r>
          </w:p>
        </w:tc>
        <w:tc>
          <w:tcPr>
            <w:tcW w:w="1440" w:type="dxa"/>
            <w:noWrap/>
            <w:vAlign w:val="top"/>
          </w:tcPr>
          <w:p w14:paraId="32EA0509" w14:textId="3F311D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14.37</w:t>
            </w:r>
          </w:p>
        </w:tc>
        <w:tc>
          <w:tcPr>
            <w:tcW w:w="1530" w:type="dxa"/>
            <w:noWrap/>
            <w:vAlign w:val="top"/>
          </w:tcPr>
          <w:p w14:paraId="56CFEEE7" w14:textId="2FB1025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62.1%</w:t>
            </w:r>
          </w:p>
        </w:tc>
        <w:tc>
          <w:tcPr>
            <w:tcW w:w="1440" w:type="dxa"/>
            <w:noWrap/>
            <w:vAlign w:val="top"/>
          </w:tcPr>
          <w:p w14:paraId="020CFC72" w14:textId="6276831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12.76</w:t>
            </w:r>
          </w:p>
        </w:tc>
        <w:tc>
          <w:tcPr>
            <w:tcW w:w="1440" w:type="dxa"/>
            <w:noWrap/>
            <w:vAlign w:val="top"/>
          </w:tcPr>
          <w:p w14:paraId="473D63CD" w14:textId="08453CA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22.16</w:t>
            </w:r>
          </w:p>
        </w:tc>
        <w:tc>
          <w:tcPr>
            <w:tcW w:w="1440" w:type="dxa"/>
            <w:noWrap/>
            <w:vAlign w:val="top"/>
          </w:tcPr>
          <w:p w14:paraId="192A86C5" w14:textId="7452655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57.6%</w:t>
            </w:r>
          </w:p>
        </w:tc>
      </w:tr>
      <w:tr w:rsidR="00AF5B5B" w:rsidRPr="006253A9" w14:paraId="1ABF62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752CB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0251</w:t>
            </w:r>
          </w:p>
        </w:tc>
        <w:tc>
          <w:tcPr>
            <w:tcW w:w="2880" w:type="dxa"/>
            <w:noWrap/>
            <w:hideMark/>
          </w:tcPr>
          <w:p w14:paraId="6041378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Rockland</w:t>
            </w:r>
          </w:p>
        </w:tc>
        <w:tc>
          <w:tcPr>
            <w:tcW w:w="1479" w:type="dxa"/>
            <w:noWrap/>
            <w:vAlign w:val="top"/>
          </w:tcPr>
          <w:p w14:paraId="40FC2816" w14:textId="5E8B3D9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24.15</w:t>
            </w:r>
          </w:p>
        </w:tc>
        <w:tc>
          <w:tcPr>
            <w:tcW w:w="1440" w:type="dxa"/>
            <w:noWrap/>
            <w:vAlign w:val="top"/>
          </w:tcPr>
          <w:p w14:paraId="249A9901" w14:textId="5C900BD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44.56</w:t>
            </w:r>
          </w:p>
        </w:tc>
        <w:tc>
          <w:tcPr>
            <w:tcW w:w="1530" w:type="dxa"/>
            <w:noWrap/>
            <w:vAlign w:val="top"/>
          </w:tcPr>
          <w:p w14:paraId="59EC7A01" w14:textId="56A6AE5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54.2%</w:t>
            </w:r>
          </w:p>
        </w:tc>
        <w:tc>
          <w:tcPr>
            <w:tcW w:w="1440" w:type="dxa"/>
            <w:noWrap/>
            <w:vAlign w:val="top"/>
          </w:tcPr>
          <w:p w14:paraId="60114C82" w14:textId="4C8AC7B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35.67</w:t>
            </w:r>
          </w:p>
        </w:tc>
        <w:tc>
          <w:tcPr>
            <w:tcW w:w="1440" w:type="dxa"/>
            <w:noWrap/>
            <w:vAlign w:val="top"/>
          </w:tcPr>
          <w:p w14:paraId="12B0F065" w14:textId="7C754C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72.11</w:t>
            </w:r>
          </w:p>
        </w:tc>
        <w:tc>
          <w:tcPr>
            <w:tcW w:w="1440" w:type="dxa"/>
            <w:noWrap/>
            <w:vAlign w:val="top"/>
          </w:tcPr>
          <w:p w14:paraId="29030C03" w14:textId="2822D5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49.5%</w:t>
            </w:r>
          </w:p>
        </w:tc>
      </w:tr>
      <w:tr w:rsidR="00AF5B5B" w:rsidRPr="006253A9" w14:paraId="6EC1643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B2C237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0252</w:t>
            </w:r>
          </w:p>
        </w:tc>
        <w:tc>
          <w:tcPr>
            <w:tcW w:w="2880" w:type="dxa"/>
            <w:noWrap/>
            <w:hideMark/>
          </w:tcPr>
          <w:p w14:paraId="27590B6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Rockport</w:t>
            </w:r>
          </w:p>
        </w:tc>
        <w:tc>
          <w:tcPr>
            <w:tcW w:w="1479" w:type="dxa"/>
            <w:noWrap/>
            <w:vAlign w:val="top"/>
          </w:tcPr>
          <w:p w14:paraId="1E176EB3" w14:textId="6D7558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11.58</w:t>
            </w:r>
          </w:p>
        </w:tc>
        <w:tc>
          <w:tcPr>
            <w:tcW w:w="1440" w:type="dxa"/>
            <w:noWrap/>
            <w:vAlign w:val="top"/>
          </w:tcPr>
          <w:p w14:paraId="03FE7B4F" w14:textId="670C72F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25.56</w:t>
            </w:r>
          </w:p>
        </w:tc>
        <w:tc>
          <w:tcPr>
            <w:tcW w:w="1530" w:type="dxa"/>
            <w:noWrap/>
            <w:vAlign w:val="top"/>
          </w:tcPr>
          <w:p w14:paraId="54CD349A" w14:textId="695F156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45.3%</w:t>
            </w:r>
          </w:p>
        </w:tc>
        <w:tc>
          <w:tcPr>
            <w:tcW w:w="1440" w:type="dxa"/>
            <w:noWrap/>
            <w:vAlign w:val="top"/>
          </w:tcPr>
          <w:p w14:paraId="5F67ECE8" w14:textId="40A3946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16.32</w:t>
            </w:r>
          </w:p>
        </w:tc>
        <w:tc>
          <w:tcPr>
            <w:tcW w:w="1440" w:type="dxa"/>
            <w:noWrap/>
            <w:vAlign w:val="top"/>
          </w:tcPr>
          <w:p w14:paraId="30F86EE0" w14:textId="2AE613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34.75</w:t>
            </w:r>
          </w:p>
        </w:tc>
        <w:tc>
          <w:tcPr>
            <w:tcW w:w="1440" w:type="dxa"/>
            <w:noWrap/>
            <w:vAlign w:val="top"/>
          </w:tcPr>
          <w:p w14:paraId="45C2651C" w14:textId="52D624F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47.0%</w:t>
            </w:r>
          </w:p>
        </w:tc>
      </w:tr>
      <w:tr w:rsidR="00AF5B5B" w:rsidRPr="006253A9" w14:paraId="28F1FAF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C2E8CC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0253</w:t>
            </w:r>
          </w:p>
        </w:tc>
        <w:tc>
          <w:tcPr>
            <w:tcW w:w="2880" w:type="dxa"/>
            <w:noWrap/>
            <w:hideMark/>
          </w:tcPr>
          <w:p w14:paraId="70DBF02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Rowe</w:t>
            </w:r>
          </w:p>
        </w:tc>
        <w:tc>
          <w:tcPr>
            <w:tcW w:w="1479" w:type="dxa"/>
            <w:noWrap/>
            <w:vAlign w:val="top"/>
          </w:tcPr>
          <w:p w14:paraId="40981E85" w14:textId="694FE8C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1.24</w:t>
            </w:r>
          </w:p>
        </w:tc>
        <w:tc>
          <w:tcPr>
            <w:tcW w:w="1440" w:type="dxa"/>
            <w:noWrap/>
            <w:vAlign w:val="top"/>
          </w:tcPr>
          <w:p w14:paraId="26D7A9F6" w14:textId="3C3E4B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2.91</w:t>
            </w:r>
          </w:p>
        </w:tc>
        <w:tc>
          <w:tcPr>
            <w:tcW w:w="1530" w:type="dxa"/>
            <w:noWrap/>
            <w:vAlign w:val="top"/>
          </w:tcPr>
          <w:p w14:paraId="3AA00D72" w14:textId="2FAB12B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42.4%</w:t>
            </w:r>
          </w:p>
        </w:tc>
        <w:tc>
          <w:tcPr>
            <w:tcW w:w="1440" w:type="dxa"/>
            <w:noWrap/>
            <w:vAlign w:val="top"/>
          </w:tcPr>
          <w:p w14:paraId="2930A868" w14:textId="08667E8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2.04</w:t>
            </w:r>
          </w:p>
        </w:tc>
        <w:tc>
          <w:tcPr>
            <w:tcW w:w="1440" w:type="dxa"/>
            <w:noWrap/>
            <w:vAlign w:val="top"/>
          </w:tcPr>
          <w:p w14:paraId="4AB95707" w14:textId="1AE5124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5.35</w:t>
            </w:r>
          </w:p>
        </w:tc>
        <w:tc>
          <w:tcPr>
            <w:tcW w:w="1440" w:type="dxa"/>
            <w:noWrap/>
            <w:vAlign w:val="top"/>
          </w:tcPr>
          <w:p w14:paraId="434C78B1" w14:textId="276F819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38.1%</w:t>
            </w:r>
          </w:p>
        </w:tc>
      </w:tr>
      <w:tr w:rsidR="00AF5B5B" w:rsidRPr="006253A9" w14:paraId="36C00A9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636C6E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0254</w:t>
            </w:r>
          </w:p>
        </w:tc>
        <w:tc>
          <w:tcPr>
            <w:tcW w:w="2880" w:type="dxa"/>
            <w:noWrap/>
            <w:hideMark/>
          </w:tcPr>
          <w:p w14:paraId="5E79639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Rowley</w:t>
            </w:r>
          </w:p>
        </w:tc>
        <w:tc>
          <w:tcPr>
            <w:tcW w:w="1479" w:type="dxa"/>
            <w:noWrap/>
            <w:vAlign w:val="top"/>
          </w:tcPr>
          <w:p w14:paraId="71EE38E5" w14:textId="5CC92FA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6.58</w:t>
            </w:r>
          </w:p>
        </w:tc>
        <w:tc>
          <w:tcPr>
            <w:tcW w:w="1440" w:type="dxa"/>
            <w:noWrap/>
            <w:vAlign w:val="top"/>
          </w:tcPr>
          <w:p w14:paraId="5B09AD5D" w14:textId="659834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11.92</w:t>
            </w:r>
          </w:p>
        </w:tc>
        <w:tc>
          <w:tcPr>
            <w:tcW w:w="1530" w:type="dxa"/>
            <w:noWrap/>
            <w:vAlign w:val="top"/>
          </w:tcPr>
          <w:p w14:paraId="1D4CB283" w14:textId="218C7F6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55.2%</w:t>
            </w:r>
          </w:p>
        </w:tc>
        <w:tc>
          <w:tcPr>
            <w:tcW w:w="1440" w:type="dxa"/>
            <w:noWrap/>
            <w:vAlign w:val="top"/>
          </w:tcPr>
          <w:p w14:paraId="22690A62" w14:textId="13A341F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10.68</w:t>
            </w:r>
          </w:p>
        </w:tc>
        <w:tc>
          <w:tcPr>
            <w:tcW w:w="1440" w:type="dxa"/>
            <w:noWrap/>
            <w:vAlign w:val="top"/>
          </w:tcPr>
          <w:p w14:paraId="32C00D52" w14:textId="7B1884F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18.25</w:t>
            </w:r>
          </w:p>
        </w:tc>
        <w:tc>
          <w:tcPr>
            <w:tcW w:w="1440" w:type="dxa"/>
            <w:noWrap/>
            <w:vAlign w:val="top"/>
          </w:tcPr>
          <w:p w14:paraId="0CCBD3B7" w14:textId="3C0A4E8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58.5%</w:t>
            </w:r>
          </w:p>
        </w:tc>
      </w:tr>
      <w:tr w:rsidR="00AF5B5B" w:rsidRPr="006253A9" w14:paraId="0E84D9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0642F3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0255</w:t>
            </w:r>
          </w:p>
        </w:tc>
        <w:tc>
          <w:tcPr>
            <w:tcW w:w="2880" w:type="dxa"/>
            <w:noWrap/>
            <w:hideMark/>
          </w:tcPr>
          <w:p w14:paraId="1E74D07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Royalston</w:t>
            </w:r>
          </w:p>
        </w:tc>
        <w:tc>
          <w:tcPr>
            <w:tcW w:w="1479" w:type="dxa"/>
            <w:noWrap/>
            <w:vAlign w:val="top"/>
          </w:tcPr>
          <w:p w14:paraId="026F0E07" w14:textId="2E70BE0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0.61</w:t>
            </w:r>
          </w:p>
        </w:tc>
        <w:tc>
          <w:tcPr>
            <w:tcW w:w="1440" w:type="dxa"/>
            <w:noWrap/>
            <w:vAlign w:val="top"/>
          </w:tcPr>
          <w:p w14:paraId="7979D065" w14:textId="74DAB4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1.88</w:t>
            </w:r>
          </w:p>
        </w:tc>
        <w:tc>
          <w:tcPr>
            <w:tcW w:w="1530" w:type="dxa"/>
            <w:noWrap/>
            <w:vAlign w:val="top"/>
          </w:tcPr>
          <w:p w14:paraId="513CB930" w14:textId="1AF7B76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32.2%</w:t>
            </w:r>
          </w:p>
        </w:tc>
        <w:tc>
          <w:tcPr>
            <w:tcW w:w="1440" w:type="dxa"/>
            <w:noWrap/>
            <w:vAlign w:val="top"/>
          </w:tcPr>
          <w:p w14:paraId="21995901" w14:textId="19D8F34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0.68</w:t>
            </w:r>
          </w:p>
        </w:tc>
        <w:tc>
          <w:tcPr>
            <w:tcW w:w="1440" w:type="dxa"/>
            <w:noWrap/>
            <w:vAlign w:val="top"/>
          </w:tcPr>
          <w:p w14:paraId="12F84ACA" w14:textId="192E95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2.59</w:t>
            </w:r>
          </w:p>
        </w:tc>
        <w:tc>
          <w:tcPr>
            <w:tcW w:w="1440" w:type="dxa"/>
            <w:noWrap/>
            <w:vAlign w:val="top"/>
          </w:tcPr>
          <w:p w14:paraId="5A59EF8A" w14:textId="0877010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26.2%</w:t>
            </w:r>
          </w:p>
        </w:tc>
      </w:tr>
      <w:tr w:rsidR="00AF5B5B" w:rsidRPr="006253A9" w14:paraId="418DA2C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9A6B22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0256</w:t>
            </w:r>
          </w:p>
        </w:tc>
        <w:tc>
          <w:tcPr>
            <w:tcW w:w="2880" w:type="dxa"/>
            <w:noWrap/>
            <w:hideMark/>
          </w:tcPr>
          <w:p w14:paraId="2B0D44D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Russell</w:t>
            </w:r>
          </w:p>
        </w:tc>
        <w:tc>
          <w:tcPr>
            <w:tcW w:w="1479" w:type="dxa"/>
            <w:noWrap/>
            <w:vAlign w:val="top"/>
          </w:tcPr>
          <w:p w14:paraId="3717525C" w14:textId="258BA2E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w:t>
            </w:r>
          </w:p>
        </w:tc>
        <w:tc>
          <w:tcPr>
            <w:tcW w:w="1440" w:type="dxa"/>
            <w:noWrap/>
            <w:vAlign w:val="top"/>
          </w:tcPr>
          <w:p w14:paraId="14BF743B" w14:textId="5F74B85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2.62</w:t>
            </w:r>
          </w:p>
        </w:tc>
        <w:tc>
          <w:tcPr>
            <w:tcW w:w="1530" w:type="dxa"/>
            <w:noWrap/>
            <w:vAlign w:val="top"/>
          </w:tcPr>
          <w:p w14:paraId="0FDAC8FD" w14:textId="1E1EB7A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60.1%</w:t>
            </w:r>
          </w:p>
        </w:tc>
        <w:tc>
          <w:tcPr>
            <w:tcW w:w="1440" w:type="dxa"/>
            <w:noWrap/>
            <w:vAlign w:val="top"/>
          </w:tcPr>
          <w:p w14:paraId="575D454F" w14:textId="52C5933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2.56</w:t>
            </w:r>
          </w:p>
        </w:tc>
        <w:tc>
          <w:tcPr>
            <w:tcW w:w="1440" w:type="dxa"/>
            <w:noWrap/>
            <w:vAlign w:val="top"/>
          </w:tcPr>
          <w:p w14:paraId="3038D8C4" w14:textId="081568B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3.92</w:t>
            </w:r>
          </w:p>
        </w:tc>
        <w:tc>
          <w:tcPr>
            <w:tcW w:w="1440" w:type="dxa"/>
            <w:noWrap/>
            <w:vAlign w:val="top"/>
          </w:tcPr>
          <w:p w14:paraId="0FE0B4B8" w14:textId="2C1DBD5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65.4%</w:t>
            </w:r>
          </w:p>
        </w:tc>
      </w:tr>
      <w:tr w:rsidR="00AF5B5B" w:rsidRPr="006253A9" w14:paraId="256F41D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1A97EC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0257</w:t>
            </w:r>
          </w:p>
        </w:tc>
        <w:tc>
          <w:tcPr>
            <w:tcW w:w="2880" w:type="dxa"/>
            <w:noWrap/>
            <w:hideMark/>
          </w:tcPr>
          <w:p w14:paraId="0E70BE9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Rutland</w:t>
            </w:r>
          </w:p>
        </w:tc>
        <w:tc>
          <w:tcPr>
            <w:tcW w:w="1479" w:type="dxa"/>
            <w:noWrap/>
            <w:vAlign w:val="top"/>
          </w:tcPr>
          <w:p w14:paraId="164D09F7" w14:textId="0D919C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6.27</w:t>
            </w:r>
          </w:p>
        </w:tc>
        <w:tc>
          <w:tcPr>
            <w:tcW w:w="1440" w:type="dxa"/>
            <w:noWrap/>
            <w:vAlign w:val="top"/>
          </w:tcPr>
          <w:p w14:paraId="2484116A" w14:textId="4A79428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13.15</w:t>
            </w:r>
          </w:p>
        </w:tc>
        <w:tc>
          <w:tcPr>
            <w:tcW w:w="1530" w:type="dxa"/>
            <w:noWrap/>
            <w:vAlign w:val="top"/>
          </w:tcPr>
          <w:p w14:paraId="799CCA53" w14:textId="3E675A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47.7%</w:t>
            </w:r>
          </w:p>
        </w:tc>
        <w:tc>
          <w:tcPr>
            <w:tcW w:w="1440" w:type="dxa"/>
            <w:noWrap/>
            <w:vAlign w:val="top"/>
          </w:tcPr>
          <w:p w14:paraId="0F0AC28C" w14:textId="36A731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12.51</w:t>
            </w:r>
          </w:p>
        </w:tc>
        <w:tc>
          <w:tcPr>
            <w:tcW w:w="1440" w:type="dxa"/>
            <w:noWrap/>
            <w:vAlign w:val="top"/>
          </w:tcPr>
          <w:p w14:paraId="2AD63A05" w14:textId="6BBE236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22.24</w:t>
            </w:r>
          </w:p>
        </w:tc>
        <w:tc>
          <w:tcPr>
            <w:tcW w:w="1440" w:type="dxa"/>
            <w:noWrap/>
            <w:vAlign w:val="top"/>
          </w:tcPr>
          <w:p w14:paraId="777C9E64" w14:textId="441BBC0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56.3%</w:t>
            </w:r>
          </w:p>
        </w:tc>
      </w:tr>
      <w:tr w:rsidR="00AF5B5B" w:rsidRPr="006253A9" w14:paraId="0030FC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3EA37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0258</w:t>
            </w:r>
          </w:p>
        </w:tc>
        <w:tc>
          <w:tcPr>
            <w:tcW w:w="2880" w:type="dxa"/>
            <w:noWrap/>
            <w:hideMark/>
          </w:tcPr>
          <w:p w14:paraId="5610C59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Salem</w:t>
            </w:r>
          </w:p>
        </w:tc>
        <w:tc>
          <w:tcPr>
            <w:tcW w:w="1479" w:type="dxa"/>
            <w:noWrap/>
            <w:vAlign w:val="top"/>
          </w:tcPr>
          <w:p w14:paraId="5C79441D" w14:textId="3443C9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52.75</w:t>
            </w:r>
          </w:p>
        </w:tc>
        <w:tc>
          <w:tcPr>
            <w:tcW w:w="1440" w:type="dxa"/>
            <w:noWrap/>
            <w:vAlign w:val="top"/>
          </w:tcPr>
          <w:p w14:paraId="3336FBF4" w14:textId="7A5AD8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111.36</w:t>
            </w:r>
          </w:p>
        </w:tc>
        <w:tc>
          <w:tcPr>
            <w:tcW w:w="1530" w:type="dxa"/>
            <w:noWrap/>
            <w:vAlign w:val="top"/>
          </w:tcPr>
          <w:p w14:paraId="5F6C9D4D" w14:textId="5C678FE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47.4%</w:t>
            </w:r>
          </w:p>
        </w:tc>
        <w:tc>
          <w:tcPr>
            <w:tcW w:w="1440" w:type="dxa"/>
            <w:noWrap/>
            <w:vAlign w:val="top"/>
          </w:tcPr>
          <w:p w14:paraId="64DB6EC2" w14:textId="501BC6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76.79</w:t>
            </w:r>
          </w:p>
        </w:tc>
        <w:tc>
          <w:tcPr>
            <w:tcW w:w="1440" w:type="dxa"/>
            <w:noWrap/>
            <w:vAlign w:val="top"/>
          </w:tcPr>
          <w:p w14:paraId="5134F5DF" w14:textId="26CB017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167.65</w:t>
            </w:r>
          </w:p>
        </w:tc>
        <w:tc>
          <w:tcPr>
            <w:tcW w:w="1440" w:type="dxa"/>
            <w:noWrap/>
            <w:vAlign w:val="top"/>
          </w:tcPr>
          <w:p w14:paraId="77C94D57" w14:textId="7D8AE90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45.8%</w:t>
            </w:r>
          </w:p>
        </w:tc>
      </w:tr>
      <w:tr w:rsidR="00AF5B5B" w:rsidRPr="006253A9" w14:paraId="60AE51E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2620BE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0259</w:t>
            </w:r>
          </w:p>
        </w:tc>
        <w:tc>
          <w:tcPr>
            <w:tcW w:w="2880" w:type="dxa"/>
            <w:noWrap/>
            <w:hideMark/>
          </w:tcPr>
          <w:p w14:paraId="366F26F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Salisbury</w:t>
            </w:r>
          </w:p>
        </w:tc>
        <w:tc>
          <w:tcPr>
            <w:tcW w:w="1479" w:type="dxa"/>
            <w:noWrap/>
            <w:vAlign w:val="top"/>
          </w:tcPr>
          <w:p w14:paraId="61367A44" w14:textId="626286C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8.36</w:t>
            </w:r>
          </w:p>
        </w:tc>
        <w:tc>
          <w:tcPr>
            <w:tcW w:w="1440" w:type="dxa"/>
            <w:noWrap/>
            <w:vAlign w:val="top"/>
          </w:tcPr>
          <w:p w14:paraId="01FD66D0" w14:textId="20FF5F2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16.59</w:t>
            </w:r>
          </w:p>
        </w:tc>
        <w:tc>
          <w:tcPr>
            <w:tcW w:w="1530" w:type="dxa"/>
            <w:noWrap/>
            <w:vAlign w:val="top"/>
          </w:tcPr>
          <w:p w14:paraId="715DE073" w14:textId="21BC0CF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50.4%</w:t>
            </w:r>
          </w:p>
        </w:tc>
        <w:tc>
          <w:tcPr>
            <w:tcW w:w="1440" w:type="dxa"/>
            <w:noWrap/>
            <w:vAlign w:val="top"/>
          </w:tcPr>
          <w:p w14:paraId="39788009" w14:textId="2E88A2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12.81</w:t>
            </w:r>
          </w:p>
        </w:tc>
        <w:tc>
          <w:tcPr>
            <w:tcW w:w="1440" w:type="dxa"/>
            <w:noWrap/>
            <w:vAlign w:val="top"/>
          </w:tcPr>
          <w:p w14:paraId="5ED4A52C" w14:textId="5887175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27.17</w:t>
            </w:r>
          </w:p>
        </w:tc>
        <w:tc>
          <w:tcPr>
            <w:tcW w:w="1440" w:type="dxa"/>
            <w:noWrap/>
            <w:vAlign w:val="top"/>
          </w:tcPr>
          <w:p w14:paraId="1ED162E7" w14:textId="1A19836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r>
      <w:tr w:rsidR="00AF5B5B" w:rsidRPr="006253A9" w14:paraId="00544DF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A89B95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0260</w:t>
            </w:r>
          </w:p>
        </w:tc>
        <w:tc>
          <w:tcPr>
            <w:tcW w:w="2880" w:type="dxa"/>
            <w:noWrap/>
            <w:hideMark/>
          </w:tcPr>
          <w:p w14:paraId="3097A94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Sandisfield</w:t>
            </w:r>
          </w:p>
        </w:tc>
        <w:tc>
          <w:tcPr>
            <w:tcW w:w="1479" w:type="dxa"/>
            <w:noWrap/>
            <w:vAlign w:val="top"/>
          </w:tcPr>
          <w:p w14:paraId="4544DF01" w14:textId="2D5E4F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0.89</w:t>
            </w:r>
          </w:p>
        </w:tc>
        <w:tc>
          <w:tcPr>
            <w:tcW w:w="1440" w:type="dxa"/>
            <w:noWrap/>
            <w:vAlign w:val="top"/>
          </w:tcPr>
          <w:p w14:paraId="7E2C12A2" w14:textId="40160D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2.19</w:t>
            </w:r>
          </w:p>
        </w:tc>
        <w:tc>
          <w:tcPr>
            <w:tcW w:w="1530" w:type="dxa"/>
            <w:noWrap/>
            <w:vAlign w:val="top"/>
          </w:tcPr>
          <w:p w14:paraId="7BD3D8EB" w14:textId="36D7D83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40.8%</w:t>
            </w:r>
          </w:p>
        </w:tc>
        <w:tc>
          <w:tcPr>
            <w:tcW w:w="1440" w:type="dxa"/>
            <w:noWrap/>
            <w:vAlign w:val="top"/>
          </w:tcPr>
          <w:p w14:paraId="0935AA2F" w14:textId="48C2A34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1.44</w:t>
            </w:r>
          </w:p>
        </w:tc>
        <w:tc>
          <w:tcPr>
            <w:tcW w:w="1440" w:type="dxa"/>
            <w:noWrap/>
            <w:vAlign w:val="top"/>
          </w:tcPr>
          <w:p w14:paraId="6ACE7575" w14:textId="6B3E68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3.79</w:t>
            </w:r>
          </w:p>
        </w:tc>
        <w:tc>
          <w:tcPr>
            <w:tcW w:w="1440" w:type="dxa"/>
            <w:noWrap/>
            <w:vAlign w:val="top"/>
          </w:tcPr>
          <w:p w14:paraId="0D7D060A" w14:textId="687D9D3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38.1%</w:t>
            </w:r>
          </w:p>
        </w:tc>
      </w:tr>
      <w:tr w:rsidR="00AF5B5B" w:rsidRPr="006253A9" w14:paraId="2E7309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4075C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0261</w:t>
            </w:r>
          </w:p>
        </w:tc>
        <w:tc>
          <w:tcPr>
            <w:tcW w:w="2880" w:type="dxa"/>
            <w:noWrap/>
            <w:hideMark/>
          </w:tcPr>
          <w:p w14:paraId="6CF3BDE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Sandwich</w:t>
            </w:r>
          </w:p>
        </w:tc>
        <w:tc>
          <w:tcPr>
            <w:tcW w:w="1479" w:type="dxa"/>
            <w:noWrap/>
            <w:vAlign w:val="top"/>
          </w:tcPr>
          <w:p w14:paraId="5DC8D78D" w14:textId="0A36FAC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33.60</w:t>
            </w:r>
          </w:p>
        </w:tc>
        <w:tc>
          <w:tcPr>
            <w:tcW w:w="1440" w:type="dxa"/>
            <w:noWrap/>
            <w:vAlign w:val="top"/>
          </w:tcPr>
          <w:p w14:paraId="7D0222A5" w14:textId="0DFFC0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63.87</w:t>
            </w:r>
          </w:p>
        </w:tc>
        <w:tc>
          <w:tcPr>
            <w:tcW w:w="1530" w:type="dxa"/>
            <w:noWrap/>
            <w:vAlign w:val="top"/>
          </w:tcPr>
          <w:p w14:paraId="55F81FC2" w14:textId="5727C0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52.6%</w:t>
            </w:r>
          </w:p>
        </w:tc>
        <w:tc>
          <w:tcPr>
            <w:tcW w:w="1440" w:type="dxa"/>
            <w:noWrap/>
            <w:vAlign w:val="top"/>
          </w:tcPr>
          <w:p w14:paraId="2AE72D38" w14:textId="0091BEB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47.77</w:t>
            </w:r>
          </w:p>
        </w:tc>
        <w:tc>
          <w:tcPr>
            <w:tcW w:w="1440" w:type="dxa"/>
            <w:noWrap/>
            <w:vAlign w:val="top"/>
          </w:tcPr>
          <w:p w14:paraId="01BE8BB9" w14:textId="3A7D806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92.23</w:t>
            </w:r>
          </w:p>
        </w:tc>
        <w:tc>
          <w:tcPr>
            <w:tcW w:w="1440" w:type="dxa"/>
            <w:noWrap/>
            <w:vAlign w:val="top"/>
          </w:tcPr>
          <w:p w14:paraId="0602EB89" w14:textId="3A84C2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51.8%</w:t>
            </w:r>
          </w:p>
        </w:tc>
      </w:tr>
      <w:tr w:rsidR="00AF5B5B" w:rsidRPr="006253A9" w14:paraId="29EBEC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4F8E1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0262</w:t>
            </w:r>
          </w:p>
        </w:tc>
        <w:tc>
          <w:tcPr>
            <w:tcW w:w="2880" w:type="dxa"/>
            <w:noWrap/>
            <w:hideMark/>
          </w:tcPr>
          <w:p w14:paraId="1D0A60B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Saugus</w:t>
            </w:r>
          </w:p>
        </w:tc>
        <w:tc>
          <w:tcPr>
            <w:tcW w:w="1479" w:type="dxa"/>
            <w:noWrap/>
            <w:vAlign w:val="top"/>
          </w:tcPr>
          <w:p w14:paraId="322D4950" w14:textId="5C436CA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31.64</w:t>
            </w:r>
          </w:p>
        </w:tc>
        <w:tc>
          <w:tcPr>
            <w:tcW w:w="1440" w:type="dxa"/>
            <w:noWrap/>
            <w:vAlign w:val="top"/>
          </w:tcPr>
          <w:p w14:paraId="0E624D12" w14:textId="647DA57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67.22</w:t>
            </w:r>
          </w:p>
        </w:tc>
        <w:tc>
          <w:tcPr>
            <w:tcW w:w="1530" w:type="dxa"/>
            <w:noWrap/>
            <w:vAlign w:val="top"/>
          </w:tcPr>
          <w:p w14:paraId="6C335832" w14:textId="7AAC588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47.1%</w:t>
            </w:r>
          </w:p>
        </w:tc>
        <w:tc>
          <w:tcPr>
            <w:tcW w:w="1440" w:type="dxa"/>
            <w:noWrap/>
            <w:vAlign w:val="top"/>
          </w:tcPr>
          <w:p w14:paraId="08CB59E6" w14:textId="3CE9056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47.43</w:t>
            </w:r>
          </w:p>
        </w:tc>
        <w:tc>
          <w:tcPr>
            <w:tcW w:w="1440" w:type="dxa"/>
            <w:noWrap/>
            <w:vAlign w:val="top"/>
          </w:tcPr>
          <w:p w14:paraId="7C447709" w14:textId="36505E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106.18</w:t>
            </w:r>
          </w:p>
        </w:tc>
        <w:tc>
          <w:tcPr>
            <w:tcW w:w="1440" w:type="dxa"/>
            <w:noWrap/>
            <w:vAlign w:val="top"/>
          </w:tcPr>
          <w:p w14:paraId="69979418" w14:textId="669616D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44.7%</w:t>
            </w:r>
          </w:p>
        </w:tc>
      </w:tr>
      <w:tr w:rsidR="00AF5B5B" w:rsidRPr="006253A9" w14:paraId="24339AD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AEB5FC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0263</w:t>
            </w:r>
          </w:p>
        </w:tc>
        <w:tc>
          <w:tcPr>
            <w:tcW w:w="2880" w:type="dxa"/>
            <w:noWrap/>
            <w:hideMark/>
          </w:tcPr>
          <w:p w14:paraId="12C6790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Savoy</w:t>
            </w:r>
          </w:p>
        </w:tc>
        <w:tc>
          <w:tcPr>
            <w:tcW w:w="1479" w:type="dxa"/>
            <w:noWrap/>
            <w:vAlign w:val="top"/>
          </w:tcPr>
          <w:p w14:paraId="631D3D82" w14:textId="64FC5D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1.00</w:t>
            </w:r>
          </w:p>
        </w:tc>
        <w:tc>
          <w:tcPr>
            <w:tcW w:w="1440" w:type="dxa"/>
            <w:noWrap/>
            <w:vAlign w:val="top"/>
          </w:tcPr>
          <w:p w14:paraId="73CD80C3" w14:textId="6A8B736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1.85</w:t>
            </w:r>
          </w:p>
        </w:tc>
        <w:tc>
          <w:tcPr>
            <w:tcW w:w="1530" w:type="dxa"/>
            <w:noWrap/>
            <w:vAlign w:val="top"/>
          </w:tcPr>
          <w:p w14:paraId="2DD19F31" w14:textId="25F863E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c>
          <w:tcPr>
            <w:tcW w:w="1440" w:type="dxa"/>
            <w:noWrap/>
            <w:vAlign w:val="top"/>
          </w:tcPr>
          <w:p w14:paraId="5DD4F96F" w14:textId="1496980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w:t>
            </w:r>
          </w:p>
        </w:tc>
        <w:tc>
          <w:tcPr>
            <w:tcW w:w="1440" w:type="dxa"/>
            <w:noWrap/>
            <w:vAlign w:val="top"/>
          </w:tcPr>
          <w:p w14:paraId="4E7200F9" w14:textId="1FD2571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2.12</w:t>
            </w:r>
          </w:p>
        </w:tc>
        <w:tc>
          <w:tcPr>
            <w:tcW w:w="1440" w:type="dxa"/>
            <w:noWrap/>
            <w:vAlign w:val="top"/>
          </w:tcPr>
          <w:p w14:paraId="069C2EA5" w14:textId="768A229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54.9%</w:t>
            </w:r>
          </w:p>
        </w:tc>
      </w:tr>
      <w:tr w:rsidR="00AF5B5B" w:rsidRPr="006253A9" w14:paraId="727E913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AC8362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0264</w:t>
            </w:r>
          </w:p>
        </w:tc>
        <w:tc>
          <w:tcPr>
            <w:tcW w:w="2880" w:type="dxa"/>
            <w:noWrap/>
            <w:hideMark/>
          </w:tcPr>
          <w:p w14:paraId="1DD215F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Scituate</w:t>
            </w:r>
          </w:p>
        </w:tc>
        <w:tc>
          <w:tcPr>
            <w:tcW w:w="1479" w:type="dxa"/>
            <w:noWrap/>
            <w:vAlign w:val="top"/>
          </w:tcPr>
          <w:p w14:paraId="1FA072A1" w14:textId="23C464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27.84</w:t>
            </w:r>
          </w:p>
        </w:tc>
        <w:tc>
          <w:tcPr>
            <w:tcW w:w="1440" w:type="dxa"/>
            <w:noWrap/>
            <w:vAlign w:val="top"/>
          </w:tcPr>
          <w:p w14:paraId="695A472E" w14:textId="370FC7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50.43</w:t>
            </w:r>
          </w:p>
        </w:tc>
        <w:tc>
          <w:tcPr>
            <w:tcW w:w="1530" w:type="dxa"/>
            <w:noWrap/>
            <w:vAlign w:val="top"/>
          </w:tcPr>
          <w:p w14:paraId="47698E7F" w14:textId="0960F3A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55.2%</w:t>
            </w:r>
          </w:p>
        </w:tc>
        <w:tc>
          <w:tcPr>
            <w:tcW w:w="1440" w:type="dxa"/>
            <w:noWrap/>
            <w:vAlign w:val="top"/>
          </w:tcPr>
          <w:p w14:paraId="378C6F5C" w14:textId="7652342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43.83</w:t>
            </w:r>
          </w:p>
        </w:tc>
        <w:tc>
          <w:tcPr>
            <w:tcW w:w="1440" w:type="dxa"/>
            <w:noWrap/>
            <w:vAlign w:val="top"/>
          </w:tcPr>
          <w:p w14:paraId="2198F25E" w14:textId="4214D11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87.38</w:t>
            </w:r>
          </w:p>
        </w:tc>
        <w:tc>
          <w:tcPr>
            <w:tcW w:w="1440" w:type="dxa"/>
            <w:noWrap/>
            <w:vAlign w:val="top"/>
          </w:tcPr>
          <w:p w14:paraId="0396C0BE" w14:textId="2569F3C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50.2%</w:t>
            </w:r>
          </w:p>
        </w:tc>
      </w:tr>
      <w:tr w:rsidR="00AF5B5B" w:rsidRPr="006253A9" w14:paraId="1C8A40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C958DF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0265</w:t>
            </w:r>
          </w:p>
        </w:tc>
        <w:tc>
          <w:tcPr>
            <w:tcW w:w="2880" w:type="dxa"/>
            <w:noWrap/>
            <w:hideMark/>
          </w:tcPr>
          <w:p w14:paraId="10745CB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Seekonk</w:t>
            </w:r>
          </w:p>
        </w:tc>
        <w:tc>
          <w:tcPr>
            <w:tcW w:w="1479" w:type="dxa"/>
            <w:noWrap/>
            <w:vAlign w:val="top"/>
          </w:tcPr>
          <w:p w14:paraId="5B1537BC" w14:textId="158877E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19.55</w:t>
            </w:r>
          </w:p>
        </w:tc>
        <w:tc>
          <w:tcPr>
            <w:tcW w:w="1440" w:type="dxa"/>
            <w:noWrap/>
            <w:vAlign w:val="top"/>
          </w:tcPr>
          <w:p w14:paraId="58081909" w14:textId="7891087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39.12</w:t>
            </w:r>
          </w:p>
        </w:tc>
        <w:tc>
          <w:tcPr>
            <w:tcW w:w="1530" w:type="dxa"/>
            <w:noWrap/>
            <w:vAlign w:val="top"/>
          </w:tcPr>
          <w:p w14:paraId="49B56422" w14:textId="2DF8126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50.0%</w:t>
            </w:r>
          </w:p>
        </w:tc>
        <w:tc>
          <w:tcPr>
            <w:tcW w:w="1440" w:type="dxa"/>
            <w:noWrap/>
            <w:vAlign w:val="top"/>
          </w:tcPr>
          <w:p w14:paraId="4ECF3B7A" w14:textId="39FCB4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31.85</w:t>
            </w:r>
          </w:p>
        </w:tc>
        <w:tc>
          <w:tcPr>
            <w:tcW w:w="1440" w:type="dxa"/>
            <w:noWrap/>
            <w:vAlign w:val="top"/>
          </w:tcPr>
          <w:p w14:paraId="7F2989F6" w14:textId="2CA395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59.80</w:t>
            </w:r>
          </w:p>
        </w:tc>
        <w:tc>
          <w:tcPr>
            <w:tcW w:w="1440" w:type="dxa"/>
            <w:noWrap/>
            <w:vAlign w:val="top"/>
          </w:tcPr>
          <w:p w14:paraId="779EAFFB" w14:textId="3F6CF56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53.3%</w:t>
            </w:r>
          </w:p>
        </w:tc>
      </w:tr>
      <w:tr w:rsidR="00AF5B5B" w:rsidRPr="006253A9" w14:paraId="3BA2641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ED5673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0266</w:t>
            </w:r>
          </w:p>
        </w:tc>
        <w:tc>
          <w:tcPr>
            <w:tcW w:w="2880" w:type="dxa"/>
            <w:noWrap/>
            <w:hideMark/>
          </w:tcPr>
          <w:p w14:paraId="5BE6755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Sharon</w:t>
            </w:r>
          </w:p>
        </w:tc>
        <w:tc>
          <w:tcPr>
            <w:tcW w:w="1479" w:type="dxa"/>
            <w:noWrap/>
            <w:vAlign w:val="top"/>
          </w:tcPr>
          <w:p w14:paraId="33314156" w14:textId="10AE7C1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35.73</w:t>
            </w:r>
          </w:p>
        </w:tc>
        <w:tc>
          <w:tcPr>
            <w:tcW w:w="1440" w:type="dxa"/>
            <w:noWrap/>
            <w:vAlign w:val="top"/>
          </w:tcPr>
          <w:p w14:paraId="03A43DD6" w14:textId="2D53D01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75.62</w:t>
            </w:r>
          </w:p>
        </w:tc>
        <w:tc>
          <w:tcPr>
            <w:tcW w:w="1530" w:type="dxa"/>
            <w:noWrap/>
            <w:vAlign w:val="top"/>
          </w:tcPr>
          <w:p w14:paraId="4EE4FA0E" w14:textId="5DFFE1F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c>
          <w:tcPr>
            <w:tcW w:w="1440" w:type="dxa"/>
            <w:noWrap/>
            <w:vAlign w:val="top"/>
          </w:tcPr>
          <w:p w14:paraId="4159D795" w14:textId="6B5A02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53.85</w:t>
            </w:r>
          </w:p>
        </w:tc>
        <w:tc>
          <w:tcPr>
            <w:tcW w:w="1440" w:type="dxa"/>
            <w:noWrap/>
            <w:vAlign w:val="top"/>
          </w:tcPr>
          <w:p w14:paraId="2EB04992" w14:textId="5DBD78B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93.32</w:t>
            </w:r>
          </w:p>
        </w:tc>
        <w:tc>
          <w:tcPr>
            <w:tcW w:w="1440" w:type="dxa"/>
            <w:noWrap/>
            <w:vAlign w:val="top"/>
          </w:tcPr>
          <w:p w14:paraId="3C0322BB" w14:textId="246C304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57.7%</w:t>
            </w:r>
          </w:p>
        </w:tc>
      </w:tr>
      <w:tr w:rsidR="00AF5B5B" w:rsidRPr="006253A9" w14:paraId="12F263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FE7B9D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0267</w:t>
            </w:r>
          </w:p>
        </w:tc>
        <w:tc>
          <w:tcPr>
            <w:tcW w:w="2880" w:type="dxa"/>
            <w:noWrap/>
            <w:hideMark/>
          </w:tcPr>
          <w:p w14:paraId="57D1A9B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Sheffield</w:t>
            </w:r>
          </w:p>
        </w:tc>
        <w:tc>
          <w:tcPr>
            <w:tcW w:w="1479" w:type="dxa"/>
            <w:noWrap/>
            <w:vAlign w:val="top"/>
          </w:tcPr>
          <w:p w14:paraId="21681923" w14:textId="1D45A0E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4.97</w:t>
            </w:r>
          </w:p>
        </w:tc>
        <w:tc>
          <w:tcPr>
            <w:tcW w:w="1440" w:type="dxa"/>
            <w:noWrap/>
            <w:vAlign w:val="top"/>
          </w:tcPr>
          <w:p w14:paraId="319916C7" w14:textId="669B741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7.49</w:t>
            </w:r>
          </w:p>
        </w:tc>
        <w:tc>
          <w:tcPr>
            <w:tcW w:w="1530" w:type="dxa"/>
            <w:noWrap/>
            <w:vAlign w:val="top"/>
          </w:tcPr>
          <w:p w14:paraId="590B9992" w14:textId="24E9C97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66.4%</w:t>
            </w:r>
          </w:p>
        </w:tc>
        <w:tc>
          <w:tcPr>
            <w:tcW w:w="1440" w:type="dxa"/>
            <w:noWrap/>
            <w:vAlign w:val="top"/>
          </w:tcPr>
          <w:p w14:paraId="2D0F689B" w14:textId="1885FC1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7.12</w:t>
            </w:r>
          </w:p>
        </w:tc>
        <w:tc>
          <w:tcPr>
            <w:tcW w:w="1440" w:type="dxa"/>
            <w:noWrap/>
            <w:vAlign w:val="top"/>
          </w:tcPr>
          <w:p w14:paraId="432CD1BC" w14:textId="1254B97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10.44</w:t>
            </w:r>
          </w:p>
        </w:tc>
        <w:tc>
          <w:tcPr>
            <w:tcW w:w="1440" w:type="dxa"/>
            <w:noWrap/>
            <w:vAlign w:val="top"/>
          </w:tcPr>
          <w:p w14:paraId="2976E174" w14:textId="7AA85F7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68.1%</w:t>
            </w:r>
          </w:p>
        </w:tc>
      </w:tr>
      <w:tr w:rsidR="00AF5B5B" w:rsidRPr="006253A9" w14:paraId="6BC7A2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7DD583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0268</w:t>
            </w:r>
          </w:p>
        </w:tc>
        <w:tc>
          <w:tcPr>
            <w:tcW w:w="2880" w:type="dxa"/>
            <w:noWrap/>
            <w:hideMark/>
          </w:tcPr>
          <w:p w14:paraId="018D127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Shelburne</w:t>
            </w:r>
          </w:p>
        </w:tc>
        <w:tc>
          <w:tcPr>
            <w:tcW w:w="1479" w:type="dxa"/>
            <w:noWrap/>
            <w:vAlign w:val="top"/>
          </w:tcPr>
          <w:p w14:paraId="1C0B125D" w14:textId="6F4B34A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1.94</w:t>
            </w:r>
          </w:p>
        </w:tc>
        <w:tc>
          <w:tcPr>
            <w:tcW w:w="1440" w:type="dxa"/>
            <w:noWrap/>
            <w:vAlign w:val="top"/>
          </w:tcPr>
          <w:p w14:paraId="6FCC422A" w14:textId="670F18C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3.46</w:t>
            </w:r>
          </w:p>
        </w:tc>
        <w:tc>
          <w:tcPr>
            <w:tcW w:w="1530" w:type="dxa"/>
            <w:noWrap/>
            <w:vAlign w:val="top"/>
          </w:tcPr>
          <w:p w14:paraId="0A133C6F" w14:textId="660E748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c>
          <w:tcPr>
            <w:tcW w:w="1440" w:type="dxa"/>
            <w:noWrap/>
            <w:vAlign w:val="top"/>
          </w:tcPr>
          <w:p w14:paraId="1F02313D" w14:textId="64AD66F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2.40</w:t>
            </w:r>
          </w:p>
        </w:tc>
        <w:tc>
          <w:tcPr>
            <w:tcW w:w="1440" w:type="dxa"/>
            <w:noWrap/>
            <w:vAlign w:val="top"/>
          </w:tcPr>
          <w:p w14:paraId="3227AC81" w14:textId="3BD81BF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4.60</w:t>
            </w:r>
          </w:p>
        </w:tc>
        <w:tc>
          <w:tcPr>
            <w:tcW w:w="1440" w:type="dxa"/>
            <w:noWrap/>
            <w:vAlign w:val="top"/>
          </w:tcPr>
          <w:p w14:paraId="3711A54F" w14:textId="2B74BA2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52.3%</w:t>
            </w:r>
          </w:p>
        </w:tc>
      </w:tr>
      <w:tr w:rsidR="00AF5B5B" w:rsidRPr="006253A9" w14:paraId="5BEFF7D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4B2851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0269</w:t>
            </w:r>
          </w:p>
        </w:tc>
        <w:tc>
          <w:tcPr>
            <w:tcW w:w="2880" w:type="dxa"/>
            <w:noWrap/>
            <w:hideMark/>
          </w:tcPr>
          <w:p w14:paraId="2FA85C7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Sherborn</w:t>
            </w:r>
          </w:p>
        </w:tc>
        <w:tc>
          <w:tcPr>
            <w:tcW w:w="1479" w:type="dxa"/>
            <w:noWrap/>
            <w:vAlign w:val="top"/>
          </w:tcPr>
          <w:p w14:paraId="68EFC892" w14:textId="36252E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12.91</w:t>
            </w:r>
          </w:p>
        </w:tc>
        <w:tc>
          <w:tcPr>
            <w:tcW w:w="1440" w:type="dxa"/>
            <w:noWrap/>
            <w:vAlign w:val="top"/>
          </w:tcPr>
          <w:p w14:paraId="51EE8199" w14:textId="129F86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20.29</w:t>
            </w:r>
          </w:p>
        </w:tc>
        <w:tc>
          <w:tcPr>
            <w:tcW w:w="1530" w:type="dxa"/>
            <w:noWrap/>
            <w:vAlign w:val="top"/>
          </w:tcPr>
          <w:p w14:paraId="45EEAE63" w14:textId="183215E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63.6%</w:t>
            </w:r>
          </w:p>
        </w:tc>
        <w:tc>
          <w:tcPr>
            <w:tcW w:w="1440" w:type="dxa"/>
            <w:noWrap/>
            <w:vAlign w:val="top"/>
          </w:tcPr>
          <w:p w14:paraId="70A4E3B4" w14:textId="31A80E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17.31</w:t>
            </w:r>
          </w:p>
        </w:tc>
        <w:tc>
          <w:tcPr>
            <w:tcW w:w="1440" w:type="dxa"/>
            <w:noWrap/>
            <w:vAlign w:val="top"/>
          </w:tcPr>
          <w:p w14:paraId="00C06522" w14:textId="095AE17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29.73</w:t>
            </w:r>
          </w:p>
        </w:tc>
        <w:tc>
          <w:tcPr>
            <w:tcW w:w="1440" w:type="dxa"/>
            <w:noWrap/>
            <w:vAlign w:val="top"/>
          </w:tcPr>
          <w:p w14:paraId="6FF47CD3" w14:textId="4389AE4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58.2%</w:t>
            </w:r>
          </w:p>
        </w:tc>
      </w:tr>
      <w:tr w:rsidR="00AF5B5B" w:rsidRPr="006253A9" w14:paraId="26BD81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0336F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0270</w:t>
            </w:r>
          </w:p>
        </w:tc>
        <w:tc>
          <w:tcPr>
            <w:tcW w:w="2880" w:type="dxa"/>
            <w:noWrap/>
            <w:hideMark/>
          </w:tcPr>
          <w:p w14:paraId="365F8B8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Shirley</w:t>
            </w:r>
          </w:p>
        </w:tc>
        <w:tc>
          <w:tcPr>
            <w:tcW w:w="1479" w:type="dxa"/>
            <w:noWrap/>
            <w:vAlign w:val="top"/>
          </w:tcPr>
          <w:p w14:paraId="0A778013" w14:textId="76DDB70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7.98</w:t>
            </w:r>
          </w:p>
        </w:tc>
        <w:tc>
          <w:tcPr>
            <w:tcW w:w="1440" w:type="dxa"/>
            <w:noWrap/>
            <w:vAlign w:val="top"/>
          </w:tcPr>
          <w:p w14:paraId="257912D3" w14:textId="0D9571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15.80</w:t>
            </w:r>
          </w:p>
        </w:tc>
        <w:tc>
          <w:tcPr>
            <w:tcW w:w="1530" w:type="dxa"/>
            <w:noWrap/>
            <w:vAlign w:val="top"/>
          </w:tcPr>
          <w:p w14:paraId="30D3EBCA" w14:textId="0555D04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50.5%</w:t>
            </w:r>
          </w:p>
        </w:tc>
        <w:tc>
          <w:tcPr>
            <w:tcW w:w="1440" w:type="dxa"/>
            <w:noWrap/>
            <w:vAlign w:val="top"/>
          </w:tcPr>
          <w:p w14:paraId="4D0974A1" w14:textId="282388E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8.37</w:t>
            </w:r>
          </w:p>
        </w:tc>
        <w:tc>
          <w:tcPr>
            <w:tcW w:w="1440" w:type="dxa"/>
            <w:noWrap/>
            <w:vAlign w:val="top"/>
          </w:tcPr>
          <w:p w14:paraId="7ECC32EE" w14:textId="69195B1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14.34</w:t>
            </w:r>
          </w:p>
        </w:tc>
        <w:tc>
          <w:tcPr>
            <w:tcW w:w="1440" w:type="dxa"/>
            <w:noWrap/>
            <w:vAlign w:val="top"/>
          </w:tcPr>
          <w:p w14:paraId="7ACACA9F" w14:textId="56911DC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58.4%</w:t>
            </w:r>
          </w:p>
        </w:tc>
      </w:tr>
      <w:tr w:rsidR="00AF5B5B" w:rsidRPr="006253A9" w14:paraId="647CC5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1E522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0271</w:t>
            </w:r>
          </w:p>
        </w:tc>
        <w:tc>
          <w:tcPr>
            <w:tcW w:w="2880" w:type="dxa"/>
            <w:noWrap/>
            <w:hideMark/>
          </w:tcPr>
          <w:p w14:paraId="5941D07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Shrewsbury</w:t>
            </w:r>
          </w:p>
        </w:tc>
        <w:tc>
          <w:tcPr>
            <w:tcW w:w="1479" w:type="dxa"/>
            <w:noWrap/>
            <w:vAlign w:val="top"/>
          </w:tcPr>
          <w:p w14:paraId="4CE8726D" w14:textId="195156D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45.64</w:t>
            </w:r>
          </w:p>
        </w:tc>
        <w:tc>
          <w:tcPr>
            <w:tcW w:w="1440" w:type="dxa"/>
            <w:noWrap/>
            <w:vAlign w:val="top"/>
          </w:tcPr>
          <w:p w14:paraId="0C7A94B8" w14:textId="1F45DDA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86.59</w:t>
            </w:r>
          </w:p>
        </w:tc>
        <w:tc>
          <w:tcPr>
            <w:tcW w:w="1530" w:type="dxa"/>
            <w:noWrap/>
            <w:vAlign w:val="top"/>
          </w:tcPr>
          <w:p w14:paraId="55A81782" w14:textId="01E5A04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52.7%</w:t>
            </w:r>
          </w:p>
        </w:tc>
        <w:tc>
          <w:tcPr>
            <w:tcW w:w="1440" w:type="dxa"/>
            <w:noWrap/>
            <w:vAlign w:val="top"/>
          </w:tcPr>
          <w:p w14:paraId="2C9AA6B3" w14:textId="3D76211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77.94</w:t>
            </w:r>
          </w:p>
        </w:tc>
        <w:tc>
          <w:tcPr>
            <w:tcW w:w="1440" w:type="dxa"/>
            <w:noWrap/>
            <w:vAlign w:val="top"/>
          </w:tcPr>
          <w:p w14:paraId="43F9FE03" w14:textId="5A8E47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140.26</w:t>
            </w:r>
          </w:p>
        </w:tc>
        <w:tc>
          <w:tcPr>
            <w:tcW w:w="1440" w:type="dxa"/>
            <w:noWrap/>
            <w:vAlign w:val="top"/>
          </w:tcPr>
          <w:p w14:paraId="6892A2E3" w14:textId="39197AF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55.6%</w:t>
            </w:r>
          </w:p>
        </w:tc>
      </w:tr>
      <w:tr w:rsidR="00AF5B5B" w:rsidRPr="006253A9" w14:paraId="5BC9D37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1AF369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0272</w:t>
            </w:r>
          </w:p>
        </w:tc>
        <w:tc>
          <w:tcPr>
            <w:tcW w:w="2880" w:type="dxa"/>
            <w:noWrap/>
            <w:hideMark/>
          </w:tcPr>
          <w:p w14:paraId="59CE6E6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Shutesbury</w:t>
            </w:r>
          </w:p>
        </w:tc>
        <w:tc>
          <w:tcPr>
            <w:tcW w:w="1479" w:type="dxa"/>
            <w:noWrap/>
            <w:vAlign w:val="top"/>
          </w:tcPr>
          <w:p w14:paraId="5F6EA263" w14:textId="1AFBE62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3.37</w:t>
            </w:r>
          </w:p>
        </w:tc>
        <w:tc>
          <w:tcPr>
            <w:tcW w:w="1440" w:type="dxa"/>
            <w:noWrap/>
            <w:vAlign w:val="top"/>
          </w:tcPr>
          <w:p w14:paraId="32588D8D" w14:textId="4E53D3A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5.39</w:t>
            </w:r>
          </w:p>
        </w:tc>
        <w:tc>
          <w:tcPr>
            <w:tcW w:w="1530" w:type="dxa"/>
            <w:noWrap/>
            <w:vAlign w:val="top"/>
          </w:tcPr>
          <w:p w14:paraId="0A3B2F0C" w14:textId="7A04B9B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62.5%</w:t>
            </w:r>
          </w:p>
        </w:tc>
        <w:tc>
          <w:tcPr>
            <w:tcW w:w="1440" w:type="dxa"/>
            <w:noWrap/>
            <w:vAlign w:val="top"/>
          </w:tcPr>
          <w:p w14:paraId="1B888427" w14:textId="46ECB91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4.28</w:t>
            </w:r>
          </w:p>
        </w:tc>
        <w:tc>
          <w:tcPr>
            <w:tcW w:w="1440" w:type="dxa"/>
            <w:noWrap/>
            <w:vAlign w:val="top"/>
          </w:tcPr>
          <w:p w14:paraId="5F4286C3" w14:textId="6E2EFEA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6.92</w:t>
            </w:r>
          </w:p>
        </w:tc>
        <w:tc>
          <w:tcPr>
            <w:tcW w:w="1440" w:type="dxa"/>
            <w:noWrap/>
            <w:vAlign w:val="top"/>
          </w:tcPr>
          <w:p w14:paraId="1638C255" w14:textId="6DA8603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61.8%</w:t>
            </w:r>
          </w:p>
        </w:tc>
      </w:tr>
      <w:tr w:rsidR="00AF5B5B" w:rsidRPr="006253A9" w14:paraId="5E03582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8C220D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0273</w:t>
            </w:r>
          </w:p>
        </w:tc>
        <w:tc>
          <w:tcPr>
            <w:tcW w:w="2880" w:type="dxa"/>
            <w:noWrap/>
            <w:hideMark/>
          </w:tcPr>
          <w:p w14:paraId="7A73DE0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Somerset</w:t>
            </w:r>
          </w:p>
        </w:tc>
        <w:tc>
          <w:tcPr>
            <w:tcW w:w="1479" w:type="dxa"/>
            <w:noWrap/>
            <w:vAlign w:val="top"/>
          </w:tcPr>
          <w:p w14:paraId="4A19BCA3" w14:textId="3700A62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29.42</w:t>
            </w:r>
          </w:p>
        </w:tc>
        <w:tc>
          <w:tcPr>
            <w:tcW w:w="1440" w:type="dxa"/>
            <w:noWrap/>
            <w:vAlign w:val="top"/>
          </w:tcPr>
          <w:p w14:paraId="58668A10" w14:textId="593246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51.58</w:t>
            </w:r>
          </w:p>
        </w:tc>
        <w:tc>
          <w:tcPr>
            <w:tcW w:w="1530" w:type="dxa"/>
            <w:noWrap/>
            <w:vAlign w:val="top"/>
          </w:tcPr>
          <w:p w14:paraId="70CB6146" w14:textId="778526F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c>
          <w:tcPr>
            <w:tcW w:w="1440" w:type="dxa"/>
            <w:noWrap/>
            <w:vAlign w:val="top"/>
          </w:tcPr>
          <w:p w14:paraId="455FB5FD" w14:textId="123FA21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35.23</w:t>
            </w:r>
          </w:p>
        </w:tc>
        <w:tc>
          <w:tcPr>
            <w:tcW w:w="1440" w:type="dxa"/>
            <w:noWrap/>
            <w:vAlign w:val="top"/>
          </w:tcPr>
          <w:p w14:paraId="03D5729F" w14:textId="6106FC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60.68</w:t>
            </w:r>
          </w:p>
        </w:tc>
        <w:tc>
          <w:tcPr>
            <w:tcW w:w="1440" w:type="dxa"/>
            <w:noWrap/>
            <w:vAlign w:val="top"/>
          </w:tcPr>
          <w:p w14:paraId="2E9AEAB8" w14:textId="74D5FD9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58.1%</w:t>
            </w:r>
          </w:p>
        </w:tc>
      </w:tr>
      <w:tr w:rsidR="00AF5B5B" w:rsidRPr="006253A9" w14:paraId="507DF6D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1599B6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0274</w:t>
            </w:r>
          </w:p>
        </w:tc>
        <w:tc>
          <w:tcPr>
            <w:tcW w:w="2880" w:type="dxa"/>
            <w:noWrap/>
            <w:hideMark/>
          </w:tcPr>
          <w:p w14:paraId="25AB599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Somerville</w:t>
            </w:r>
          </w:p>
        </w:tc>
        <w:tc>
          <w:tcPr>
            <w:tcW w:w="1479" w:type="dxa"/>
            <w:noWrap/>
            <w:vAlign w:val="top"/>
          </w:tcPr>
          <w:p w14:paraId="3999D9C4" w14:textId="584C89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70.83</w:t>
            </w:r>
          </w:p>
        </w:tc>
        <w:tc>
          <w:tcPr>
            <w:tcW w:w="1440" w:type="dxa"/>
            <w:noWrap/>
            <w:vAlign w:val="top"/>
          </w:tcPr>
          <w:p w14:paraId="5E440619" w14:textId="6F5D6E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183.96</w:t>
            </w:r>
          </w:p>
        </w:tc>
        <w:tc>
          <w:tcPr>
            <w:tcW w:w="1530" w:type="dxa"/>
            <w:noWrap/>
            <w:vAlign w:val="top"/>
          </w:tcPr>
          <w:p w14:paraId="72AADB60" w14:textId="04F4225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38.5%</w:t>
            </w:r>
          </w:p>
        </w:tc>
        <w:tc>
          <w:tcPr>
            <w:tcW w:w="1440" w:type="dxa"/>
            <w:noWrap/>
            <w:vAlign w:val="top"/>
          </w:tcPr>
          <w:p w14:paraId="1FAEDA1A" w14:textId="413DF4F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99.41</w:t>
            </w:r>
          </w:p>
        </w:tc>
        <w:tc>
          <w:tcPr>
            <w:tcW w:w="1440" w:type="dxa"/>
            <w:noWrap/>
            <w:vAlign w:val="top"/>
          </w:tcPr>
          <w:p w14:paraId="11F1E466" w14:textId="5ECF20A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277.80</w:t>
            </w:r>
          </w:p>
        </w:tc>
        <w:tc>
          <w:tcPr>
            <w:tcW w:w="1440" w:type="dxa"/>
            <w:noWrap/>
            <w:vAlign w:val="top"/>
          </w:tcPr>
          <w:p w14:paraId="07D3E570" w14:textId="6ABABFF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35.8%</w:t>
            </w:r>
          </w:p>
        </w:tc>
      </w:tr>
      <w:tr w:rsidR="00AF5B5B" w:rsidRPr="006253A9" w14:paraId="130DC03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B72FDA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0275</w:t>
            </w:r>
          </w:p>
        </w:tc>
        <w:tc>
          <w:tcPr>
            <w:tcW w:w="2880" w:type="dxa"/>
            <w:noWrap/>
            <w:hideMark/>
          </w:tcPr>
          <w:p w14:paraId="557ACDC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Southampton</w:t>
            </w:r>
          </w:p>
        </w:tc>
        <w:tc>
          <w:tcPr>
            <w:tcW w:w="1479" w:type="dxa"/>
            <w:noWrap/>
            <w:vAlign w:val="top"/>
          </w:tcPr>
          <w:p w14:paraId="6336509E" w14:textId="2BCBCF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8.20</w:t>
            </w:r>
          </w:p>
        </w:tc>
        <w:tc>
          <w:tcPr>
            <w:tcW w:w="1440" w:type="dxa"/>
            <w:noWrap/>
            <w:vAlign w:val="top"/>
          </w:tcPr>
          <w:p w14:paraId="35BFB61C" w14:textId="2F09B9F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12.41</w:t>
            </w:r>
          </w:p>
        </w:tc>
        <w:tc>
          <w:tcPr>
            <w:tcW w:w="1530" w:type="dxa"/>
            <w:noWrap/>
            <w:vAlign w:val="top"/>
          </w:tcPr>
          <w:p w14:paraId="16BA1B8D" w14:textId="16BE1EF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66.1%</w:t>
            </w:r>
          </w:p>
        </w:tc>
        <w:tc>
          <w:tcPr>
            <w:tcW w:w="1440" w:type="dxa"/>
            <w:noWrap/>
            <w:vAlign w:val="top"/>
          </w:tcPr>
          <w:p w14:paraId="7CBFBFB8" w14:textId="214541E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11.78</w:t>
            </w:r>
          </w:p>
        </w:tc>
        <w:tc>
          <w:tcPr>
            <w:tcW w:w="1440" w:type="dxa"/>
            <w:noWrap/>
            <w:vAlign w:val="top"/>
          </w:tcPr>
          <w:p w14:paraId="632AEB54" w14:textId="51BDC5E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18.00</w:t>
            </w:r>
          </w:p>
        </w:tc>
        <w:tc>
          <w:tcPr>
            <w:tcW w:w="1440" w:type="dxa"/>
            <w:noWrap/>
            <w:vAlign w:val="top"/>
          </w:tcPr>
          <w:p w14:paraId="0092EE87" w14:textId="60738F7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65.4%</w:t>
            </w:r>
          </w:p>
        </w:tc>
      </w:tr>
      <w:tr w:rsidR="00AF5B5B" w:rsidRPr="006253A9" w14:paraId="24C1410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946A9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0276</w:t>
            </w:r>
          </w:p>
        </w:tc>
        <w:tc>
          <w:tcPr>
            <w:tcW w:w="2880" w:type="dxa"/>
            <w:noWrap/>
            <w:hideMark/>
          </w:tcPr>
          <w:p w14:paraId="05CA879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Southborough</w:t>
            </w:r>
          </w:p>
        </w:tc>
        <w:tc>
          <w:tcPr>
            <w:tcW w:w="1479" w:type="dxa"/>
            <w:noWrap/>
            <w:vAlign w:val="top"/>
          </w:tcPr>
          <w:p w14:paraId="45C15A91" w14:textId="233D239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21.98</w:t>
            </w:r>
          </w:p>
        </w:tc>
        <w:tc>
          <w:tcPr>
            <w:tcW w:w="1440" w:type="dxa"/>
            <w:noWrap/>
            <w:vAlign w:val="top"/>
          </w:tcPr>
          <w:p w14:paraId="25BC3FEC" w14:textId="2D3F37C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39.11</w:t>
            </w:r>
          </w:p>
        </w:tc>
        <w:tc>
          <w:tcPr>
            <w:tcW w:w="1530" w:type="dxa"/>
            <w:noWrap/>
            <w:vAlign w:val="top"/>
          </w:tcPr>
          <w:p w14:paraId="41ED1301" w14:textId="1F00A71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56.2%</w:t>
            </w:r>
          </w:p>
        </w:tc>
        <w:tc>
          <w:tcPr>
            <w:tcW w:w="1440" w:type="dxa"/>
            <w:noWrap/>
            <w:vAlign w:val="top"/>
          </w:tcPr>
          <w:p w14:paraId="3EFEF823" w14:textId="20C6441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31.96</w:t>
            </w:r>
          </w:p>
        </w:tc>
        <w:tc>
          <w:tcPr>
            <w:tcW w:w="1440" w:type="dxa"/>
            <w:noWrap/>
            <w:vAlign w:val="top"/>
          </w:tcPr>
          <w:p w14:paraId="56822A55" w14:textId="3BDDEB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55.88</w:t>
            </w:r>
          </w:p>
        </w:tc>
        <w:tc>
          <w:tcPr>
            <w:tcW w:w="1440" w:type="dxa"/>
            <w:noWrap/>
            <w:vAlign w:val="top"/>
          </w:tcPr>
          <w:p w14:paraId="5A9EF3FE" w14:textId="44CE29A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57.2%</w:t>
            </w:r>
          </w:p>
        </w:tc>
      </w:tr>
      <w:tr w:rsidR="00AF5B5B" w:rsidRPr="006253A9" w14:paraId="1C82EEA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E77F3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0277</w:t>
            </w:r>
          </w:p>
        </w:tc>
        <w:tc>
          <w:tcPr>
            <w:tcW w:w="2880" w:type="dxa"/>
            <w:noWrap/>
            <w:hideMark/>
          </w:tcPr>
          <w:p w14:paraId="6008D94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Southbridge</w:t>
            </w:r>
          </w:p>
        </w:tc>
        <w:tc>
          <w:tcPr>
            <w:tcW w:w="1479" w:type="dxa"/>
            <w:noWrap/>
            <w:vAlign w:val="top"/>
          </w:tcPr>
          <w:p w14:paraId="4E84EA70" w14:textId="7A934B1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23.67</w:t>
            </w:r>
          </w:p>
        </w:tc>
        <w:tc>
          <w:tcPr>
            <w:tcW w:w="1440" w:type="dxa"/>
            <w:noWrap/>
            <w:vAlign w:val="top"/>
          </w:tcPr>
          <w:p w14:paraId="5C229C82" w14:textId="572B51B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40.59</w:t>
            </w:r>
          </w:p>
        </w:tc>
        <w:tc>
          <w:tcPr>
            <w:tcW w:w="1530" w:type="dxa"/>
            <w:noWrap/>
            <w:vAlign w:val="top"/>
          </w:tcPr>
          <w:p w14:paraId="36DB0E8E" w14:textId="5A81919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58.3%</w:t>
            </w:r>
          </w:p>
        </w:tc>
        <w:tc>
          <w:tcPr>
            <w:tcW w:w="1440" w:type="dxa"/>
            <w:noWrap/>
            <w:vAlign w:val="top"/>
          </w:tcPr>
          <w:p w14:paraId="0CCA2393" w14:textId="484FAF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31.44</w:t>
            </w:r>
          </w:p>
        </w:tc>
        <w:tc>
          <w:tcPr>
            <w:tcW w:w="1440" w:type="dxa"/>
            <w:noWrap/>
            <w:vAlign w:val="top"/>
          </w:tcPr>
          <w:p w14:paraId="41C3648B" w14:textId="3C74E72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58.51</w:t>
            </w:r>
          </w:p>
        </w:tc>
        <w:tc>
          <w:tcPr>
            <w:tcW w:w="1440" w:type="dxa"/>
            <w:noWrap/>
            <w:vAlign w:val="top"/>
          </w:tcPr>
          <w:p w14:paraId="7FF4ED6D" w14:textId="391BBB0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53.7%</w:t>
            </w:r>
          </w:p>
        </w:tc>
      </w:tr>
      <w:tr w:rsidR="00AF5B5B" w:rsidRPr="006253A9" w14:paraId="6F1331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60A62C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0278</w:t>
            </w:r>
          </w:p>
        </w:tc>
        <w:tc>
          <w:tcPr>
            <w:tcW w:w="2880" w:type="dxa"/>
            <w:noWrap/>
            <w:hideMark/>
          </w:tcPr>
          <w:p w14:paraId="377CF5B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 Hadley</w:t>
            </w:r>
          </w:p>
        </w:tc>
        <w:tc>
          <w:tcPr>
            <w:tcW w:w="1479" w:type="dxa"/>
            <w:noWrap/>
            <w:vAlign w:val="top"/>
          </w:tcPr>
          <w:p w14:paraId="4FEA4903" w14:textId="37D5282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19.70</w:t>
            </w:r>
          </w:p>
        </w:tc>
        <w:tc>
          <w:tcPr>
            <w:tcW w:w="1440" w:type="dxa"/>
            <w:noWrap/>
            <w:vAlign w:val="top"/>
          </w:tcPr>
          <w:p w14:paraId="69FFDD64" w14:textId="64E6374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36.19</w:t>
            </w:r>
          </w:p>
        </w:tc>
        <w:tc>
          <w:tcPr>
            <w:tcW w:w="1530" w:type="dxa"/>
            <w:noWrap/>
            <w:vAlign w:val="top"/>
          </w:tcPr>
          <w:p w14:paraId="17DD3559" w14:textId="31A17CE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c>
          <w:tcPr>
            <w:tcW w:w="1440" w:type="dxa"/>
            <w:noWrap/>
            <w:vAlign w:val="top"/>
          </w:tcPr>
          <w:p w14:paraId="1C546004" w14:textId="40E33C0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25.66</w:t>
            </w:r>
          </w:p>
        </w:tc>
        <w:tc>
          <w:tcPr>
            <w:tcW w:w="1440" w:type="dxa"/>
            <w:noWrap/>
            <w:vAlign w:val="top"/>
          </w:tcPr>
          <w:p w14:paraId="6BF43445" w14:textId="07C3415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49.97</w:t>
            </w:r>
          </w:p>
        </w:tc>
        <w:tc>
          <w:tcPr>
            <w:tcW w:w="1440" w:type="dxa"/>
            <w:noWrap/>
            <w:vAlign w:val="top"/>
          </w:tcPr>
          <w:p w14:paraId="12862B76" w14:textId="0890F1F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51.4%</w:t>
            </w:r>
          </w:p>
        </w:tc>
      </w:tr>
      <w:tr w:rsidR="00AF5B5B" w:rsidRPr="006253A9" w14:paraId="0A18AB1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51F22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0279</w:t>
            </w:r>
          </w:p>
        </w:tc>
        <w:tc>
          <w:tcPr>
            <w:tcW w:w="2880" w:type="dxa"/>
            <w:noWrap/>
            <w:hideMark/>
          </w:tcPr>
          <w:p w14:paraId="38C45AA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Southwick</w:t>
            </w:r>
          </w:p>
        </w:tc>
        <w:tc>
          <w:tcPr>
            <w:tcW w:w="1479" w:type="dxa"/>
            <w:noWrap/>
            <w:vAlign w:val="top"/>
          </w:tcPr>
          <w:p w14:paraId="5FD58164" w14:textId="56DA7CC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6.97</w:t>
            </w:r>
          </w:p>
        </w:tc>
        <w:tc>
          <w:tcPr>
            <w:tcW w:w="1440" w:type="dxa"/>
            <w:noWrap/>
            <w:vAlign w:val="top"/>
          </w:tcPr>
          <w:p w14:paraId="1CD1CE4B" w14:textId="6B2AA26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15.23</w:t>
            </w:r>
          </w:p>
        </w:tc>
        <w:tc>
          <w:tcPr>
            <w:tcW w:w="1530" w:type="dxa"/>
            <w:noWrap/>
            <w:vAlign w:val="top"/>
          </w:tcPr>
          <w:p w14:paraId="37E3DB7A" w14:textId="23BF274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45.8%</w:t>
            </w:r>
          </w:p>
        </w:tc>
        <w:tc>
          <w:tcPr>
            <w:tcW w:w="1440" w:type="dxa"/>
            <w:noWrap/>
            <w:vAlign w:val="top"/>
          </w:tcPr>
          <w:p w14:paraId="3B67B50E" w14:textId="4E240E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11.08</w:t>
            </w:r>
          </w:p>
        </w:tc>
        <w:tc>
          <w:tcPr>
            <w:tcW w:w="1440" w:type="dxa"/>
            <w:noWrap/>
            <w:vAlign w:val="top"/>
          </w:tcPr>
          <w:p w14:paraId="1499BCD8" w14:textId="7568C26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23.18</w:t>
            </w:r>
          </w:p>
        </w:tc>
        <w:tc>
          <w:tcPr>
            <w:tcW w:w="1440" w:type="dxa"/>
            <w:noWrap/>
            <w:vAlign w:val="top"/>
          </w:tcPr>
          <w:p w14:paraId="68EE6D61" w14:textId="0050DF0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47.8%</w:t>
            </w:r>
          </w:p>
        </w:tc>
      </w:tr>
      <w:tr w:rsidR="00AF5B5B" w:rsidRPr="006253A9" w14:paraId="7B60136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68AD4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0280</w:t>
            </w:r>
          </w:p>
        </w:tc>
        <w:tc>
          <w:tcPr>
            <w:tcW w:w="2880" w:type="dxa"/>
            <w:noWrap/>
            <w:hideMark/>
          </w:tcPr>
          <w:p w14:paraId="1DCC7CC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Spencer</w:t>
            </w:r>
          </w:p>
        </w:tc>
        <w:tc>
          <w:tcPr>
            <w:tcW w:w="1479" w:type="dxa"/>
            <w:noWrap/>
            <w:vAlign w:val="top"/>
          </w:tcPr>
          <w:p w14:paraId="48DB74B2" w14:textId="4D1EDA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6.73</w:t>
            </w:r>
          </w:p>
        </w:tc>
        <w:tc>
          <w:tcPr>
            <w:tcW w:w="1440" w:type="dxa"/>
            <w:noWrap/>
            <w:vAlign w:val="top"/>
          </w:tcPr>
          <w:p w14:paraId="2618B66B" w14:textId="7F0C4D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14.90</w:t>
            </w:r>
          </w:p>
        </w:tc>
        <w:tc>
          <w:tcPr>
            <w:tcW w:w="1530" w:type="dxa"/>
            <w:noWrap/>
            <w:vAlign w:val="top"/>
          </w:tcPr>
          <w:p w14:paraId="1D1AF3FA" w14:textId="0C4BFF9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45.2%</w:t>
            </w:r>
          </w:p>
        </w:tc>
        <w:tc>
          <w:tcPr>
            <w:tcW w:w="1440" w:type="dxa"/>
            <w:noWrap/>
            <w:vAlign w:val="top"/>
          </w:tcPr>
          <w:p w14:paraId="2E0E6DC7" w14:textId="2106018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11.47</w:t>
            </w:r>
          </w:p>
        </w:tc>
        <w:tc>
          <w:tcPr>
            <w:tcW w:w="1440" w:type="dxa"/>
            <w:noWrap/>
            <w:vAlign w:val="top"/>
          </w:tcPr>
          <w:p w14:paraId="7A96285B" w14:textId="0F1131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22.39</w:t>
            </w:r>
          </w:p>
        </w:tc>
        <w:tc>
          <w:tcPr>
            <w:tcW w:w="1440" w:type="dxa"/>
            <w:noWrap/>
            <w:vAlign w:val="top"/>
          </w:tcPr>
          <w:p w14:paraId="6D972CAF" w14:textId="7A90661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51.2%</w:t>
            </w:r>
          </w:p>
        </w:tc>
      </w:tr>
      <w:tr w:rsidR="00AF5B5B" w:rsidRPr="006253A9" w14:paraId="6D2FF28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D59BB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0281</w:t>
            </w:r>
          </w:p>
        </w:tc>
        <w:tc>
          <w:tcPr>
            <w:tcW w:w="2880" w:type="dxa"/>
            <w:noWrap/>
            <w:hideMark/>
          </w:tcPr>
          <w:p w14:paraId="30C32C4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Springfield</w:t>
            </w:r>
          </w:p>
        </w:tc>
        <w:tc>
          <w:tcPr>
            <w:tcW w:w="1479" w:type="dxa"/>
            <w:noWrap/>
            <w:vAlign w:val="top"/>
          </w:tcPr>
          <w:p w14:paraId="4A8631C7" w14:textId="7C0A982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273.18</w:t>
            </w:r>
          </w:p>
        </w:tc>
        <w:tc>
          <w:tcPr>
            <w:tcW w:w="1440" w:type="dxa"/>
            <w:noWrap/>
            <w:vAlign w:val="top"/>
          </w:tcPr>
          <w:p w14:paraId="1930698D" w14:textId="3FE4FCB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510.00</w:t>
            </w:r>
          </w:p>
        </w:tc>
        <w:tc>
          <w:tcPr>
            <w:tcW w:w="1530" w:type="dxa"/>
            <w:noWrap/>
            <w:vAlign w:val="top"/>
          </w:tcPr>
          <w:p w14:paraId="714DF9EC" w14:textId="2D79220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53.6%</w:t>
            </w:r>
          </w:p>
        </w:tc>
        <w:tc>
          <w:tcPr>
            <w:tcW w:w="1440" w:type="dxa"/>
            <w:noWrap/>
            <w:vAlign w:val="top"/>
          </w:tcPr>
          <w:p w14:paraId="5779B94F" w14:textId="14F12A6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386.83</w:t>
            </w:r>
          </w:p>
        </w:tc>
        <w:tc>
          <w:tcPr>
            <w:tcW w:w="1440" w:type="dxa"/>
            <w:noWrap/>
            <w:vAlign w:val="top"/>
          </w:tcPr>
          <w:p w14:paraId="73C6FF29" w14:textId="68DA209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692.55</w:t>
            </w:r>
          </w:p>
        </w:tc>
        <w:tc>
          <w:tcPr>
            <w:tcW w:w="1440" w:type="dxa"/>
            <w:noWrap/>
            <w:vAlign w:val="top"/>
          </w:tcPr>
          <w:p w14:paraId="3437C494" w14:textId="000B8B2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55.9%</w:t>
            </w:r>
          </w:p>
        </w:tc>
      </w:tr>
      <w:tr w:rsidR="00AF5B5B" w:rsidRPr="006253A9" w14:paraId="110E391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3792FC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0282</w:t>
            </w:r>
          </w:p>
        </w:tc>
        <w:tc>
          <w:tcPr>
            <w:tcW w:w="2880" w:type="dxa"/>
            <w:noWrap/>
            <w:hideMark/>
          </w:tcPr>
          <w:p w14:paraId="3B2A478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Sterling</w:t>
            </w:r>
          </w:p>
        </w:tc>
        <w:tc>
          <w:tcPr>
            <w:tcW w:w="1479" w:type="dxa"/>
            <w:noWrap/>
            <w:vAlign w:val="top"/>
          </w:tcPr>
          <w:p w14:paraId="60079B6D" w14:textId="59D4C9F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8.83</w:t>
            </w:r>
          </w:p>
        </w:tc>
        <w:tc>
          <w:tcPr>
            <w:tcW w:w="1440" w:type="dxa"/>
            <w:noWrap/>
            <w:vAlign w:val="top"/>
          </w:tcPr>
          <w:p w14:paraId="1EE28F13" w14:textId="2BB5F6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18.20</w:t>
            </w:r>
          </w:p>
        </w:tc>
        <w:tc>
          <w:tcPr>
            <w:tcW w:w="1530" w:type="dxa"/>
            <w:noWrap/>
            <w:vAlign w:val="top"/>
          </w:tcPr>
          <w:p w14:paraId="749783A5" w14:textId="4F2640C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48.5%</w:t>
            </w:r>
          </w:p>
        </w:tc>
        <w:tc>
          <w:tcPr>
            <w:tcW w:w="1440" w:type="dxa"/>
            <w:noWrap/>
            <w:vAlign w:val="top"/>
          </w:tcPr>
          <w:p w14:paraId="73A25689" w14:textId="689ACB2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12.17</w:t>
            </w:r>
          </w:p>
        </w:tc>
        <w:tc>
          <w:tcPr>
            <w:tcW w:w="1440" w:type="dxa"/>
            <w:noWrap/>
            <w:vAlign w:val="top"/>
          </w:tcPr>
          <w:p w14:paraId="35DEC0E1" w14:textId="1B6069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24.61</w:t>
            </w:r>
          </w:p>
        </w:tc>
        <w:tc>
          <w:tcPr>
            <w:tcW w:w="1440" w:type="dxa"/>
            <w:noWrap/>
            <w:vAlign w:val="top"/>
          </w:tcPr>
          <w:p w14:paraId="3D9A3C00" w14:textId="61BE27A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49.4%</w:t>
            </w:r>
          </w:p>
        </w:tc>
      </w:tr>
      <w:tr w:rsidR="00AF5B5B" w:rsidRPr="006253A9" w14:paraId="17FCA59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9B12A4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0283</w:t>
            </w:r>
          </w:p>
        </w:tc>
        <w:tc>
          <w:tcPr>
            <w:tcW w:w="2880" w:type="dxa"/>
            <w:noWrap/>
            <w:hideMark/>
          </w:tcPr>
          <w:p w14:paraId="4CAEE5F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Stockbridge</w:t>
            </w:r>
          </w:p>
        </w:tc>
        <w:tc>
          <w:tcPr>
            <w:tcW w:w="1479" w:type="dxa"/>
            <w:noWrap/>
            <w:vAlign w:val="top"/>
          </w:tcPr>
          <w:p w14:paraId="6CB91336" w14:textId="45BAD05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2.44</w:t>
            </w:r>
          </w:p>
        </w:tc>
        <w:tc>
          <w:tcPr>
            <w:tcW w:w="1440" w:type="dxa"/>
            <w:noWrap/>
            <w:vAlign w:val="top"/>
          </w:tcPr>
          <w:p w14:paraId="132300B2" w14:textId="152435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6.40</w:t>
            </w:r>
          </w:p>
        </w:tc>
        <w:tc>
          <w:tcPr>
            <w:tcW w:w="1530" w:type="dxa"/>
            <w:noWrap/>
            <w:vAlign w:val="top"/>
          </w:tcPr>
          <w:p w14:paraId="40DE6CBA" w14:textId="1FDE742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38.1%</w:t>
            </w:r>
          </w:p>
        </w:tc>
        <w:tc>
          <w:tcPr>
            <w:tcW w:w="1440" w:type="dxa"/>
            <w:noWrap/>
            <w:vAlign w:val="top"/>
          </w:tcPr>
          <w:p w14:paraId="2FFE0106" w14:textId="111E8BD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2.90</w:t>
            </w:r>
          </w:p>
        </w:tc>
        <w:tc>
          <w:tcPr>
            <w:tcW w:w="1440" w:type="dxa"/>
            <w:noWrap/>
            <w:vAlign w:val="top"/>
          </w:tcPr>
          <w:p w14:paraId="3E7A1AC5" w14:textId="34D13C5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11.23</w:t>
            </w:r>
          </w:p>
        </w:tc>
        <w:tc>
          <w:tcPr>
            <w:tcW w:w="1440" w:type="dxa"/>
            <w:noWrap/>
            <w:vAlign w:val="top"/>
          </w:tcPr>
          <w:p w14:paraId="6D61DE5E" w14:textId="7551BE4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25.8%</w:t>
            </w:r>
          </w:p>
        </w:tc>
      </w:tr>
      <w:tr w:rsidR="00AF5B5B" w:rsidRPr="006253A9" w14:paraId="3EE51F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269115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0284</w:t>
            </w:r>
          </w:p>
        </w:tc>
        <w:tc>
          <w:tcPr>
            <w:tcW w:w="2880" w:type="dxa"/>
            <w:noWrap/>
            <w:hideMark/>
          </w:tcPr>
          <w:p w14:paraId="23CAB94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Stoneham</w:t>
            </w:r>
          </w:p>
        </w:tc>
        <w:tc>
          <w:tcPr>
            <w:tcW w:w="1479" w:type="dxa"/>
            <w:noWrap/>
            <w:vAlign w:val="top"/>
          </w:tcPr>
          <w:p w14:paraId="3333AD7E" w14:textId="09A389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24.87</w:t>
            </w:r>
          </w:p>
        </w:tc>
        <w:tc>
          <w:tcPr>
            <w:tcW w:w="1440" w:type="dxa"/>
            <w:noWrap/>
            <w:vAlign w:val="top"/>
          </w:tcPr>
          <w:p w14:paraId="6093918A" w14:textId="3C0D690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54.88</w:t>
            </w:r>
          </w:p>
        </w:tc>
        <w:tc>
          <w:tcPr>
            <w:tcW w:w="1530" w:type="dxa"/>
            <w:noWrap/>
            <w:vAlign w:val="top"/>
          </w:tcPr>
          <w:p w14:paraId="18434203" w14:textId="07833F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45.3%</w:t>
            </w:r>
          </w:p>
        </w:tc>
        <w:tc>
          <w:tcPr>
            <w:tcW w:w="1440" w:type="dxa"/>
            <w:noWrap/>
            <w:vAlign w:val="top"/>
          </w:tcPr>
          <w:p w14:paraId="67482FA0" w14:textId="3F9421A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37.45</w:t>
            </w:r>
          </w:p>
        </w:tc>
        <w:tc>
          <w:tcPr>
            <w:tcW w:w="1440" w:type="dxa"/>
            <w:noWrap/>
            <w:vAlign w:val="top"/>
          </w:tcPr>
          <w:p w14:paraId="5757F25A" w14:textId="554D486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77.86</w:t>
            </w:r>
          </w:p>
        </w:tc>
        <w:tc>
          <w:tcPr>
            <w:tcW w:w="1440" w:type="dxa"/>
            <w:noWrap/>
            <w:vAlign w:val="top"/>
          </w:tcPr>
          <w:p w14:paraId="63F94FBE" w14:textId="416E13C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48.1%</w:t>
            </w:r>
          </w:p>
        </w:tc>
      </w:tr>
      <w:tr w:rsidR="00AF5B5B" w:rsidRPr="006253A9" w14:paraId="63DD20F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6F3E57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0285</w:t>
            </w:r>
          </w:p>
        </w:tc>
        <w:tc>
          <w:tcPr>
            <w:tcW w:w="2880" w:type="dxa"/>
            <w:noWrap/>
            <w:hideMark/>
          </w:tcPr>
          <w:p w14:paraId="05B65DD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Stoughton</w:t>
            </w:r>
          </w:p>
        </w:tc>
        <w:tc>
          <w:tcPr>
            <w:tcW w:w="1479" w:type="dxa"/>
            <w:noWrap/>
            <w:vAlign w:val="top"/>
          </w:tcPr>
          <w:p w14:paraId="403B050E" w14:textId="0716CAD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36.40</w:t>
            </w:r>
          </w:p>
        </w:tc>
        <w:tc>
          <w:tcPr>
            <w:tcW w:w="1440" w:type="dxa"/>
            <w:noWrap/>
            <w:vAlign w:val="top"/>
          </w:tcPr>
          <w:p w14:paraId="333DBEE8" w14:textId="2E7701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66.96</w:t>
            </w:r>
          </w:p>
        </w:tc>
        <w:tc>
          <w:tcPr>
            <w:tcW w:w="1530" w:type="dxa"/>
            <w:noWrap/>
            <w:vAlign w:val="top"/>
          </w:tcPr>
          <w:p w14:paraId="62D1956F" w14:textId="6F26A65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54.4%</w:t>
            </w:r>
          </w:p>
        </w:tc>
        <w:tc>
          <w:tcPr>
            <w:tcW w:w="1440" w:type="dxa"/>
            <w:noWrap/>
            <w:vAlign w:val="top"/>
          </w:tcPr>
          <w:p w14:paraId="1D5EA449" w14:textId="7D63DDE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54.01</w:t>
            </w:r>
          </w:p>
        </w:tc>
        <w:tc>
          <w:tcPr>
            <w:tcW w:w="1440" w:type="dxa"/>
            <w:noWrap/>
            <w:vAlign w:val="top"/>
          </w:tcPr>
          <w:p w14:paraId="52D139A5" w14:textId="17FCC0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109.72</w:t>
            </w:r>
          </w:p>
        </w:tc>
        <w:tc>
          <w:tcPr>
            <w:tcW w:w="1440" w:type="dxa"/>
            <w:noWrap/>
            <w:vAlign w:val="top"/>
          </w:tcPr>
          <w:p w14:paraId="3F9D4077" w14:textId="2FCFF95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49.2%</w:t>
            </w:r>
          </w:p>
        </w:tc>
      </w:tr>
      <w:tr w:rsidR="00AF5B5B" w:rsidRPr="006253A9" w14:paraId="7CEAE9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547D00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0286</w:t>
            </w:r>
          </w:p>
        </w:tc>
        <w:tc>
          <w:tcPr>
            <w:tcW w:w="2880" w:type="dxa"/>
            <w:noWrap/>
            <w:hideMark/>
          </w:tcPr>
          <w:p w14:paraId="1F04338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Stow</w:t>
            </w:r>
          </w:p>
        </w:tc>
        <w:tc>
          <w:tcPr>
            <w:tcW w:w="1479" w:type="dxa"/>
            <w:noWrap/>
            <w:vAlign w:val="top"/>
          </w:tcPr>
          <w:p w14:paraId="7F3A52A1" w14:textId="145CF9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11.95</w:t>
            </w:r>
          </w:p>
        </w:tc>
        <w:tc>
          <w:tcPr>
            <w:tcW w:w="1440" w:type="dxa"/>
            <w:noWrap/>
            <w:vAlign w:val="top"/>
          </w:tcPr>
          <w:p w14:paraId="7B80E358" w14:textId="76858F2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18.74</w:t>
            </w:r>
          </w:p>
        </w:tc>
        <w:tc>
          <w:tcPr>
            <w:tcW w:w="1530" w:type="dxa"/>
            <w:noWrap/>
            <w:vAlign w:val="top"/>
          </w:tcPr>
          <w:p w14:paraId="1A9EA6B9" w14:textId="1060DEB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63.8%</w:t>
            </w:r>
          </w:p>
        </w:tc>
        <w:tc>
          <w:tcPr>
            <w:tcW w:w="1440" w:type="dxa"/>
            <w:noWrap/>
            <w:vAlign w:val="top"/>
          </w:tcPr>
          <w:p w14:paraId="536ED582" w14:textId="10F156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18.10</w:t>
            </w:r>
          </w:p>
        </w:tc>
        <w:tc>
          <w:tcPr>
            <w:tcW w:w="1440" w:type="dxa"/>
            <w:noWrap/>
            <w:vAlign w:val="top"/>
          </w:tcPr>
          <w:p w14:paraId="5E01AEF2" w14:textId="34C5807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29.45</w:t>
            </w:r>
          </w:p>
        </w:tc>
        <w:tc>
          <w:tcPr>
            <w:tcW w:w="1440" w:type="dxa"/>
            <w:noWrap/>
            <w:vAlign w:val="top"/>
          </w:tcPr>
          <w:p w14:paraId="01A16823" w14:textId="464FA2B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61.4%</w:t>
            </w:r>
          </w:p>
        </w:tc>
      </w:tr>
      <w:tr w:rsidR="00AF5B5B" w:rsidRPr="006253A9" w14:paraId="08FF5D1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AFA66C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0287</w:t>
            </w:r>
          </w:p>
        </w:tc>
        <w:tc>
          <w:tcPr>
            <w:tcW w:w="2880" w:type="dxa"/>
            <w:noWrap/>
            <w:hideMark/>
          </w:tcPr>
          <w:p w14:paraId="5345CF9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Sturbridge</w:t>
            </w:r>
          </w:p>
        </w:tc>
        <w:tc>
          <w:tcPr>
            <w:tcW w:w="1479" w:type="dxa"/>
            <w:noWrap/>
            <w:vAlign w:val="top"/>
          </w:tcPr>
          <w:p w14:paraId="38389709" w14:textId="412769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13.38</w:t>
            </w:r>
          </w:p>
        </w:tc>
        <w:tc>
          <w:tcPr>
            <w:tcW w:w="1440" w:type="dxa"/>
            <w:noWrap/>
            <w:vAlign w:val="top"/>
          </w:tcPr>
          <w:p w14:paraId="6E07184C" w14:textId="030E9C6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21.16</w:t>
            </w:r>
          </w:p>
        </w:tc>
        <w:tc>
          <w:tcPr>
            <w:tcW w:w="1530" w:type="dxa"/>
            <w:noWrap/>
            <w:vAlign w:val="top"/>
          </w:tcPr>
          <w:p w14:paraId="213C0842" w14:textId="5C25771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63.2%</w:t>
            </w:r>
          </w:p>
        </w:tc>
        <w:tc>
          <w:tcPr>
            <w:tcW w:w="1440" w:type="dxa"/>
            <w:noWrap/>
            <w:vAlign w:val="top"/>
          </w:tcPr>
          <w:p w14:paraId="17158E24" w14:textId="09A9479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19.29</w:t>
            </w:r>
          </w:p>
        </w:tc>
        <w:tc>
          <w:tcPr>
            <w:tcW w:w="1440" w:type="dxa"/>
            <w:noWrap/>
            <w:vAlign w:val="top"/>
          </w:tcPr>
          <w:p w14:paraId="30FABD77" w14:textId="45B0D5D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35.34</w:t>
            </w:r>
          </w:p>
        </w:tc>
        <w:tc>
          <w:tcPr>
            <w:tcW w:w="1440" w:type="dxa"/>
            <w:noWrap/>
            <w:vAlign w:val="top"/>
          </w:tcPr>
          <w:p w14:paraId="1E435586" w14:textId="76ED600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5E7F8A6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7A1D8D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0288</w:t>
            </w:r>
          </w:p>
        </w:tc>
        <w:tc>
          <w:tcPr>
            <w:tcW w:w="2880" w:type="dxa"/>
            <w:noWrap/>
            <w:hideMark/>
          </w:tcPr>
          <w:p w14:paraId="2708D2D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Sudbury</w:t>
            </w:r>
          </w:p>
        </w:tc>
        <w:tc>
          <w:tcPr>
            <w:tcW w:w="1479" w:type="dxa"/>
            <w:noWrap/>
            <w:vAlign w:val="top"/>
          </w:tcPr>
          <w:p w14:paraId="188DBCC1" w14:textId="3734AF5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48.40</w:t>
            </w:r>
          </w:p>
        </w:tc>
        <w:tc>
          <w:tcPr>
            <w:tcW w:w="1440" w:type="dxa"/>
            <w:noWrap/>
            <w:vAlign w:val="top"/>
          </w:tcPr>
          <w:p w14:paraId="108EFD80" w14:textId="3B23E4D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82.96</w:t>
            </w:r>
          </w:p>
        </w:tc>
        <w:tc>
          <w:tcPr>
            <w:tcW w:w="1530" w:type="dxa"/>
            <w:noWrap/>
            <w:vAlign w:val="top"/>
          </w:tcPr>
          <w:p w14:paraId="589FD29E" w14:textId="516B461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58.3%</w:t>
            </w:r>
          </w:p>
        </w:tc>
        <w:tc>
          <w:tcPr>
            <w:tcW w:w="1440" w:type="dxa"/>
            <w:noWrap/>
            <w:vAlign w:val="top"/>
          </w:tcPr>
          <w:p w14:paraId="065FDD4E" w14:textId="5C431F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66.76</w:t>
            </w:r>
          </w:p>
        </w:tc>
        <w:tc>
          <w:tcPr>
            <w:tcW w:w="1440" w:type="dxa"/>
            <w:noWrap/>
            <w:vAlign w:val="top"/>
          </w:tcPr>
          <w:p w14:paraId="26B9AE03" w14:textId="755C30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103.15</w:t>
            </w:r>
          </w:p>
        </w:tc>
        <w:tc>
          <w:tcPr>
            <w:tcW w:w="1440" w:type="dxa"/>
            <w:noWrap/>
            <w:vAlign w:val="top"/>
          </w:tcPr>
          <w:p w14:paraId="3C55772A" w14:textId="07DA8FC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64.7%</w:t>
            </w:r>
          </w:p>
        </w:tc>
      </w:tr>
      <w:tr w:rsidR="00AF5B5B" w:rsidRPr="006253A9" w14:paraId="5D57CED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DEDE01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0289</w:t>
            </w:r>
          </w:p>
        </w:tc>
        <w:tc>
          <w:tcPr>
            <w:tcW w:w="2880" w:type="dxa"/>
            <w:noWrap/>
            <w:hideMark/>
          </w:tcPr>
          <w:p w14:paraId="09B9EB0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Sunderland</w:t>
            </w:r>
          </w:p>
        </w:tc>
        <w:tc>
          <w:tcPr>
            <w:tcW w:w="1479" w:type="dxa"/>
            <w:noWrap/>
            <w:vAlign w:val="top"/>
          </w:tcPr>
          <w:p w14:paraId="3C7A593D" w14:textId="0DB0D7A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3.79</w:t>
            </w:r>
          </w:p>
        </w:tc>
        <w:tc>
          <w:tcPr>
            <w:tcW w:w="1440" w:type="dxa"/>
            <w:noWrap/>
            <w:vAlign w:val="top"/>
          </w:tcPr>
          <w:p w14:paraId="3CBE5001" w14:textId="6639AD1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7.47</w:t>
            </w:r>
          </w:p>
        </w:tc>
        <w:tc>
          <w:tcPr>
            <w:tcW w:w="1530" w:type="dxa"/>
            <w:noWrap/>
            <w:vAlign w:val="top"/>
          </w:tcPr>
          <w:p w14:paraId="6C0FFDD8" w14:textId="468EBDB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50.7%</w:t>
            </w:r>
          </w:p>
        </w:tc>
        <w:tc>
          <w:tcPr>
            <w:tcW w:w="1440" w:type="dxa"/>
            <w:noWrap/>
            <w:vAlign w:val="top"/>
          </w:tcPr>
          <w:p w14:paraId="3C8A2C3F" w14:textId="57148A7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5.12</w:t>
            </w:r>
          </w:p>
        </w:tc>
        <w:tc>
          <w:tcPr>
            <w:tcW w:w="1440" w:type="dxa"/>
            <w:noWrap/>
            <w:vAlign w:val="top"/>
          </w:tcPr>
          <w:p w14:paraId="1BD05291" w14:textId="622B62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8.98</w:t>
            </w:r>
          </w:p>
        </w:tc>
        <w:tc>
          <w:tcPr>
            <w:tcW w:w="1440" w:type="dxa"/>
            <w:noWrap/>
            <w:vAlign w:val="top"/>
          </w:tcPr>
          <w:p w14:paraId="21FC4AD0" w14:textId="577FDEA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r>
      <w:tr w:rsidR="00AF5B5B" w:rsidRPr="006253A9" w14:paraId="48F830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CA7526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0290</w:t>
            </w:r>
          </w:p>
        </w:tc>
        <w:tc>
          <w:tcPr>
            <w:tcW w:w="2880" w:type="dxa"/>
            <w:noWrap/>
            <w:hideMark/>
          </w:tcPr>
          <w:p w14:paraId="0A11A8D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Sutton</w:t>
            </w:r>
          </w:p>
        </w:tc>
        <w:tc>
          <w:tcPr>
            <w:tcW w:w="1479" w:type="dxa"/>
            <w:noWrap/>
            <w:vAlign w:val="top"/>
          </w:tcPr>
          <w:p w14:paraId="62861A83" w14:textId="6171597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13.88</w:t>
            </w:r>
          </w:p>
        </w:tc>
        <w:tc>
          <w:tcPr>
            <w:tcW w:w="1440" w:type="dxa"/>
            <w:noWrap/>
            <w:vAlign w:val="top"/>
          </w:tcPr>
          <w:p w14:paraId="4DB40375" w14:textId="4E3369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23.86</w:t>
            </w:r>
          </w:p>
        </w:tc>
        <w:tc>
          <w:tcPr>
            <w:tcW w:w="1530" w:type="dxa"/>
            <w:noWrap/>
            <w:vAlign w:val="top"/>
          </w:tcPr>
          <w:p w14:paraId="0DF5809D" w14:textId="230B1E9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58.2%</w:t>
            </w:r>
          </w:p>
        </w:tc>
        <w:tc>
          <w:tcPr>
            <w:tcW w:w="1440" w:type="dxa"/>
            <w:noWrap/>
            <w:vAlign w:val="top"/>
          </w:tcPr>
          <w:p w14:paraId="1E53CA19" w14:textId="5C7954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19.89</w:t>
            </w:r>
          </w:p>
        </w:tc>
        <w:tc>
          <w:tcPr>
            <w:tcW w:w="1440" w:type="dxa"/>
            <w:noWrap/>
            <w:vAlign w:val="top"/>
          </w:tcPr>
          <w:p w14:paraId="0F7CEA5D" w14:textId="48B103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36.44</w:t>
            </w:r>
          </w:p>
        </w:tc>
        <w:tc>
          <w:tcPr>
            <w:tcW w:w="1440" w:type="dxa"/>
            <w:noWrap/>
            <w:vAlign w:val="top"/>
          </w:tcPr>
          <w:p w14:paraId="4637BDFD" w14:textId="020B361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67B3BC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75CF2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0291</w:t>
            </w:r>
          </w:p>
        </w:tc>
        <w:tc>
          <w:tcPr>
            <w:tcW w:w="2880" w:type="dxa"/>
            <w:noWrap/>
            <w:hideMark/>
          </w:tcPr>
          <w:p w14:paraId="6699672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Swampscott</w:t>
            </w:r>
          </w:p>
        </w:tc>
        <w:tc>
          <w:tcPr>
            <w:tcW w:w="1479" w:type="dxa"/>
            <w:noWrap/>
            <w:vAlign w:val="top"/>
          </w:tcPr>
          <w:p w14:paraId="26174EC3" w14:textId="0829C3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22.27</w:t>
            </w:r>
          </w:p>
        </w:tc>
        <w:tc>
          <w:tcPr>
            <w:tcW w:w="1440" w:type="dxa"/>
            <w:noWrap/>
            <w:vAlign w:val="top"/>
          </w:tcPr>
          <w:p w14:paraId="67355186" w14:textId="13C0FEC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46.31</w:t>
            </w:r>
          </w:p>
        </w:tc>
        <w:tc>
          <w:tcPr>
            <w:tcW w:w="1530" w:type="dxa"/>
            <w:noWrap/>
            <w:vAlign w:val="top"/>
          </w:tcPr>
          <w:p w14:paraId="038574D9" w14:textId="5AB2CF1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48.1%</w:t>
            </w:r>
          </w:p>
        </w:tc>
        <w:tc>
          <w:tcPr>
            <w:tcW w:w="1440" w:type="dxa"/>
            <w:noWrap/>
            <w:vAlign w:val="top"/>
          </w:tcPr>
          <w:p w14:paraId="31E06347" w14:textId="71BC56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35.03</w:t>
            </w:r>
          </w:p>
        </w:tc>
        <w:tc>
          <w:tcPr>
            <w:tcW w:w="1440" w:type="dxa"/>
            <w:noWrap/>
            <w:vAlign w:val="top"/>
          </w:tcPr>
          <w:p w14:paraId="084D6859" w14:textId="6ED862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67.23</w:t>
            </w:r>
          </w:p>
        </w:tc>
        <w:tc>
          <w:tcPr>
            <w:tcW w:w="1440" w:type="dxa"/>
            <w:noWrap/>
            <w:vAlign w:val="top"/>
          </w:tcPr>
          <w:p w14:paraId="1CA8D1BC" w14:textId="3D43DCD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52.1%</w:t>
            </w:r>
          </w:p>
        </w:tc>
      </w:tr>
      <w:tr w:rsidR="00AF5B5B" w:rsidRPr="006253A9" w14:paraId="562E28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5510A5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0292</w:t>
            </w:r>
          </w:p>
        </w:tc>
        <w:tc>
          <w:tcPr>
            <w:tcW w:w="2880" w:type="dxa"/>
            <w:noWrap/>
            <w:hideMark/>
          </w:tcPr>
          <w:p w14:paraId="4105F2B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Swansea</w:t>
            </w:r>
          </w:p>
        </w:tc>
        <w:tc>
          <w:tcPr>
            <w:tcW w:w="1479" w:type="dxa"/>
            <w:noWrap/>
            <w:vAlign w:val="top"/>
          </w:tcPr>
          <w:p w14:paraId="1C3DF562" w14:textId="0FC4E91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20.49</w:t>
            </w:r>
          </w:p>
        </w:tc>
        <w:tc>
          <w:tcPr>
            <w:tcW w:w="1440" w:type="dxa"/>
            <w:noWrap/>
            <w:vAlign w:val="top"/>
          </w:tcPr>
          <w:p w14:paraId="0FFB7756" w14:textId="6D142B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34.18</w:t>
            </w:r>
          </w:p>
        </w:tc>
        <w:tc>
          <w:tcPr>
            <w:tcW w:w="1530" w:type="dxa"/>
            <w:noWrap/>
            <w:vAlign w:val="top"/>
          </w:tcPr>
          <w:p w14:paraId="3D1DE3B4" w14:textId="227E865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60.0%</w:t>
            </w:r>
          </w:p>
        </w:tc>
        <w:tc>
          <w:tcPr>
            <w:tcW w:w="1440" w:type="dxa"/>
            <w:noWrap/>
            <w:vAlign w:val="top"/>
          </w:tcPr>
          <w:p w14:paraId="3EB5327A" w14:textId="6F557B1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26.52</w:t>
            </w:r>
          </w:p>
        </w:tc>
        <w:tc>
          <w:tcPr>
            <w:tcW w:w="1440" w:type="dxa"/>
            <w:noWrap/>
            <w:vAlign w:val="top"/>
          </w:tcPr>
          <w:p w14:paraId="485E541A" w14:textId="06A16A9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47.83</w:t>
            </w:r>
          </w:p>
        </w:tc>
        <w:tc>
          <w:tcPr>
            <w:tcW w:w="1440" w:type="dxa"/>
            <w:noWrap/>
            <w:vAlign w:val="top"/>
          </w:tcPr>
          <w:p w14:paraId="65CD44DB" w14:textId="1B87A34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55.4%</w:t>
            </w:r>
          </w:p>
        </w:tc>
      </w:tr>
      <w:tr w:rsidR="00AF5B5B" w:rsidRPr="006253A9" w14:paraId="50283FA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3CC471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0293</w:t>
            </w:r>
          </w:p>
        </w:tc>
        <w:tc>
          <w:tcPr>
            <w:tcW w:w="2880" w:type="dxa"/>
            <w:noWrap/>
            <w:hideMark/>
          </w:tcPr>
          <w:p w14:paraId="0ED1387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Taunton</w:t>
            </w:r>
          </w:p>
        </w:tc>
        <w:tc>
          <w:tcPr>
            <w:tcW w:w="1479" w:type="dxa"/>
            <w:noWrap/>
            <w:vAlign w:val="top"/>
          </w:tcPr>
          <w:p w14:paraId="0B711783" w14:textId="5D09049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71.11</w:t>
            </w:r>
          </w:p>
        </w:tc>
        <w:tc>
          <w:tcPr>
            <w:tcW w:w="1440" w:type="dxa"/>
            <w:noWrap/>
            <w:vAlign w:val="top"/>
          </w:tcPr>
          <w:p w14:paraId="0C9FB8FC" w14:textId="1A85D31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153.82</w:t>
            </w:r>
          </w:p>
        </w:tc>
        <w:tc>
          <w:tcPr>
            <w:tcW w:w="1530" w:type="dxa"/>
            <w:noWrap/>
            <w:vAlign w:val="top"/>
          </w:tcPr>
          <w:p w14:paraId="66885E75" w14:textId="7430CBF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46.2%</w:t>
            </w:r>
          </w:p>
        </w:tc>
        <w:tc>
          <w:tcPr>
            <w:tcW w:w="1440" w:type="dxa"/>
            <w:noWrap/>
            <w:vAlign w:val="top"/>
          </w:tcPr>
          <w:p w14:paraId="189C9037" w14:textId="738A856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103.42</w:t>
            </w:r>
          </w:p>
        </w:tc>
        <w:tc>
          <w:tcPr>
            <w:tcW w:w="1440" w:type="dxa"/>
            <w:noWrap/>
            <w:vAlign w:val="top"/>
          </w:tcPr>
          <w:p w14:paraId="49553C10" w14:textId="7C2FED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229.95</w:t>
            </w:r>
          </w:p>
        </w:tc>
        <w:tc>
          <w:tcPr>
            <w:tcW w:w="1440" w:type="dxa"/>
            <w:noWrap/>
            <w:vAlign w:val="top"/>
          </w:tcPr>
          <w:p w14:paraId="65EE007C" w14:textId="72ECB13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45.0%</w:t>
            </w:r>
          </w:p>
        </w:tc>
      </w:tr>
      <w:tr w:rsidR="00AF5B5B" w:rsidRPr="006253A9" w14:paraId="03D8FD5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31EA90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0294</w:t>
            </w:r>
          </w:p>
        </w:tc>
        <w:tc>
          <w:tcPr>
            <w:tcW w:w="2880" w:type="dxa"/>
            <w:noWrap/>
            <w:hideMark/>
          </w:tcPr>
          <w:p w14:paraId="3A48718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Templeton</w:t>
            </w:r>
          </w:p>
        </w:tc>
        <w:tc>
          <w:tcPr>
            <w:tcW w:w="1479" w:type="dxa"/>
            <w:noWrap/>
            <w:vAlign w:val="top"/>
          </w:tcPr>
          <w:p w14:paraId="0839048B" w14:textId="2526DD8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4.21</w:t>
            </w:r>
          </w:p>
        </w:tc>
        <w:tc>
          <w:tcPr>
            <w:tcW w:w="1440" w:type="dxa"/>
            <w:noWrap/>
            <w:vAlign w:val="top"/>
          </w:tcPr>
          <w:p w14:paraId="0E700591" w14:textId="7CF9FED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10.59</w:t>
            </w:r>
          </w:p>
        </w:tc>
        <w:tc>
          <w:tcPr>
            <w:tcW w:w="1530" w:type="dxa"/>
            <w:noWrap/>
            <w:vAlign w:val="top"/>
          </w:tcPr>
          <w:p w14:paraId="7A924092" w14:textId="40FDBD8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39.8%</w:t>
            </w:r>
          </w:p>
        </w:tc>
        <w:tc>
          <w:tcPr>
            <w:tcW w:w="1440" w:type="dxa"/>
            <w:noWrap/>
            <w:vAlign w:val="top"/>
          </w:tcPr>
          <w:p w14:paraId="57C42A62" w14:textId="58CC034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7.43</w:t>
            </w:r>
          </w:p>
        </w:tc>
        <w:tc>
          <w:tcPr>
            <w:tcW w:w="1440" w:type="dxa"/>
            <w:noWrap/>
            <w:vAlign w:val="top"/>
          </w:tcPr>
          <w:p w14:paraId="1B9AC97F" w14:textId="1EF5363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16.60</w:t>
            </w:r>
          </w:p>
        </w:tc>
        <w:tc>
          <w:tcPr>
            <w:tcW w:w="1440" w:type="dxa"/>
            <w:noWrap/>
            <w:vAlign w:val="top"/>
          </w:tcPr>
          <w:p w14:paraId="1C30C316" w14:textId="512D225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44.8%</w:t>
            </w:r>
          </w:p>
        </w:tc>
      </w:tr>
      <w:tr w:rsidR="00AF5B5B" w:rsidRPr="006253A9" w14:paraId="09AF93E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67C7D20"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0295</w:t>
            </w:r>
          </w:p>
        </w:tc>
        <w:tc>
          <w:tcPr>
            <w:tcW w:w="2880" w:type="dxa"/>
            <w:noWrap/>
            <w:hideMark/>
          </w:tcPr>
          <w:p w14:paraId="60D9122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Tewksbury</w:t>
            </w:r>
          </w:p>
        </w:tc>
        <w:tc>
          <w:tcPr>
            <w:tcW w:w="1479" w:type="dxa"/>
            <w:noWrap/>
            <w:vAlign w:val="top"/>
          </w:tcPr>
          <w:p w14:paraId="02999692" w14:textId="3DABEB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41.38</w:t>
            </w:r>
          </w:p>
        </w:tc>
        <w:tc>
          <w:tcPr>
            <w:tcW w:w="1440" w:type="dxa"/>
            <w:noWrap/>
            <w:vAlign w:val="top"/>
          </w:tcPr>
          <w:p w14:paraId="593207F3" w14:textId="5EF599A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78.92</w:t>
            </w:r>
          </w:p>
        </w:tc>
        <w:tc>
          <w:tcPr>
            <w:tcW w:w="1530" w:type="dxa"/>
            <w:noWrap/>
            <w:vAlign w:val="top"/>
          </w:tcPr>
          <w:p w14:paraId="6F67D5DC" w14:textId="4E634B3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52.4%</w:t>
            </w:r>
          </w:p>
        </w:tc>
        <w:tc>
          <w:tcPr>
            <w:tcW w:w="1440" w:type="dxa"/>
            <w:noWrap/>
            <w:vAlign w:val="top"/>
          </w:tcPr>
          <w:p w14:paraId="7D844EEE" w14:textId="0497603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62.38</w:t>
            </w:r>
          </w:p>
        </w:tc>
        <w:tc>
          <w:tcPr>
            <w:tcW w:w="1440" w:type="dxa"/>
            <w:noWrap/>
            <w:vAlign w:val="top"/>
          </w:tcPr>
          <w:p w14:paraId="57D503F5" w14:textId="2A76F3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124.91</w:t>
            </w:r>
          </w:p>
        </w:tc>
        <w:tc>
          <w:tcPr>
            <w:tcW w:w="1440" w:type="dxa"/>
            <w:noWrap/>
            <w:vAlign w:val="top"/>
          </w:tcPr>
          <w:p w14:paraId="2205C5D1" w14:textId="5DB5310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49.9%</w:t>
            </w:r>
          </w:p>
        </w:tc>
      </w:tr>
      <w:tr w:rsidR="00AF5B5B" w:rsidRPr="006253A9" w14:paraId="316A950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CAC1A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0296</w:t>
            </w:r>
          </w:p>
        </w:tc>
        <w:tc>
          <w:tcPr>
            <w:tcW w:w="2880" w:type="dxa"/>
            <w:noWrap/>
            <w:hideMark/>
          </w:tcPr>
          <w:p w14:paraId="1073828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Tisbury</w:t>
            </w:r>
          </w:p>
        </w:tc>
        <w:tc>
          <w:tcPr>
            <w:tcW w:w="1479" w:type="dxa"/>
            <w:noWrap/>
            <w:vAlign w:val="top"/>
          </w:tcPr>
          <w:p w14:paraId="3A642A1F" w14:textId="673822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8.20</w:t>
            </w:r>
          </w:p>
        </w:tc>
        <w:tc>
          <w:tcPr>
            <w:tcW w:w="1440" w:type="dxa"/>
            <w:noWrap/>
            <w:vAlign w:val="top"/>
          </w:tcPr>
          <w:p w14:paraId="2FB0CB5E" w14:textId="49AAC5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19.25</w:t>
            </w:r>
          </w:p>
        </w:tc>
        <w:tc>
          <w:tcPr>
            <w:tcW w:w="1530" w:type="dxa"/>
            <w:noWrap/>
            <w:vAlign w:val="top"/>
          </w:tcPr>
          <w:p w14:paraId="2C76A267" w14:textId="1906DD5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42.6%</w:t>
            </w:r>
          </w:p>
        </w:tc>
        <w:tc>
          <w:tcPr>
            <w:tcW w:w="1440" w:type="dxa"/>
            <w:noWrap/>
            <w:vAlign w:val="top"/>
          </w:tcPr>
          <w:p w14:paraId="5E41074F" w14:textId="7209B5B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13.81</w:t>
            </w:r>
          </w:p>
        </w:tc>
        <w:tc>
          <w:tcPr>
            <w:tcW w:w="1440" w:type="dxa"/>
            <w:noWrap/>
            <w:vAlign w:val="top"/>
          </w:tcPr>
          <w:p w14:paraId="7FC23CE2" w14:textId="4CAD979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33.89</w:t>
            </w:r>
          </w:p>
        </w:tc>
        <w:tc>
          <w:tcPr>
            <w:tcW w:w="1440" w:type="dxa"/>
            <w:noWrap/>
            <w:vAlign w:val="top"/>
          </w:tcPr>
          <w:p w14:paraId="59A6AC7A" w14:textId="503E2EE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40.8%</w:t>
            </w:r>
          </w:p>
        </w:tc>
      </w:tr>
      <w:tr w:rsidR="00AF5B5B" w:rsidRPr="006253A9" w14:paraId="4445AE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0E3201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0297</w:t>
            </w:r>
          </w:p>
        </w:tc>
        <w:tc>
          <w:tcPr>
            <w:tcW w:w="2880" w:type="dxa"/>
            <w:noWrap/>
            <w:hideMark/>
          </w:tcPr>
          <w:p w14:paraId="04527B8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Tolland</w:t>
            </w:r>
          </w:p>
        </w:tc>
        <w:tc>
          <w:tcPr>
            <w:tcW w:w="1479" w:type="dxa"/>
            <w:noWrap/>
            <w:vAlign w:val="top"/>
          </w:tcPr>
          <w:p w14:paraId="6B58CE57" w14:textId="72844C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0.28</w:t>
            </w:r>
          </w:p>
        </w:tc>
        <w:tc>
          <w:tcPr>
            <w:tcW w:w="1440" w:type="dxa"/>
            <w:noWrap/>
            <w:vAlign w:val="top"/>
          </w:tcPr>
          <w:p w14:paraId="48F0CE93" w14:textId="5DCB7F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w:t>
            </w:r>
          </w:p>
        </w:tc>
        <w:tc>
          <w:tcPr>
            <w:tcW w:w="1530" w:type="dxa"/>
            <w:noWrap/>
            <w:vAlign w:val="top"/>
          </w:tcPr>
          <w:p w14:paraId="5931B7B1" w14:textId="6F15E80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26.8%</w:t>
            </w:r>
          </w:p>
        </w:tc>
        <w:tc>
          <w:tcPr>
            <w:tcW w:w="1440" w:type="dxa"/>
            <w:noWrap/>
            <w:vAlign w:val="top"/>
          </w:tcPr>
          <w:p w14:paraId="6360D66B" w14:textId="63B72C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0.54</w:t>
            </w:r>
          </w:p>
        </w:tc>
        <w:tc>
          <w:tcPr>
            <w:tcW w:w="1440" w:type="dxa"/>
            <w:noWrap/>
            <w:vAlign w:val="top"/>
          </w:tcPr>
          <w:p w14:paraId="150EADE7" w14:textId="199C50F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1.87</w:t>
            </w:r>
          </w:p>
        </w:tc>
        <w:tc>
          <w:tcPr>
            <w:tcW w:w="1440" w:type="dxa"/>
            <w:noWrap/>
            <w:vAlign w:val="top"/>
          </w:tcPr>
          <w:p w14:paraId="6F322106" w14:textId="349FC93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28.6%</w:t>
            </w:r>
          </w:p>
        </w:tc>
      </w:tr>
      <w:tr w:rsidR="00AF5B5B" w:rsidRPr="006253A9" w14:paraId="2F531A9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37AED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0298</w:t>
            </w:r>
          </w:p>
        </w:tc>
        <w:tc>
          <w:tcPr>
            <w:tcW w:w="2880" w:type="dxa"/>
            <w:noWrap/>
            <w:hideMark/>
          </w:tcPr>
          <w:p w14:paraId="333C4F2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Topsfield</w:t>
            </w:r>
          </w:p>
        </w:tc>
        <w:tc>
          <w:tcPr>
            <w:tcW w:w="1479" w:type="dxa"/>
            <w:noWrap/>
            <w:vAlign w:val="top"/>
          </w:tcPr>
          <w:p w14:paraId="2BB5FA44" w14:textId="677AAB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11.36</w:t>
            </w:r>
          </w:p>
        </w:tc>
        <w:tc>
          <w:tcPr>
            <w:tcW w:w="1440" w:type="dxa"/>
            <w:noWrap/>
            <w:vAlign w:val="top"/>
          </w:tcPr>
          <w:p w14:paraId="7F4ECDC7" w14:textId="14AA5B9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19.62</w:t>
            </w:r>
          </w:p>
        </w:tc>
        <w:tc>
          <w:tcPr>
            <w:tcW w:w="1530" w:type="dxa"/>
            <w:noWrap/>
            <w:vAlign w:val="top"/>
          </w:tcPr>
          <w:p w14:paraId="0D394BA6" w14:textId="245886D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57.9%</w:t>
            </w:r>
          </w:p>
        </w:tc>
        <w:tc>
          <w:tcPr>
            <w:tcW w:w="1440" w:type="dxa"/>
            <w:noWrap/>
            <w:vAlign w:val="top"/>
          </w:tcPr>
          <w:p w14:paraId="6A17D89F" w14:textId="5FA39AF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17.48</w:t>
            </w:r>
          </w:p>
        </w:tc>
        <w:tc>
          <w:tcPr>
            <w:tcW w:w="1440" w:type="dxa"/>
            <w:noWrap/>
            <w:vAlign w:val="top"/>
          </w:tcPr>
          <w:p w14:paraId="2FDE4A3E" w14:textId="32D0770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29.85</w:t>
            </w:r>
          </w:p>
        </w:tc>
        <w:tc>
          <w:tcPr>
            <w:tcW w:w="1440" w:type="dxa"/>
            <w:noWrap/>
            <w:vAlign w:val="top"/>
          </w:tcPr>
          <w:p w14:paraId="7DD2F760" w14:textId="7949870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58.5%</w:t>
            </w:r>
          </w:p>
        </w:tc>
      </w:tr>
      <w:tr w:rsidR="00AF5B5B" w:rsidRPr="006253A9" w14:paraId="4D92BFB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2307D9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0299</w:t>
            </w:r>
          </w:p>
        </w:tc>
        <w:tc>
          <w:tcPr>
            <w:tcW w:w="2880" w:type="dxa"/>
            <w:noWrap/>
            <w:hideMark/>
          </w:tcPr>
          <w:p w14:paraId="394F803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Townsend</w:t>
            </w:r>
          </w:p>
        </w:tc>
        <w:tc>
          <w:tcPr>
            <w:tcW w:w="1479" w:type="dxa"/>
            <w:noWrap/>
            <w:vAlign w:val="top"/>
          </w:tcPr>
          <w:p w14:paraId="39F6C72D" w14:textId="3083261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8.25</w:t>
            </w:r>
          </w:p>
        </w:tc>
        <w:tc>
          <w:tcPr>
            <w:tcW w:w="1440" w:type="dxa"/>
            <w:noWrap/>
            <w:vAlign w:val="top"/>
          </w:tcPr>
          <w:p w14:paraId="4B43D33A" w14:textId="181674F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15.14</w:t>
            </w:r>
          </w:p>
        </w:tc>
        <w:tc>
          <w:tcPr>
            <w:tcW w:w="1530" w:type="dxa"/>
            <w:noWrap/>
            <w:vAlign w:val="top"/>
          </w:tcPr>
          <w:p w14:paraId="040B35A9" w14:textId="14EA5C3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54.5%</w:t>
            </w:r>
          </w:p>
        </w:tc>
        <w:tc>
          <w:tcPr>
            <w:tcW w:w="1440" w:type="dxa"/>
            <w:noWrap/>
            <w:vAlign w:val="top"/>
          </w:tcPr>
          <w:p w14:paraId="3D1642DA" w14:textId="1037E07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12.84</w:t>
            </w:r>
          </w:p>
        </w:tc>
        <w:tc>
          <w:tcPr>
            <w:tcW w:w="1440" w:type="dxa"/>
            <w:noWrap/>
            <w:vAlign w:val="top"/>
          </w:tcPr>
          <w:p w14:paraId="1A0F705A" w14:textId="0CF84BD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23.01</w:t>
            </w:r>
          </w:p>
        </w:tc>
        <w:tc>
          <w:tcPr>
            <w:tcW w:w="1440" w:type="dxa"/>
            <w:noWrap/>
            <w:vAlign w:val="top"/>
          </w:tcPr>
          <w:p w14:paraId="5D55E74A" w14:textId="050D899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55.8%</w:t>
            </w:r>
          </w:p>
        </w:tc>
      </w:tr>
      <w:tr w:rsidR="00AF5B5B" w:rsidRPr="006253A9" w14:paraId="50347A4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D1F2A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0300</w:t>
            </w:r>
          </w:p>
        </w:tc>
        <w:tc>
          <w:tcPr>
            <w:tcW w:w="2880" w:type="dxa"/>
            <w:noWrap/>
            <w:hideMark/>
          </w:tcPr>
          <w:p w14:paraId="3E57A1D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Truro</w:t>
            </w:r>
          </w:p>
        </w:tc>
        <w:tc>
          <w:tcPr>
            <w:tcW w:w="1479" w:type="dxa"/>
            <w:noWrap/>
            <w:vAlign w:val="top"/>
          </w:tcPr>
          <w:p w14:paraId="42E8FB37" w14:textId="7C5076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3.95</w:t>
            </w:r>
          </w:p>
        </w:tc>
        <w:tc>
          <w:tcPr>
            <w:tcW w:w="1440" w:type="dxa"/>
            <w:noWrap/>
            <w:vAlign w:val="top"/>
          </w:tcPr>
          <w:p w14:paraId="7EFA50B5" w14:textId="25FA3A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13.03</w:t>
            </w:r>
          </w:p>
        </w:tc>
        <w:tc>
          <w:tcPr>
            <w:tcW w:w="1530" w:type="dxa"/>
            <w:noWrap/>
            <w:vAlign w:val="top"/>
          </w:tcPr>
          <w:p w14:paraId="63F726E3" w14:textId="57374D2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30.3%</w:t>
            </w:r>
          </w:p>
        </w:tc>
        <w:tc>
          <w:tcPr>
            <w:tcW w:w="1440" w:type="dxa"/>
            <w:noWrap/>
            <w:vAlign w:val="top"/>
          </w:tcPr>
          <w:p w14:paraId="1B9BCB7A" w14:textId="2A715E8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6.66</w:t>
            </w:r>
          </w:p>
        </w:tc>
        <w:tc>
          <w:tcPr>
            <w:tcW w:w="1440" w:type="dxa"/>
            <w:noWrap/>
            <w:vAlign w:val="top"/>
          </w:tcPr>
          <w:p w14:paraId="42D9C835" w14:textId="207297C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20.88</w:t>
            </w:r>
          </w:p>
        </w:tc>
        <w:tc>
          <w:tcPr>
            <w:tcW w:w="1440" w:type="dxa"/>
            <w:noWrap/>
            <w:vAlign w:val="top"/>
          </w:tcPr>
          <w:p w14:paraId="37E27EA2" w14:textId="369AC53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31.9%</w:t>
            </w:r>
          </w:p>
        </w:tc>
      </w:tr>
      <w:tr w:rsidR="00AF5B5B" w:rsidRPr="006253A9" w14:paraId="3474966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8447C1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0301</w:t>
            </w:r>
          </w:p>
        </w:tc>
        <w:tc>
          <w:tcPr>
            <w:tcW w:w="2880" w:type="dxa"/>
            <w:noWrap/>
            <w:hideMark/>
          </w:tcPr>
          <w:p w14:paraId="465A61D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Tyngsborough</w:t>
            </w:r>
          </w:p>
        </w:tc>
        <w:tc>
          <w:tcPr>
            <w:tcW w:w="1479" w:type="dxa"/>
            <w:noWrap/>
            <w:vAlign w:val="top"/>
          </w:tcPr>
          <w:p w14:paraId="14675D61" w14:textId="09BA98A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17.36</w:t>
            </w:r>
          </w:p>
        </w:tc>
        <w:tc>
          <w:tcPr>
            <w:tcW w:w="1440" w:type="dxa"/>
            <w:noWrap/>
            <w:vAlign w:val="top"/>
          </w:tcPr>
          <w:p w14:paraId="5C760C88" w14:textId="7FC90EC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30.19</w:t>
            </w:r>
          </w:p>
        </w:tc>
        <w:tc>
          <w:tcPr>
            <w:tcW w:w="1530" w:type="dxa"/>
            <w:noWrap/>
            <w:vAlign w:val="top"/>
          </w:tcPr>
          <w:p w14:paraId="37CBA362" w14:textId="01CB8C7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57.5%</w:t>
            </w:r>
          </w:p>
        </w:tc>
        <w:tc>
          <w:tcPr>
            <w:tcW w:w="1440" w:type="dxa"/>
            <w:noWrap/>
            <w:vAlign w:val="top"/>
          </w:tcPr>
          <w:p w14:paraId="1A47C89C" w14:textId="0D8E40E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24.95</w:t>
            </w:r>
          </w:p>
        </w:tc>
        <w:tc>
          <w:tcPr>
            <w:tcW w:w="1440" w:type="dxa"/>
            <w:noWrap/>
            <w:vAlign w:val="top"/>
          </w:tcPr>
          <w:p w14:paraId="4EE7D2A0" w14:textId="64D66B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44.48</w:t>
            </w:r>
          </w:p>
        </w:tc>
        <w:tc>
          <w:tcPr>
            <w:tcW w:w="1440" w:type="dxa"/>
            <w:noWrap/>
            <w:vAlign w:val="top"/>
          </w:tcPr>
          <w:p w14:paraId="2E8828AE" w14:textId="164EC69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r>
      <w:tr w:rsidR="00AF5B5B" w:rsidRPr="006253A9" w14:paraId="661B673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7BB741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0302</w:t>
            </w:r>
          </w:p>
        </w:tc>
        <w:tc>
          <w:tcPr>
            <w:tcW w:w="2880" w:type="dxa"/>
            <w:noWrap/>
            <w:hideMark/>
          </w:tcPr>
          <w:p w14:paraId="6D62764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Tyringham</w:t>
            </w:r>
          </w:p>
        </w:tc>
        <w:tc>
          <w:tcPr>
            <w:tcW w:w="1479" w:type="dxa"/>
            <w:noWrap/>
            <w:vAlign w:val="top"/>
          </w:tcPr>
          <w:p w14:paraId="7560FB87" w14:textId="21FD3D0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0.25</w:t>
            </w:r>
          </w:p>
        </w:tc>
        <w:tc>
          <w:tcPr>
            <w:tcW w:w="1440" w:type="dxa"/>
            <w:noWrap/>
            <w:vAlign w:val="top"/>
          </w:tcPr>
          <w:p w14:paraId="249E539E" w14:textId="23DFE5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1.08</w:t>
            </w:r>
          </w:p>
        </w:tc>
        <w:tc>
          <w:tcPr>
            <w:tcW w:w="1530" w:type="dxa"/>
            <w:noWrap/>
            <w:vAlign w:val="top"/>
          </w:tcPr>
          <w:p w14:paraId="68FAABB0" w14:textId="0B9F6B1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23.0%</w:t>
            </w:r>
          </w:p>
        </w:tc>
        <w:tc>
          <w:tcPr>
            <w:tcW w:w="1440" w:type="dxa"/>
            <w:noWrap/>
            <w:vAlign w:val="top"/>
          </w:tcPr>
          <w:p w14:paraId="7399703A" w14:textId="52B9547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0.21</w:t>
            </w:r>
          </w:p>
        </w:tc>
        <w:tc>
          <w:tcPr>
            <w:tcW w:w="1440" w:type="dxa"/>
            <w:noWrap/>
            <w:vAlign w:val="top"/>
          </w:tcPr>
          <w:p w14:paraId="6073537C" w14:textId="7E83A5D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1.54</w:t>
            </w:r>
          </w:p>
        </w:tc>
        <w:tc>
          <w:tcPr>
            <w:tcW w:w="1440" w:type="dxa"/>
            <w:noWrap/>
            <w:vAlign w:val="top"/>
          </w:tcPr>
          <w:p w14:paraId="4356A3F9" w14:textId="2E31E9F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13.5%</w:t>
            </w:r>
          </w:p>
        </w:tc>
      </w:tr>
      <w:tr w:rsidR="00AF5B5B" w:rsidRPr="006253A9" w14:paraId="4B0169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4540B4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0303</w:t>
            </w:r>
          </w:p>
        </w:tc>
        <w:tc>
          <w:tcPr>
            <w:tcW w:w="2880" w:type="dxa"/>
            <w:noWrap/>
            <w:hideMark/>
          </w:tcPr>
          <w:p w14:paraId="6740F875"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Upton</w:t>
            </w:r>
          </w:p>
        </w:tc>
        <w:tc>
          <w:tcPr>
            <w:tcW w:w="1479" w:type="dxa"/>
            <w:noWrap/>
            <w:vAlign w:val="top"/>
          </w:tcPr>
          <w:p w14:paraId="428888A8" w14:textId="055DC53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6.90</w:t>
            </w:r>
          </w:p>
        </w:tc>
        <w:tc>
          <w:tcPr>
            <w:tcW w:w="1440" w:type="dxa"/>
            <w:noWrap/>
            <w:vAlign w:val="top"/>
          </w:tcPr>
          <w:p w14:paraId="0AEF5AF1" w14:textId="768B56F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14.94</w:t>
            </w:r>
          </w:p>
        </w:tc>
        <w:tc>
          <w:tcPr>
            <w:tcW w:w="1530" w:type="dxa"/>
            <w:noWrap/>
            <w:vAlign w:val="top"/>
          </w:tcPr>
          <w:p w14:paraId="1B809516" w14:textId="7E4BC94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46.1%</w:t>
            </w:r>
          </w:p>
        </w:tc>
        <w:tc>
          <w:tcPr>
            <w:tcW w:w="1440" w:type="dxa"/>
            <w:noWrap/>
            <w:vAlign w:val="top"/>
          </w:tcPr>
          <w:p w14:paraId="2EE4360C" w14:textId="10EE139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12.90</w:t>
            </w:r>
          </w:p>
        </w:tc>
        <w:tc>
          <w:tcPr>
            <w:tcW w:w="1440" w:type="dxa"/>
            <w:noWrap/>
            <w:vAlign w:val="top"/>
          </w:tcPr>
          <w:p w14:paraId="03FA4806" w14:textId="6B6A61F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23.40</w:t>
            </w:r>
          </w:p>
        </w:tc>
        <w:tc>
          <w:tcPr>
            <w:tcW w:w="1440" w:type="dxa"/>
            <w:noWrap/>
            <w:vAlign w:val="top"/>
          </w:tcPr>
          <w:p w14:paraId="33A9C39B" w14:textId="6638E7F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55.1%</w:t>
            </w:r>
          </w:p>
        </w:tc>
      </w:tr>
      <w:tr w:rsidR="00AF5B5B" w:rsidRPr="006253A9" w14:paraId="493AEAB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02BE07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0304</w:t>
            </w:r>
          </w:p>
        </w:tc>
        <w:tc>
          <w:tcPr>
            <w:tcW w:w="2880" w:type="dxa"/>
            <w:noWrap/>
            <w:hideMark/>
          </w:tcPr>
          <w:p w14:paraId="7E4E691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Uxbridge</w:t>
            </w:r>
          </w:p>
        </w:tc>
        <w:tc>
          <w:tcPr>
            <w:tcW w:w="1479" w:type="dxa"/>
            <w:noWrap/>
            <w:vAlign w:val="top"/>
          </w:tcPr>
          <w:p w14:paraId="2122F5AB" w14:textId="06BE3B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22.96</w:t>
            </w:r>
          </w:p>
        </w:tc>
        <w:tc>
          <w:tcPr>
            <w:tcW w:w="1440" w:type="dxa"/>
            <w:noWrap/>
            <w:vAlign w:val="top"/>
          </w:tcPr>
          <w:p w14:paraId="55377843" w14:textId="4A28C9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38.07</w:t>
            </w:r>
          </w:p>
        </w:tc>
        <w:tc>
          <w:tcPr>
            <w:tcW w:w="1530" w:type="dxa"/>
            <w:noWrap/>
            <w:vAlign w:val="top"/>
          </w:tcPr>
          <w:p w14:paraId="4C0D85B2" w14:textId="4941239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60.3%</w:t>
            </w:r>
          </w:p>
        </w:tc>
        <w:tc>
          <w:tcPr>
            <w:tcW w:w="1440" w:type="dxa"/>
            <w:noWrap/>
            <w:vAlign w:val="top"/>
          </w:tcPr>
          <w:p w14:paraId="3DCED1F5" w14:textId="09EAA4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28.42</w:t>
            </w:r>
          </w:p>
        </w:tc>
        <w:tc>
          <w:tcPr>
            <w:tcW w:w="1440" w:type="dxa"/>
            <w:noWrap/>
            <w:vAlign w:val="top"/>
          </w:tcPr>
          <w:p w14:paraId="42598B1B" w14:textId="1589EF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50.78</w:t>
            </w:r>
          </w:p>
        </w:tc>
        <w:tc>
          <w:tcPr>
            <w:tcW w:w="1440" w:type="dxa"/>
            <w:noWrap/>
            <w:vAlign w:val="top"/>
          </w:tcPr>
          <w:p w14:paraId="003A6241" w14:textId="3797F7F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56.0%</w:t>
            </w:r>
          </w:p>
        </w:tc>
      </w:tr>
      <w:tr w:rsidR="00AF5B5B" w:rsidRPr="006253A9" w14:paraId="167AEE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4C3F9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0305</w:t>
            </w:r>
          </w:p>
        </w:tc>
        <w:tc>
          <w:tcPr>
            <w:tcW w:w="2880" w:type="dxa"/>
            <w:noWrap/>
            <w:hideMark/>
          </w:tcPr>
          <w:p w14:paraId="2C3018B0"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Wakefield</w:t>
            </w:r>
          </w:p>
        </w:tc>
        <w:tc>
          <w:tcPr>
            <w:tcW w:w="1479" w:type="dxa"/>
            <w:noWrap/>
            <w:vAlign w:val="top"/>
          </w:tcPr>
          <w:p w14:paraId="4C2FDE98" w14:textId="7F72BBF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33.11</w:t>
            </w:r>
          </w:p>
        </w:tc>
        <w:tc>
          <w:tcPr>
            <w:tcW w:w="1440" w:type="dxa"/>
            <w:noWrap/>
            <w:vAlign w:val="top"/>
          </w:tcPr>
          <w:p w14:paraId="637B5212" w14:textId="4974E9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65.49</w:t>
            </w:r>
          </w:p>
        </w:tc>
        <w:tc>
          <w:tcPr>
            <w:tcW w:w="1530" w:type="dxa"/>
            <w:noWrap/>
            <w:vAlign w:val="top"/>
          </w:tcPr>
          <w:p w14:paraId="0D08691D" w14:textId="4DD1B8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50.6%</w:t>
            </w:r>
          </w:p>
        </w:tc>
        <w:tc>
          <w:tcPr>
            <w:tcW w:w="1440" w:type="dxa"/>
            <w:noWrap/>
            <w:vAlign w:val="top"/>
          </w:tcPr>
          <w:p w14:paraId="16B53895" w14:textId="7E59B3E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51.84</w:t>
            </w:r>
          </w:p>
        </w:tc>
        <w:tc>
          <w:tcPr>
            <w:tcW w:w="1440" w:type="dxa"/>
            <w:noWrap/>
            <w:vAlign w:val="top"/>
          </w:tcPr>
          <w:p w14:paraId="414864B3" w14:textId="64DC815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104.40</w:t>
            </w:r>
          </w:p>
        </w:tc>
        <w:tc>
          <w:tcPr>
            <w:tcW w:w="1440" w:type="dxa"/>
            <w:noWrap/>
            <w:vAlign w:val="top"/>
          </w:tcPr>
          <w:p w14:paraId="114C0630" w14:textId="1B1F1A8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49.7%</w:t>
            </w:r>
          </w:p>
        </w:tc>
      </w:tr>
      <w:tr w:rsidR="00AF5B5B" w:rsidRPr="006253A9" w14:paraId="7ED6ADA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516112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0306</w:t>
            </w:r>
          </w:p>
        </w:tc>
        <w:tc>
          <w:tcPr>
            <w:tcW w:w="2880" w:type="dxa"/>
            <w:noWrap/>
            <w:hideMark/>
          </w:tcPr>
          <w:p w14:paraId="3A9C58E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Wales</w:t>
            </w:r>
          </w:p>
        </w:tc>
        <w:tc>
          <w:tcPr>
            <w:tcW w:w="1479" w:type="dxa"/>
            <w:noWrap/>
            <w:vAlign w:val="top"/>
          </w:tcPr>
          <w:p w14:paraId="1B0AC8E5" w14:textId="267DF08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2.35</w:t>
            </w:r>
          </w:p>
        </w:tc>
        <w:tc>
          <w:tcPr>
            <w:tcW w:w="1440" w:type="dxa"/>
            <w:noWrap/>
            <w:vAlign w:val="top"/>
          </w:tcPr>
          <w:p w14:paraId="07C9B729" w14:textId="4E182AA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3.48</w:t>
            </w:r>
          </w:p>
        </w:tc>
        <w:tc>
          <w:tcPr>
            <w:tcW w:w="1530" w:type="dxa"/>
            <w:noWrap/>
            <w:vAlign w:val="top"/>
          </w:tcPr>
          <w:p w14:paraId="60845BB0" w14:textId="6F29DC0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67.4%</w:t>
            </w:r>
          </w:p>
        </w:tc>
        <w:tc>
          <w:tcPr>
            <w:tcW w:w="1440" w:type="dxa"/>
            <w:noWrap/>
            <w:vAlign w:val="top"/>
          </w:tcPr>
          <w:p w14:paraId="50BE46D4" w14:textId="47838AD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2.91</w:t>
            </w:r>
          </w:p>
        </w:tc>
        <w:tc>
          <w:tcPr>
            <w:tcW w:w="1440" w:type="dxa"/>
            <w:noWrap/>
            <w:vAlign w:val="top"/>
          </w:tcPr>
          <w:p w14:paraId="2EB00F54" w14:textId="073F69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5.24</w:t>
            </w:r>
          </w:p>
        </w:tc>
        <w:tc>
          <w:tcPr>
            <w:tcW w:w="1440" w:type="dxa"/>
            <w:noWrap/>
            <w:vAlign w:val="top"/>
          </w:tcPr>
          <w:p w14:paraId="3348DAF7" w14:textId="6D9FD75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55.5%</w:t>
            </w:r>
          </w:p>
        </w:tc>
      </w:tr>
      <w:tr w:rsidR="00AF5B5B" w:rsidRPr="006253A9" w14:paraId="535653F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CD14FA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0307</w:t>
            </w:r>
          </w:p>
        </w:tc>
        <w:tc>
          <w:tcPr>
            <w:tcW w:w="2880" w:type="dxa"/>
            <w:noWrap/>
            <w:hideMark/>
          </w:tcPr>
          <w:p w14:paraId="54E9FEC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Walpole</w:t>
            </w:r>
          </w:p>
        </w:tc>
        <w:tc>
          <w:tcPr>
            <w:tcW w:w="1479" w:type="dxa"/>
            <w:noWrap/>
            <w:vAlign w:val="top"/>
          </w:tcPr>
          <w:p w14:paraId="2FE0FAB4" w14:textId="56D4676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36.22</w:t>
            </w:r>
          </w:p>
        </w:tc>
        <w:tc>
          <w:tcPr>
            <w:tcW w:w="1440" w:type="dxa"/>
            <w:noWrap/>
            <w:vAlign w:val="top"/>
          </w:tcPr>
          <w:p w14:paraId="64FEAB5F" w14:textId="1632979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66.76</w:t>
            </w:r>
          </w:p>
        </w:tc>
        <w:tc>
          <w:tcPr>
            <w:tcW w:w="1530" w:type="dxa"/>
            <w:noWrap/>
            <w:vAlign w:val="top"/>
          </w:tcPr>
          <w:p w14:paraId="19014F81" w14:textId="0ED807B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54.3%</w:t>
            </w:r>
          </w:p>
        </w:tc>
        <w:tc>
          <w:tcPr>
            <w:tcW w:w="1440" w:type="dxa"/>
            <w:noWrap/>
            <w:vAlign w:val="top"/>
          </w:tcPr>
          <w:p w14:paraId="6253C23B" w14:textId="329E854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54.55</w:t>
            </w:r>
          </w:p>
        </w:tc>
        <w:tc>
          <w:tcPr>
            <w:tcW w:w="1440" w:type="dxa"/>
            <w:noWrap/>
            <w:vAlign w:val="top"/>
          </w:tcPr>
          <w:p w14:paraId="424F3E61" w14:textId="4CB26F5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103.08</w:t>
            </w:r>
          </w:p>
        </w:tc>
        <w:tc>
          <w:tcPr>
            <w:tcW w:w="1440" w:type="dxa"/>
            <w:noWrap/>
            <w:vAlign w:val="top"/>
          </w:tcPr>
          <w:p w14:paraId="7518ED1F" w14:textId="1177174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52.9%</w:t>
            </w:r>
          </w:p>
        </w:tc>
      </w:tr>
      <w:tr w:rsidR="00AF5B5B" w:rsidRPr="006253A9" w14:paraId="28A6B1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1DF11F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0308</w:t>
            </w:r>
          </w:p>
        </w:tc>
        <w:tc>
          <w:tcPr>
            <w:tcW w:w="2880" w:type="dxa"/>
            <w:noWrap/>
            <w:hideMark/>
          </w:tcPr>
          <w:p w14:paraId="55C0897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Waltham</w:t>
            </w:r>
          </w:p>
        </w:tc>
        <w:tc>
          <w:tcPr>
            <w:tcW w:w="1479" w:type="dxa"/>
            <w:noWrap/>
            <w:vAlign w:val="top"/>
          </w:tcPr>
          <w:p w14:paraId="5666938A" w14:textId="0F93C16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72.58</w:t>
            </w:r>
          </w:p>
        </w:tc>
        <w:tc>
          <w:tcPr>
            <w:tcW w:w="1440" w:type="dxa"/>
            <w:noWrap/>
            <w:vAlign w:val="top"/>
          </w:tcPr>
          <w:p w14:paraId="3836F1E5" w14:textId="697E5B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177.23</w:t>
            </w:r>
          </w:p>
        </w:tc>
        <w:tc>
          <w:tcPr>
            <w:tcW w:w="1530" w:type="dxa"/>
            <w:noWrap/>
            <w:vAlign w:val="top"/>
          </w:tcPr>
          <w:p w14:paraId="2EEAB316" w14:textId="14135C7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41.0%</w:t>
            </w:r>
          </w:p>
        </w:tc>
        <w:tc>
          <w:tcPr>
            <w:tcW w:w="1440" w:type="dxa"/>
            <w:noWrap/>
            <w:vAlign w:val="top"/>
          </w:tcPr>
          <w:p w14:paraId="7CE5251C" w14:textId="0AAEBE2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112.92</w:t>
            </w:r>
          </w:p>
        </w:tc>
        <w:tc>
          <w:tcPr>
            <w:tcW w:w="1440" w:type="dxa"/>
            <w:noWrap/>
            <w:vAlign w:val="top"/>
          </w:tcPr>
          <w:p w14:paraId="7DCDA65E" w14:textId="409F91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267.66</w:t>
            </w:r>
          </w:p>
        </w:tc>
        <w:tc>
          <w:tcPr>
            <w:tcW w:w="1440" w:type="dxa"/>
            <w:noWrap/>
            <w:vAlign w:val="top"/>
          </w:tcPr>
          <w:p w14:paraId="55746673" w14:textId="01DD23D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42.2%</w:t>
            </w:r>
          </w:p>
        </w:tc>
      </w:tr>
      <w:tr w:rsidR="00AF5B5B" w:rsidRPr="006253A9" w14:paraId="5B7312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DE4107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0309</w:t>
            </w:r>
          </w:p>
        </w:tc>
        <w:tc>
          <w:tcPr>
            <w:tcW w:w="2880" w:type="dxa"/>
            <w:noWrap/>
            <w:hideMark/>
          </w:tcPr>
          <w:p w14:paraId="5157F0D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Ware</w:t>
            </w:r>
          </w:p>
        </w:tc>
        <w:tc>
          <w:tcPr>
            <w:tcW w:w="1479" w:type="dxa"/>
            <w:noWrap/>
            <w:vAlign w:val="top"/>
          </w:tcPr>
          <w:p w14:paraId="35BFDCAC" w14:textId="63D7D3C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13.65</w:t>
            </w:r>
          </w:p>
        </w:tc>
        <w:tc>
          <w:tcPr>
            <w:tcW w:w="1440" w:type="dxa"/>
            <w:noWrap/>
            <w:vAlign w:val="top"/>
          </w:tcPr>
          <w:p w14:paraId="1C818788" w14:textId="01D5B81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27.29</w:t>
            </w:r>
          </w:p>
        </w:tc>
        <w:tc>
          <w:tcPr>
            <w:tcW w:w="1530" w:type="dxa"/>
            <w:noWrap/>
            <w:vAlign w:val="top"/>
          </w:tcPr>
          <w:p w14:paraId="3039261A" w14:textId="715458D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50.0%</w:t>
            </w:r>
          </w:p>
        </w:tc>
        <w:tc>
          <w:tcPr>
            <w:tcW w:w="1440" w:type="dxa"/>
            <w:noWrap/>
            <w:vAlign w:val="top"/>
          </w:tcPr>
          <w:p w14:paraId="1B77880B" w14:textId="26D6B96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18.24</w:t>
            </w:r>
          </w:p>
        </w:tc>
        <w:tc>
          <w:tcPr>
            <w:tcW w:w="1440" w:type="dxa"/>
            <w:noWrap/>
            <w:vAlign w:val="top"/>
          </w:tcPr>
          <w:p w14:paraId="53AAC43E" w14:textId="0B5DA87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33.22</w:t>
            </w:r>
          </w:p>
        </w:tc>
        <w:tc>
          <w:tcPr>
            <w:tcW w:w="1440" w:type="dxa"/>
            <w:noWrap/>
            <w:vAlign w:val="top"/>
          </w:tcPr>
          <w:p w14:paraId="59376BD8" w14:textId="42F8006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54.9%</w:t>
            </w:r>
          </w:p>
        </w:tc>
      </w:tr>
      <w:tr w:rsidR="00AF5B5B" w:rsidRPr="006253A9" w14:paraId="7CB5B7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88B998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0310</w:t>
            </w:r>
          </w:p>
        </w:tc>
        <w:tc>
          <w:tcPr>
            <w:tcW w:w="2880" w:type="dxa"/>
            <w:noWrap/>
            <w:hideMark/>
          </w:tcPr>
          <w:p w14:paraId="4E8F02C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Wareham</w:t>
            </w:r>
          </w:p>
        </w:tc>
        <w:tc>
          <w:tcPr>
            <w:tcW w:w="1479" w:type="dxa"/>
            <w:noWrap/>
            <w:vAlign w:val="top"/>
          </w:tcPr>
          <w:p w14:paraId="5F6A617C" w14:textId="00371C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30.19</w:t>
            </w:r>
          </w:p>
        </w:tc>
        <w:tc>
          <w:tcPr>
            <w:tcW w:w="1440" w:type="dxa"/>
            <w:noWrap/>
            <w:vAlign w:val="top"/>
          </w:tcPr>
          <w:p w14:paraId="0F2AC00B" w14:textId="37D429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53.55</w:t>
            </w:r>
          </w:p>
        </w:tc>
        <w:tc>
          <w:tcPr>
            <w:tcW w:w="1530" w:type="dxa"/>
            <w:noWrap/>
            <w:vAlign w:val="top"/>
          </w:tcPr>
          <w:p w14:paraId="76163258" w14:textId="0571303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c>
          <w:tcPr>
            <w:tcW w:w="1440" w:type="dxa"/>
            <w:noWrap/>
            <w:vAlign w:val="top"/>
          </w:tcPr>
          <w:p w14:paraId="4C965DB1" w14:textId="0CA17A6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46.77</w:t>
            </w:r>
          </w:p>
        </w:tc>
        <w:tc>
          <w:tcPr>
            <w:tcW w:w="1440" w:type="dxa"/>
            <w:noWrap/>
            <w:vAlign w:val="top"/>
          </w:tcPr>
          <w:p w14:paraId="3F9535BA" w14:textId="424F776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79.16</w:t>
            </w:r>
          </w:p>
        </w:tc>
        <w:tc>
          <w:tcPr>
            <w:tcW w:w="1440" w:type="dxa"/>
            <w:noWrap/>
            <w:vAlign w:val="top"/>
          </w:tcPr>
          <w:p w14:paraId="5A3B0606" w14:textId="58EF3DC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59.1%</w:t>
            </w:r>
          </w:p>
        </w:tc>
      </w:tr>
      <w:tr w:rsidR="00AF5B5B" w:rsidRPr="006253A9" w14:paraId="1FD223B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23D639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0311</w:t>
            </w:r>
          </w:p>
        </w:tc>
        <w:tc>
          <w:tcPr>
            <w:tcW w:w="2880" w:type="dxa"/>
            <w:noWrap/>
            <w:hideMark/>
          </w:tcPr>
          <w:p w14:paraId="682366D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Warren</w:t>
            </w:r>
          </w:p>
        </w:tc>
        <w:tc>
          <w:tcPr>
            <w:tcW w:w="1479" w:type="dxa"/>
            <w:noWrap/>
            <w:vAlign w:val="top"/>
          </w:tcPr>
          <w:p w14:paraId="312DE42F" w14:textId="1CB9662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3.90</w:t>
            </w:r>
          </w:p>
        </w:tc>
        <w:tc>
          <w:tcPr>
            <w:tcW w:w="1440" w:type="dxa"/>
            <w:noWrap/>
            <w:vAlign w:val="top"/>
          </w:tcPr>
          <w:p w14:paraId="4897A5E2" w14:textId="5427EC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7.44</w:t>
            </w:r>
          </w:p>
        </w:tc>
        <w:tc>
          <w:tcPr>
            <w:tcW w:w="1530" w:type="dxa"/>
            <w:noWrap/>
            <w:vAlign w:val="top"/>
          </w:tcPr>
          <w:p w14:paraId="7CC39B86" w14:textId="31B3073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52.5%</w:t>
            </w:r>
          </w:p>
        </w:tc>
        <w:tc>
          <w:tcPr>
            <w:tcW w:w="1440" w:type="dxa"/>
            <w:noWrap/>
            <w:vAlign w:val="top"/>
          </w:tcPr>
          <w:p w14:paraId="77326E5E" w14:textId="02846F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4.15</w:t>
            </w:r>
          </w:p>
        </w:tc>
        <w:tc>
          <w:tcPr>
            <w:tcW w:w="1440" w:type="dxa"/>
            <w:noWrap/>
            <w:vAlign w:val="top"/>
          </w:tcPr>
          <w:p w14:paraId="64C114BE" w14:textId="01B10BA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9.26</w:t>
            </w:r>
          </w:p>
        </w:tc>
        <w:tc>
          <w:tcPr>
            <w:tcW w:w="1440" w:type="dxa"/>
            <w:noWrap/>
            <w:vAlign w:val="top"/>
          </w:tcPr>
          <w:p w14:paraId="5E459BF5" w14:textId="281CF7E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44.8%</w:t>
            </w:r>
          </w:p>
        </w:tc>
      </w:tr>
      <w:tr w:rsidR="00AF5B5B" w:rsidRPr="006253A9" w14:paraId="6B6787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BB0993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0312</w:t>
            </w:r>
          </w:p>
        </w:tc>
        <w:tc>
          <w:tcPr>
            <w:tcW w:w="2880" w:type="dxa"/>
            <w:noWrap/>
            <w:hideMark/>
          </w:tcPr>
          <w:p w14:paraId="20F2B13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Warwick</w:t>
            </w:r>
          </w:p>
        </w:tc>
        <w:tc>
          <w:tcPr>
            <w:tcW w:w="1479" w:type="dxa"/>
            <w:noWrap/>
            <w:vAlign w:val="top"/>
          </w:tcPr>
          <w:p w14:paraId="19865E55" w14:textId="4B37AAC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0.95</w:t>
            </w:r>
          </w:p>
        </w:tc>
        <w:tc>
          <w:tcPr>
            <w:tcW w:w="1440" w:type="dxa"/>
            <w:noWrap/>
            <w:vAlign w:val="top"/>
          </w:tcPr>
          <w:p w14:paraId="52DDAF4E" w14:textId="4D0E977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1.68</w:t>
            </w:r>
          </w:p>
        </w:tc>
        <w:tc>
          <w:tcPr>
            <w:tcW w:w="1530" w:type="dxa"/>
            <w:noWrap/>
            <w:vAlign w:val="top"/>
          </w:tcPr>
          <w:p w14:paraId="1D9B27AB" w14:textId="14079FA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56.4%</w:t>
            </w:r>
          </w:p>
        </w:tc>
        <w:tc>
          <w:tcPr>
            <w:tcW w:w="1440" w:type="dxa"/>
            <w:noWrap/>
            <w:vAlign w:val="top"/>
          </w:tcPr>
          <w:p w14:paraId="644D86E9" w14:textId="0A4F224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0.98</w:t>
            </w:r>
          </w:p>
        </w:tc>
        <w:tc>
          <w:tcPr>
            <w:tcW w:w="1440" w:type="dxa"/>
            <w:noWrap/>
            <w:vAlign w:val="top"/>
          </w:tcPr>
          <w:p w14:paraId="0D3D96E7" w14:textId="7C0B49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1.98</w:t>
            </w:r>
          </w:p>
        </w:tc>
        <w:tc>
          <w:tcPr>
            <w:tcW w:w="1440" w:type="dxa"/>
            <w:noWrap/>
            <w:vAlign w:val="top"/>
          </w:tcPr>
          <w:p w14:paraId="0ED2D1DF" w14:textId="37FC02B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49.6%</w:t>
            </w:r>
          </w:p>
        </w:tc>
      </w:tr>
      <w:tr w:rsidR="00AF5B5B" w:rsidRPr="006253A9" w14:paraId="0D84F46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DBD065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0313</w:t>
            </w:r>
          </w:p>
        </w:tc>
        <w:tc>
          <w:tcPr>
            <w:tcW w:w="2880" w:type="dxa"/>
            <w:noWrap/>
            <w:hideMark/>
          </w:tcPr>
          <w:p w14:paraId="57A8C16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Washington</w:t>
            </w:r>
          </w:p>
        </w:tc>
        <w:tc>
          <w:tcPr>
            <w:tcW w:w="1479" w:type="dxa"/>
            <w:noWrap/>
            <w:vAlign w:val="top"/>
          </w:tcPr>
          <w:p w14:paraId="00111E49" w14:textId="08DA051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0.56</w:t>
            </w:r>
          </w:p>
        </w:tc>
        <w:tc>
          <w:tcPr>
            <w:tcW w:w="1440" w:type="dxa"/>
            <w:noWrap/>
            <w:vAlign w:val="top"/>
          </w:tcPr>
          <w:p w14:paraId="2BC38607" w14:textId="06E91F7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1.14</w:t>
            </w:r>
          </w:p>
        </w:tc>
        <w:tc>
          <w:tcPr>
            <w:tcW w:w="1530" w:type="dxa"/>
            <w:noWrap/>
            <w:vAlign w:val="top"/>
          </w:tcPr>
          <w:p w14:paraId="06F9742B" w14:textId="373959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49.1%</w:t>
            </w:r>
          </w:p>
        </w:tc>
        <w:tc>
          <w:tcPr>
            <w:tcW w:w="1440" w:type="dxa"/>
            <w:noWrap/>
            <w:vAlign w:val="top"/>
          </w:tcPr>
          <w:p w14:paraId="2AEA4A86" w14:textId="65C44C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0.72</w:t>
            </w:r>
          </w:p>
        </w:tc>
        <w:tc>
          <w:tcPr>
            <w:tcW w:w="1440" w:type="dxa"/>
            <w:noWrap/>
            <w:vAlign w:val="top"/>
          </w:tcPr>
          <w:p w14:paraId="7939B34B" w14:textId="126EC26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1.59</w:t>
            </w:r>
          </w:p>
        </w:tc>
        <w:tc>
          <w:tcPr>
            <w:tcW w:w="1440" w:type="dxa"/>
            <w:noWrap/>
            <w:vAlign w:val="top"/>
          </w:tcPr>
          <w:p w14:paraId="35A0426D" w14:textId="766B329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45.3%</w:t>
            </w:r>
          </w:p>
        </w:tc>
      </w:tr>
      <w:tr w:rsidR="00AF5B5B" w:rsidRPr="006253A9" w14:paraId="218854C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09FBEB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0314</w:t>
            </w:r>
          </w:p>
        </w:tc>
        <w:tc>
          <w:tcPr>
            <w:tcW w:w="2880" w:type="dxa"/>
            <w:noWrap/>
            <w:hideMark/>
          </w:tcPr>
          <w:p w14:paraId="4B6398D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Watertown</w:t>
            </w:r>
          </w:p>
        </w:tc>
        <w:tc>
          <w:tcPr>
            <w:tcW w:w="1479" w:type="dxa"/>
            <w:noWrap/>
            <w:vAlign w:val="top"/>
          </w:tcPr>
          <w:p w14:paraId="46EC4D32" w14:textId="33F3DFD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34.11</w:t>
            </w:r>
          </w:p>
        </w:tc>
        <w:tc>
          <w:tcPr>
            <w:tcW w:w="1440" w:type="dxa"/>
            <w:noWrap/>
            <w:vAlign w:val="top"/>
          </w:tcPr>
          <w:p w14:paraId="725A5B1E" w14:textId="35D078D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92.22</w:t>
            </w:r>
          </w:p>
        </w:tc>
        <w:tc>
          <w:tcPr>
            <w:tcW w:w="1530" w:type="dxa"/>
            <w:noWrap/>
            <w:vAlign w:val="top"/>
          </w:tcPr>
          <w:p w14:paraId="0F667394" w14:textId="31F942C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37.0%</w:t>
            </w:r>
          </w:p>
        </w:tc>
        <w:tc>
          <w:tcPr>
            <w:tcW w:w="1440" w:type="dxa"/>
            <w:noWrap/>
            <w:vAlign w:val="top"/>
          </w:tcPr>
          <w:p w14:paraId="686CBAF9" w14:textId="63B0EF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53.99</w:t>
            </w:r>
          </w:p>
        </w:tc>
        <w:tc>
          <w:tcPr>
            <w:tcW w:w="1440" w:type="dxa"/>
            <w:noWrap/>
            <w:vAlign w:val="top"/>
          </w:tcPr>
          <w:p w14:paraId="2E4DC3DD" w14:textId="22A666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144.89</w:t>
            </w:r>
          </w:p>
        </w:tc>
        <w:tc>
          <w:tcPr>
            <w:tcW w:w="1440" w:type="dxa"/>
            <w:noWrap/>
            <w:vAlign w:val="top"/>
          </w:tcPr>
          <w:p w14:paraId="785FD437" w14:textId="5160DB8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37.3%</w:t>
            </w:r>
          </w:p>
        </w:tc>
      </w:tr>
      <w:tr w:rsidR="00AF5B5B" w:rsidRPr="006253A9" w14:paraId="06AFC9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62850B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0315</w:t>
            </w:r>
          </w:p>
        </w:tc>
        <w:tc>
          <w:tcPr>
            <w:tcW w:w="2880" w:type="dxa"/>
            <w:noWrap/>
            <w:hideMark/>
          </w:tcPr>
          <w:p w14:paraId="53AC9BA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Wayland</w:t>
            </w:r>
          </w:p>
        </w:tc>
        <w:tc>
          <w:tcPr>
            <w:tcW w:w="1479" w:type="dxa"/>
            <w:noWrap/>
            <w:vAlign w:val="top"/>
          </w:tcPr>
          <w:p w14:paraId="1FDCFB9D" w14:textId="40EAC92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33.18</w:t>
            </w:r>
          </w:p>
        </w:tc>
        <w:tc>
          <w:tcPr>
            <w:tcW w:w="1440" w:type="dxa"/>
            <w:noWrap/>
            <w:vAlign w:val="top"/>
          </w:tcPr>
          <w:p w14:paraId="7BAD7F9D" w14:textId="102B5C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57.87</w:t>
            </w:r>
          </w:p>
        </w:tc>
        <w:tc>
          <w:tcPr>
            <w:tcW w:w="1530" w:type="dxa"/>
            <w:noWrap/>
            <w:vAlign w:val="top"/>
          </w:tcPr>
          <w:p w14:paraId="4A05921C" w14:textId="5CAA28C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57.3%</w:t>
            </w:r>
          </w:p>
        </w:tc>
        <w:tc>
          <w:tcPr>
            <w:tcW w:w="1440" w:type="dxa"/>
            <w:noWrap/>
            <w:vAlign w:val="top"/>
          </w:tcPr>
          <w:p w14:paraId="52C3218D" w14:textId="70DDFB2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46.47</w:t>
            </w:r>
          </w:p>
        </w:tc>
        <w:tc>
          <w:tcPr>
            <w:tcW w:w="1440" w:type="dxa"/>
            <w:noWrap/>
            <w:vAlign w:val="top"/>
          </w:tcPr>
          <w:p w14:paraId="22EAEED9" w14:textId="7A2DDA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87.58</w:t>
            </w:r>
          </w:p>
        </w:tc>
        <w:tc>
          <w:tcPr>
            <w:tcW w:w="1440" w:type="dxa"/>
            <w:noWrap/>
            <w:vAlign w:val="top"/>
          </w:tcPr>
          <w:p w14:paraId="29D9BF65" w14:textId="093A505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53.1%</w:t>
            </w:r>
          </w:p>
        </w:tc>
      </w:tr>
      <w:tr w:rsidR="00AF5B5B" w:rsidRPr="006253A9" w14:paraId="006EDEE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0CD365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0316</w:t>
            </w:r>
          </w:p>
        </w:tc>
        <w:tc>
          <w:tcPr>
            <w:tcW w:w="2880" w:type="dxa"/>
            <w:noWrap/>
            <w:hideMark/>
          </w:tcPr>
          <w:p w14:paraId="7BA9EECE"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Webster</w:t>
            </w:r>
          </w:p>
        </w:tc>
        <w:tc>
          <w:tcPr>
            <w:tcW w:w="1479" w:type="dxa"/>
            <w:noWrap/>
            <w:vAlign w:val="top"/>
          </w:tcPr>
          <w:p w14:paraId="413B612D" w14:textId="3572190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17.97</w:t>
            </w:r>
          </w:p>
        </w:tc>
        <w:tc>
          <w:tcPr>
            <w:tcW w:w="1440" w:type="dxa"/>
            <w:noWrap/>
            <w:vAlign w:val="top"/>
          </w:tcPr>
          <w:p w14:paraId="1E0BDD6E" w14:textId="2E697E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33.45</w:t>
            </w:r>
          </w:p>
        </w:tc>
        <w:tc>
          <w:tcPr>
            <w:tcW w:w="1530" w:type="dxa"/>
            <w:noWrap/>
            <w:vAlign w:val="top"/>
          </w:tcPr>
          <w:p w14:paraId="483A95E2" w14:textId="30F225E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53.7%</w:t>
            </w:r>
          </w:p>
        </w:tc>
        <w:tc>
          <w:tcPr>
            <w:tcW w:w="1440" w:type="dxa"/>
            <w:noWrap/>
            <w:vAlign w:val="top"/>
          </w:tcPr>
          <w:p w14:paraId="0A94DF8A" w14:textId="781A7D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28.26</w:t>
            </w:r>
          </w:p>
        </w:tc>
        <w:tc>
          <w:tcPr>
            <w:tcW w:w="1440" w:type="dxa"/>
            <w:noWrap/>
            <w:vAlign w:val="top"/>
          </w:tcPr>
          <w:p w14:paraId="0C505BD8" w14:textId="7494984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50.33</w:t>
            </w:r>
          </w:p>
        </w:tc>
        <w:tc>
          <w:tcPr>
            <w:tcW w:w="1440" w:type="dxa"/>
            <w:noWrap/>
            <w:vAlign w:val="top"/>
          </w:tcPr>
          <w:p w14:paraId="01E0357B" w14:textId="7E19F74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r>
      <w:tr w:rsidR="00AF5B5B" w:rsidRPr="006253A9" w14:paraId="2C6865A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8698DA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0317</w:t>
            </w:r>
          </w:p>
        </w:tc>
        <w:tc>
          <w:tcPr>
            <w:tcW w:w="2880" w:type="dxa"/>
            <w:noWrap/>
            <w:hideMark/>
          </w:tcPr>
          <w:p w14:paraId="446CC5D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Wellesley</w:t>
            </w:r>
          </w:p>
        </w:tc>
        <w:tc>
          <w:tcPr>
            <w:tcW w:w="1479" w:type="dxa"/>
            <w:noWrap/>
            <w:vAlign w:val="top"/>
          </w:tcPr>
          <w:p w14:paraId="1BEEC3EA" w14:textId="6BC1CE1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52.71</w:t>
            </w:r>
          </w:p>
        </w:tc>
        <w:tc>
          <w:tcPr>
            <w:tcW w:w="1440" w:type="dxa"/>
            <w:noWrap/>
            <w:vAlign w:val="top"/>
          </w:tcPr>
          <w:p w14:paraId="31DEB6AF" w14:textId="20F5131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99.66</w:t>
            </w:r>
          </w:p>
        </w:tc>
        <w:tc>
          <w:tcPr>
            <w:tcW w:w="1530" w:type="dxa"/>
            <w:noWrap/>
            <w:vAlign w:val="top"/>
          </w:tcPr>
          <w:p w14:paraId="481326C6" w14:textId="043A765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52.9%</w:t>
            </w:r>
          </w:p>
        </w:tc>
        <w:tc>
          <w:tcPr>
            <w:tcW w:w="1440" w:type="dxa"/>
            <w:noWrap/>
            <w:vAlign w:val="top"/>
          </w:tcPr>
          <w:p w14:paraId="21C3538C" w14:textId="2F55BF0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91.64</w:t>
            </w:r>
          </w:p>
        </w:tc>
        <w:tc>
          <w:tcPr>
            <w:tcW w:w="1440" w:type="dxa"/>
            <w:noWrap/>
            <w:vAlign w:val="top"/>
          </w:tcPr>
          <w:p w14:paraId="5D68DEA0" w14:textId="601C20B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181.97</w:t>
            </w:r>
          </w:p>
        </w:tc>
        <w:tc>
          <w:tcPr>
            <w:tcW w:w="1440" w:type="dxa"/>
            <w:noWrap/>
            <w:vAlign w:val="top"/>
          </w:tcPr>
          <w:p w14:paraId="1B3185E1" w14:textId="1602FFA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50.4%</w:t>
            </w:r>
          </w:p>
        </w:tc>
      </w:tr>
      <w:tr w:rsidR="00AF5B5B" w:rsidRPr="006253A9" w14:paraId="1C8829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C110605"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0318</w:t>
            </w:r>
          </w:p>
        </w:tc>
        <w:tc>
          <w:tcPr>
            <w:tcW w:w="2880" w:type="dxa"/>
            <w:noWrap/>
            <w:hideMark/>
          </w:tcPr>
          <w:p w14:paraId="7420D0C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Wellfleet</w:t>
            </w:r>
          </w:p>
        </w:tc>
        <w:tc>
          <w:tcPr>
            <w:tcW w:w="1479" w:type="dxa"/>
            <w:noWrap/>
            <w:vAlign w:val="top"/>
          </w:tcPr>
          <w:p w14:paraId="29F6F9ED" w14:textId="742B111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4.24</w:t>
            </w:r>
          </w:p>
        </w:tc>
        <w:tc>
          <w:tcPr>
            <w:tcW w:w="1440" w:type="dxa"/>
            <w:noWrap/>
            <w:vAlign w:val="top"/>
          </w:tcPr>
          <w:p w14:paraId="02DECE72" w14:textId="668630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14.32</w:t>
            </w:r>
          </w:p>
        </w:tc>
        <w:tc>
          <w:tcPr>
            <w:tcW w:w="1530" w:type="dxa"/>
            <w:noWrap/>
            <w:vAlign w:val="top"/>
          </w:tcPr>
          <w:p w14:paraId="38A29A9F" w14:textId="5FFE551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29.6%</w:t>
            </w:r>
          </w:p>
        </w:tc>
        <w:tc>
          <w:tcPr>
            <w:tcW w:w="1440" w:type="dxa"/>
            <w:noWrap/>
            <w:vAlign w:val="top"/>
          </w:tcPr>
          <w:p w14:paraId="511289E0" w14:textId="186CAEF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6.60</w:t>
            </w:r>
          </w:p>
        </w:tc>
        <w:tc>
          <w:tcPr>
            <w:tcW w:w="1440" w:type="dxa"/>
            <w:noWrap/>
            <w:vAlign w:val="top"/>
          </w:tcPr>
          <w:p w14:paraId="4F402520" w14:textId="25DD28E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22.14</w:t>
            </w:r>
          </w:p>
        </w:tc>
        <w:tc>
          <w:tcPr>
            <w:tcW w:w="1440" w:type="dxa"/>
            <w:noWrap/>
            <w:vAlign w:val="top"/>
          </w:tcPr>
          <w:p w14:paraId="6ADD12CA" w14:textId="42A27C2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29.8%</w:t>
            </w:r>
          </w:p>
        </w:tc>
      </w:tr>
      <w:tr w:rsidR="00AF5B5B" w:rsidRPr="006253A9" w14:paraId="01E665C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EBAB7A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0319</w:t>
            </w:r>
          </w:p>
        </w:tc>
        <w:tc>
          <w:tcPr>
            <w:tcW w:w="2880" w:type="dxa"/>
            <w:noWrap/>
            <w:hideMark/>
          </w:tcPr>
          <w:p w14:paraId="4C24A6F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Wendell</w:t>
            </w:r>
          </w:p>
        </w:tc>
        <w:tc>
          <w:tcPr>
            <w:tcW w:w="1479" w:type="dxa"/>
            <w:noWrap/>
            <w:vAlign w:val="top"/>
          </w:tcPr>
          <w:p w14:paraId="3525F9AB" w14:textId="2C1FA3B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0.80</w:t>
            </w:r>
          </w:p>
        </w:tc>
        <w:tc>
          <w:tcPr>
            <w:tcW w:w="1440" w:type="dxa"/>
            <w:noWrap/>
            <w:vAlign w:val="top"/>
          </w:tcPr>
          <w:p w14:paraId="0CE7E7D8" w14:textId="71D8E3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1.91</w:t>
            </w:r>
          </w:p>
        </w:tc>
        <w:tc>
          <w:tcPr>
            <w:tcW w:w="1530" w:type="dxa"/>
            <w:noWrap/>
            <w:vAlign w:val="top"/>
          </w:tcPr>
          <w:p w14:paraId="37B61153" w14:textId="5274186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42.0%</w:t>
            </w:r>
          </w:p>
        </w:tc>
        <w:tc>
          <w:tcPr>
            <w:tcW w:w="1440" w:type="dxa"/>
            <w:noWrap/>
            <w:vAlign w:val="top"/>
          </w:tcPr>
          <w:p w14:paraId="5EC37E68" w14:textId="587DD18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1.33</w:t>
            </w:r>
          </w:p>
        </w:tc>
        <w:tc>
          <w:tcPr>
            <w:tcW w:w="1440" w:type="dxa"/>
            <w:noWrap/>
            <w:vAlign w:val="top"/>
          </w:tcPr>
          <w:p w14:paraId="0CD55325" w14:textId="41EFB3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2.81</w:t>
            </w:r>
          </w:p>
        </w:tc>
        <w:tc>
          <w:tcPr>
            <w:tcW w:w="1440" w:type="dxa"/>
            <w:noWrap/>
            <w:vAlign w:val="top"/>
          </w:tcPr>
          <w:p w14:paraId="6EE3737A" w14:textId="62DBAC6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47.3%</w:t>
            </w:r>
          </w:p>
        </w:tc>
      </w:tr>
      <w:tr w:rsidR="00AF5B5B" w:rsidRPr="006253A9" w14:paraId="3E8306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EDAC03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0320</w:t>
            </w:r>
          </w:p>
        </w:tc>
        <w:tc>
          <w:tcPr>
            <w:tcW w:w="2880" w:type="dxa"/>
            <w:noWrap/>
            <w:hideMark/>
          </w:tcPr>
          <w:p w14:paraId="290D81D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Wenham</w:t>
            </w:r>
          </w:p>
        </w:tc>
        <w:tc>
          <w:tcPr>
            <w:tcW w:w="1479" w:type="dxa"/>
            <w:noWrap/>
            <w:vAlign w:val="top"/>
          </w:tcPr>
          <w:p w14:paraId="063AB69A" w14:textId="6BAEA7C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6.13</w:t>
            </w:r>
          </w:p>
        </w:tc>
        <w:tc>
          <w:tcPr>
            <w:tcW w:w="1440" w:type="dxa"/>
            <w:noWrap/>
            <w:vAlign w:val="top"/>
          </w:tcPr>
          <w:p w14:paraId="157BECD8" w14:textId="5C34B07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12.02</w:t>
            </w:r>
          </w:p>
        </w:tc>
        <w:tc>
          <w:tcPr>
            <w:tcW w:w="1530" w:type="dxa"/>
            <w:noWrap/>
            <w:vAlign w:val="top"/>
          </w:tcPr>
          <w:p w14:paraId="4E39C51A" w14:textId="7824E0D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51.0%</w:t>
            </w:r>
          </w:p>
        </w:tc>
        <w:tc>
          <w:tcPr>
            <w:tcW w:w="1440" w:type="dxa"/>
            <w:noWrap/>
            <w:vAlign w:val="top"/>
          </w:tcPr>
          <w:p w14:paraId="194B5DD9" w14:textId="753762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10.20</w:t>
            </w:r>
          </w:p>
        </w:tc>
        <w:tc>
          <w:tcPr>
            <w:tcW w:w="1440" w:type="dxa"/>
            <w:noWrap/>
            <w:vAlign w:val="top"/>
          </w:tcPr>
          <w:p w14:paraId="7B5C1AC8" w14:textId="7722A56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18.68</w:t>
            </w:r>
          </w:p>
        </w:tc>
        <w:tc>
          <w:tcPr>
            <w:tcW w:w="1440" w:type="dxa"/>
            <w:noWrap/>
            <w:vAlign w:val="top"/>
          </w:tcPr>
          <w:p w14:paraId="177C5967" w14:textId="7595F1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703A44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39AABB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0321</w:t>
            </w:r>
          </w:p>
        </w:tc>
        <w:tc>
          <w:tcPr>
            <w:tcW w:w="2880" w:type="dxa"/>
            <w:noWrap/>
            <w:hideMark/>
          </w:tcPr>
          <w:p w14:paraId="1FBB3C3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Westborough</w:t>
            </w:r>
          </w:p>
        </w:tc>
        <w:tc>
          <w:tcPr>
            <w:tcW w:w="1479" w:type="dxa"/>
            <w:noWrap/>
            <w:vAlign w:val="top"/>
          </w:tcPr>
          <w:p w14:paraId="6D01D98D" w14:textId="24DCF4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38.81</w:t>
            </w:r>
          </w:p>
        </w:tc>
        <w:tc>
          <w:tcPr>
            <w:tcW w:w="1440" w:type="dxa"/>
            <w:noWrap/>
            <w:vAlign w:val="top"/>
          </w:tcPr>
          <w:p w14:paraId="7B03F2AD" w14:textId="64A0399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69.83</w:t>
            </w:r>
          </w:p>
        </w:tc>
        <w:tc>
          <w:tcPr>
            <w:tcW w:w="1530" w:type="dxa"/>
            <w:noWrap/>
            <w:vAlign w:val="top"/>
          </w:tcPr>
          <w:p w14:paraId="6181CBCF" w14:textId="02D0F28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55.6%</w:t>
            </w:r>
          </w:p>
        </w:tc>
        <w:tc>
          <w:tcPr>
            <w:tcW w:w="1440" w:type="dxa"/>
            <w:noWrap/>
            <w:vAlign w:val="top"/>
          </w:tcPr>
          <w:p w14:paraId="4B74B2DE" w14:textId="6D631F6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58.05</w:t>
            </w:r>
          </w:p>
        </w:tc>
        <w:tc>
          <w:tcPr>
            <w:tcW w:w="1440" w:type="dxa"/>
            <w:noWrap/>
            <w:vAlign w:val="top"/>
          </w:tcPr>
          <w:p w14:paraId="56FED35A" w14:textId="40F085C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106.31</w:t>
            </w:r>
          </w:p>
        </w:tc>
        <w:tc>
          <w:tcPr>
            <w:tcW w:w="1440" w:type="dxa"/>
            <w:noWrap/>
            <w:vAlign w:val="top"/>
          </w:tcPr>
          <w:p w14:paraId="08FF0255" w14:textId="7E50A7F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54.6%</w:t>
            </w:r>
          </w:p>
        </w:tc>
      </w:tr>
      <w:tr w:rsidR="00AF5B5B" w:rsidRPr="006253A9" w14:paraId="19BF09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659422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0322</w:t>
            </w:r>
          </w:p>
        </w:tc>
        <w:tc>
          <w:tcPr>
            <w:tcW w:w="2880" w:type="dxa"/>
            <w:noWrap/>
            <w:hideMark/>
          </w:tcPr>
          <w:p w14:paraId="294C02E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Boylston</w:t>
            </w:r>
          </w:p>
        </w:tc>
        <w:tc>
          <w:tcPr>
            <w:tcW w:w="1479" w:type="dxa"/>
            <w:noWrap/>
            <w:vAlign w:val="top"/>
          </w:tcPr>
          <w:p w14:paraId="64190461" w14:textId="4F3A48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10.22</w:t>
            </w:r>
          </w:p>
        </w:tc>
        <w:tc>
          <w:tcPr>
            <w:tcW w:w="1440" w:type="dxa"/>
            <w:noWrap/>
            <w:vAlign w:val="top"/>
          </w:tcPr>
          <w:p w14:paraId="2EC9E59D" w14:textId="35A3C5D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19.82</w:t>
            </w:r>
          </w:p>
        </w:tc>
        <w:tc>
          <w:tcPr>
            <w:tcW w:w="1530" w:type="dxa"/>
            <w:noWrap/>
            <w:vAlign w:val="top"/>
          </w:tcPr>
          <w:p w14:paraId="127A92DA" w14:textId="510E061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c>
          <w:tcPr>
            <w:tcW w:w="1440" w:type="dxa"/>
            <w:noWrap/>
            <w:vAlign w:val="top"/>
          </w:tcPr>
          <w:p w14:paraId="03606E5F" w14:textId="683F35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14.08</w:t>
            </w:r>
          </w:p>
        </w:tc>
        <w:tc>
          <w:tcPr>
            <w:tcW w:w="1440" w:type="dxa"/>
            <w:noWrap/>
            <w:vAlign w:val="top"/>
          </w:tcPr>
          <w:p w14:paraId="2576D654" w14:textId="5C05613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27.07</w:t>
            </w:r>
          </w:p>
        </w:tc>
        <w:tc>
          <w:tcPr>
            <w:tcW w:w="1440" w:type="dxa"/>
            <w:noWrap/>
            <w:vAlign w:val="top"/>
          </w:tcPr>
          <w:p w14:paraId="5B09279C" w14:textId="46D78E4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52.0%</w:t>
            </w:r>
          </w:p>
        </w:tc>
      </w:tr>
      <w:tr w:rsidR="00AF5B5B" w:rsidRPr="006253A9" w14:paraId="6378F7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50CE0CC8"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0323</w:t>
            </w:r>
          </w:p>
        </w:tc>
        <w:tc>
          <w:tcPr>
            <w:tcW w:w="2880" w:type="dxa"/>
            <w:noWrap/>
            <w:hideMark/>
          </w:tcPr>
          <w:p w14:paraId="0BCD2DAD"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Bridgewater</w:t>
            </w:r>
          </w:p>
        </w:tc>
        <w:tc>
          <w:tcPr>
            <w:tcW w:w="1479" w:type="dxa"/>
            <w:noWrap/>
            <w:vAlign w:val="top"/>
          </w:tcPr>
          <w:p w14:paraId="595DF13B" w14:textId="159A68F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10.23</w:t>
            </w:r>
          </w:p>
        </w:tc>
        <w:tc>
          <w:tcPr>
            <w:tcW w:w="1440" w:type="dxa"/>
            <w:noWrap/>
            <w:vAlign w:val="top"/>
          </w:tcPr>
          <w:p w14:paraId="03FC44CC" w14:textId="4BE9C42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20.51</w:t>
            </w:r>
          </w:p>
        </w:tc>
        <w:tc>
          <w:tcPr>
            <w:tcW w:w="1530" w:type="dxa"/>
            <w:noWrap/>
            <w:vAlign w:val="top"/>
          </w:tcPr>
          <w:p w14:paraId="7FE7E9D9" w14:textId="119CBA8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49.9%</w:t>
            </w:r>
          </w:p>
        </w:tc>
        <w:tc>
          <w:tcPr>
            <w:tcW w:w="1440" w:type="dxa"/>
            <w:noWrap/>
            <w:vAlign w:val="top"/>
          </w:tcPr>
          <w:p w14:paraId="7F031C52" w14:textId="46CBE66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15.67</w:t>
            </w:r>
          </w:p>
        </w:tc>
        <w:tc>
          <w:tcPr>
            <w:tcW w:w="1440" w:type="dxa"/>
            <w:noWrap/>
            <w:vAlign w:val="top"/>
          </w:tcPr>
          <w:p w14:paraId="3562649C" w14:textId="0817C3F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34.99</w:t>
            </w:r>
          </w:p>
        </w:tc>
        <w:tc>
          <w:tcPr>
            <w:tcW w:w="1440" w:type="dxa"/>
            <w:noWrap/>
            <w:vAlign w:val="top"/>
          </w:tcPr>
          <w:p w14:paraId="1ABA8107" w14:textId="6A30F22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44.8%</w:t>
            </w:r>
          </w:p>
        </w:tc>
      </w:tr>
      <w:tr w:rsidR="00AF5B5B" w:rsidRPr="006253A9" w14:paraId="28BE81A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2C4CE1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0324</w:t>
            </w:r>
          </w:p>
        </w:tc>
        <w:tc>
          <w:tcPr>
            <w:tcW w:w="2880" w:type="dxa"/>
            <w:noWrap/>
            <w:hideMark/>
          </w:tcPr>
          <w:p w14:paraId="4323770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Brookfield</w:t>
            </w:r>
          </w:p>
        </w:tc>
        <w:tc>
          <w:tcPr>
            <w:tcW w:w="1479" w:type="dxa"/>
            <w:noWrap/>
            <w:vAlign w:val="top"/>
          </w:tcPr>
          <w:p w14:paraId="42999770" w14:textId="3ADCA5D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2.85</w:t>
            </w:r>
          </w:p>
        </w:tc>
        <w:tc>
          <w:tcPr>
            <w:tcW w:w="1440" w:type="dxa"/>
            <w:noWrap/>
            <w:vAlign w:val="top"/>
          </w:tcPr>
          <w:p w14:paraId="19538C5D" w14:textId="6F4543E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5.90</w:t>
            </w:r>
          </w:p>
        </w:tc>
        <w:tc>
          <w:tcPr>
            <w:tcW w:w="1530" w:type="dxa"/>
            <w:noWrap/>
            <w:vAlign w:val="top"/>
          </w:tcPr>
          <w:p w14:paraId="353C9C1C" w14:textId="1501B56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48.3%</w:t>
            </w:r>
          </w:p>
        </w:tc>
        <w:tc>
          <w:tcPr>
            <w:tcW w:w="1440" w:type="dxa"/>
            <w:noWrap/>
            <w:vAlign w:val="top"/>
          </w:tcPr>
          <w:p w14:paraId="713DAD38" w14:textId="600C13E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3.86</w:t>
            </w:r>
          </w:p>
        </w:tc>
        <w:tc>
          <w:tcPr>
            <w:tcW w:w="1440" w:type="dxa"/>
            <w:noWrap/>
            <w:vAlign w:val="top"/>
          </w:tcPr>
          <w:p w14:paraId="662B2F62" w14:textId="75ED55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7.62</w:t>
            </w:r>
          </w:p>
        </w:tc>
        <w:tc>
          <w:tcPr>
            <w:tcW w:w="1440" w:type="dxa"/>
            <w:noWrap/>
            <w:vAlign w:val="top"/>
          </w:tcPr>
          <w:p w14:paraId="21C5AE20" w14:textId="257426B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50.7%</w:t>
            </w:r>
          </w:p>
        </w:tc>
      </w:tr>
      <w:tr w:rsidR="00AF5B5B" w:rsidRPr="006253A9" w14:paraId="66F3901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81090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0325</w:t>
            </w:r>
          </w:p>
        </w:tc>
        <w:tc>
          <w:tcPr>
            <w:tcW w:w="2880" w:type="dxa"/>
            <w:noWrap/>
            <w:hideMark/>
          </w:tcPr>
          <w:p w14:paraId="0444738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Westfield</w:t>
            </w:r>
          </w:p>
        </w:tc>
        <w:tc>
          <w:tcPr>
            <w:tcW w:w="1479" w:type="dxa"/>
            <w:noWrap/>
            <w:vAlign w:val="top"/>
          </w:tcPr>
          <w:p w14:paraId="511143BB" w14:textId="760DB79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57.49</w:t>
            </w:r>
          </w:p>
        </w:tc>
        <w:tc>
          <w:tcPr>
            <w:tcW w:w="1440" w:type="dxa"/>
            <w:noWrap/>
            <w:vAlign w:val="top"/>
          </w:tcPr>
          <w:p w14:paraId="1E604B88" w14:textId="7ACBAD8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111.37</w:t>
            </w:r>
          </w:p>
        </w:tc>
        <w:tc>
          <w:tcPr>
            <w:tcW w:w="1530" w:type="dxa"/>
            <w:noWrap/>
            <w:vAlign w:val="top"/>
          </w:tcPr>
          <w:p w14:paraId="6F3E57C7" w14:textId="2A2DA87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51.6%</w:t>
            </w:r>
          </w:p>
        </w:tc>
        <w:tc>
          <w:tcPr>
            <w:tcW w:w="1440" w:type="dxa"/>
            <w:noWrap/>
            <w:vAlign w:val="top"/>
          </w:tcPr>
          <w:p w14:paraId="45BA500C" w14:textId="1F60285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73.17</w:t>
            </w:r>
          </w:p>
        </w:tc>
        <w:tc>
          <w:tcPr>
            <w:tcW w:w="1440" w:type="dxa"/>
            <w:noWrap/>
            <w:vAlign w:val="top"/>
          </w:tcPr>
          <w:p w14:paraId="179DC5C9" w14:textId="6E5715B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147.13</w:t>
            </w:r>
          </w:p>
        </w:tc>
        <w:tc>
          <w:tcPr>
            <w:tcW w:w="1440" w:type="dxa"/>
            <w:noWrap/>
            <w:vAlign w:val="top"/>
          </w:tcPr>
          <w:p w14:paraId="1AB9794D" w14:textId="2608CF1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49.7%</w:t>
            </w:r>
          </w:p>
        </w:tc>
      </w:tr>
      <w:tr w:rsidR="00AF5B5B" w:rsidRPr="006253A9" w14:paraId="184E8C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8EB72C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0326</w:t>
            </w:r>
          </w:p>
        </w:tc>
        <w:tc>
          <w:tcPr>
            <w:tcW w:w="2880" w:type="dxa"/>
            <w:noWrap/>
            <w:hideMark/>
          </w:tcPr>
          <w:p w14:paraId="6B9E635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Westford</w:t>
            </w:r>
          </w:p>
        </w:tc>
        <w:tc>
          <w:tcPr>
            <w:tcW w:w="1479" w:type="dxa"/>
            <w:noWrap/>
            <w:vAlign w:val="top"/>
          </w:tcPr>
          <w:p w14:paraId="36565C99" w14:textId="5520A25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43.01</w:t>
            </w:r>
          </w:p>
        </w:tc>
        <w:tc>
          <w:tcPr>
            <w:tcW w:w="1440" w:type="dxa"/>
            <w:noWrap/>
            <w:vAlign w:val="top"/>
          </w:tcPr>
          <w:p w14:paraId="2A2B1873" w14:textId="2C1C820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78.06</w:t>
            </w:r>
          </w:p>
        </w:tc>
        <w:tc>
          <w:tcPr>
            <w:tcW w:w="1530" w:type="dxa"/>
            <w:noWrap/>
            <w:vAlign w:val="top"/>
          </w:tcPr>
          <w:p w14:paraId="5255B676" w14:textId="7EF4C41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55.1%</w:t>
            </w:r>
          </w:p>
        </w:tc>
        <w:tc>
          <w:tcPr>
            <w:tcW w:w="1440" w:type="dxa"/>
            <w:noWrap/>
            <w:vAlign w:val="top"/>
          </w:tcPr>
          <w:p w14:paraId="3D45C008" w14:textId="260E364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67.26</w:t>
            </w:r>
          </w:p>
        </w:tc>
        <w:tc>
          <w:tcPr>
            <w:tcW w:w="1440" w:type="dxa"/>
            <w:noWrap/>
            <w:vAlign w:val="top"/>
          </w:tcPr>
          <w:p w14:paraId="37E4D3B7" w14:textId="3B3075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117.93</w:t>
            </w:r>
          </w:p>
        </w:tc>
        <w:tc>
          <w:tcPr>
            <w:tcW w:w="1440" w:type="dxa"/>
            <w:noWrap/>
            <w:vAlign w:val="top"/>
          </w:tcPr>
          <w:p w14:paraId="609AE108" w14:textId="7A05FC9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r>
      <w:tr w:rsidR="00AF5B5B" w:rsidRPr="006253A9" w14:paraId="723A30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882142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0327</w:t>
            </w:r>
          </w:p>
        </w:tc>
        <w:tc>
          <w:tcPr>
            <w:tcW w:w="2880" w:type="dxa"/>
            <w:noWrap/>
            <w:hideMark/>
          </w:tcPr>
          <w:p w14:paraId="514B054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Westhampton</w:t>
            </w:r>
          </w:p>
        </w:tc>
        <w:tc>
          <w:tcPr>
            <w:tcW w:w="1479" w:type="dxa"/>
            <w:noWrap/>
            <w:vAlign w:val="top"/>
          </w:tcPr>
          <w:p w14:paraId="4615BBEC" w14:textId="5C74941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2.51</w:t>
            </w:r>
          </w:p>
        </w:tc>
        <w:tc>
          <w:tcPr>
            <w:tcW w:w="1440" w:type="dxa"/>
            <w:noWrap/>
            <w:vAlign w:val="top"/>
          </w:tcPr>
          <w:p w14:paraId="4AD72BBE" w14:textId="502DAF4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3.96</w:t>
            </w:r>
          </w:p>
        </w:tc>
        <w:tc>
          <w:tcPr>
            <w:tcW w:w="1530" w:type="dxa"/>
            <w:noWrap/>
            <w:vAlign w:val="top"/>
          </w:tcPr>
          <w:p w14:paraId="3BB5FE27" w14:textId="07116C6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63.5%</w:t>
            </w:r>
          </w:p>
        </w:tc>
        <w:tc>
          <w:tcPr>
            <w:tcW w:w="1440" w:type="dxa"/>
            <w:noWrap/>
            <w:vAlign w:val="top"/>
          </w:tcPr>
          <w:p w14:paraId="4FE3E7BF" w14:textId="0F757A4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3.83</w:t>
            </w:r>
          </w:p>
        </w:tc>
        <w:tc>
          <w:tcPr>
            <w:tcW w:w="1440" w:type="dxa"/>
            <w:noWrap/>
            <w:vAlign w:val="top"/>
          </w:tcPr>
          <w:p w14:paraId="753E7276" w14:textId="726B27E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5.96</w:t>
            </w:r>
          </w:p>
        </w:tc>
        <w:tc>
          <w:tcPr>
            <w:tcW w:w="1440" w:type="dxa"/>
            <w:noWrap/>
            <w:vAlign w:val="top"/>
          </w:tcPr>
          <w:p w14:paraId="77B9FE2B" w14:textId="6D13677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64.3%</w:t>
            </w:r>
          </w:p>
        </w:tc>
      </w:tr>
      <w:tr w:rsidR="00AF5B5B" w:rsidRPr="006253A9" w14:paraId="76CF703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5168D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0328</w:t>
            </w:r>
          </w:p>
        </w:tc>
        <w:tc>
          <w:tcPr>
            <w:tcW w:w="2880" w:type="dxa"/>
            <w:noWrap/>
            <w:hideMark/>
          </w:tcPr>
          <w:p w14:paraId="772EDF8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Westminster</w:t>
            </w:r>
          </w:p>
        </w:tc>
        <w:tc>
          <w:tcPr>
            <w:tcW w:w="1479" w:type="dxa"/>
            <w:noWrap/>
            <w:vAlign w:val="top"/>
          </w:tcPr>
          <w:p w14:paraId="5C425ACB" w14:textId="38DC48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8.37</w:t>
            </w:r>
          </w:p>
        </w:tc>
        <w:tc>
          <w:tcPr>
            <w:tcW w:w="1440" w:type="dxa"/>
            <w:noWrap/>
            <w:vAlign w:val="top"/>
          </w:tcPr>
          <w:p w14:paraId="78A1F748" w14:textId="0D05716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17.12</w:t>
            </w:r>
          </w:p>
        </w:tc>
        <w:tc>
          <w:tcPr>
            <w:tcW w:w="1530" w:type="dxa"/>
            <w:noWrap/>
            <w:vAlign w:val="top"/>
          </w:tcPr>
          <w:p w14:paraId="789887AE" w14:textId="1219B8EC"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48.9%</w:t>
            </w:r>
          </w:p>
        </w:tc>
        <w:tc>
          <w:tcPr>
            <w:tcW w:w="1440" w:type="dxa"/>
            <w:noWrap/>
            <w:vAlign w:val="top"/>
          </w:tcPr>
          <w:p w14:paraId="0E9A083D" w14:textId="1AFD789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11.10</w:t>
            </w:r>
          </w:p>
        </w:tc>
        <w:tc>
          <w:tcPr>
            <w:tcW w:w="1440" w:type="dxa"/>
            <w:noWrap/>
            <w:vAlign w:val="top"/>
          </w:tcPr>
          <w:p w14:paraId="463AC089" w14:textId="6D335B7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25.86</w:t>
            </w:r>
          </w:p>
        </w:tc>
        <w:tc>
          <w:tcPr>
            <w:tcW w:w="1440" w:type="dxa"/>
            <w:noWrap/>
            <w:vAlign w:val="top"/>
          </w:tcPr>
          <w:p w14:paraId="56F92055" w14:textId="09EB0CC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42.9%</w:t>
            </w:r>
          </w:p>
        </w:tc>
      </w:tr>
      <w:tr w:rsidR="00AF5B5B" w:rsidRPr="006253A9" w14:paraId="151251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F1035CA"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0329</w:t>
            </w:r>
          </w:p>
        </w:tc>
        <w:tc>
          <w:tcPr>
            <w:tcW w:w="2880" w:type="dxa"/>
            <w:noWrap/>
            <w:hideMark/>
          </w:tcPr>
          <w:p w14:paraId="7BEC312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Newbury</w:t>
            </w:r>
          </w:p>
        </w:tc>
        <w:tc>
          <w:tcPr>
            <w:tcW w:w="1479" w:type="dxa"/>
            <w:noWrap/>
            <w:vAlign w:val="top"/>
          </w:tcPr>
          <w:p w14:paraId="2F270D99" w14:textId="79FA639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4.42</w:t>
            </w:r>
          </w:p>
        </w:tc>
        <w:tc>
          <w:tcPr>
            <w:tcW w:w="1440" w:type="dxa"/>
            <w:noWrap/>
            <w:vAlign w:val="top"/>
          </w:tcPr>
          <w:p w14:paraId="08416B72" w14:textId="65D3A54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10.74</w:t>
            </w:r>
          </w:p>
        </w:tc>
        <w:tc>
          <w:tcPr>
            <w:tcW w:w="1530" w:type="dxa"/>
            <w:noWrap/>
            <w:vAlign w:val="top"/>
          </w:tcPr>
          <w:p w14:paraId="50C3A51E" w14:textId="3DB7B45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41.2%</w:t>
            </w:r>
          </w:p>
        </w:tc>
        <w:tc>
          <w:tcPr>
            <w:tcW w:w="1440" w:type="dxa"/>
            <w:noWrap/>
            <w:vAlign w:val="top"/>
          </w:tcPr>
          <w:p w14:paraId="7CA24C48" w14:textId="3111DBA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8.65</w:t>
            </w:r>
          </w:p>
        </w:tc>
        <w:tc>
          <w:tcPr>
            <w:tcW w:w="1440" w:type="dxa"/>
            <w:noWrap/>
            <w:vAlign w:val="top"/>
          </w:tcPr>
          <w:p w14:paraId="795564EF" w14:textId="1F3B963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16.24</w:t>
            </w:r>
          </w:p>
        </w:tc>
        <w:tc>
          <w:tcPr>
            <w:tcW w:w="1440" w:type="dxa"/>
            <w:noWrap/>
            <w:vAlign w:val="top"/>
          </w:tcPr>
          <w:p w14:paraId="5C0E0B8D" w14:textId="5E33D92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53.3%</w:t>
            </w:r>
          </w:p>
        </w:tc>
      </w:tr>
      <w:tr w:rsidR="00AF5B5B" w:rsidRPr="006253A9" w14:paraId="7EF0B9F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AD4A127"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0330</w:t>
            </w:r>
          </w:p>
        </w:tc>
        <w:tc>
          <w:tcPr>
            <w:tcW w:w="2880" w:type="dxa"/>
            <w:noWrap/>
            <w:hideMark/>
          </w:tcPr>
          <w:p w14:paraId="4A375BA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Weston</w:t>
            </w:r>
          </w:p>
        </w:tc>
        <w:tc>
          <w:tcPr>
            <w:tcW w:w="1479" w:type="dxa"/>
            <w:noWrap/>
            <w:vAlign w:val="top"/>
          </w:tcPr>
          <w:p w14:paraId="48C46465" w14:textId="606F986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33.29</w:t>
            </w:r>
          </w:p>
        </w:tc>
        <w:tc>
          <w:tcPr>
            <w:tcW w:w="1440" w:type="dxa"/>
            <w:noWrap/>
            <w:vAlign w:val="top"/>
          </w:tcPr>
          <w:p w14:paraId="314C5627" w14:textId="0EE02B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70.23</w:t>
            </w:r>
          </w:p>
        </w:tc>
        <w:tc>
          <w:tcPr>
            <w:tcW w:w="1530" w:type="dxa"/>
            <w:noWrap/>
            <w:vAlign w:val="top"/>
          </w:tcPr>
          <w:p w14:paraId="5891D961" w14:textId="6785776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47.4%</w:t>
            </w:r>
          </w:p>
        </w:tc>
        <w:tc>
          <w:tcPr>
            <w:tcW w:w="1440" w:type="dxa"/>
            <w:noWrap/>
            <w:vAlign w:val="top"/>
          </w:tcPr>
          <w:p w14:paraId="6E4D3574" w14:textId="394FE0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47.95</w:t>
            </w:r>
          </w:p>
        </w:tc>
        <w:tc>
          <w:tcPr>
            <w:tcW w:w="1440" w:type="dxa"/>
            <w:noWrap/>
            <w:vAlign w:val="top"/>
          </w:tcPr>
          <w:p w14:paraId="23088D77" w14:textId="622D28D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97.95</w:t>
            </w:r>
          </w:p>
        </w:tc>
        <w:tc>
          <w:tcPr>
            <w:tcW w:w="1440" w:type="dxa"/>
            <w:noWrap/>
            <w:vAlign w:val="top"/>
          </w:tcPr>
          <w:p w14:paraId="1A27DE7B" w14:textId="64E37FE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49.0%</w:t>
            </w:r>
          </w:p>
        </w:tc>
      </w:tr>
      <w:tr w:rsidR="00AF5B5B" w:rsidRPr="006253A9" w14:paraId="53371C5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741C542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0331</w:t>
            </w:r>
          </w:p>
        </w:tc>
        <w:tc>
          <w:tcPr>
            <w:tcW w:w="2880" w:type="dxa"/>
            <w:noWrap/>
            <w:hideMark/>
          </w:tcPr>
          <w:p w14:paraId="7DD591B7"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Westport</w:t>
            </w:r>
          </w:p>
        </w:tc>
        <w:tc>
          <w:tcPr>
            <w:tcW w:w="1479" w:type="dxa"/>
            <w:noWrap/>
            <w:vAlign w:val="top"/>
          </w:tcPr>
          <w:p w14:paraId="05441E2F" w14:textId="5922054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15.60</w:t>
            </w:r>
          </w:p>
        </w:tc>
        <w:tc>
          <w:tcPr>
            <w:tcW w:w="1440" w:type="dxa"/>
            <w:noWrap/>
            <w:vAlign w:val="top"/>
          </w:tcPr>
          <w:p w14:paraId="21469890" w14:textId="53A5761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28.63</w:t>
            </w:r>
          </w:p>
        </w:tc>
        <w:tc>
          <w:tcPr>
            <w:tcW w:w="1530" w:type="dxa"/>
            <w:noWrap/>
            <w:vAlign w:val="top"/>
          </w:tcPr>
          <w:p w14:paraId="2C579B97" w14:textId="502F15E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54.5%</w:t>
            </w:r>
          </w:p>
        </w:tc>
        <w:tc>
          <w:tcPr>
            <w:tcW w:w="1440" w:type="dxa"/>
            <w:noWrap/>
            <w:vAlign w:val="top"/>
          </w:tcPr>
          <w:p w14:paraId="37F8AA13" w14:textId="737D699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24.35</w:t>
            </w:r>
          </w:p>
        </w:tc>
        <w:tc>
          <w:tcPr>
            <w:tcW w:w="1440" w:type="dxa"/>
            <w:noWrap/>
            <w:vAlign w:val="top"/>
          </w:tcPr>
          <w:p w14:paraId="59A179E9" w14:textId="3290DB1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45.45</w:t>
            </w:r>
          </w:p>
        </w:tc>
        <w:tc>
          <w:tcPr>
            <w:tcW w:w="1440" w:type="dxa"/>
            <w:noWrap/>
            <w:vAlign w:val="top"/>
          </w:tcPr>
          <w:p w14:paraId="22CEC5C6" w14:textId="0AF7519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53.6%</w:t>
            </w:r>
          </w:p>
        </w:tc>
      </w:tr>
      <w:tr w:rsidR="00AF5B5B" w:rsidRPr="006253A9" w14:paraId="198C1C4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447795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0332</w:t>
            </w:r>
          </w:p>
        </w:tc>
        <w:tc>
          <w:tcPr>
            <w:tcW w:w="2880" w:type="dxa"/>
            <w:noWrap/>
            <w:hideMark/>
          </w:tcPr>
          <w:p w14:paraId="4506035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Springfield</w:t>
            </w:r>
          </w:p>
        </w:tc>
        <w:tc>
          <w:tcPr>
            <w:tcW w:w="1479" w:type="dxa"/>
            <w:noWrap/>
            <w:vAlign w:val="top"/>
          </w:tcPr>
          <w:p w14:paraId="12BB4EE4" w14:textId="7102446D"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35.79</w:t>
            </w:r>
          </w:p>
        </w:tc>
        <w:tc>
          <w:tcPr>
            <w:tcW w:w="1440" w:type="dxa"/>
            <w:noWrap/>
            <w:vAlign w:val="top"/>
          </w:tcPr>
          <w:p w14:paraId="36CE4756" w14:textId="7192590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81.68</w:t>
            </w:r>
          </w:p>
        </w:tc>
        <w:tc>
          <w:tcPr>
            <w:tcW w:w="1530" w:type="dxa"/>
            <w:noWrap/>
            <w:vAlign w:val="top"/>
          </w:tcPr>
          <w:p w14:paraId="22938529" w14:textId="3C960F0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43.8%</w:t>
            </w:r>
          </w:p>
        </w:tc>
        <w:tc>
          <w:tcPr>
            <w:tcW w:w="1440" w:type="dxa"/>
            <w:noWrap/>
            <w:vAlign w:val="top"/>
          </w:tcPr>
          <w:p w14:paraId="10684459" w14:textId="0F2D485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53.36</w:t>
            </w:r>
          </w:p>
        </w:tc>
        <w:tc>
          <w:tcPr>
            <w:tcW w:w="1440" w:type="dxa"/>
            <w:noWrap/>
            <w:vAlign w:val="top"/>
          </w:tcPr>
          <w:p w14:paraId="0B12C4A1" w14:textId="7D93C27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115.24</w:t>
            </w:r>
          </w:p>
        </w:tc>
        <w:tc>
          <w:tcPr>
            <w:tcW w:w="1440" w:type="dxa"/>
            <w:noWrap/>
            <w:vAlign w:val="top"/>
          </w:tcPr>
          <w:p w14:paraId="6A0E141A" w14:textId="1EAC74A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46.3%</w:t>
            </w:r>
          </w:p>
        </w:tc>
      </w:tr>
      <w:tr w:rsidR="00AF5B5B" w:rsidRPr="006253A9" w14:paraId="2C86794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F257A2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0333</w:t>
            </w:r>
          </w:p>
        </w:tc>
        <w:tc>
          <w:tcPr>
            <w:tcW w:w="2880" w:type="dxa"/>
            <w:noWrap/>
            <w:hideMark/>
          </w:tcPr>
          <w:p w14:paraId="4BCB0F8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Stockbridge</w:t>
            </w:r>
          </w:p>
        </w:tc>
        <w:tc>
          <w:tcPr>
            <w:tcW w:w="1479" w:type="dxa"/>
            <w:noWrap/>
            <w:vAlign w:val="top"/>
          </w:tcPr>
          <w:p w14:paraId="481F1863" w14:textId="207D5F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w:t>
            </w:r>
          </w:p>
        </w:tc>
        <w:tc>
          <w:tcPr>
            <w:tcW w:w="1440" w:type="dxa"/>
            <w:noWrap/>
            <w:vAlign w:val="top"/>
          </w:tcPr>
          <w:p w14:paraId="6BF77B35" w14:textId="1F3F650A"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4.17</w:t>
            </w:r>
          </w:p>
        </w:tc>
        <w:tc>
          <w:tcPr>
            <w:tcW w:w="1530" w:type="dxa"/>
            <w:noWrap/>
            <w:vAlign w:val="top"/>
          </w:tcPr>
          <w:p w14:paraId="103E9A04" w14:textId="3D78E87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59.5%</w:t>
            </w:r>
          </w:p>
        </w:tc>
        <w:tc>
          <w:tcPr>
            <w:tcW w:w="1440" w:type="dxa"/>
            <w:noWrap/>
            <w:vAlign w:val="top"/>
          </w:tcPr>
          <w:p w14:paraId="4CA7455F" w14:textId="1253D84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2.83</w:t>
            </w:r>
          </w:p>
        </w:tc>
        <w:tc>
          <w:tcPr>
            <w:tcW w:w="1440" w:type="dxa"/>
            <w:noWrap/>
            <w:vAlign w:val="top"/>
          </w:tcPr>
          <w:p w14:paraId="481D3703" w14:textId="5FDBCCC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5.34</w:t>
            </w:r>
          </w:p>
        </w:tc>
        <w:tc>
          <w:tcPr>
            <w:tcW w:w="1440" w:type="dxa"/>
            <w:noWrap/>
            <w:vAlign w:val="top"/>
          </w:tcPr>
          <w:p w14:paraId="23D43E57" w14:textId="233FE98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53.1%</w:t>
            </w:r>
          </w:p>
        </w:tc>
      </w:tr>
      <w:tr w:rsidR="00AF5B5B" w:rsidRPr="006253A9" w14:paraId="6EA9471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E81AC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0334</w:t>
            </w:r>
          </w:p>
        </w:tc>
        <w:tc>
          <w:tcPr>
            <w:tcW w:w="2880" w:type="dxa"/>
            <w:noWrap/>
            <w:hideMark/>
          </w:tcPr>
          <w:p w14:paraId="0C57E05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 Tisbury</w:t>
            </w:r>
          </w:p>
        </w:tc>
        <w:tc>
          <w:tcPr>
            <w:tcW w:w="1479" w:type="dxa"/>
            <w:noWrap/>
            <w:vAlign w:val="top"/>
          </w:tcPr>
          <w:p w14:paraId="22455AB8" w14:textId="36A562E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7.27</w:t>
            </w:r>
          </w:p>
        </w:tc>
        <w:tc>
          <w:tcPr>
            <w:tcW w:w="1440" w:type="dxa"/>
            <w:noWrap/>
            <w:vAlign w:val="top"/>
          </w:tcPr>
          <w:p w14:paraId="59B60FC5" w14:textId="427DAC2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12.77</w:t>
            </w:r>
          </w:p>
        </w:tc>
        <w:tc>
          <w:tcPr>
            <w:tcW w:w="1530" w:type="dxa"/>
            <w:noWrap/>
            <w:vAlign w:val="top"/>
          </w:tcPr>
          <w:p w14:paraId="3887EAFC" w14:textId="082288F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57.0%</w:t>
            </w:r>
          </w:p>
        </w:tc>
        <w:tc>
          <w:tcPr>
            <w:tcW w:w="1440" w:type="dxa"/>
            <w:noWrap/>
            <w:vAlign w:val="top"/>
          </w:tcPr>
          <w:p w14:paraId="514E8709" w14:textId="1E2AA1E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10.47</w:t>
            </w:r>
          </w:p>
        </w:tc>
        <w:tc>
          <w:tcPr>
            <w:tcW w:w="1440" w:type="dxa"/>
            <w:noWrap/>
            <w:vAlign w:val="top"/>
          </w:tcPr>
          <w:p w14:paraId="4C9F34AB" w14:textId="703F425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19.08</w:t>
            </w:r>
          </w:p>
        </w:tc>
        <w:tc>
          <w:tcPr>
            <w:tcW w:w="1440" w:type="dxa"/>
            <w:noWrap/>
            <w:vAlign w:val="top"/>
          </w:tcPr>
          <w:p w14:paraId="12B45A24" w14:textId="7C9CD69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54.9%</w:t>
            </w:r>
          </w:p>
        </w:tc>
      </w:tr>
      <w:tr w:rsidR="00AF5B5B" w:rsidRPr="006253A9" w14:paraId="7BD2510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F1816B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lastRenderedPageBreak/>
              <w:t>0335</w:t>
            </w:r>
          </w:p>
        </w:tc>
        <w:tc>
          <w:tcPr>
            <w:tcW w:w="2880" w:type="dxa"/>
            <w:noWrap/>
            <w:hideMark/>
          </w:tcPr>
          <w:p w14:paraId="0A2C458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Westwood</w:t>
            </w:r>
          </w:p>
        </w:tc>
        <w:tc>
          <w:tcPr>
            <w:tcW w:w="1479" w:type="dxa"/>
            <w:noWrap/>
            <w:vAlign w:val="top"/>
          </w:tcPr>
          <w:p w14:paraId="5F73CD77" w14:textId="185426A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32.01</w:t>
            </w:r>
          </w:p>
        </w:tc>
        <w:tc>
          <w:tcPr>
            <w:tcW w:w="1440" w:type="dxa"/>
            <w:noWrap/>
            <w:vAlign w:val="top"/>
          </w:tcPr>
          <w:p w14:paraId="789E3960" w14:textId="352CB0B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59.31</w:t>
            </w:r>
          </w:p>
        </w:tc>
        <w:tc>
          <w:tcPr>
            <w:tcW w:w="1530" w:type="dxa"/>
            <w:noWrap/>
            <w:vAlign w:val="top"/>
          </w:tcPr>
          <w:p w14:paraId="690C0E56" w14:textId="70AEB70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54.0%</w:t>
            </w:r>
          </w:p>
        </w:tc>
        <w:tc>
          <w:tcPr>
            <w:tcW w:w="1440" w:type="dxa"/>
            <w:noWrap/>
            <w:vAlign w:val="top"/>
          </w:tcPr>
          <w:p w14:paraId="0E8ED9D4" w14:textId="23C5120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52.68</w:t>
            </w:r>
          </w:p>
        </w:tc>
        <w:tc>
          <w:tcPr>
            <w:tcW w:w="1440" w:type="dxa"/>
            <w:noWrap/>
            <w:vAlign w:val="top"/>
          </w:tcPr>
          <w:p w14:paraId="194752AA" w14:textId="78109BD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97.68</w:t>
            </w:r>
          </w:p>
        </w:tc>
        <w:tc>
          <w:tcPr>
            <w:tcW w:w="1440" w:type="dxa"/>
            <w:noWrap/>
            <w:vAlign w:val="top"/>
          </w:tcPr>
          <w:p w14:paraId="603B0385" w14:textId="54B4D68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53.9%</w:t>
            </w:r>
          </w:p>
        </w:tc>
      </w:tr>
      <w:tr w:rsidR="00AF5B5B" w:rsidRPr="006253A9" w14:paraId="3E17374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E7B4332"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0336</w:t>
            </w:r>
          </w:p>
        </w:tc>
        <w:tc>
          <w:tcPr>
            <w:tcW w:w="2880" w:type="dxa"/>
            <w:noWrap/>
            <w:hideMark/>
          </w:tcPr>
          <w:p w14:paraId="69CDC448"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Weymouth</w:t>
            </w:r>
          </w:p>
        </w:tc>
        <w:tc>
          <w:tcPr>
            <w:tcW w:w="1479" w:type="dxa"/>
            <w:noWrap/>
            <w:vAlign w:val="top"/>
          </w:tcPr>
          <w:p w14:paraId="15EFE64F" w14:textId="730406B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63.40</w:t>
            </w:r>
          </w:p>
        </w:tc>
        <w:tc>
          <w:tcPr>
            <w:tcW w:w="1440" w:type="dxa"/>
            <w:noWrap/>
            <w:vAlign w:val="top"/>
          </w:tcPr>
          <w:p w14:paraId="2F632A9C" w14:textId="3378E25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129.63</w:t>
            </w:r>
          </w:p>
        </w:tc>
        <w:tc>
          <w:tcPr>
            <w:tcW w:w="1530" w:type="dxa"/>
            <w:noWrap/>
            <w:vAlign w:val="top"/>
          </w:tcPr>
          <w:p w14:paraId="0A666835" w14:textId="7E7CB09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48.9%</w:t>
            </w:r>
          </w:p>
        </w:tc>
        <w:tc>
          <w:tcPr>
            <w:tcW w:w="1440" w:type="dxa"/>
            <w:noWrap/>
            <w:vAlign w:val="top"/>
          </w:tcPr>
          <w:p w14:paraId="15B88250" w14:textId="71745EE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85.67</w:t>
            </w:r>
          </w:p>
        </w:tc>
        <w:tc>
          <w:tcPr>
            <w:tcW w:w="1440" w:type="dxa"/>
            <w:noWrap/>
            <w:vAlign w:val="top"/>
          </w:tcPr>
          <w:p w14:paraId="626BEE5C" w14:textId="221603D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182.58</w:t>
            </w:r>
          </w:p>
        </w:tc>
        <w:tc>
          <w:tcPr>
            <w:tcW w:w="1440" w:type="dxa"/>
            <w:noWrap/>
            <w:vAlign w:val="top"/>
          </w:tcPr>
          <w:p w14:paraId="61A41B35" w14:textId="7F4A5A9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46.9%</w:t>
            </w:r>
          </w:p>
        </w:tc>
      </w:tr>
      <w:tr w:rsidR="00AF5B5B" w:rsidRPr="006253A9" w14:paraId="06DBEBC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BAFA2D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0337</w:t>
            </w:r>
          </w:p>
        </w:tc>
        <w:tc>
          <w:tcPr>
            <w:tcW w:w="2880" w:type="dxa"/>
            <w:noWrap/>
            <w:hideMark/>
          </w:tcPr>
          <w:p w14:paraId="3C07CCF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Whately</w:t>
            </w:r>
          </w:p>
        </w:tc>
        <w:tc>
          <w:tcPr>
            <w:tcW w:w="1479" w:type="dxa"/>
            <w:noWrap/>
            <w:vAlign w:val="top"/>
          </w:tcPr>
          <w:p w14:paraId="124E9039" w14:textId="61E0EC2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2.52</w:t>
            </w:r>
          </w:p>
        </w:tc>
        <w:tc>
          <w:tcPr>
            <w:tcW w:w="1440" w:type="dxa"/>
            <w:noWrap/>
            <w:vAlign w:val="top"/>
          </w:tcPr>
          <w:p w14:paraId="6AFF9D8A" w14:textId="5E6241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4.28</w:t>
            </w:r>
          </w:p>
        </w:tc>
        <w:tc>
          <w:tcPr>
            <w:tcW w:w="1530" w:type="dxa"/>
            <w:noWrap/>
            <w:vAlign w:val="top"/>
          </w:tcPr>
          <w:p w14:paraId="6B4BB83B" w14:textId="5A02AF4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58.9%</w:t>
            </w:r>
          </w:p>
        </w:tc>
        <w:tc>
          <w:tcPr>
            <w:tcW w:w="1440" w:type="dxa"/>
            <w:noWrap/>
            <w:vAlign w:val="top"/>
          </w:tcPr>
          <w:p w14:paraId="52E7AE70" w14:textId="4E63A90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3.08</w:t>
            </w:r>
          </w:p>
        </w:tc>
        <w:tc>
          <w:tcPr>
            <w:tcW w:w="1440" w:type="dxa"/>
            <w:noWrap/>
            <w:vAlign w:val="top"/>
          </w:tcPr>
          <w:p w14:paraId="1D1BD409" w14:textId="60551C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5.54</w:t>
            </w:r>
          </w:p>
        </w:tc>
        <w:tc>
          <w:tcPr>
            <w:tcW w:w="1440" w:type="dxa"/>
            <w:noWrap/>
            <w:vAlign w:val="top"/>
          </w:tcPr>
          <w:p w14:paraId="4FA20C79" w14:textId="220D9B4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55.5%</w:t>
            </w:r>
          </w:p>
        </w:tc>
      </w:tr>
      <w:tr w:rsidR="00AF5B5B" w:rsidRPr="006253A9" w14:paraId="04BEE1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DF0DF9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0338</w:t>
            </w:r>
          </w:p>
        </w:tc>
        <w:tc>
          <w:tcPr>
            <w:tcW w:w="2880" w:type="dxa"/>
            <w:noWrap/>
            <w:hideMark/>
          </w:tcPr>
          <w:p w14:paraId="5CBED42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Whitman</w:t>
            </w:r>
          </w:p>
        </w:tc>
        <w:tc>
          <w:tcPr>
            <w:tcW w:w="1479" w:type="dxa"/>
            <w:noWrap/>
            <w:vAlign w:val="top"/>
          </w:tcPr>
          <w:p w14:paraId="1FDE1219" w14:textId="4BD7B2A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10.09</w:t>
            </w:r>
          </w:p>
        </w:tc>
        <w:tc>
          <w:tcPr>
            <w:tcW w:w="1440" w:type="dxa"/>
            <w:noWrap/>
            <w:vAlign w:val="top"/>
          </w:tcPr>
          <w:p w14:paraId="2568FD75" w14:textId="129340B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24.85</w:t>
            </w:r>
          </w:p>
        </w:tc>
        <w:tc>
          <w:tcPr>
            <w:tcW w:w="1530" w:type="dxa"/>
            <w:noWrap/>
            <w:vAlign w:val="top"/>
          </w:tcPr>
          <w:p w14:paraId="47D04A12" w14:textId="658A2E8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40.6%</w:t>
            </w:r>
          </w:p>
        </w:tc>
        <w:tc>
          <w:tcPr>
            <w:tcW w:w="1440" w:type="dxa"/>
            <w:noWrap/>
            <w:vAlign w:val="top"/>
          </w:tcPr>
          <w:p w14:paraId="1CB662D7" w14:textId="59F5FFB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16.12</w:t>
            </w:r>
          </w:p>
        </w:tc>
        <w:tc>
          <w:tcPr>
            <w:tcW w:w="1440" w:type="dxa"/>
            <w:noWrap/>
            <w:vAlign w:val="top"/>
          </w:tcPr>
          <w:p w14:paraId="1BFAA4D4" w14:textId="0E3A586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39.65</w:t>
            </w:r>
          </w:p>
        </w:tc>
        <w:tc>
          <w:tcPr>
            <w:tcW w:w="1440" w:type="dxa"/>
            <w:noWrap/>
            <w:vAlign w:val="top"/>
          </w:tcPr>
          <w:p w14:paraId="799220DE" w14:textId="78E125A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40.6%</w:t>
            </w:r>
          </w:p>
        </w:tc>
      </w:tr>
      <w:tr w:rsidR="00AF5B5B" w:rsidRPr="006253A9" w14:paraId="4E4D615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9CBBB96"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0339</w:t>
            </w:r>
          </w:p>
        </w:tc>
        <w:tc>
          <w:tcPr>
            <w:tcW w:w="2880" w:type="dxa"/>
            <w:noWrap/>
            <w:hideMark/>
          </w:tcPr>
          <w:p w14:paraId="07E82E81"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Wilbraham</w:t>
            </w:r>
          </w:p>
        </w:tc>
        <w:tc>
          <w:tcPr>
            <w:tcW w:w="1479" w:type="dxa"/>
            <w:noWrap/>
            <w:vAlign w:val="top"/>
          </w:tcPr>
          <w:p w14:paraId="714CC980" w14:textId="524844D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17.21</w:t>
            </w:r>
          </w:p>
        </w:tc>
        <w:tc>
          <w:tcPr>
            <w:tcW w:w="1440" w:type="dxa"/>
            <w:noWrap/>
            <w:vAlign w:val="top"/>
          </w:tcPr>
          <w:p w14:paraId="29DB2E02" w14:textId="57675BD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28.92</w:t>
            </w:r>
          </w:p>
        </w:tc>
        <w:tc>
          <w:tcPr>
            <w:tcW w:w="1530" w:type="dxa"/>
            <w:noWrap/>
            <w:vAlign w:val="top"/>
          </w:tcPr>
          <w:p w14:paraId="5880DBF7" w14:textId="281415C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59.5%</w:t>
            </w:r>
          </w:p>
        </w:tc>
        <w:tc>
          <w:tcPr>
            <w:tcW w:w="1440" w:type="dxa"/>
            <w:noWrap/>
            <w:vAlign w:val="top"/>
          </w:tcPr>
          <w:p w14:paraId="62837961" w14:textId="537A409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24.87</w:t>
            </w:r>
          </w:p>
        </w:tc>
        <w:tc>
          <w:tcPr>
            <w:tcW w:w="1440" w:type="dxa"/>
            <w:noWrap/>
            <w:vAlign w:val="top"/>
          </w:tcPr>
          <w:p w14:paraId="68D47898" w14:textId="47C4CBF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42.64</w:t>
            </w:r>
          </w:p>
        </w:tc>
        <w:tc>
          <w:tcPr>
            <w:tcW w:w="1440" w:type="dxa"/>
            <w:noWrap/>
            <w:vAlign w:val="top"/>
          </w:tcPr>
          <w:p w14:paraId="3A2350D0" w14:textId="552097F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58.3%</w:t>
            </w:r>
          </w:p>
        </w:tc>
      </w:tr>
      <w:tr w:rsidR="00AF5B5B" w:rsidRPr="006253A9" w14:paraId="6D20F60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99B5CA9"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0340</w:t>
            </w:r>
          </w:p>
        </w:tc>
        <w:tc>
          <w:tcPr>
            <w:tcW w:w="2880" w:type="dxa"/>
            <w:noWrap/>
            <w:hideMark/>
          </w:tcPr>
          <w:p w14:paraId="283E790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Williamsburg</w:t>
            </w:r>
          </w:p>
        </w:tc>
        <w:tc>
          <w:tcPr>
            <w:tcW w:w="1479" w:type="dxa"/>
            <w:noWrap/>
            <w:vAlign w:val="top"/>
          </w:tcPr>
          <w:p w14:paraId="7FB55C13" w14:textId="7AD0669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3.36</w:t>
            </w:r>
          </w:p>
        </w:tc>
        <w:tc>
          <w:tcPr>
            <w:tcW w:w="1440" w:type="dxa"/>
            <w:noWrap/>
            <w:vAlign w:val="top"/>
          </w:tcPr>
          <w:p w14:paraId="6B9A4BFF" w14:textId="3FAD637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5.36</w:t>
            </w:r>
          </w:p>
        </w:tc>
        <w:tc>
          <w:tcPr>
            <w:tcW w:w="1530" w:type="dxa"/>
            <w:noWrap/>
            <w:vAlign w:val="top"/>
          </w:tcPr>
          <w:p w14:paraId="196262A9" w14:textId="65CCBFA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62.7%</w:t>
            </w:r>
          </w:p>
        </w:tc>
        <w:tc>
          <w:tcPr>
            <w:tcW w:w="1440" w:type="dxa"/>
            <w:noWrap/>
            <w:vAlign w:val="top"/>
          </w:tcPr>
          <w:p w14:paraId="6E6FABF5" w14:textId="2356E91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4.58</w:t>
            </w:r>
          </w:p>
        </w:tc>
        <w:tc>
          <w:tcPr>
            <w:tcW w:w="1440" w:type="dxa"/>
            <w:noWrap/>
            <w:vAlign w:val="top"/>
          </w:tcPr>
          <w:p w14:paraId="4D24C98B" w14:textId="306C6C4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8.61</w:t>
            </w:r>
          </w:p>
        </w:tc>
        <w:tc>
          <w:tcPr>
            <w:tcW w:w="1440" w:type="dxa"/>
            <w:noWrap/>
            <w:vAlign w:val="top"/>
          </w:tcPr>
          <w:p w14:paraId="1754B6EF" w14:textId="2665BAB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53.2%</w:t>
            </w:r>
          </w:p>
        </w:tc>
      </w:tr>
      <w:tr w:rsidR="00AF5B5B" w:rsidRPr="006253A9" w14:paraId="0499356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48AB39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0341</w:t>
            </w:r>
          </w:p>
        </w:tc>
        <w:tc>
          <w:tcPr>
            <w:tcW w:w="2880" w:type="dxa"/>
            <w:noWrap/>
            <w:hideMark/>
          </w:tcPr>
          <w:p w14:paraId="7819AF34"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Williamstown</w:t>
            </w:r>
          </w:p>
        </w:tc>
        <w:tc>
          <w:tcPr>
            <w:tcW w:w="1479" w:type="dxa"/>
            <w:noWrap/>
            <w:vAlign w:val="top"/>
          </w:tcPr>
          <w:p w14:paraId="0C6352EF" w14:textId="042E164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9.03</w:t>
            </w:r>
          </w:p>
        </w:tc>
        <w:tc>
          <w:tcPr>
            <w:tcW w:w="1440" w:type="dxa"/>
            <w:noWrap/>
            <w:vAlign w:val="top"/>
          </w:tcPr>
          <w:p w14:paraId="597143CF" w14:textId="21EEC97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15.70</w:t>
            </w:r>
          </w:p>
        </w:tc>
        <w:tc>
          <w:tcPr>
            <w:tcW w:w="1530" w:type="dxa"/>
            <w:noWrap/>
            <w:vAlign w:val="top"/>
          </w:tcPr>
          <w:p w14:paraId="694343BF" w14:textId="7EC16E5A"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57.5%</w:t>
            </w:r>
          </w:p>
        </w:tc>
        <w:tc>
          <w:tcPr>
            <w:tcW w:w="1440" w:type="dxa"/>
            <w:noWrap/>
            <w:vAlign w:val="top"/>
          </w:tcPr>
          <w:p w14:paraId="548AF7A3" w14:textId="452117C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12.05</w:t>
            </w:r>
          </w:p>
        </w:tc>
        <w:tc>
          <w:tcPr>
            <w:tcW w:w="1440" w:type="dxa"/>
            <w:noWrap/>
            <w:vAlign w:val="top"/>
          </w:tcPr>
          <w:p w14:paraId="724B0EB7" w14:textId="243A3AC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21.49</w:t>
            </w:r>
          </w:p>
        </w:tc>
        <w:tc>
          <w:tcPr>
            <w:tcW w:w="1440" w:type="dxa"/>
            <w:noWrap/>
            <w:vAlign w:val="top"/>
          </w:tcPr>
          <w:p w14:paraId="44806EE7" w14:textId="292D5F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56.1%</w:t>
            </w:r>
          </w:p>
        </w:tc>
      </w:tr>
      <w:tr w:rsidR="00AF5B5B" w:rsidRPr="006253A9" w14:paraId="3F006B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4A19F5C"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0342</w:t>
            </w:r>
          </w:p>
        </w:tc>
        <w:tc>
          <w:tcPr>
            <w:tcW w:w="2880" w:type="dxa"/>
            <w:noWrap/>
            <w:hideMark/>
          </w:tcPr>
          <w:p w14:paraId="476B4D1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Wilmington</w:t>
            </w:r>
          </w:p>
        </w:tc>
        <w:tc>
          <w:tcPr>
            <w:tcW w:w="1479" w:type="dxa"/>
            <w:noWrap/>
            <w:vAlign w:val="top"/>
          </w:tcPr>
          <w:p w14:paraId="7A791576" w14:textId="7EEDD81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36.96</w:t>
            </w:r>
          </w:p>
        </w:tc>
        <w:tc>
          <w:tcPr>
            <w:tcW w:w="1440" w:type="dxa"/>
            <w:noWrap/>
            <w:vAlign w:val="top"/>
          </w:tcPr>
          <w:p w14:paraId="12395338" w14:textId="6595A6D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71.78</w:t>
            </w:r>
          </w:p>
        </w:tc>
        <w:tc>
          <w:tcPr>
            <w:tcW w:w="1530" w:type="dxa"/>
            <w:noWrap/>
            <w:vAlign w:val="top"/>
          </w:tcPr>
          <w:p w14:paraId="3C3A4EDB" w14:textId="645D39E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51.5%</w:t>
            </w:r>
          </w:p>
        </w:tc>
        <w:tc>
          <w:tcPr>
            <w:tcW w:w="1440" w:type="dxa"/>
            <w:noWrap/>
            <w:vAlign w:val="top"/>
          </w:tcPr>
          <w:p w14:paraId="23EFF44A" w14:textId="3A93335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58.68</w:t>
            </w:r>
          </w:p>
        </w:tc>
        <w:tc>
          <w:tcPr>
            <w:tcW w:w="1440" w:type="dxa"/>
            <w:noWrap/>
            <w:vAlign w:val="top"/>
          </w:tcPr>
          <w:p w14:paraId="477B6E5C" w14:textId="5A3BD83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118.82</w:t>
            </w:r>
          </w:p>
        </w:tc>
        <w:tc>
          <w:tcPr>
            <w:tcW w:w="1440" w:type="dxa"/>
            <w:noWrap/>
            <w:vAlign w:val="top"/>
          </w:tcPr>
          <w:p w14:paraId="65459117" w14:textId="2F8979B9"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49.4%</w:t>
            </w:r>
          </w:p>
        </w:tc>
      </w:tr>
      <w:tr w:rsidR="00AF5B5B" w:rsidRPr="006253A9" w14:paraId="12FD120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E34B041"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0343</w:t>
            </w:r>
          </w:p>
        </w:tc>
        <w:tc>
          <w:tcPr>
            <w:tcW w:w="2880" w:type="dxa"/>
            <w:noWrap/>
            <w:hideMark/>
          </w:tcPr>
          <w:p w14:paraId="165A6F1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Winchendon</w:t>
            </w:r>
          </w:p>
        </w:tc>
        <w:tc>
          <w:tcPr>
            <w:tcW w:w="1479" w:type="dxa"/>
            <w:noWrap/>
            <w:vAlign w:val="top"/>
          </w:tcPr>
          <w:p w14:paraId="266508D8" w14:textId="1331509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15.19</w:t>
            </w:r>
          </w:p>
        </w:tc>
        <w:tc>
          <w:tcPr>
            <w:tcW w:w="1440" w:type="dxa"/>
            <w:noWrap/>
            <w:vAlign w:val="top"/>
          </w:tcPr>
          <w:p w14:paraId="0D111C7D" w14:textId="5595312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25.48</w:t>
            </w:r>
          </w:p>
        </w:tc>
        <w:tc>
          <w:tcPr>
            <w:tcW w:w="1530" w:type="dxa"/>
            <w:noWrap/>
            <w:vAlign w:val="top"/>
          </w:tcPr>
          <w:p w14:paraId="647EAEF7" w14:textId="7461BBE4"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59.6%</w:t>
            </w:r>
          </w:p>
        </w:tc>
        <w:tc>
          <w:tcPr>
            <w:tcW w:w="1440" w:type="dxa"/>
            <w:noWrap/>
            <w:vAlign w:val="top"/>
          </w:tcPr>
          <w:p w14:paraId="6B0B257A" w14:textId="090CCEB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17.20</w:t>
            </w:r>
          </w:p>
        </w:tc>
        <w:tc>
          <w:tcPr>
            <w:tcW w:w="1440" w:type="dxa"/>
            <w:noWrap/>
            <w:vAlign w:val="top"/>
          </w:tcPr>
          <w:p w14:paraId="25A99ACE" w14:textId="0E851A2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30.79</w:t>
            </w:r>
          </w:p>
        </w:tc>
        <w:tc>
          <w:tcPr>
            <w:tcW w:w="1440" w:type="dxa"/>
            <w:noWrap/>
            <w:vAlign w:val="top"/>
          </w:tcPr>
          <w:p w14:paraId="76A49072" w14:textId="1FE9DFB5"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55.9%</w:t>
            </w:r>
          </w:p>
        </w:tc>
      </w:tr>
      <w:tr w:rsidR="00AF5B5B" w:rsidRPr="006253A9" w14:paraId="705527B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1A8CDCB"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0344</w:t>
            </w:r>
          </w:p>
        </w:tc>
        <w:tc>
          <w:tcPr>
            <w:tcW w:w="2880" w:type="dxa"/>
            <w:noWrap/>
            <w:hideMark/>
          </w:tcPr>
          <w:p w14:paraId="13EBA0EB"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Winchester</w:t>
            </w:r>
          </w:p>
        </w:tc>
        <w:tc>
          <w:tcPr>
            <w:tcW w:w="1479" w:type="dxa"/>
            <w:noWrap/>
            <w:vAlign w:val="top"/>
          </w:tcPr>
          <w:p w14:paraId="51890560" w14:textId="7C10FC5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38.34</w:t>
            </w:r>
          </w:p>
        </w:tc>
        <w:tc>
          <w:tcPr>
            <w:tcW w:w="1440" w:type="dxa"/>
            <w:noWrap/>
            <w:vAlign w:val="top"/>
          </w:tcPr>
          <w:p w14:paraId="10A021F3" w14:textId="71018394"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81.28</w:t>
            </w:r>
          </w:p>
        </w:tc>
        <w:tc>
          <w:tcPr>
            <w:tcW w:w="1530" w:type="dxa"/>
            <w:noWrap/>
            <w:vAlign w:val="top"/>
          </w:tcPr>
          <w:p w14:paraId="6A43143B" w14:textId="44A24F0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c>
          <w:tcPr>
            <w:tcW w:w="1440" w:type="dxa"/>
            <w:noWrap/>
            <w:vAlign w:val="top"/>
          </w:tcPr>
          <w:p w14:paraId="2A6C1B0A" w14:textId="0EC2D9A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61.54</w:t>
            </w:r>
          </w:p>
        </w:tc>
        <w:tc>
          <w:tcPr>
            <w:tcW w:w="1440" w:type="dxa"/>
            <w:noWrap/>
            <w:vAlign w:val="top"/>
          </w:tcPr>
          <w:p w14:paraId="10560EED" w14:textId="63E2F1A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131.66</w:t>
            </w:r>
          </w:p>
        </w:tc>
        <w:tc>
          <w:tcPr>
            <w:tcW w:w="1440" w:type="dxa"/>
            <w:noWrap/>
            <w:vAlign w:val="top"/>
          </w:tcPr>
          <w:p w14:paraId="508747BA" w14:textId="0A151886"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46.7%</w:t>
            </w:r>
          </w:p>
        </w:tc>
      </w:tr>
      <w:tr w:rsidR="00AF5B5B" w:rsidRPr="006253A9" w14:paraId="535487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0DE209C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0345</w:t>
            </w:r>
          </w:p>
        </w:tc>
        <w:tc>
          <w:tcPr>
            <w:tcW w:w="2880" w:type="dxa"/>
            <w:noWrap/>
            <w:hideMark/>
          </w:tcPr>
          <w:p w14:paraId="339EC16F"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Windsor</w:t>
            </w:r>
          </w:p>
        </w:tc>
        <w:tc>
          <w:tcPr>
            <w:tcW w:w="1479" w:type="dxa"/>
            <w:noWrap/>
            <w:vAlign w:val="top"/>
          </w:tcPr>
          <w:p w14:paraId="6C6F8F7F" w14:textId="39F324B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0.96</w:t>
            </w:r>
          </w:p>
        </w:tc>
        <w:tc>
          <w:tcPr>
            <w:tcW w:w="1440" w:type="dxa"/>
            <w:noWrap/>
            <w:vAlign w:val="top"/>
          </w:tcPr>
          <w:p w14:paraId="0EE0E29E" w14:textId="3090DE6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1.63</w:t>
            </w:r>
          </w:p>
        </w:tc>
        <w:tc>
          <w:tcPr>
            <w:tcW w:w="1530" w:type="dxa"/>
            <w:noWrap/>
            <w:vAlign w:val="top"/>
          </w:tcPr>
          <w:p w14:paraId="64627507" w14:textId="03FF3CB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58.8%</w:t>
            </w:r>
          </w:p>
        </w:tc>
        <w:tc>
          <w:tcPr>
            <w:tcW w:w="1440" w:type="dxa"/>
            <w:noWrap/>
            <w:vAlign w:val="top"/>
          </w:tcPr>
          <w:p w14:paraId="30307F23" w14:textId="415C26D8"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0.98</w:t>
            </w:r>
          </w:p>
        </w:tc>
        <w:tc>
          <w:tcPr>
            <w:tcW w:w="1440" w:type="dxa"/>
            <w:noWrap/>
            <w:vAlign w:val="top"/>
          </w:tcPr>
          <w:p w14:paraId="4F8A2347" w14:textId="638B9E6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2.47</w:t>
            </w:r>
          </w:p>
        </w:tc>
        <w:tc>
          <w:tcPr>
            <w:tcW w:w="1440" w:type="dxa"/>
            <w:noWrap/>
            <w:vAlign w:val="top"/>
          </w:tcPr>
          <w:p w14:paraId="0178322A" w14:textId="3233A693"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39.8%</w:t>
            </w:r>
          </w:p>
        </w:tc>
      </w:tr>
      <w:tr w:rsidR="00AF5B5B" w:rsidRPr="006253A9" w14:paraId="0D2AFE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6CE35DE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0346</w:t>
            </w:r>
          </w:p>
        </w:tc>
        <w:tc>
          <w:tcPr>
            <w:tcW w:w="2880" w:type="dxa"/>
            <w:noWrap/>
            <w:hideMark/>
          </w:tcPr>
          <w:p w14:paraId="69979A19"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Winthrop</w:t>
            </w:r>
          </w:p>
        </w:tc>
        <w:tc>
          <w:tcPr>
            <w:tcW w:w="1479" w:type="dxa"/>
            <w:noWrap/>
            <w:vAlign w:val="top"/>
          </w:tcPr>
          <w:p w14:paraId="77FFB015" w14:textId="06665B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18.47</w:t>
            </w:r>
          </w:p>
        </w:tc>
        <w:tc>
          <w:tcPr>
            <w:tcW w:w="1440" w:type="dxa"/>
            <w:noWrap/>
            <w:vAlign w:val="top"/>
          </w:tcPr>
          <w:p w14:paraId="27131143" w14:textId="4156E90E"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38.53</w:t>
            </w:r>
          </w:p>
        </w:tc>
        <w:tc>
          <w:tcPr>
            <w:tcW w:w="1530" w:type="dxa"/>
            <w:noWrap/>
            <w:vAlign w:val="top"/>
          </w:tcPr>
          <w:p w14:paraId="218A0617" w14:textId="735DDCCE"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47.9%</w:t>
            </w:r>
          </w:p>
        </w:tc>
        <w:tc>
          <w:tcPr>
            <w:tcW w:w="1440" w:type="dxa"/>
            <w:noWrap/>
            <w:vAlign w:val="top"/>
          </w:tcPr>
          <w:p w14:paraId="47187686" w14:textId="7D64BC59"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25.48</w:t>
            </w:r>
          </w:p>
        </w:tc>
        <w:tc>
          <w:tcPr>
            <w:tcW w:w="1440" w:type="dxa"/>
            <w:noWrap/>
            <w:vAlign w:val="top"/>
          </w:tcPr>
          <w:p w14:paraId="1087C82D" w14:textId="7199C7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57.38</w:t>
            </w:r>
          </w:p>
        </w:tc>
        <w:tc>
          <w:tcPr>
            <w:tcW w:w="1440" w:type="dxa"/>
            <w:noWrap/>
            <w:vAlign w:val="top"/>
          </w:tcPr>
          <w:p w14:paraId="4417237D" w14:textId="02DDFAB0"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44.4%</w:t>
            </w:r>
          </w:p>
        </w:tc>
      </w:tr>
      <w:tr w:rsidR="00AF5B5B" w:rsidRPr="006253A9" w14:paraId="2AAC187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580CF8F"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0347</w:t>
            </w:r>
          </w:p>
        </w:tc>
        <w:tc>
          <w:tcPr>
            <w:tcW w:w="2880" w:type="dxa"/>
            <w:noWrap/>
            <w:hideMark/>
          </w:tcPr>
          <w:p w14:paraId="79A78846"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Woburn</w:t>
            </w:r>
          </w:p>
        </w:tc>
        <w:tc>
          <w:tcPr>
            <w:tcW w:w="1479" w:type="dxa"/>
            <w:noWrap/>
            <w:vAlign w:val="top"/>
          </w:tcPr>
          <w:p w14:paraId="2B23D1C7" w14:textId="6EDBEF9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54.13</w:t>
            </w:r>
          </w:p>
        </w:tc>
        <w:tc>
          <w:tcPr>
            <w:tcW w:w="1440" w:type="dxa"/>
            <w:noWrap/>
            <w:vAlign w:val="top"/>
          </w:tcPr>
          <w:p w14:paraId="18338BF3" w14:textId="6E8350E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115.90</w:t>
            </w:r>
          </w:p>
        </w:tc>
        <w:tc>
          <w:tcPr>
            <w:tcW w:w="1530" w:type="dxa"/>
            <w:noWrap/>
            <w:vAlign w:val="top"/>
          </w:tcPr>
          <w:p w14:paraId="0C8C95CA" w14:textId="71246DCD"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46.7%</w:t>
            </w:r>
          </w:p>
        </w:tc>
        <w:tc>
          <w:tcPr>
            <w:tcW w:w="1440" w:type="dxa"/>
            <w:noWrap/>
            <w:vAlign w:val="top"/>
          </w:tcPr>
          <w:p w14:paraId="085B15D1" w14:textId="01B66AD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78.69</w:t>
            </w:r>
          </w:p>
        </w:tc>
        <w:tc>
          <w:tcPr>
            <w:tcW w:w="1440" w:type="dxa"/>
            <w:noWrap/>
            <w:vAlign w:val="top"/>
          </w:tcPr>
          <w:p w14:paraId="2960A594" w14:textId="41334EE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157.90</w:t>
            </w:r>
          </w:p>
        </w:tc>
        <w:tc>
          <w:tcPr>
            <w:tcW w:w="1440" w:type="dxa"/>
            <w:noWrap/>
            <w:vAlign w:val="top"/>
          </w:tcPr>
          <w:p w14:paraId="7BBCF082" w14:textId="4198C8B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49.8%</w:t>
            </w:r>
          </w:p>
        </w:tc>
      </w:tr>
      <w:tr w:rsidR="00AF5B5B" w:rsidRPr="006253A9" w14:paraId="21B3F73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27339A53"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0348</w:t>
            </w:r>
          </w:p>
        </w:tc>
        <w:tc>
          <w:tcPr>
            <w:tcW w:w="2880" w:type="dxa"/>
            <w:noWrap/>
            <w:hideMark/>
          </w:tcPr>
          <w:p w14:paraId="01B416C2"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Worcester</w:t>
            </w:r>
          </w:p>
        </w:tc>
        <w:tc>
          <w:tcPr>
            <w:tcW w:w="1479" w:type="dxa"/>
            <w:noWrap/>
            <w:vAlign w:val="top"/>
          </w:tcPr>
          <w:p w14:paraId="74D9B138" w14:textId="27D027B0"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246.82</w:t>
            </w:r>
          </w:p>
        </w:tc>
        <w:tc>
          <w:tcPr>
            <w:tcW w:w="1440" w:type="dxa"/>
            <w:noWrap/>
            <w:vAlign w:val="top"/>
          </w:tcPr>
          <w:p w14:paraId="5E7099A5" w14:textId="53257772"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522.89</w:t>
            </w:r>
          </w:p>
        </w:tc>
        <w:tc>
          <w:tcPr>
            <w:tcW w:w="1530" w:type="dxa"/>
            <w:noWrap/>
            <w:vAlign w:val="top"/>
          </w:tcPr>
          <w:p w14:paraId="20C339DE" w14:textId="23F1AC0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47.2%</w:t>
            </w:r>
          </w:p>
        </w:tc>
        <w:tc>
          <w:tcPr>
            <w:tcW w:w="1440" w:type="dxa"/>
            <w:noWrap/>
            <w:vAlign w:val="top"/>
          </w:tcPr>
          <w:p w14:paraId="7C8FB4D7" w14:textId="09921145"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356.76</w:t>
            </w:r>
          </w:p>
        </w:tc>
        <w:tc>
          <w:tcPr>
            <w:tcW w:w="1440" w:type="dxa"/>
            <w:noWrap/>
            <w:vAlign w:val="top"/>
          </w:tcPr>
          <w:p w14:paraId="301988FA" w14:textId="685814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730.40</w:t>
            </w:r>
          </w:p>
        </w:tc>
        <w:tc>
          <w:tcPr>
            <w:tcW w:w="1440" w:type="dxa"/>
            <w:noWrap/>
            <w:vAlign w:val="top"/>
          </w:tcPr>
          <w:p w14:paraId="5EA8B5CF" w14:textId="11543D98"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48.8%</w:t>
            </w:r>
          </w:p>
        </w:tc>
      </w:tr>
      <w:tr w:rsidR="00AF5B5B" w:rsidRPr="006253A9" w14:paraId="706E37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101F17CD"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0349</w:t>
            </w:r>
          </w:p>
        </w:tc>
        <w:tc>
          <w:tcPr>
            <w:tcW w:w="2880" w:type="dxa"/>
            <w:noWrap/>
            <w:hideMark/>
          </w:tcPr>
          <w:p w14:paraId="13E0D6C3"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Worthington</w:t>
            </w:r>
          </w:p>
        </w:tc>
        <w:tc>
          <w:tcPr>
            <w:tcW w:w="1479" w:type="dxa"/>
            <w:noWrap/>
            <w:vAlign w:val="top"/>
          </w:tcPr>
          <w:p w14:paraId="339BAEAA" w14:textId="0CEE975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1.49</w:t>
            </w:r>
          </w:p>
        </w:tc>
        <w:tc>
          <w:tcPr>
            <w:tcW w:w="1440" w:type="dxa"/>
            <w:noWrap/>
            <w:vAlign w:val="top"/>
          </w:tcPr>
          <w:p w14:paraId="76886F98" w14:textId="35E92D1F"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2.53</w:t>
            </w:r>
          </w:p>
        </w:tc>
        <w:tc>
          <w:tcPr>
            <w:tcW w:w="1530" w:type="dxa"/>
            <w:noWrap/>
            <w:vAlign w:val="top"/>
          </w:tcPr>
          <w:p w14:paraId="6B2E1121" w14:textId="12C1DB17"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59.1%</w:t>
            </w:r>
          </w:p>
        </w:tc>
        <w:tc>
          <w:tcPr>
            <w:tcW w:w="1440" w:type="dxa"/>
            <w:noWrap/>
            <w:vAlign w:val="top"/>
          </w:tcPr>
          <w:p w14:paraId="61540304" w14:textId="165D3F2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1.87</w:t>
            </w:r>
          </w:p>
        </w:tc>
        <w:tc>
          <w:tcPr>
            <w:tcW w:w="1440" w:type="dxa"/>
            <w:noWrap/>
            <w:vAlign w:val="top"/>
          </w:tcPr>
          <w:p w14:paraId="6F049D2C" w14:textId="351640E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4.37</w:t>
            </w:r>
          </w:p>
        </w:tc>
        <w:tc>
          <w:tcPr>
            <w:tcW w:w="1440" w:type="dxa"/>
            <w:noWrap/>
            <w:vAlign w:val="top"/>
          </w:tcPr>
          <w:p w14:paraId="1F0E9055" w14:textId="496443A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42.8%</w:t>
            </w:r>
          </w:p>
        </w:tc>
      </w:tr>
      <w:tr w:rsidR="00AF5B5B" w:rsidRPr="006253A9" w14:paraId="664331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4F5B8D44"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0350</w:t>
            </w:r>
          </w:p>
        </w:tc>
        <w:tc>
          <w:tcPr>
            <w:tcW w:w="2880" w:type="dxa"/>
            <w:noWrap/>
            <w:hideMark/>
          </w:tcPr>
          <w:p w14:paraId="06474F3C"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Wrentham</w:t>
            </w:r>
          </w:p>
        </w:tc>
        <w:tc>
          <w:tcPr>
            <w:tcW w:w="1479" w:type="dxa"/>
            <w:noWrap/>
            <w:vAlign w:val="top"/>
          </w:tcPr>
          <w:p w14:paraId="78B768FD" w14:textId="672DB7BB"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15.82</w:t>
            </w:r>
          </w:p>
        </w:tc>
        <w:tc>
          <w:tcPr>
            <w:tcW w:w="1440" w:type="dxa"/>
            <w:noWrap/>
            <w:vAlign w:val="top"/>
          </w:tcPr>
          <w:p w14:paraId="2F43BAF5" w14:textId="57B55D3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30.08</w:t>
            </w:r>
          </w:p>
        </w:tc>
        <w:tc>
          <w:tcPr>
            <w:tcW w:w="1530" w:type="dxa"/>
            <w:noWrap/>
            <w:vAlign w:val="top"/>
          </w:tcPr>
          <w:p w14:paraId="54680505" w14:textId="5A462E42"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52.6%</w:t>
            </w:r>
          </w:p>
        </w:tc>
        <w:tc>
          <w:tcPr>
            <w:tcW w:w="1440" w:type="dxa"/>
            <w:noWrap/>
            <w:vAlign w:val="top"/>
          </w:tcPr>
          <w:p w14:paraId="35957D9D" w14:textId="58FC830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25.51</w:t>
            </w:r>
          </w:p>
        </w:tc>
        <w:tc>
          <w:tcPr>
            <w:tcW w:w="1440" w:type="dxa"/>
            <w:noWrap/>
            <w:vAlign w:val="top"/>
          </w:tcPr>
          <w:p w14:paraId="4300BFFC" w14:textId="0232A4BC"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45.79</w:t>
            </w:r>
          </w:p>
        </w:tc>
        <w:tc>
          <w:tcPr>
            <w:tcW w:w="1440" w:type="dxa"/>
            <w:noWrap/>
            <w:vAlign w:val="top"/>
          </w:tcPr>
          <w:p w14:paraId="0ED1F91F" w14:textId="0053A2DF"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55.7%</w:t>
            </w:r>
          </w:p>
        </w:tc>
      </w:tr>
      <w:tr w:rsidR="00AF5B5B" w:rsidRPr="006253A9" w14:paraId="070FBD9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677" w:type="dxa"/>
            <w:noWrap/>
            <w:hideMark/>
          </w:tcPr>
          <w:p w14:paraId="3ADCD9CE" w14:textId="77777777" w:rsidR="0022659D" w:rsidRPr="006253A9" w:rsidRDefault="0022659D" w:rsidP="0022659D">
            <w:pPr>
              <w:rPr>
                <w:rFonts w:ascii="Calibri" w:hAnsi="Calibri" w:cs="Calibri"/>
                <w:color w:val="000000"/>
                <w:sz w:val="22"/>
                <w:szCs w:val="22"/>
              </w:rPr>
            </w:pPr>
            <w:r w:rsidRPr="006253A9">
              <w:rPr>
                <w:rFonts w:ascii="Calibri" w:hAnsi="Calibri" w:cs="Calibri"/>
                <w:color w:val="000000"/>
                <w:sz w:val="22"/>
                <w:szCs w:val="22"/>
              </w:rPr>
              <w:t>0351</w:t>
            </w:r>
          </w:p>
        </w:tc>
        <w:tc>
          <w:tcPr>
            <w:tcW w:w="2880" w:type="dxa"/>
            <w:noWrap/>
            <w:hideMark/>
          </w:tcPr>
          <w:p w14:paraId="459C8A9A" w14:textId="77777777" w:rsidR="0022659D" w:rsidRPr="006253A9" w:rsidRDefault="0022659D" w:rsidP="0022659D">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253A9">
              <w:rPr>
                <w:rFonts w:ascii="Calibri" w:hAnsi="Calibri" w:cs="Calibri"/>
                <w:color w:val="000000"/>
                <w:sz w:val="22"/>
                <w:szCs w:val="22"/>
              </w:rPr>
              <w:t>Yarmouth</w:t>
            </w:r>
          </w:p>
        </w:tc>
        <w:tc>
          <w:tcPr>
            <w:tcW w:w="1479" w:type="dxa"/>
            <w:noWrap/>
            <w:vAlign w:val="top"/>
          </w:tcPr>
          <w:p w14:paraId="217E1CD3" w14:textId="30063731"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22.18</w:t>
            </w:r>
          </w:p>
        </w:tc>
        <w:tc>
          <w:tcPr>
            <w:tcW w:w="1440" w:type="dxa"/>
            <w:noWrap/>
            <w:vAlign w:val="top"/>
          </w:tcPr>
          <w:p w14:paraId="7E248D2F" w14:textId="41CDC8D3"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53.89</w:t>
            </w:r>
          </w:p>
        </w:tc>
        <w:tc>
          <w:tcPr>
            <w:tcW w:w="1530" w:type="dxa"/>
            <w:noWrap/>
            <w:vAlign w:val="top"/>
          </w:tcPr>
          <w:p w14:paraId="5B494FAA" w14:textId="62825CC1"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41.2%</w:t>
            </w:r>
          </w:p>
        </w:tc>
        <w:tc>
          <w:tcPr>
            <w:tcW w:w="1440" w:type="dxa"/>
            <w:noWrap/>
            <w:vAlign w:val="top"/>
          </w:tcPr>
          <w:p w14:paraId="268215E2" w14:textId="6B09BF76"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36.38</w:t>
            </w:r>
          </w:p>
        </w:tc>
        <w:tc>
          <w:tcPr>
            <w:tcW w:w="1440" w:type="dxa"/>
            <w:noWrap/>
            <w:vAlign w:val="top"/>
          </w:tcPr>
          <w:p w14:paraId="678E52DF" w14:textId="3C7DC077" w:rsidR="0022659D" w:rsidRPr="00BF34F6" w:rsidRDefault="00502751"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w:t>
            </w:r>
            <w:r w:rsidR="003A7C6F" w:rsidRPr="00BF34F6">
              <w:rPr>
                <w:rFonts w:asciiTheme="minorHAnsi" w:hAnsiTheme="minorHAnsi" w:cstheme="minorHAnsi"/>
                <w:sz w:val="22"/>
                <w:szCs w:val="22"/>
              </w:rPr>
              <w:t>80.44</w:t>
            </w:r>
          </w:p>
        </w:tc>
        <w:tc>
          <w:tcPr>
            <w:tcW w:w="1440" w:type="dxa"/>
            <w:noWrap/>
            <w:vAlign w:val="top"/>
          </w:tcPr>
          <w:p w14:paraId="5A0E11B2" w14:textId="17D0610B" w:rsidR="0022659D" w:rsidRPr="00BF34F6" w:rsidRDefault="003A7C6F" w:rsidP="0022659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BF34F6">
              <w:rPr>
                <w:rFonts w:asciiTheme="minorHAnsi" w:hAnsiTheme="minorHAnsi" w:cstheme="minorHAnsi"/>
                <w:sz w:val="22"/>
                <w:szCs w:val="22"/>
              </w:rPr>
              <w:t>45.2%</w:t>
            </w:r>
          </w:p>
        </w:tc>
      </w:tr>
    </w:tbl>
    <w:p w14:paraId="4475B0F4" w14:textId="77777777" w:rsidR="0010518F" w:rsidRDefault="0010518F" w:rsidP="002C37D0"/>
    <w:p w14:paraId="3802523B" w14:textId="77777777" w:rsidR="00347CA6" w:rsidRDefault="0010518F" w:rsidP="00347CA6">
      <w:r>
        <w:t xml:space="preserve">Note: </w:t>
      </w:r>
      <w:r w:rsidR="00347CA6">
        <w:t>The education spending in Appendix B includes spending categories that meet the net school spending requirements of the</w:t>
      </w:r>
    </w:p>
    <w:p w14:paraId="50D29C1D" w14:textId="77777777" w:rsidR="00347CA6" w:rsidRDefault="00347CA6" w:rsidP="00347CA6">
      <w:r>
        <w:t>Chapter 70 program, which excludes transportation and capital costs. This amount is included in both the education spending and</w:t>
      </w:r>
    </w:p>
    <w:p w14:paraId="19F00F4A" w14:textId="5BE7A62A" w:rsidR="002C37D0" w:rsidRDefault="00347CA6" w:rsidP="00347CA6">
      <w:r>
        <w:t>total general fund spending columns</w:t>
      </w:r>
      <w:r w:rsidR="0081408B">
        <w:t xml:space="preserve"> for each city and town</w:t>
      </w:r>
      <w:r>
        <w:t>.</w:t>
      </w:r>
      <w:r w:rsidR="002C37D0">
        <w:br w:type="page"/>
      </w:r>
    </w:p>
    <w:p w14:paraId="526B4601" w14:textId="74787C65" w:rsidR="002C37D0" w:rsidRPr="00411156" w:rsidRDefault="002C37D0" w:rsidP="002C37D0">
      <w:pPr>
        <w:keepNext/>
        <w:spacing w:before="280" w:after="120"/>
        <w:outlineLvl w:val="0"/>
        <w:rPr>
          <w:rFonts w:ascii="Arial" w:hAnsi="Arial" w:cs="Arial"/>
          <w:b/>
          <w:bCs/>
          <w:kern w:val="32"/>
          <w:sz w:val="32"/>
          <w:szCs w:val="32"/>
          <w:lang w:bidi="en-US"/>
        </w:rPr>
      </w:pPr>
      <w:bookmarkStart w:id="36" w:name="_Toc57725138"/>
      <w:r w:rsidRPr="00411156">
        <w:rPr>
          <w:rFonts w:ascii="Arial" w:hAnsi="Arial" w:cs="Arial"/>
          <w:b/>
          <w:bCs/>
          <w:kern w:val="32"/>
          <w:sz w:val="32"/>
          <w:szCs w:val="32"/>
          <w:lang w:bidi="en-US"/>
        </w:rPr>
        <w:lastRenderedPageBreak/>
        <w:t>Appendix</w:t>
      </w:r>
      <w:r>
        <w:rPr>
          <w:rFonts w:ascii="Arial" w:hAnsi="Arial" w:cs="Arial"/>
          <w:b/>
          <w:bCs/>
          <w:kern w:val="32"/>
          <w:sz w:val="32"/>
          <w:szCs w:val="32"/>
          <w:lang w:bidi="en-US"/>
        </w:rPr>
        <w:t xml:space="preserve"> </w:t>
      </w:r>
      <w:r w:rsidR="00CC7AA1">
        <w:rPr>
          <w:rFonts w:ascii="Arial" w:hAnsi="Arial" w:cs="Arial"/>
          <w:b/>
          <w:bCs/>
          <w:kern w:val="32"/>
          <w:sz w:val="32"/>
          <w:szCs w:val="32"/>
          <w:lang w:bidi="en-US"/>
        </w:rPr>
        <w:t>C:</w:t>
      </w:r>
      <w:r w:rsidR="00737628">
        <w:rPr>
          <w:rFonts w:ascii="Arial" w:hAnsi="Arial" w:cs="Arial"/>
          <w:b/>
          <w:bCs/>
          <w:kern w:val="32"/>
          <w:sz w:val="32"/>
          <w:szCs w:val="32"/>
          <w:lang w:bidi="en-US"/>
        </w:rPr>
        <w:t xml:space="preserve"> District Chapter 70 data</w:t>
      </w:r>
      <w:bookmarkEnd w:id="36"/>
    </w:p>
    <w:tbl>
      <w:tblPr>
        <w:tblStyle w:val="ESETablesGridStyle"/>
        <w:tblW w:w="21060" w:type="dxa"/>
        <w:tblLook w:val="04A0" w:firstRow="1" w:lastRow="0" w:firstColumn="1" w:lastColumn="0" w:noHBand="0" w:noVBand="1"/>
      </w:tblPr>
      <w:tblGrid>
        <w:gridCol w:w="747"/>
        <w:gridCol w:w="2880"/>
        <w:gridCol w:w="1148"/>
        <w:gridCol w:w="1786"/>
        <w:gridCol w:w="1786"/>
        <w:gridCol w:w="901"/>
        <w:gridCol w:w="1374"/>
        <w:gridCol w:w="1602"/>
        <w:gridCol w:w="1264"/>
        <w:gridCol w:w="1909"/>
        <w:gridCol w:w="1786"/>
        <w:gridCol w:w="901"/>
        <w:gridCol w:w="1374"/>
        <w:gridCol w:w="1602"/>
      </w:tblGrid>
      <w:tr w:rsidR="00BC2A1C" w:rsidRPr="008C6E34" w14:paraId="5505979A" w14:textId="77777777" w:rsidTr="002076D5">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747" w:type="dxa"/>
            <w:noWrap/>
          </w:tcPr>
          <w:p w14:paraId="5AF29621" w14:textId="77777777" w:rsidR="00BC2A1C" w:rsidRPr="00BC2A1C" w:rsidRDefault="00BC2A1C" w:rsidP="008C6E34">
            <w:pPr>
              <w:jc w:val="center"/>
              <w:rPr>
                <w:rFonts w:ascii="Calibri" w:hAnsi="Calibri" w:cs="Calibri"/>
                <w:b w:val="0"/>
                <w:bCs/>
                <w:color w:val="000000"/>
                <w:sz w:val="22"/>
                <w:szCs w:val="22"/>
              </w:rPr>
            </w:pPr>
          </w:p>
        </w:tc>
        <w:tc>
          <w:tcPr>
            <w:tcW w:w="2880" w:type="dxa"/>
            <w:noWrap/>
          </w:tcPr>
          <w:p w14:paraId="27764555" w14:textId="77777777" w:rsidR="00BC2A1C" w:rsidRPr="00BC2A1C" w:rsidRDefault="00BC2A1C" w:rsidP="008C6E34">
            <w:pPr>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000000"/>
                <w:sz w:val="22"/>
                <w:szCs w:val="22"/>
              </w:rPr>
            </w:pPr>
          </w:p>
        </w:tc>
        <w:tc>
          <w:tcPr>
            <w:tcW w:w="8597" w:type="dxa"/>
            <w:gridSpan w:val="6"/>
            <w:tcBorders>
              <w:bottom w:val="single" w:sz="4" w:space="0" w:color="auto"/>
            </w:tcBorders>
            <w:noWrap/>
          </w:tcPr>
          <w:p w14:paraId="17EFC4E3" w14:textId="34BCB66E" w:rsidR="00BC2A1C" w:rsidRPr="00EE30BC" w:rsidRDefault="00BC2A1C" w:rsidP="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0396D">
              <w:rPr>
                <w:rFonts w:ascii="Calibri" w:hAnsi="Calibri" w:cs="Calibri"/>
                <w:color w:val="000000"/>
                <w:sz w:val="22"/>
                <w:szCs w:val="22"/>
              </w:rPr>
              <w:t>FY07</w:t>
            </w:r>
          </w:p>
        </w:tc>
        <w:tc>
          <w:tcPr>
            <w:tcW w:w="8836" w:type="dxa"/>
            <w:gridSpan w:val="6"/>
            <w:tcBorders>
              <w:bottom w:val="single" w:sz="4" w:space="0" w:color="auto"/>
            </w:tcBorders>
            <w:noWrap/>
          </w:tcPr>
          <w:p w14:paraId="248D1FB1" w14:textId="04F4A49E" w:rsidR="00BC2A1C" w:rsidRPr="00EE30BC" w:rsidRDefault="00C666AF" w:rsidP="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0396D">
              <w:rPr>
                <w:rFonts w:ascii="Calibri" w:hAnsi="Calibri" w:cs="Calibri"/>
                <w:color w:val="000000"/>
                <w:sz w:val="22"/>
                <w:szCs w:val="22"/>
              </w:rPr>
              <w:t>FY20</w:t>
            </w:r>
          </w:p>
        </w:tc>
      </w:tr>
      <w:tr w:rsidR="00B82F30" w:rsidRPr="008C6E34" w14:paraId="30E3AB23" w14:textId="77777777" w:rsidTr="002076D5">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747" w:type="dxa"/>
            <w:shd w:val="clear" w:color="auto" w:fill="auto"/>
            <w:noWrap/>
            <w:hideMark/>
          </w:tcPr>
          <w:p w14:paraId="5FF5AF55" w14:textId="77777777" w:rsidR="008C6E34" w:rsidRPr="00F420CD" w:rsidRDefault="008C6E34" w:rsidP="00EE30BC">
            <w:pPr>
              <w:jc w:val="center"/>
              <w:rPr>
                <w:rFonts w:ascii="Calibri" w:hAnsi="Calibri" w:cs="Calibri"/>
                <w:color w:val="000000"/>
                <w:sz w:val="22"/>
                <w:szCs w:val="22"/>
              </w:rPr>
            </w:pPr>
            <w:r w:rsidRPr="00F420CD">
              <w:rPr>
                <w:rFonts w:ascii="Calibri" w:hAnsi="Calibri" w:cs="Calibri"/>
                <w:color w:val="000000"/>
                <w:sz w:val="22"/>
                <w:szCs w:val="22"/>
              </w:rPr>
              <w:t>LEA</w:t>
            </w:r>
          </w:p>
        </w:tc>
        <w:tc>
          <w:tcPr>
            <w:tcW w:w="2880" w:type="dxa"/>
            <w:shd w:val="clear" w:color="auto" w:fill="auto"/>
            <w:noWrap/>
            <w:hideMark/>
          </w:tcPr>
          <w:p w14:paraId="6F542ECF" w14:textId="77777777" w:rsidR="008C6E34" w:rsidRPr="008C6E34" w:rsidRDefault="008C6E34" w:rsidP="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District name</w:t>
            </w:r>
          </w:p>
        </w:tc>
        <w:tc>
          <w:tcPr>
            <w:tcW w:w="1148" w:type="dxa"/>
            <w:tcBorders>
              <w:top w:val="single" w:sz="4" w:space="0" w:color="auto"/>
            </w:tcBorders>
            <w:shd w:val="clear" w:color="auto" w:fill="auto"/>
            <w:noWrap/>
            <w:hideMark/>
          </w:tcPr>
          <w:p w14:paraId="0B94C0BA" w14:textId="77777777" w:rsidR="008C6E34" w:rsidRPr="008C6E34" w:rsidRDefault="008C6E34" w:rsidP="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Operating status</w:t>
            </w:r>
          </w:p>
        </w:tc>
        <w:tc>
          <w:tcPr>
            <w:tcW w:w="1786" w:type="dxa"/>
            <w:tcBorders>
              <w:top w:val="single" w:sz="4" w:space="0" w:color="auto"/>
            </w:tcBorders>
            <w:shd w:val="clear" w:color="auto" w:fill="auto"/>
            <w:noWrap/>
            <w:hideMark/>
          </w:tcPr>
          <w:p w14:paraId="64B2470E" w14:textId="77777777" w:rsidR="008C6E34" w:rsidRPr="008C6E34" w:rsidRDefault="008C6E34" w:rsidP="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Foundation budget</w:t>
            </w:r>
          </w:p>
        </w:tc>
        <w:tc>
          <w:tcPr>
            <w:tcW w:w="1786" w:type="dxa"/>
            <w:tcBorders>
              <w:top w:val="single" w:sz="4" w:space="0" w:color="auto"/>
            </w:tcBorders>
            <w:shd w:val="clear" w:color="auto" w:fill="auto"/>
            <w:noWrap/>
            <w:hideMark/>
          </w:tcPr>
          <w:p w14:paraId="265CD9BA" w14:textId="582AD711" w:rsidR="008C6E34" w:rsidRPr="008C6E34" w:rsidRDefault="008C6E34" w:rsidP="00BC2A1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Chapter 70 aid</w:t>
            </w:r>
          </w:p>
        </w:tc>
        <w:tc>
          <w:tcPr>
            <w:tcW w:w="901" w:type="dxa"/>
            <w:tcBorders>
              <w:top w:val="single" w:sz="4" w:space="0" w:color="auto"/>
            </w:tcBorders>
            <w:shd w:val="clear" w:color="auto" w:fill="auto"/>
            <w:noWrap/>
            <w:hideMark/>
          </w:tcPr>
          <w:p w14:paraId="53196ECA" w14:textId="77777777" w:rsidR="008C6E34" w:rsidRPr="008C6E34" w:rsidRDefault="008C6E34" w:rsidP="00BC2A1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Target aid %</w:t>
            </w:r>
          </w:p>
        </w:tc>
        <w:tc>
          <w:tcPr>
            <w:tcW w:w="1374" w:type="dxa"/>
            <w:tcBorders>
              <w:top w:val="single" w:sz="4" w:space="0" w:color="auto"/>
            </w:tcBorders>
            <w:shd w:val="clear" w:color="auto" w:fill="auto"/>
            <w:noWrap/>
            <w:hideMark/>
          </w:tcPr>
          <w:p w14:paraId="11BC1A65" w14:textId="77777777" w:rsidR="008C6E34" w:rsidRPr="008C6E34" w:rsidRDefault="008C6E34" w:rsidP="00BC2A1C">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Chapter 70 aid % of foundation</w:t>
            </w:r>
          </w:p>
        </w:tc>
        <w:tc>
          <w:tcPr>
            <w:tcW w:w="1602" w:type="dxa"/>
            <w:tcBorders>
              <w:top w:val="single" w:sz="4" w:space="0" w:color="auto"/>
            </w:tcBorders>
            <w:shd w:val="clear" w:color="auto" w:fill="auto"/>
            <w:noWrap/>
            <w:hideMark/>
          </w:tcPr>
          <w:p w14:paraId="784D5474" w14:textId="77777777" w:rsidR="008C6E34" w:rsidRPr="008C6E34" w:rsidRDefault="008C6E34" w:rsidP="00C666A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Aid above foundation</w:t>
            </w:r>
          </w:p>
        </w:tc>
        <w:tc>
          <w:tcPr>
            <w:tcW w:w="1264" w:type="dxa"/>
            <w:tcBorders>
              <w:top w:val="single" w:sz="4" w:space="0" w:color="auto"/>
            </w:tcBorders>
            <w:shd w:val="clear" w:color="auto" w:fill="auto"/>
            <w:noWrap/>
            <w:hideMark/>
          </w:tcPr>
          <w:p w14:paraId="49ADD615" w14:textId="77777777" w:rsidR="008C6E34" w:rsidRPr="008C6E34" w:rsidRDefault="008C6E34" w:rsidP="0090645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Operating status</w:t>
            </w:r>
          </w:p>
        </w:tc>
        <w:tc>
          <w:tcPr>
            <w:tcW w:w="1909" w:type="dxa"/>
            <w:tcBorders>
              <w:top w:val="single" w:sz="4" w:space="0" w:color="auto"/>
            </w:tcBorders>
            <w:shd w:val="clear" w:color="auto" w:fill="auto"/>
            <w:noWrap/>
            <w:hideMark/>
          </w:tcPr>
          <w:p w14:paraId="2CFACBDB" w14:textId="77777777" w:rsidR="008C6E34" w:rsidRPr="008C6E34" w:rsidRDefault="008C6E34" w:rsidP="0090645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Foundation budget</w:t>
            </w:r>
          </w:p>
        </w:tc>
        <w:tc>
          <w:tcPr>
            <w:tcW w:w="1786" w:type="dxa"/>
            <w:tcBorders>
              <w:top w:val="single" w:sz="4" w:space="0" w:color="auto"/>
            </w:tcBorders>
            <w:shd w:val="clear" w:color="auto" w:fill="auto"/>
            <w:noWrap/>
            <w:hideMark/>
          </w:tcPr>
          <w:p w14:paraId="2C6B5D70" w14:textId="7E898E20" w:rsidR="008C6E34" w:rsidRPr="008C6E34" w:rsidRDefault="008C6E34" w:rsidP="00F420C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Chapter 70 aid</w:t>
            </w:r>
          </w:p>
        </w:tc>
        <w:tc>
          <w:tcPr>
            <w:tcW w:w="901" w:type="dxa"/>
            <w:tcBorders>
              <w:top w:val="single" w:sz="4" w:space="0" w:color="auto"/>
            </w:tcBorders>
            <w:shd w:val="clear" w:color="auto" w:fill="auto"/>
            <w:noWrap/>
            <w:hideMark/>
          </w:tcPr>
          <w:p w14:paraId="2DEC531A" w14:textId="77777777" w:rsidR="008C6E34" w:rsidRPr="008C6E34" w:rsidRDefault="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Target aid %</w:t>
            </w:r>
          </w:p>
        </w:tc>
        <w:tc>
          <w:tcPr>
            <w:tcW w:w="1374" w:type="dxa"/>
            <w:tcBorders>
              <w:top w:val="single" w:sz="4" w:space="0" w:color="auto"/>
            </w:tcBorders>
            <w:shd w:val="clear" w:color="auto" w:fill="auto"/>
            <w:noWrap/>
            <w:hideMark/>
          </w:tcPr>
          <w:p w14:paraId="5E3CD5E0" w14:textId="77777777" w:rsidR="008C6E34" w:rsidRPr="008C6E34" w:rsidRDefault="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Chapter 70 aid % of foundation</w:t>
            </w:r>
          </w:p>
        </w:tc>
        <w:tc>
          <w:tcPr>
            <w:tcW w:w="1602" w:type="dxa"/>
            <w:tcBorders>
              <w:top w:val="single" w:sz="4" w:space="0" w:color="auto"/>
            </w:tcBorders>
            <w:shd w:val="clear" w:color="auto" w:fill="auto"/>
            <w:noWrap/>
            <w:hideMark/>
          </w:tcPr>
          <w:p w14:paraId="5EE5CC83" w14:textId="77777777" w:rsidR="008C6E34" w:rsidRPr="008C6E34" w:rsidRDefault="008C6E3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Aid above foundation (hold harmless)</w:t>
            </w:r>
          </w:p>
        </w:tc>
      </w:tr>
      <w:tr w:rsidR="008C6E34" w:rsidRPr="008C6E34" w14:paraId="028A2F4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92926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0001</w:t>
            </w:r>
          </w:p>
        </w:tc>
        <w:tc>
          <w:tcPr>
            <w:tcW w:w="2880" w:type="dxa"/>
            <w:noWrap/>
            <w:hideMark/>
          </w:tcPr>
          <w:p w14:paraId="2ABB717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Abington</w:t>
            </w:r>
          </w:p>
        </w:tc>
        <w:tc>
          <w:tcPr>
            <w:tcW w:w="1148" w:type="dxa"/>
            <w:noWrap/>
            <w:hideMark/>
          </w:tcPr>
          <w:p w14:paraId="73FD861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00D73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$17,243,088 </w:t>
            </w:r>
          </w:p>
        </w:tc>
        <w:tc>
          <w:tcPr>
            <w:tcW w:w="1786" w:type="dxa"/>
            <w:noWrap/>
            <w:hideMark/>
          </w:tcPr>
          <w:p w14:paraId="7F16AA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$7,152,781 </w:t>
            </w:r>
          </w:p>
        </w:tc>
        <w:tc>
          <w:tcPr>
            <w:tcW w:w="901" w:type="dxa"/>
            <w:noWrap/>
            <w:hideMark/>
          </w:tcPr>
          <w:p w14:paraId="23935A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39.4%</w:t>
            </w:r>
          </w:p>
        </w:tc>
        <w:tc>
          <w:tcPr>
            <w:tcW w:w="1374" w:type="dxa"/>
            <w:noWrap/>
            <w:hideMark/>
          </w:tcPr>
          <w:p w14:paraId="66FE06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41.5%</w:t>
            </w:r>
          </w:p>
        </w:tc>
        <w:tc>
          <w:tcPr>
            <w:tcW w:w="1602" w:type="dxa"/>
            <w:noWrap/>
            <w:hideMark/>
          </w:tcPr>
          <w:p w14:paraId="3A3E45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$744,783</w:t>
            </w:r>
          </w:p>
        </w:tc>
        <w:tc>
          <w:tcPr>
            <w:tcW w:w="1264" w:type="dxa"/>
            <w:noWrap/>
            <w:hideMark/>
          </w:tcPr>
          <w:p w14:paraId="020028F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B2F67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$23,388,477</w:t>
            </w:r>
          </w:p>
        </w:tc>
        <w:tc>
          <w:tcPr>
            <w:tcW w:w="1786" w:type="dxa"/>
            <w:noWrap/>
            <w:hideMark/>
          </w:tcPr>
          <w:p w14:paraId="44AD79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$8,933,994</w:t>
            </w:r>
          </w:p>
        </w:tc>
        <w:tc>
          <w:tcPr>
            <w:tcW w:w="901" w:type="dxa"/>
            <w:noWrap/>
            <w:hideMark/>
          </w:tcPr>
          <w:p w14:paraId="4E2431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36.6%</w:t>
            </w:r>
          </w:p>
        </w:tc>
        <w:tc>
          <w:tcPr>
            <w:tcW w:w="1374" w:type="dxa"/>
            <w:noWrap/>
            <w:hideMark/>
          </w:tcPr>
          <w:p w14:paraId="5D98A0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38.2%</w:t>
            </w:r>
          </w:p>
        </w:tc>
        <w:tc>
          <w:tcPr>
            <w:tcW w:w="1602" w:type="dxa"/>
            <w:noWrap/>
            <w:hideMark/>
          </w:tcPr>
          <w:p w14:paraId="436486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$9,118</w:t>
            </w:r>
          </w:p>
        </w:tc>
      </w:tr>
      <w:tr w:rsidR="008C6E34" w:rsidRPr="008C6E34" w14:paraId="4D8CC8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A458EA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0002</w:t>
            </w:r>
          </w:p>
        </w:tc>
        <w:tc>
          <w:tcPr>
            <w:tcW w:w="2880" w:type="dxa"/>
            <w:noWrap/>
            <w:hideMark/>
          </w:tcPr>
          <w:p w14:paraId="297DF21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Acton</w:t>
            </w:r>
          </w:p>
        </w:tc>
        <w:tc>
          <w:tcPr>
            <w:tcW w:w="1148" w:type="dxa"/>
            <w:noWrap/>
            <w:hideMark/>
          </w:tcPr>
          <w:p w14:paraId="5FBE06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808CA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$17,472,327 </w:t>
            </w:r>
          </w:p>
        </w:tc>
        <w:tc>
          <w:tcPr>
            <w:tcW w:w="1786" w:type="dxa"/>
            <w:noWrap/>
            <w:hideMark/>
          </w:tcPr>
          <w:p w14:paraId="244C10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$3,214,302 </w:t>
            </w:r>
          </w:p>
        </w:tc>
        <w:tc>
          <w:tcPr>
            <w:tcW w:w="901" w:type="dxa"/>
            <w:noWrap/>
            <w:hideMark/>
          </w:tcPr>
          <w:p w14:paraId="1534D1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28.6%</w:t>
            </w:r>
          </w:p>
        </w:tc>
        <w:tc>
          <w:tcPr>
            <w:tcW w:w="1374" w:type="dxa"/>
            <w:noWrap/>
            <w:hideMark/>
          </w:tcPr>
          <w:p w14:paraId="264FD4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w:t>
            </w:r>
          </w:p>
        </w:tc>
        <w:tc>
          <w:tcPr>
            <w:tcW w:w="1602" w:type="dxa"/>
            <w:noWrap/>
            <w:hideMark/>
          </w:tcPr>
          <w:p w14:paraId="5F8950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1EBA50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826B7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06492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6D6274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17.6%</w:t>
            </w:r>
          </w:p>
        </w:tc>
        <w:tc>
          <w:tcPr>
            <w:tcW w:w="1374" w:type="dxa"/>
            <w:noWrap/>
            <w:hideMark/>
          </w:tcPr>
          <w:p w14:paraId="752DCA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8CF8E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0CD5C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CE2A35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0003</w:t>
            </w:r>
          </w:p>
        </w:tc>
        <w:tc>
          <w:tcPr>
            <w:tcW w:w="2880" w:type="dxa"/>
            <w:noWrap/>
            <w:hideMark/>
          </w:tcPr>
          <w:p w14:paraId="0DA1F31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Acushnet</w:t>
            </w:r>
          </w:p>
        </w:tc>
        <w:tc>
          <w:tcPr>
            <w:tcW w:w="1148" w:type="dxa"/>
            <w:noWrap/>
            <w:hideMark/>
          </w:tcPr>
          <w:p w14:paraId="18F6833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4144C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$10,925,644 </w:t>
            </w:r>
          </w:p>
        </w:tc>
        <w:tc>
          <w:tcPr>
            <w:tcW w:w="1786" w:type="dxa"/>
            <w:noWrap/>
            <w:hideMark/>
          </w:tcPr>
          <w:p w14:paraId="59BF8A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$6,138,021 </w:t>
            </w:r>
          </w:p>
        </w:tc>
        <w:tc>
          <w:tcPr>
            <w:tcW w:w="901" w:type="dxa"/>
            <w:noWrap/>
            <w:hideMark/>
          </w:tcPr>
          <w:p w14:paraId="241EEB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51.1%</w:t>
            </w:r>
          </w:p>
        </w:tc>
        <w:tc>
          <w:tcPr>
            <w:tcW w:w="1374" w:type="dxa"/>
            <w:noWrap/>
            <w:hideMark/>
          </w:tcPr>
          <w:p w14:paraId="513EBB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56.2%</w:t>
            </w:r>
          </w:p>
        </w:tc>
        <w:tc>
          <w:tcPr>
            <w:tcW w:w="1602" w:type="dxa"/>
            <w:noWrap/>
            <w:hideMark/>
          </w:tcPr>
          <w:p w14:paraId="6E9B3B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$234,157</w:t>
            </w:r>
          </w:p>
        </w:tc>
        <w:tc>
          <w:tcPr>
            <w:tcW w:w="1264" w:type="dxa"/>
            <w:noWrap/>
            <w:hideMark/>
          </w:tcPr>
          <w:p w14:paraId="5456577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F65AF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$13,443,441</w:t>
            </w:r>
          </w:p>
        </w:tc>
        <w:tc>
          <w:tcPr>
            <w:tcW w:w="1786" w:type="dxa"/>
            <w:noWrap/>
            <w:hideMark/>
          </w:tcPr>
          <w:p w14:paraId="4B12F0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$6,361,492</w:t>
            </w:r>
          </w:p>
        </w:tc>
        <w:tc>
          <w:tcPr>
            <w:tcW w:w="901" w:type="dxa"/>
            <w:noWrap/>
            <w:hideMark/>
          </w:tcPr>
          <w:p w14:paraId="30A5E8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43.0%</w:t>
            </w:r>
          </w:p>
        </w:tc>
        <w:tc>
          <w:tcPr>
            <w:tcW w:w="1374" w:type="dxa"/>
            <w:noWrap/>
            <w:hideMark/>
          </w:tcPr>
          <w:p w14:paraId="67CB5C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47.3%</w:t>
            </w:r>
          </w:p>
        </w:tc>
        <w:tc>
          <w:tcPr>
            <w:tcW w:w="1602" w:type="dxa"/>
            <w:noWrap/>
            <w:hideMark/>
          </w:tcPr>
          <w:p w14:paraId="7F9EF9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$416,652</w:t>
            </w:r>
          </w:p>
        </w:tc>
      </w:tr>
      <w:tr w:rsidR="008C6E34" w:rsidRPr="008C6E34" w14:paraId="045C11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15EA5F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0004</w:t>
            </w:r>
          </w:p>
        </w:tc>
        <w:tc>
          <w:tcPr>
            <w:tcW w:w="2880" w:type="dxa"/>
            <w:noWrap/>
            <w:hideMark/>
          </w:tcPr>
          <w:p w14:paraId="1712110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Adams</w:t>
            </w:r>
          </w:p>
        </w:tc>
        <w:tc>
          <w:tcPr>
            <w:tcW w:w="1148" w:type="dxa"/>
            <w:noWrap/>
            <w:hideMark/>
          </w:tcPr>
          <w:p w14:paraId="2B2436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7386C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AA838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6284EA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68.1%</w:t>
            </w:r>
          </w:p>
        </w:tc>
        <w:tc>
          <w:tcPr>
            <w:tcW w:w="1374" w:type="dxa"/>
            <w:noWrap/>
            <w:hideMark/>
          </w:tcPr>
          <w:p w14:paraId="20193C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3269D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B75542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F2B14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2CE72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51457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66.5%</w:t>
            </w:r>
          </w:p>
        </w:tc>
        <w:tc>
          <w:tcPr>
            <w:tcW w:w="1374" w:type="dxa"/>
            <w:noWrap/>
            <w:hideMark/>
          </w:tcPr>
          <w:p w14:paraId="48674B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DBC85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175AD4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B0B792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0005</w:t>
            </w:r>
          </w:p>
        </w:tc>
        <w:tc>
          <w:tcPr>
            <w:tcW w:w="2880" w:type="dxa"/>
            <w:noWrap/>
            <w:hideMark/>
          </w:tcPr>
          <w:p w14:paraId="6232F76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Agawam</w:t>
            </w:r>
          </w:p>
        </w:tc>
        <w:tc>
          <w:tcPr>
            <w:tcW w:w="1148" w:type="dxa"/>
            <w:noWrap/>
            <w:hideMark/>
          </w:tcPr>
          <w:p w14:paraId="5848F88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27397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$34,566,079 </w:t>
            </w:r>
          </w:p>
        </w:tc>
        <w:tc>
          <w:tcPr>
            <w:tcW w:w="1786" w:type="dxa"/>
            <w:noWrap/>
            <w:hideMark/>
          </w:tcPr>
          <w:p w14:paraId="2790B3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$12,524,413 </w:t>
            </w:r>
          </w:p>
        </w:tc>
        <w:tc>
          <w:tcPr>
            <w:tcW w:w="901" w:type="dxa"/>
            <w:noWrap/>
            <w:hideMark/>
          </w:tcPr>
          <w:p w14:paraId="753D7C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48.7%</w:t>
            </w:r>
          </w:p>
        </w:tc>
        <w:tc>
          <w:tcPr>
            <w:tcW w:w="1374" w:type="dxa"/>
            <w:noWrap/>
            <w:hideMark/>
          </w:tcPr>
          <w:p w14:paraId="52DA84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36.2%</w:t>
            </w:r>
          </w:p>
        </w:tc>
        <w:tc>
          <w:tcPr>
            <w:tcW w:w="1602" w:type="dxa"/>
            <w:noWrap/>
            <w:hideMark/>
          </w:tcPr>
          <w:p w14:paraId="240D05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2A3071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354FE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$42,227,451</w:t>
            </w:r>
          </w:p>
        </w:tc>
        <w:tc>
          <w:tcPr>
            <w:tcW w:w="1786" w:type="dxa"/>
            <w:noWrap/>
            <w:hideMark/>
          </w:tcPr>
          <w:p w14:paraId="4EBC6C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$19,477,412</w:t>
            </w:r>
          </w:p>
        </w:tc>
        <w:tc>
          <w:tcPr>
            <w:tcW w:w="901" w:type="dxa"/>
            <w:noWrap/>
            <w:hideMark/>
          </w:tcPr>
          <w:p w14:paraId="2DA5CD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45.7%</w:t>
            </w:r>
          </w:p>
        </w:tc>
        <w:tc>
          <w:tcPr>
            <w:tcW w:w="1374" w:type="dxa"/>
            <w:noWrap/>
            <w:hideMark/>
          </w:tcPr>
          <w:p w14:paraId="4CD91F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46.1%</w:t>
            </w:r>
          </w:p>
        </w:tc>
        <w:tc>
          <w:tcPr>
            <w:tcW w:w="1602" w:type="dxa"/>
            <w:noWrap/>
            <w:hideMark/>
          </w:tcPr>
          <w:p w14:paraId="409223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$201,172</w:t>
            </w:r>
          </w:p>
        </w:tc>
      </w:tr>
      <w:tr w:rsidR="008C6E34" w:rsidRPr="008C6E34" w14:paraId="693C01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A860D4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0006</w:t>
            </w:r>
          </w:p>
        </w:tc>
        <w:tc>
          <w:tcPr>
            <w:tcW w:w="2880" w:type="dxa"/>
            <w:noWrap/>
            <w:hideMark/>
          </w:tcPr>
          <w:p w14:paraId="63B95B3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Alford</w:t>
            </w:r>
          </w:p>
        </w:tc>
        <w:tc>
          <w:tcPr>
            <w:tcW w:w="1148" w:type="dxa"/>
            <w:noWrap/>
            <w:hideMark/>
          </w:tcPr>
          <w:p w14:paraId="58ED9D8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EC04B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20E44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8694E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B0416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6E519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E05676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05D20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FC13E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37E2A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A2846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62D0C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C361A9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E13E28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0007</w:t>
            </w:r>
          </w:p>
        </w:tc>
        <w:tc>
          <w:tcPr>
            <w:tcW w:w="2880" w:type="dxa"/>
            <w:noWrap/>
            <w:hideMark/>
          </w:tcPr>
          <w:p w14:paraId="1BE51A6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Amesbury</w:t>
            </w:r>
          </w:p>
        </w:tc>
        <w:tc>
          <w:tcPr>
            <w:tcW w:w="1148" w:type="dxa"/>
            <w:noWrap/>
            <w:hideMark/>
          </w:tcPr>
          <w:p w14:paraId="3F3282F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FD7E5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$19,548,537 </w:t>
            </w:r>
          </w:p>
        </w:tc>
        <w:tc>
          <w:tcPr>
            <w:tcW w:w="1786" w:type="dxa"/>
            <w:noWrap/>
            <w:hideMark/>
          </w:tcPr>
          <w:p w14:paraId="6896A9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$8,583,727 </w:t>
            </w:r>
          </w:p>
        </w:tc>
        <w:tc>
          <w:tcPr>
            <w:tcW w:w="901" w:type="dxa"/>
            <w:noWrap/>
            <w:hideMark/>
          </w:tcPr>
          <w:p w14:paraId="76FD2B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42.5%</w:t>
            </w:r>
          </w:p>
        </w:tc>
        <w:tc>
          <w:tcPr>
            <w:tcW w:w="1374" w:type="dxa"/>
            <w:noWrap/>
            <w:hideMark/>
          </w:tcPr>
          <w:p w14:paraId="697EEF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43.9%</w:t>
            </w:r>
          </w:p>
        </w:tc>
        <w:tc>
          <w:tcPr>
            <w:tcW w:w="1602" w:type="dxa"/>
            <w:noWrap/>
            <w:hideMark/>
          </w:tcPr>
          <w:p w14:paraId="45B582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$1,844,281</w:t>
            </w:r>
          </w:p>
        </w:tc>
        <w:tc>
          <w:tcPr>
            <w:tcW w:w="1264" w:type="dxa"/>
            <w:noWrap/>
            <w:hideMark/>
          </w:tcPr>
          <w:p w14:paraId="5F573DB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0E69E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$22,996,253</w:t>
            </w:r>
          </w:p>
        </w:tc>
        <w:tc>
          <w:tcPr>
            <w:tcW w:w="1786" w:type="dxa"/>
            <w:noWrap/>
            <w:hideMark/>
          </w:tcPr>
          <w:p w14:paraId="1A5E16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$9,190,887</w:t>
            </w:r>
          </w:p>
        </w:tc>
        <w:tc>
          <w:tcPr>
            <w:tcW w:w="901" w:type="dxa"/>
            <w:noWrap/>
            <w:hideMark/>
          </w:tcPr>
          <w:p w14:paraId="269C1A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30.6%</w:t>
            </w:r>
          </w:p>
        </w:tc>
        <w:tc>
          <w:tcPr>
            <w:tcW w:w="1374" w:type="dxa"/>
            <w:noWrap/>
            <w:hideMark/>
          </w:tcPr>
          <w:p w14:paraId="4DBFA3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40.0%</w:t>
            </w:r>
          </w:p>
        </w:tc>
        <w:tc>
          <w:tcPr>
            <w:tcW w:w="1602" w:type="dxa"/>
            <w:noWrap/>
            <w:hideMark/>
          </w:tcPr>
          <w:p w14:paraId="4BE85C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$1,816,494</w:t>
            </w:r>
          </w:p>
        </w:tc>
      </w:tr>
      <w:tr w:rsidR="008C6E34" w:rsidRPr="008C6E34" w14:paraId="3CF8020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2A658F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0008</w:t>
            </w:r>
          </w:p>
        </w:tc>
        <w:tc>
          <w:tcPr>
            <w:tcW w:w="2880" w:type="dxa"/>
            <w:noWrap/>
            <w:hideMark/>
          </w:tcPr>
          <w:p w14:paraId="32AEB95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Amherst</w:t>
            </w:r>
          </w:p>
        </w:tc>
        <w:tc>
          <w:tcPr>
            <w:tcW w:w="1148" w:type="dxa"/>
            <w:noWrap/>
            <w:hideMark/>
          </w:tcPr>
          <w:p w14:paraId="740A1E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3371B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$11,497,554 </w:t>
            </w:r>
          </w:p>
        </w:tc>
        <w:tc>
          <w:tcPr>
            <w:tcW w:w="1786" w:type="dxa"/>
            <w:noWrap/>
            <w:hideMark/>
          </w:tcPr>
          <w:p w14:paraId="341C26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$5,933,998 </w:t>
            </w:r>
          </w:p>
        </w:tc>
        <w:tc>
          <w:tcPr>
            <w:tcW w:w="901" w:type="dxa"/>
            <w:noWrap/>
            <w:hideMark/>
          </w:tcPr>
          <w:p w14:paraId="36F86A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43.3%</w:t>
            </w:r>
          </w:p>
        </w:tc>
        <w:tc>
          <w:tcPr>
            <w:tcW w:w="1374" w:type="dxa"/>
            <w:noWrap/>
            <w:hideMark/>
          </w:tcPr>
          <w:p w14:paraId="731295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51.6%</w:t>
            </w:r>
          </w:p>
        </w:tc>
        <w:tc>
          <w:tcPr>
            <w:tcW w:w="1602" w:type="dxa"/>
            <w:noWrap/>
            <w:hideMark/>
          </w:tcPr>
          <w:p w14:paraId="2AEC79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D03A70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02C7E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$12,803,971</w:t>
            </w:r>
          </w:p>
        </w:tc>
        <w:tc>
          <w:tcPr>
            <w:tcW w:w="1786" w:type="dxa"/>
            <w:noWrap/>
            <w:hideMark/>
          </w:tcPr>
          <w:p w14:paraId="65EDB5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$6,122,223</w:t>
            </w:r>
          </w:p>
        </w:tc>
        <w:tc>
          <w:tcPr>
            <w:tcW w:w="901" w:type="dxa"/>
            <w:noWrap/>
            <w:hideMark/>
          </w:tcPr>
          <w:p w14:paraId="6B61B9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25.5%</w:t>
            </w:r>
          </w:p>
        </w:tc>
        <w:tc>
          <w:tcPr>
            <w:tcW w:w="1374" w:type="dxa"/>
            <w:noWrap/>
            <w:hideMark/>
          </w:tcPr>
          <w:p w14:paraId="1F1353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47.8%</w:t>
            </w:r>
          </w:p>
        </w:tc>
        <w:tc>
          <w:tcPr>
            <w:tcW w:w="1602" w:type="dxa"/>
            <w:noWrap/>
            <w:hideMark/>
          </w:tcPr>
          <w:p w14:paraId="43660C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$2,827,134</w:t>
            </w:r>
          </w:p>
        </w:tc>
      </w:tr>
      <w:tr w:rsidR="008C6E34" w:rsidRPr="008C6E34" w14:paraId="7BF9AC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1736CA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0009</w:t>
            </w:r>
          </w:p>
        </w:tc>
        <w:tc>
          <w:tcPr>
            <w:tcW w:w="2880" w:type="dxa"/>
            <w:noWrap/>
            <w:hideMark/>
          </w:tcPr>
          <w:p w14:paraId="141B80B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Andover</w:t>
            </w:r>
          </w:p>
        </w:tc>
        <w:tc>
          <w:tcPr>
            <w:tcW w:w="1148" w:type="dxa"/>
            <w:noWrap/>
            <w:hideMark/>
          </w:tcPr>
          <w:p w14:paraId="7E2665C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1AF6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$45,421,093 </w:t>
            </w:r>
          </w:p>
        </w:tc>
        <w:tc>
          <w:tcPr>
            <w:tcW w:w="1786" w:type="dxa"/>
            <w:noWrap/>
            <w:hideMark/>
          </w:tcPr>
          <w:p w14:paraId="7F6604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$6,105,826 </w:t>
            </w:r>
          </w:p>
        </w:tc>
        <w:tc>
          <w:tcPr>
            <w:tcW w:w="901" w:type="dxa"/>
            <w:noWrap/>
            <w:hideMark/>
          </w:tcPr>
          <w:p w14:paraId="07D09A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8C14A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w:t>
            </w:r>
          </w:p>
        </w:tc>
        <w:tc>
          <w:tcPr>
            <w:tcW w:w="1602" w:type="dxa"/>
            <w:noWrap/>
            <w:hideMark/>
          </w:tcPr>
          <w:p w14:paraId="5A5F4F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$4,669,534</w:t>
            </w:r>
          </w:p>
        </w:tc>
        <w:tc>
          <w:tcPr>
            <w:tcW w:w="1264" w:type="dxa"/>
            <w:noWrap/>
            <w:hideMark/>
          </w:tcPr>
          <w:p w14:paraId="158BD17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FEF52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$63,835,636</w:t>
            </w:r>
          </w:p>
        </w:tc>
        <w:tc>
          <w:tcPr>
            <w:tcW w:w="1786" w:type="dxa"/>
            <w:noWrap/>
            <w:hideMark/>
          </w:tcPr>
          <w:p w14:paraId="0B450E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$11,668,291</w:t>
            </w:r>
          </w:p>
        </w:tc>
        <w:tc>
          <w:tcPr>
            <w:tcW w:w="901" w:type="dxa"/>
            <w:noWrap/>
            <w:hideMark/>
          </w:tcPr>
          <w:p w14:paraId="73566E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5C8A1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w:t>
            </w:r>
          </w:p>
        </w:tc>
        <w:tc>
          <w:tcPr>
            <w:tcW w:w="1602" w:type="dxa"/>
            <w:noWrap/>
            <w:hideMark/>
          </w:tcPr>
          <w:p w14:paraId="0CE659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$11,112</w:t>
            </w:r>
          </w:p>
        </w:tc>
      </w:tr>
      <w:tr w:rsidR="008C6E34" w:rsidRPr="008C6E34" w14:paraId="2E74C0A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44D78A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0010</w:t>
            </w:r>
          </w:p>
        </w:tc>
        <w:tc>
          <w:tcPr>
            <w:tcW w:w="2880" w:type="dxa"/>
            <w:noWrap/>
            <w:hideMark/>
          </w:tcPr>
          <w:p w14:paraId="1B1B8D7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Arlington</w:t>
            </w:r>
          </w:p>
        </w:tc>
        <w:tc>
          <w:tcPr>
            <w:tcW w:w="1148" w:type="dxa"/>
            <w:noWrap/>
            <w:hideMark/>
          </w:tcPr>
          <w:p w14:paraId="0B0E06E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42BF0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$34,791,437 </w:t>
            </w:r>
          </w:p>
        </w:tc>
        <w:tc>
          <w:tcPr>
            <w:tcW w:w="1786" w:type="dxa"/>
            <w:noWrap/>
            <w:hideMark/>
          </w:tcPr>
          <w:p w14:paraId="14C313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$5,592,670 </w:t>
            </w:r>
          </w:p>
        </w:tc>
        <w:tc>
          <w:tcPr>
            <w:tcW w:w="901" w:type="dxa"/>
            <w:noWrap/>
            <w:hideMark/>
          </w:tcPr>
          <w:p w14:paraId="1AD262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41EF3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16.1%</w:t>
            </w:r>
          </w:p>
        </w:tc>
        <w:tc>
          <w:tcPr>
            <w:tcW w:w="1602" w:type="dxa"/>
            <w:noWrap/>
            <w:hideMark/>
          </w:tcPr>
          <w:p w14:paraId="0272A7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$952,935</w:t>
            </w:r>
          </w:p>
        </w:tc>
        <w:tc>
          <w:tcPr>
            <w:tcW w:w="1264" w:type="dxa"/>
            <w:noWrap/>
            <w:hideMark/>
          </w:tcPr>
          <w:p w14:paraId="039CC1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FC5F2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$62,294,073</w:t>
            </w:r>
          </w:p>
        </w:tc>
        <w:tc>
          <w:tcPr>
            <w:tcW w:w="1786" w:type="dxa"/>
            <w:noWrap/>
            <w:hideMark/>
          </w:tcPr>
          <w:p w14:paraId="580690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$13,979,327</w:t>
            </w:r>
          </w:p>
        </w:tc>
        <w:tc>
          <w:tcPr>
            <w:tcW w:w="901" w:type="dxa"/>
            <w:noWrap/>
            <w:hideMark/>
          </w:tcPr>
          <w:p w14:paraId="0ED941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FA653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22.4%</w:t>
            </w:r>
          </w:p>
        </w:tc>
        <w:tc>
          <w:tcPr>
            <w:tcW w:w="1602" w:type="dxa"/>
            <w:noWrap/>
            <w:hideMark/>
          </w:tcPr>
          <w:p w14:paraId="6AF0AE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$15,391</w:t>
            </w:r>
          </w:p>
        </w:tc>
      </w:tr>
      <w:tr w:rsidR="008C6E34" w:rsidRPr="008C6E34" w14:paraId="7502B4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00E88E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0011</w:t>
            </w:r>
          </w:p>
        </w:tc>
        <w:tc>
          <w:tcPr>
            <w:tcW w:w="2880" w:type="dxa"/>
            <w:noWrap/>
            <w:hideMark/>
          </w:tcPr>
          <w:p w14:paraId="58A5CF8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Ashburnham</w:t>
            </w:r>
          </w:p>
        </w:tc>
        <w:tc>
          <w:tcPr>
            <w:tcW w:w="1148" w:type="dxa"/>
            <w:noWrap/>
            <w:hideMark/>
          </w:tcPr>
          <w:p w14:paraId="6C17DCF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A85B9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726F9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D47A6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53.4%</w:t>
            </w:r>
          </w:p>
        </w:tc>
        <w:tc>
          <w:tcPr>
            <w:tcW w:w="1374" w:type="dxa"/>
            <w:noWrap/>
            <w:hideMark/>
          </w:tcPr>
          <w:p w14:paraId="60CC14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03B91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83860A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5E205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B09FB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8F818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53.0%</w:t>
            </w:r>
          </w:p>
        </w:tc>
        <w:tc>
          <w:tcPr>
            <w:tcW w:w="1374" w:type="dxa"/>
            <w:noWrap/>
            <w:hideMark/>
          </w:tcPr>
          <w:p w14:paraId="40C12E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E2B7A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3D0C5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3C153C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0012</w:t>
            </w:r>
          </w:p>
        </w:tc>
        <w:tc>
          <w:tcPr>
            <w:tcW w:w="2880" w:type="dxa"/>
            <w:noWrap/>
            <w:hideMark/>
          </w:tcPr>
          <w:p w14:paraId="2AB6B31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Ashby</w:t>
            </w:r>
          </w:p>
        </w:tc>
        <w:tc>
          <w:tcPr>
            <w:tcW w:w="1148" w:type="dxa"/>
            <w:noWrap/>
            <w:hideMark/>
          </w:tcPr>
          <w:p w14:paraId="3E0202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E1968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$10,850 </w:t>
            </w:r>
          </w:p>
        </w:tc>
        <w:tc>
          <w:tcPr>
            <w:tcW w:w="1786" w:type="dxa"/>
            <w:noWrap/>
            <w:hideMark/>
          </w:tcPr>
          <w:p w14:paraId="5FD89F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$7,066 </w:t>
            </w:r>
          </w:p>
        </w:tc>
        <w:tc>
          <w:tcPr>
            <w:tcW w:w="901" w:type="dxa"/>
            <w:noWrap/>
            <w:hideMark/>
          </w:tcPr>
          <w:p w14:paraId="147875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58.1%</w:t>
            </w:r>
          </w:p>
        </w:tc>
        <w:tc>
          <w:tcPr>
            <w:tcW w:w="1374" w:type="dxa"/>
            <w:noWrap/>
            <w:hideMark/>
          </w:tcPr>
          <w:p w14:paraId="6C2EBF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65.1%</w:t>
            </w:r>
          </w:p>
        </w:tc>
        <w:tc>
          <w:tcPr>
            <w:tcW w:w="1602" w:type="dxa"/>
            <w:noWrap/>
            <w:hideMark/>
          </w:tcPr>
          <w:p w14:paraId="5866F4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0CB70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7B58D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2B0EB2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6DEA09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w:t>
            </w:r>
          </w:p>
        </w:tc>
        <w:tc>
          <w:tcPr>
            <w:tcW w:w="1374" w:type="dxa"/>
            <w:noWrap/>
            <w:hideMark/>
          </w:tcPr>
          <w:p w14:paraId="4689C9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EF8A4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E4D87D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B31BF2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0013</w:t>
            </w:r>
          </w:p>
        </w:tc>
        <w:tc>
          <w:tcPr>
            <w:tcW w:w="2880" w:type="dxa"/>
            <w:noWrap/>
            <w:hideMark/>
          </w:tcPr>
          <w:p w14:paraId="4E7E567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Ashfield</w:t>
            </w:r>
          </w:p>
        </w:tc>
        <w:tc>
          <w:tcPr>
            <w:tcW w:w="1148" w:type="dxa"/>
            <w:noWrap/>
            <w:hideMark/>
          </w:tcPr>
          <w:p w14:paraId="5FC7E84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326A5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$97,647 </w:t>
            </w:r>
          </w:p>
        </w:tc>
        <w:tc>
          <w:tcPr>
            <w:tcW w:w="1786" w:type="dxa"/>
            <w:noWrap/>
            <w:hideMark/>
          </w:tcPr>
          <w:p w14:paraId="4CA781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$71,328 </w:t>
            </w:r>
          </w:p>
        </w:tc>
        <w:tc>
          <w:tcPr>
            <w:tcW w:w="901" w:type="dxa"/>
            <w:noWrap/>
            <w:hideMark/>
          </w:tcPr>
          <w:p w14:paraId="510CDF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50.4%</w:t>
            </w:r>
          </w:p>
        </w:tc>
        <w:tc>
          <w:tcPr>
            <w:tcW w:w="1374" w:type="dxa"/>
            <w:noWrap/>
            <w:hideMark/>
          </w:tcPr>
          <w:p w14:paraId="75F940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73.0%</w:t>
            </w:r>
          </w:p>
        </w:tc>
        <w:tc>
          <w:tcPr>
            <w:tcW w:w="1602" w:type="dxa"/>
            <w:noWrap/>
            <w:hideMark/>
          </w:tcPr>
          <w:p w14:paraId="7636EC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$32,153</w:t>
            </w:r>
          </w:p>
        </w:tc>
        <w:tc>
          <w:tcPr>
            <w:tcW w:w="1264" w:type="dxa"/>
            <w:noWrap/>
            <w:hideMark/>
          </w:tcPr>
          <w:p w14:paraId="3421C54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E99B2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$100,603</w:t>
            </w:r>
          </w:p>
        </w:tc>
        <w:tc>
          <w:tcPr>
            <w:tcW w:w="1786" w:type="dxa"/>
            <w:noWrap/>
            <w:hideMark/>
          </w:tcPr>
          <w:p w14:paraId="39664D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$93,413</w:t>
            </w:r>
          </w:p>
        </w:tc>
        <w:tc>
          <w:tcPr>
            <w:tcW w:w="901" w:type="dxa"/>
            <w:noWrap/>
            <w:hideMark/>
          </w:tcPr>
          <w:p w14:paraId="24B1B2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w:t>
            </w:r>
          </w:p>
        </w:tc>
        <w:tc>
          <w:tcPr>
            <w:tcW w:w="1374" w:type="dxa"/>
            <w:noWrap/>
            <w:hideMark/>
          </w:tcPr>
          <w:p w14:paraId="50135B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92.9%</w:t>
            </w:r>
          </w:p>
        </w:tc>
        <w:tc>
          <w:tcPr>
            <w:tcW w:w="1602" w:type="dxa"/>
            <w:noWrap/>
            <w:hideMark/>
          </w:tcPr>
          <w:p w14:paraId="11B455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$67,664</w:t>
            </w:r>
          </w:p>
        </w:tc>
      </w:tr>
      <w:tr w:rsidR="008C6E34" w:rsidRPr="008C6E34" w14:paraId="6F2572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62586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0014</w:t>
            </w:r>
          </w:p>
        </w:tc>
        <w:tc>
          <w:tcPr>
            <w:tcW w:w="2880" w:type="dxa"/>
            <w:noWrap/>
            <w:hideMark/>
          </w:tcPr>
          <w:p w14:paraId="4AE5E12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Ashland</w:t>
            </w:r>
          </w:p>
        </w:tc>
        <w:tc>
          <w:tcPr>
            <w:tcW w:w="1148" w:type="dxa"/>
            <w:noWrap/>
            <w:hideMark/>
          </w:tcPr>
          <w:p w14:paraId="6FFA589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224D1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$19,209,670 </w:t>
            </w:r>
          </w:p>
        </w:tc>
        <w:tc>
          <w:tcPr>
            <w:tcW w:w="1786" w:type="dxa"/>
            <w:noWrap/>
            <w:hideMark/>
          </w:tcPr>
          <w:p w14:paraId="09981D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$3,470,347 </w:t>
            </w:r>
          </w:p>
        </w:tc>
        <w:tc>
          <w:tcPr>
            <w:tcW w:w="901" w:type="dxa"/>
            <w:noWrap/>
            <w:hideMark/>
          </w:tcPr>
          <w:p w14:paraId="2BBF84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23.5%</w:t>
            </w:r>
          </w:p>
        </w:tc>
        <w:tc>
          <w:tcPr>
            <w:tcW w:w="1374" w:type="dxa"/>
            <w:noWrap/>
            <w:hideMark/>
          </w:tcPr>
          <w:p w14:paraId="6D5D39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w:t>
            </w:r>
          </w:p>
        </w:tc>
        <w:tc>
          <w:tcPr>
            <w:tcW w:w="1602" w:type="dxa"/>
            <w:noWrap/>
            <w:hideMark/>
          </w:tcPr>
          <w:p w14:paraId="2C7F0B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0F5407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BB80D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$29,177,891</w:t>
            </w:r>
          </w:p>
        </w:tc>
        <w:tc>
          <w:tcPr>
            <w:tcW w:w="1786" w:type="dxa"/>
            <w:noWrap/>
            <w:hideMark/>
          </w:tcPr>
          <w:p w14:paraId="5EE5C9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$7,839,520</w:t>
            </w:r>
          </w:p>
        </w:tc>
        <w:tc>
          <w:tcPr>
            <w:tcW w:w="901" w:type="dxa"/>
            <w:noWrap/>
            <w:hideMark/>
          </w:tcPr>
          <w:p w14:paraId="305F0C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w:t>
            </w:r>
          </w:p>
        </w:tc>
        <w:tc>
          <w:tcPr>
            <w:tcW w:w="1374" w:type="dxa"/>
            <w:noWrap/>
            <w:hideMark/>
          </w:tcPr>
          <w:p w14:paraId="4967ED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26.9%</w:t>
            </w:r>
          </w:p>
        </w:tc>
        <w:tc>
          <w:tcPr>
            <w:tcW w:w="1602" w:type="dxa"/>
            <w:noWrap/>
            <w:hideMark/>
          </w:tcPr>
          <w:p w14:paraId="3312B1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$134,018</w:t>
            </w:r>
          </w:p>
        </w:tc>
      </w:tr>
      <w:tr w:rsidR="008C6E34" w:rsidRPr="008C6E34" w14:paraId="3B75FE3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AA1E68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0015</w:t>
            </w:r>
          </w:p>
        </w:tc>
        <w:tc>
          <w:tcPr>
            <w:tcW w:w="2880" w:type="dxa"/>
            <w:noWrap/>
            <w:hideMark/>
          </w:tcPr>
          <w:p w14:paraId="00169E0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Athol</w:t>
            </w:r>
          </w:p>
        </w:tc>
        <w:tc>
          <w:tcPr>
            <w:tcW w:w="1148" w:type="dxa"/>
            <w:noWrap/>
            <w:hideMark/>
          </w:tcPr>
          <w:p w14:paraId="7EB9D84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AAACB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55A2F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2FD93C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71.3%</w:t>
            </w:r>
          </w:p>
        </w:tc>
        <w:tc>
          <w:tcPr>
            <w:tcW w:w="1374" w:type="dxa"/>
            <w:noWrap/>
            <w:hideMark/>
          </w:tcPr>
          <w:p w14:paraId="3BEF78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CF2EB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E3472B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D21A2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E70A2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22013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71.3%</w:t>
            </w:r>
          </w:p>
        </w:tc>
        <w:tc>
          <w:tcPr>
            <w:tcW w:w="1374" w:type="dxa"/>
            <w:noWrap/>
            <w:hideMark/>
          </w:tcPr>
          <w:p w14:paraId="738918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D7BA5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FA05DE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8A7532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0016</w:t>
            </w:r>
          </w:p>
        </w:tc>
        <w:tc>
          <w:tcPr>
            <w:tcW w:w="2880" w:type="dxa"/>
            <w:noWrap/>
            <w:hideMark/>
          </w:tcPr>
          <w:p w14:paraId="062D2B8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Attleboro</w:t>
            </w:r>
          </w:p>
        </w:tc>
        <w:tc>
          <w:tcPr>
            <w:tcW w:w="1148" w:type="dxa"/>
            <w:noWrap/>
            <w:hideMark/>
          </w:tcPr>
          <w:p w14:paraId="0DEC7EC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4C8D8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$51,622,675 </w:t>
            </w:r>
          </w:p>
        </w:tc>
        <w:tc>
          <w:tcPr>
            <w:tcW w:w="1786" w:type="dxa"/>
            <w:noWrap/>
            <w:hideMark/>
          </w:tcPr>
          <w:p w14:paraId="6828C3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$27,866,186 </w:t>
            </w:r>
          </w:p>
        </w:tc>
        <w:tc>
          <w:tcPr>
            <w:tcW w:w="901" w:type="dxa"/>
            <w:noWrap/>
            <w:hideMark/>
          </w:tcPr>
          <w:p w14:paraId="7ED6B4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48.2%</w:t>
            </w:r>
          </w:p>
        </w:tc>
        <w:tc>
          <w:tcPr>
            <w:tcW w:w="1374" w:type="dxa"/>
            <w:noWrap/>
            <w:hideMark/>
          </w:tcPr>
          <w:p w14:paraId="0DC84B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54.0%</w:t>
            </w:r>
          </w:p>
        </w:tc>
        <w:tc>
          <w:tcPr>
            <w:tcW w:w="1602" w:type="dxa"/>
            <w:noWrap/>
            <w:hideMark/>
          </w:tcPr>
          <w:p w14:paraId="580333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$2,380,511</w:t>
            </w:r>
          </w:p>
        </w:tc>
        <w:tc>
          <w:tcPr>
            <w:tcW w:w="1264" w:type="dxa"/>
            <w:noWrap/>
            <w:hideMark/>
          </w:tcPr>
          <w:p w14:paraId="0DECBB7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DE04A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$77,760,771</w:t>
            </w:r>
          </w:p>
        </w:tc>
        <w:tc>
          <w:tcPr>
            <w:tcW w:w="1786" w:type="dxa"/>
            <w:noWrap/>
            <w:hideMark/>
          </w:tcPr>
          <w:p w14:paraId="309ABA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$41,121,824</w:t>
            </w:r>
          </w:p>
        </w:tc>
        <w:tc>
          <w:tcPr>
            <w:tcW w:w="901" w:type="dxa"/>
            <w:noWrap/>
            <w:hideMark/>
          </w:tcPr>
          <w:p w14:paraId="3AE928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52.2%</w:t>
            </w:r>
          </w:p>
        </w:tc>
        <w:tc>
          <w:tcPr>
            <w:tcW w:w="1374" w:type="dxa"/>
            <w:noWrap/>
            <w:hideMark/>
          </w:tcPr>
          <w:p w14:paraId="1DCF60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w:t>
            </w:r>
          </w:p>
        </w:tc>
        <w:tc>
          <w:tcPr>
            <w:tcW w:w="1602" w:type="dxa"/>
            <w:noWrap/>
            <w:hideMark/>
          </w:tcPr>
          <w:p w14:paraId="37A568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4DAD04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63EEBF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0017</w:t>
            </w:r>
          </w:p>
        </w:tc>
        <w:tc>
          <w:tcPr>
            <w:tcW w:w="2880" w:type="dxa"/>
            <w:noWrap/>
            <w:hideMark/>
          </w:tcPr>
          <w:p w14:paraId="56EE368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Auburn</w:t>
            </w:r>
          </w:p>
        </w:tc>
        <w:tc>
          <w:tcPr>
            <w:tcW w:w="1148" w:type="dxa"/>
            <w:noWrap/>
            <w:hideMark/>
          </w:tcPr>
          <w:p w14:paraId="0BAF62F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27469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$17,023,459 </w:t>
            </w:r>
          </w:p>
        </w:tc>
        <w:tc>
          <w:tcPr>
            <w:tcW w:w="1786" w:type="dxa"/>
            <w:noWrap/>
            <w:hideMark/>
          </w:tcPr>
          <w:p w14:paraId="270DE5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$4,305,255 </w:t>
            </w:r>
          </w:p>
        </w:tc>
        <w:tc>
          <w:tcPr>
            <w:tcW w:w="901" w:type="dxa"/>
            <w:noWrap/>
            <w:hideMark/>
          </w:tcPr>
          <w:p w14:paraId="5B2586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36.0%</w:t>
            </w:r>
          </w:p>
        </w:tc>
        <w:tc>
          <w:tcPr>
            <w:tcW w:w="1374" w:type="dxa"/>
            <w:noWrap/>
            <w:hideMark/>
          </w:tcPr>
          <w:p w14:paraId="49A64C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25.3%</w:t>
            </w:r>
          </w:p>
        </w:tc>
        <w:tc>
          <w:tcPr>
            <w:tcW w:w="1602" w:type="dxa"/>
            <w:noWrap/>
            <w:hideMark/>
          </w:tcPr>
          <w:p w14:paraId="0BCBB6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$1,374,429</w:t>
            </w:r>
          </w:p>
        </w:tc>
        <w:tc>
          <w:tcPr>
            <w:tcW w:w="1264" w:type="dxa"/>
            <w:noWrap/>
            <w:hideMark/>
          </w:tcPr>
          <w:p w14:paraId="21200B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55DF9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$26,762,943</w:t>
            </w:r>
          </w:p>
        </w:tc>
        <w:tc>
          <w:tcPr>
            <w:tcW w:w="1786" w:type="dxa"/>
            <w:noWrap/>
            <w:hideMark/>
          </w:tcPr>
          <w:p w14:paraId="612F6D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$11,851,108</w:t>
            </w:r>
          </w:p>
        </w:tc>
        <w:tc>
          <w:tcPr>
            <w:tcW w:w="901" w:type="dxa"/>
            <w:noWrap/>
            <w:hideMark/>
          </w:tcPr>
          <w:p w14:paraId="7386E2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43.7%</w:t>
            </w:r>
          </w:p>
        </w:tc>
        <w:tc>
          <w:tcPr>
            <w:tcW w:w="1374" w:type="dxa"/>
            <w:noWrap/>
            <w:hideMark/>
          </w:tcPr>
          <w:p w14:paraId="18A23B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w:t>
            </w:r>
          </w:p>
        </w:tc>
        <w:tc>
          <w:tcPr>
            <w:tcW w:w="1602" w:type="dxa"/>
            <w:noWrap/>
            <w:hideMark/>
          </w:tcPr>
          <w:p w14:paraId="22E34B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$164,925</w:t>
            </w:r>
          </w:p>
        </w:tc>
      </w:tr>
      <w:tr w:rsidR="008C6E34" w:rsidRPr="008C6E34" w14:paraId="5406F5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9747ED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0018</w:t>
            </w:r>
          </w:p>
        </w:tc>
        <w:tc>
          <w:tcPr>
            <w:tcW w:w="2880" w:type="dxa"/>
            <w:noWrap/>
            <w:hideMark/>
          </w:tcPr>
          <w:p w14:paraId="6532080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Avon</w:t>
            </w:r>
          </w:p>
        </w:tc>
        <w:tc>
          <w:tcPr>
            <w:tcW w:w="1148" w:type="dxa"/>
            <w:noWrap/>
            <w:hideMark/>
          </w:tcPr>
          <w:p w14:paraId="4B6A777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E75ED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$4,744,879 </w:t>
            </w:r>
          </w:p>
        </w:tc>
        <w:tc>
          <w:tcPr>
            <w:tcW w:w="1786" w:type="dxa"/>
            <w:noWrap/>
            <w:hideMark/>
          </w:tcPr>
          <w:p w14:paraId="1D1D20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$689,890 </w:t>
            </w:r>
          </w:p>
        </w:tc>
        <w:tc>
          <w:tcPr>
            <w:tcW w:w="901" w:type="dxa"/>
            <w:noWrap/>
            <w:hideMark/>
          </w:tcPr>
          <w:p w14:paraId="017A68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w:t>
            </w:r>
          </w:p>
        </w:tc>
        <w:tc>
          <w:tcPr>
            <w:tcW w:w="1374" w:type="dxa"/>
            <w:noWrap/>
            <w:hideMark/>
          </w:tcPr>
          <w:p w14:paraId="500056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14.5%</w:t>
            </w:r>
          </w:p>
        </w:tc>
        <w:tc>
          <w:tcPr>
            <w:tcW w:w="1602" w:type="dxa"/>
            <w:noWrap/>
            <w:hideMark/>
          </w:tcPr>
          <w:p w14:paraId="3809D2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$689,890</w:t>
            </w:r>
          </w:p>
        </w:tc>
        <w:tc>
          <w:tcPr>
            <w:tcW w:w="1264" w:type="dxa"/>
            <w:noWrap/>
            <w:hideMark/>
          </w:tcPr>
          <w:p w14:paraId="6BD4281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51396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$6,653,932</w:t>
            </w:r>
          </w:p>
        </w:tc>
        <w:tc>
          <w:tcPr>
            <w:tcW w:w="1786" w:type="dxa"/>
            <w:noWrap/>
            <w:hideMark/>
          </w:tcPr>
          <w:p w14:paraId="1B8F43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$2,116,236</w:t>
            </w:r>
          </w:p>
        </w:tc>
        <w:tc>
          <w:tcPr>
            <w:tcW w:w="901" w:type="dxa"/>
            <w:noWrap/>
            <w:hideMark/>
          </w:tcPr>
          <w:p w14:paraId="622D91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31.8%</w:t>
            </w:r>
          </w:p>
        </w:tc>
        <w:tc>
          <w:tcPr>
            <w:tcW w:w="1374" w:type="dxa"/>
            <w:noWrap/>
            <w:hideMark/>
          </w:tcPr>
          <w:p w14:paraId="0944C9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31.8%</w:t>
            </w:r>
          </w:p>
        </w:tc>
        <w:tc>
          <w:tcPr>
            <w:tcW w:w="1602" w:type="dxa"/>
            <w:noWrap/>
            <w:hideMark/>
          </w:tcPr>
          <w:p w14:paraId="2EE9A2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493337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08B55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0019</w:t>
            </w:r>
          </w:p>
        </w:tc>
        <w:tc>
          <w:tcPr>
            <w:tcW w:w="2880" w:type="dxa"/>
            <w:noWrap/>
            <w:hideMark/>
          </w:tcPr>
          <w:p w14:paraId="2B20A9E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Ayer</w:t>
            </w:r>
          </w:p>
        </w:tc>
        <w:tc>
          <w:tcPr>
            <w:tcW w:w="1148" w:type="dxa"/>
            <w:noWrap/>
            <w:hideMark/>
          </w:tcPr>
          <w:p w14:paraId="1F222B8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CEDA2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$8,871,545 </w:t>
            </w:r>
          </w:p>
        </w:tc>
        <w:tc>
          <w:tcPr>
            <w:tcW w:w="1786" w:type="dxa"/>
            <w:noWrap/>
            <w:hideMark/>
          </w:tcPr>
          <w:p w14:paraId="436CDB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$3,883,672 </w:t>
            </w:r>
          </w:p>
        </w:tc>
        <w:tc>
          <w:tcPr>
            <w:tcW w:w="901" w:type="dxa"/>
            <w:noWrap/>
            <w:hideMark/>
          </w:tcPr>
          <w:p w14:paraId="42382B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38.9%</w:t>
            </w:r>
          </w:p>
        </w:tc>
        <w:tc>
          <w:tcPr>
            <w:tcW w:w="1374" w:type="dxa"/>
            <w:noWrap/>
            <w:hideMark/>
          </w:tcPr>
          <w:p w14:paraId="7FF6F3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43.8%</w:t>
            </w:r>
          </w:p>
        </w:tc>
        <w:tc>
          <w:tcPr>
            <w:tcW w:w="1602" w:type="dxa"/>
            <w:noWrap/>
            <w:hideMark/>
          </w:tcPr>
          <w:p w14:paraId="3FE4B2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$1,375,617</w:t>
            </w:r>
          </w:p>
        </w:tc>
        <w:tc>
          <w:tcPr>
            <w:tcW w:w="1264" w:type="dxa"/>
            <w:noWrap/>
            <w:hideMark/>
          </w:tcPr>
          <w:p w14:paraId="43AF09F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D1E84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6BCC4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2C99F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29.3%</w:t>
            </w:r>
          </w:p>
        </w:tc>
        <w:tc>
          <w:tcPr>
            <w:tcW w:w="1374" w:type="dxa"/>
            <w:noWrap/>
            <w:hideMark/>
          </w:tcPr>
          <w:p w14:paraId="5BEF90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07DC8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34D397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E29917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0020</w:t>
            </w:r>
          </w:p>
        </w:tc>
        <w:tc>
          <w:tcPr>
            <w:tcW w:w="2880" w:type="dxa"/>
            <w:noWrap/>
            <w:hideMark/>
          </w:tcPr>
          <w:p w14:paraId="7BBDDE5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Barnstable</w:t>
            </w:r>
          </w:p>
        </w:tc>
        <w:tc>
          <w:tcPr>
            <w:tcW w:w="1148" w:type="dxa"/>
            <w:noWrap/>
            <w:hideMark/>
          </w:tcPr>
          <w:p w14:paraId="3E07893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2280C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$47,204,346 </w:t>
            </w:r>
          </w:p>
        </w:tc>
        <w:tc>
          <w:tcPr>
            <w:tcW w:w="1786" w:type="dxa"/>
            <w:noWrap/>
            <w:hideMark/>
          </w:tcPr>
          <w:p w14:paraId="157363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$6,788,862 </w:t>
            </w:r>
          </w:p>
        </w:tc>
        <w:tc>
          <w:tcPr>
            <w:tcW w:w="901" w:type="dxa"/>
            <w:noWrap/>
            <w:hideMark/>
          </w:tcPr>
          <w:p w14:paraId="06C50A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025DC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14.4%</w:t>
            </w:r>
          </w:p>
        </w:tc>
        <w:tc>
          <w:tcPr>
            <w:tcW w:w="1602" w:type="dxa"/>
            <w:noWrap/>
            <w:hideMark/>
          </w:tcPr>
          <w:p w14:paraId="578F22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$6,462,396</w:t>
            </w:r>
          </w:p>
        </w:tc>
        <w:tc>
          <w:tcPr>
            <w:tcW w:w="1264" w:type="dxa"/>
            <w:noWrap/>
            <w:hideMark/>
          </w:tcPr>
          <w:p w14:paraId="2937D3E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DC99A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$63,524,349</w:t>
            </w:r>
          </w:p>
        </w:tc>
        <w:tc>
          <w:tcPr>
            <w:tcW w:w="1786" w:type="dxa"/>
            <w:noWrap/>
            <w:hideMark/>
          </w:tcPr>
          <w:p w14:paraId="1A4BB3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$12,228,200</w:t>
            </w:r>
          </w:p>
        </w:tc>
        <w:tc>
          <w:tcPr>
            <w:tcW w:w="901" w:type="dxa"/>
            <w:noWrap/>
            <w:hideMark/>
          </w:tcPr>
          <w:p w14:paraId="653ABB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947D5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19.2%</w:t>
            </w:r>
          </w:p>
        </w:tc>
        <w:tc>
          <w:tcPr>
            <w:tcW w:w="1602" w:type="dxa"/>
            <w:noWrap/>
            <w:hideMark/>
          </w:tcPr>
          <w:p w14:paraId="73D952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EEFCF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4A3294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0021</w:t>
            </w:r>
          </w:p>
        </w:tc>
        <w:tc>
          <w:tcPr>
            <w:tcW w:w="2880" w:type="dxa"/>
            <w:noWrap/>
            <w:hideMark/>
          </w:tcPr>
          <w:p w14:paraId="327383E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Barre</w:t>
            </w:r>
          </w:p>
        </w:tc>
        <w:tc>
          <w:tcPr>
            <w:tcW w:w="1148" w:type="dxa"/>
            <w:noWrap/>
            <w:hideMark/>
          </w:tcPr>
          <w:p w14:paraId="1497F92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53F1F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$21,699 </w:t>
            </w:r>
          </w:p>
        </w:tc>
        <w:tc>
          <w:tcPr>
            <w:tcW w:w="1786" w:type="dxa"/>
            <w:noWrap/>
            <w:hideMark/>
          </w:tcPr>
          <w:p w14:paraId="01A43C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$16,444 </w:t>
            </w:r>
          </w:p>
        </w:tc>
        <w:tc>
          <w:tcPr>
            <w:tcW w:w="901" w:type="dxa"/>
            <w:noWrap/>
            <w:hideMark/>
          </w:tcPr>
          <w:p w14:paraId="14B8DA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66.5%</w:t>
            </w:r>
          </w:p>
        </w:tc>
        <w:tc>
          <w:tcPr>
            <w:tcW w:w="1374" w:type="dxa"/>
            <w:noWrap/>
            <w:hideMark/>
          </w:tcPr>
          <w:p w14:paraId="12B61E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75.8%</w:t>
            </w:r>
          </w:p>
        </w:tc>
        <w:tc>
          <w:tcPr>
            <w:tcW w:w="1602" w:type="dxa"/>
            <w:noWrap/>
            <w:hideMark/>
          </w:tcPr>
          <w:p w14:paraId="6FC8DD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$1,998</w:t>
            </w:r>
          </w:p>
        </w:tc>
        <w:tc>
          <w:tcPr>
            <w:tcW w:w="1264" w:type="dxa"/>
            <w:noWrap/>
            <w:hideMark/>
          </w:tcPr>
          <w:p w14:paraId="07D528D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78D35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F559D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328B72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61.1%</w:t>
            </w:r>
          </w:p>
        </w:tc>
        <w:tc>
          <w:tcPr>
            <w:tcW w:w="1374" w:type="dxa"/>
            <w:noWrap/>
            <w:hideMark/>
          </w:tcPr>
          <w:p w14:paraId="2AB2F3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E243A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4482A8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0F5F22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0022</w:t>
            </w:r>
          </w:p>
        </w:tc>
        <w:tc>
          <w:tcPr>
            <w:tcW w:w="2880" w:type="dxa"/>
            <w:noWrap/>
            <w:hideMark/>
          </w:tcPr>
          <w:p w14:paraId="46577C5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Becket</w:t>
            </w:r>
          </w:p>
        </w:tc>
        <w:tc>
          <w:tcPr>
            <w:tcW w:w="1148" w:type="dxa"/>
            <w:noWrap/>
            <w:hideMark/>
          </w:tcPr>
          <w:p w14:paraId="2548E11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7F08C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$140,168 </w:t>
            </w:r>
          </w:p>
        </w:tc>
        <w:tc>
          <w:tcPr>
            <w:tcW w:w="1786" w:type="dxa"/>
            <w:noWrap/>
            <w:hideMark/>
          </w:tcPr>
          <w:p w14:paraId="625251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$79,274 </w:t>
            </w:r>
          </w:p>
        </w:tc>
        <w:tc>
          <w:tcPr>
            <w:tcW w:w="901" w:type="dxa"/>
            <w:noWrap/>
            <w:hideMark/>
          </w:tcPr>
          <w:p w14:paraId="0B1B9D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33.2%</w:t>
            </w:r>
          </w:p>
        </w:tc>
        <w:tc>
          <w:tcPr>
            <w:tcW w:w="1374" w:type="dxa"/>
            <w:noWrap/>
            <w:hideMark/>
          </w:tcPr>
          <w:p w14:paraId="3D6F2D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w:t>
            </w:r>
          </w:p>
        </w:tc>
        <w:tc>
          <w:tcPr>
            <w:tcW w:w="1602" w:type="dxa"/>
            <w:noWrap/>
            <w:hideMark/>
          </w:tcPr>
          <w:p w14:paraId="6D29CC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$26,710</w:t>
            </w:r>
          </w:p>
        </w:tc>
        <w:tc>
          <w:tcPr>
            <w:tcW w:w="1264" w:type="dxa"/>
            <w:noWrap/>
            <w:hideMark/>
          </w:tcPr>
          <w:p w14:paraId="77AA2D4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698B4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$143,718</w:t>
            </w:r>
          </w:p>
        </w:tc>
        <w:tc>
          <w:tcPr>
            <w:tcW w:w="1786" w:type="dxa"/>
            <w:noWrap/>
            <w:hideMark/>
          </w:tcPr>
          <w:p w14:paraId="3B59D7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$76,563</w:t>
            </w:r>
          </w:p>
        </w:tc>
        <w:tc>
          <w:tcPr>
            <w:tcW w:w="901" w:type="dxa"/>
            <w:noWrap/>
            <w:hideMark/>
          </w:tcPr>
          <w:p w14:paraId="00A48F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42FFF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53.3%</w:t>
            </w:r>
          </w:p>
        </w:tc>
        <w:tc>
          <w:tcPr>
            <w:tcW w:w="1602" w:type="dxa"/>
            <w:noWrap/>
            <w:hideMark/>
          </w:tcPr>
          <w:p w14:paraId="006F98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$41,374</w:t>
            </w:r>
          </w:p>
        </w:tc>
      </w:tr>
      <w:tr w:rsidR="008C6E34" w:rsidRPr="008C6E34" w14:paraId="3A5918F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F9376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0023</w:t>
            </w:r>
          </w:p>
        </w:tc>
        <w:tc>
          <w:tcPr>
            <w:tcW w:w="2880" w:type="dxa"/>
            <w:noWrap/>
            <w:hideMark/>
          </w:tcPr>
          <w:p w14:paraId="0748FBA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Bedford</w:t>
            </w:r>
          </w:p>
        </w:tc>
        <w:tc>
          <w:tcPr>
            <w:tcW w:w="1148" w:type="dxa"/>
            <w:noWrap/>
            <w:hideMark/>
          </w:tcPr>
          <w:p w14:paraId="15EB794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59989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$18,847,502 </w:t>
            </w:r>
          </w:p>
        </w:tc>
        <w:tc>
          <w:tcPr>
            <w:tcW w:w="1786" w:type="dxa"/>
            <w:noWrap/>
            <w:hideMark/>
          </w:tcPr>
          <w:p w14:paraId="6E34C1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$2,302,613 </w:t>
            </w:r>
          </w:p>
        </w:tc>
        <w:tc>
          <w:tcPr>
            <w:tcW w:w="901" w:type="dxa"/>
            <w:noWrap/>
            <w:hideMark/>
          </w:tcPr>
          <w:p w14:paraId="78F277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8DD2A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12.2%</w:t>
            </w:r>
          </w:p>
        </w:tc>
        <w:tc>
          <w:tcPr>
            <w:tcW w:w="1602" w:type="dxa"/>
            <w:noWrap/>
            <w:hideMark/>
          </w:tcPr>
          <w:p w14:paraId="27C1D0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$2,302,613</w:t>
            </w:r>
          </w:p>
        </w:tc>
        <w:tc>
          <w:tcPr>
            <w:tcW w:w="1264" w:type="dxa"/>
            <w:noWrap/>
            <w:hideMark/>
          </w:tcPr>
          <w:p w14:paraId="5161E5E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3BDC2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$29,672,258</w:t>
            </w:r>
          </w:p>
        </w:tc>
        <w:tc>
          <w:tcPr>
            <w:tcW w:w="1786" w:type="dxa"/>
            <w:noWrap/>
            <w:hideMark/>
          </w:tcPr>
          <w:p w14:paraId="11D6FF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$5,595,167</w:t>
            </w:r>
          </w:p>
        </w:tc>
        <w:tc>
          <w:tcPr>
            <w:tcW w:w="901" w:type="dxa"/>
            <w:noWrap/>
            <w:hideMark/>
          </w:tcPr>
          <w:p w14:paraId="0024BD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C923C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18.9%</w:t>
            </w:r>
          </w:p>
        </w:tc>
        <w:tc>
          <w:tcPr>
            <w:tcW w:w="1602" w:type="dxa"/>
            <w:noWrap/>
            <w:hideMark/>
          </w:tcPr>
          <w:p w14:paraId="3130DB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$21,468</w:t>
            </w:r>
          </w:p>
        </w:tc>
      </w:tr>
      <w:tr w:rsidR="008C6E34" w:rsidRPr="008C6E34" w14:paraId="4C1B87E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720BF3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0024</w:t>
            </w:r>
          </w:p>
        </w:tc>
        <w:tc>
          <w:tcPr>
            <w:tcW w:w="2880" w:type="dxa"/>
            <w:noWrap/>
            <w:hideMark/>
          </w:tcPr>
          <w:p w14:paraId="0E53520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Belchertown</w:t>
            </w:r>
          </w:p>
        </w:tc>
        <w:tc>
          <w:tcPr>
            <w:tcW w:w="1148" w:type="dxa"/>
            <w:noWrap/>
            <w:hideMark/>
          </w:tcPr>
          <w:p w14:paraId="2D7EBC3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2079C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$19,713,839 </w:t>
            </w:r>
          </w:p>
        </w:tc>
        <w:tc>
          <w:tcPr>
            <w:tcW w:w="1786" w:type="dxa"/>
            <w:noWrap/>
            <w:hideMark/>
          </w:tcPr>
          <w:p w14:paraId="2918BE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$10,564,909 </w:t>
            </w:r>
          </w:p>
        </w:tc>
        <w:tc>
          <w:tcPr>
            <w:tcW w:w="901" w:type="dxa"/>
            <w:noWrap/>
            <w:hideMark/>
          </w:tcPr>
          <w:p w14:paraId="3552BD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59.2%</w:t>
            </w:r>
          </w:p>
        </w:tc>
        <w:tc>
          <w:tcPr>
            <w:tcW w:w="1374" w:type="dxa"/>
            <w:noWrap/>
            <w:hideMark/>
          </w:tcPr>
          <w:p w14:paraId="424188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53.6%</w:t>
            </w:r>
          </w:p>
        </w:tc>
        <w:tc>
          <w:tcPr>
            <w:tcW w:w="1602" w:type="dxa"/>
            <w:noWrap/>
            <w:hideMark/>
          </w:tcPr>
          <w:p w14:paraId="672CEC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186CA6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B1074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$24,514,320</w:t>
            </w:r>
          </w:p>
        </w:tc>
        <w:tc>
          <w:tcPr>
            <w:tcW w:w="1786" w:type="dxa"/>
            <w:noWrap/>
            <w:hideMark/>
          </w:tcPr>
          <w:p w14:paraId="715879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$13,884,146</w:t>
            </w:r>
          </w:p>
        </w:tc>
        <w:tc>
          <w:tcPr>
            <w:tcW w:w="901" w:type="dxa"/>
            <w:noWrap/>
            <w:hideMark/>
          </w:tcPr>
          <w:p w14:paraId="6A2797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w:t>
            </w:r>
          </w:p>
        </w:tc>
        <w:tc>
          <w:tcPr>
            <w:tcW w:w="1374" w:type="dxa"/>
            <w:noWrap/>
            <w:hideMark/>
          </w:tcPr>
          <w:p w14:paraId="0BFD04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w:t>
            </w:r>
          </w:p>
        </w:tc>
        <w:tc>
          <w:tcPr>
            <w:tcW w:w="1602" w:type="dxa"/>
            <w:noWrap/>
            <w:hideMark/>
          </w:tcPr>
          <w:p w14:paraId="04ABC1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$1,417,888</w:t>
            </w:r>
          </w:p>
        </w:tc>
      </w:tr>
      <w:tr w:rsidR="008C6E34" w:rsidRPr="008C6E34" w14:paraId="5C8053B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739FFD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0025</w:t>
            </w:r>
          </w:p>
        </w:tc>
        <w:tc>
          <w:tcPr>
            <w:tcW w:w="2880" w:type="dxa"/>
            <w:noWrap/>
            <w:hideMark/>
          </w:tcPr>
          <w:p w14:paraId="6717A64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Bellingham</w:t>
            </w:r>
          </w:p>
        </w:tc>
        <w:tc>
          <w:tcPr>
            <w:tcW w:w="1148" w:type="dxa"/>
            <w:noWrap/>
            <w:hideMark/>
          </w:tcPr>
          <w:p w14:paraId="1153CCB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6E13B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$19,765,782 </w:t>
            </w:r>
          </w:p>
        </w:tc>
        <w:tc>
          <w:tcPr>
            <w:tcW w:w="1786" w:type="dxa"/>
            <w:noWrap/>
            <w:hideMark/>
          </w:tcPr>
          <w:p w14:paraId="19C037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$7,877,733 </w:t>
            </w:r>
          </w:p>
        </w:tc>
        <w:tc>
          <w:tcPr>
            <w:tcW w:w="901" w:type="dxa"/>
            <w:noWrap/>
            <w:hideMark/>
          </w:tcPr>
          <w:p w14:paraId="7E2EAD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36.7%</w:t>
            </w:r>
          </w:p>
        </w:tc>
        <w:tc>
          <w:tcPr>
            <w:tcW w:w="1374" w:type="dxa"/>
            <w:noWrap/>
            <w:hideMark/>
          </w:tcPr>
          <w:p w14:paraId="5FC12E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39.9%</w:t>
            </w:r>
          </w:p>
        </w:tc>
        <w:tc>
          <w:tcPr>
            <w:tcW w:w="1602" w:type="dxa"/>
            <w:noWrap/>
            <w:hideMark/>
          </w:tcPr>
          <w:p w14:paraId="113426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$413,697</w:t>
            </w:r>
          </w:p>
        </w:tc>
        <w:tc>
          <w:tcPr>
            <w:tcW w:w="1264" w:type="dxa"/>
            <w:noWrap/>
            <w:hideMark/>
          </w:tcPr>
          <w:p w14:paraId="18A79CC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13546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$24,541,929</w:t>
            </w:r>
          </w:p>
        </w:tc>
        <w:tc>
          <w:tcPr>
            <w:tcW w:w="1786" w:type="dxa"/>
            <w:noWrap/>
            <w:hideMark/>
          </w:tcPr>
          <w:p w14:paraId="23E3FA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$8,642,425</w:t>
            </w:r>
          </w:p>
        </w:tc>
        <w:tc>
          <w:tcPr>
            <w:tcW w:w="901" w:type="dxa"/>
            <w:noWrap/>
            <w:hideMark/>
          </w:tcPr>
          <w:p w14:paraId="7BFD14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32.6%</w:t>
            </w:r>
          </w:p>
        </w:tc>
        <w:tc>
          <w:tcPr>
            <w:tcW w:w="1374" w:type="dxa"/>
            <w:noWrap/>
            <w:hideMark/>
          </w:tcPr>
          <w:p w14:paraId="370E00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35.2%</w:t>
            </w:r>
          </w:p>
        </w:tc>
        <w:tc>
          <w:tcPr>
            <w:tcW w:w="1602" w:type="dxa"/>
            <w:noWrap/>
            <w:hideMark/>
          </w:tcPr>
          <w:p w14:paraId="2F293F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$556,438</w:t>
            </w:r>
          </w:p>
        </w:tc>
      </w:tr>
      <w:tr w:rsidR="008C6E34" w:rsidRPr="008C6E34" w14:paraId="082DFB7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218639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0026</w:t>
            </w:r>
          </w:p>
        </w:tc>
        <w:tc>
          <w:tcPr>
            <w:tcW w:w="2880" w:type="dxa"/>
            <w:noWrap/>
            <w:hideMark/>
          </w:tcPr>
          <w:p w14:paraId="3CB1054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Belmont</w:t>
            </w:r>
          </w:p>
        </w:tc>
        <w:tc>
          <w:tcPr>
            <w:tcW w:w="1148" w:type="dxa"/>
            <w:noWrap/>
            <w:hideMark/>
          </w:tcPr>
          <w:p w14:paraId="6E24267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BE4B3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$26,906,930 </w:t>
            </w:r>
          </w:p>
        </w:tc>
        <w:tc>
          <w:tcPr>
            <w:tcW w:w="1786" w:type="dxa"/>
            <w:noWrap/>
            <w:hideMark/>
          </w:tcPr>
          <w:p w14:paraId="0FD42E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$3,344,078 </w:t>
            </w:r>
          </w:p>
        </w:tc>
        <w:tc>
          <w:tcPr>
            <w:tcW w:w="901" w:type="dxa"/>
            <w:noWrap/>
            <w:hideMark/>
          </w:tcPr>
          <w:p w14:paraId="5A1527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8A874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12.4%</w:t>
            </w:r>
          </w:p>
        </w:tc>
        <w:tc>
          <w:tcPr>
            <w:tcW w:w="1602" w:type="dxa"/>
            <w:noWrap/>
            <w:hideMark/>
          </w:tcPr>
          <w:p w14:paraId="7196AD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$1,952,517</w:t>
            </w:r>
          </w:p>
        </w:tc>
        <w:tc>
          <w:tcPr>
            <w:tcW w:w="1264" w:type="dxa"/>
            <w:noWrap/>
            <w:hideMark/>
          </w:tcPr>
          <w:p w14:paraId="3C8802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8CCCD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$47,857,221</w:t>
            </w:r>
          </w:p>
        </w:tc>
        <w:tc>
          <w:tcPr>
            <w:tcW w:w="1786" w:type="dxa"/>
            <w:noWrap/>
            <w:hideMark/>
          </w:tcPr>
          <w:p w14:paraId="73E2D1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$9,519,647</w:t>
            </w:r>
          </w:p>
        </w:tc>
        <w:tc>
          <w:tcPr>
            <w:tcW w:w="901" w:type="dxa"/>
            <w:noWrap/>
            <w:hideMark/>
          </w:tcPr>
          <w:p w14:paraId="5F919F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08F96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19.9%</w:t>
            </w:r>
          </w:p>
        </w:tc>
        <w:tc>
          <w:tcPr>
            <w:tcW w:w="1602" w:type="dxa"/>
            <w:noWrap/>
            <w:hideMark/>
          </w:tcPr>
          <w:p w14:paraId="4F804D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$27,106</w:t>
            </w:r>
          </w:p>
        </w:tc>
      </w:tr>
      <w:tr w:rsidR="008C6E34" w:rsidRPr="008C6E34" w14:paraId="4040B80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714DA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0027</w:t>
            </w:r>
          </w:p>
        </w:tc>
        <w:tc>
          <w:tcPr>
            <w:tcW w:w="2880" w:type="dxa"/>
            <w:noWrap/>
            <w:hideMark/>
          </w:tcPr>
          <w:p w14:paraId="26224F8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Berkley</w:t>
            </w:r>
          </w:p>
        </w:tc>
        <w:tc>
          <w:tcPr>
            <w:tcW w:w="1148" w:type="dxa"/>
            <w:noWrap/>
            <w:hideMark/>
          </w:tcPr>
          <w:p w14:paraId="0D513D7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0B0C9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$8,272,940 </w:t>
            </w:r>
          </w:p>
        </w:tc>
        <w:tc>
          <w:tcPr>
            <w:tcW w:w="1786" w:type="dxa"/>
            <w:noWrap/>
            <w:hideMark/>
          </w:tcPr>
          <w:p w14:paraId="19345B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$5,258,969 </w:t>
            </w:r>
          </w:p>
        </w:tc>
        <w:tc>
          <w:tcPr>
            <w:tcW w:w="901" w:type="dxa"/>
            <w:noWrap/>
            <w:hideMark/>
          </w:tcPr>
          <w:p w14:paraId="089E0C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53.8%</w:t>
            </w:r>
          </w:p>
        </w:tc>
        <w:tc>
          <w:tcPr>
            <w:tcW w:w="1374" w:type="dxa"/>
            <w:noWrap/>
            <w:hideMark/>
          </w:tcPr>
          <w:p w14:paraId="32529D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63.6%</w:t>
            </w:r>
          </w:p>
        </w:tc>
        <w:tc>
          <w:tcPr>
            <w:tcW w:w="1602" w:type="dxa"/>
            <w:noWrap/>
            <w:hideMark/>
          </w:tcPr>
          <w:p w14:paraId="26647D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$99,099</w:t>
            </w:r>
          </w:p>
        </w:tc>
        <w:tc>
          <w:tcPr>
            <w:tcW w:w="1264" w:type="dxa"/>
            <w:noWrap/>
            <w:hideMark/>
          </w:tcPr>
          <w:p w14:paraId="78234E3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D7DCB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$7,578,024</w:t>
            </w:r>
          </w:p>
        </w:tc>
        <w:tc>
          <w:tcPr>
            <w:tcW w:w="1786" w:type="dxa"/>
            <w:noWrap/>
            <w:hideMark/>
          </w:tcPr>
          <w:p w14:paraId="5DE558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$4,003,448</w:t>
            </w:r>
          </w:p>
        </w:tc>
        <w:tc>
          <w:tcPr>
            <w:tcW w:w="901" w:type="dxa"/>
            <w:noWrap/>
            <w:hideMark/>
          </w:tcPr>
          <w:p w14:paraId="427649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45.6%</w:t>
            </w:r>
          </w:p>
        </w:tc>
        <w:tc>
          <w:tcPr>
            <w:tcW w:w="1374" w:type="dxa"/>
            <w:noWrap/>
            <w:hideMark/>
          </w:tcPr>
          <w:p w14:paraId="4F0058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52.8%</w:t>
            </w:r>
          </w:p>
        </w:tc>
        <w:tc>
          <w:tcPr>
            <w:tcW w:w="1602" w:type="dxa"/>
            <w:noWrap/>
            <w:hideMark/>
          </w:tcPr>
          <w:p w14:paraId="5B53FD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$369,836</w:t>
            </w:r>
          </w:p>
        </w:tc>
      </w:tr>
      <w:tr w:rsidR="008C6E34" w:rsidRPr="008C6E34" w14:paraId="77E8AD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DE18D7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0028</w:t>
            </w:r>
          </w:p>
        </w:tc>
        <w:tc>
          <w:tcPr>
            <w:tcW w:w="2880" w:type="dxa"/>
            <w:noWrap/>
            <w:hideMark/>
          </w:tcPr>
          <w:p w14:paraId="20FDA1D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Berlin</w:t>
            </w:r>
          </w:p>
        </w:tc>
        <w:tc>
          <w:tcPr>
            <w:tcW w:w="1148" w:type="dxa"/>
            <w:noWrap/>
            <w:hideMark/>
          </w:tcPr>
          <w:p w14:paraId="3D35AB9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F0573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$1,574,410 </w:t>
            </w:r>
          </w:p>
        </w:tc>
        <w:tc>
          <w:tcPr>
            <w:tcW w:w="1786" w:type="dxa"/>
            <w:noWrap/>
            <w:hideMark/>
          </w:tcPr>
          <w:p w14:paraId="1F3E7A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$518,928 </w:t>
            </w:r>
          </w:p>
        </w:tc>
        <w:tc>
          <w:tcPr>
            <w:tcW w:w="901" w:type="dxa"/>
            <w:noWrap/>
            <w:hideMark/>
          </w:tcPr>
          <w:p w14:paraId="3AF28F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669EA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33.0%</w:t>
            </w:r>
          </w:p>
        </w:tc>
        <w:tc>
          <w:tcPr>
            <w:tcW w:w="1602" w:type="dxa"/>
            <w:noWrap/>
            <w:hideMark/>
          </w:tcPr>
          <w:p w14:paraId="285F10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$324,552</w:t>
            </w:r>
          </w:p>
        </w:tc>
        <w:tc>
          <w:tcPr>
            <w:tcW w:w="1264" w:type="dxa"/>
            <w:noWrap/>
            <w:hideMark/>
          </w:tcPr>
          <w:p w14:paraId="6218494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8BF2C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91D64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379276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8D6C5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26215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71600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44C70C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0029</w:t>
            </w:r>
          </w:p>
        </w:tc>
        <w:tc>
          <w:tcPr>
            <w:tcW w:w="2880" w:type="dxa"/>
            <w:noWrap/>
            <w:hideMark/>
          </w:tcPr>
          <w:p w14:paraId="738F896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Bernardston</w:t>
            </w:r>
          </w:p>
        </w:tc>
        <w:tc>
          <w:tcPr>
            <w:tcW w:w="1148" w:type="dxa"/>
            <w:noWrap/>
            <w:hideMark/>
          </w:tcPr>
          <w:p w14:paraId="649687E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DE8D3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80D92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6BB92B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54.0%</w:t>
            </w:r>
          </w:p>
        </w:tc>
        <w:tc>
          <w:tcPr>
            <w:tcW w:w="1374" w:type="dxa"/>
            <w:noWrap/>
            <w:hideMark/>
          </w:tcPr>
          <w:p w14:paraId="39BD74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41C87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5881DB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1E896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22E370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0A5F55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46.6%</w:t>
            </w:r>
          </w:p>
        </w:tc>
        <w:tc>
          <w:tcPr>
            <w:tcW w:w="1374" w:type="dxa"/>
            <w:noWrap/>
            <w:hideMark/>
          </w:tcPr>
          <w:p w14:paraId="0651DE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DD1DC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C7CCCF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22AF22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0030</w:t>
            </w:r>
          </w:p>
        </w:tc>
        <w:tc>
          <w:tcPr>
            <w:tcW w:w="2880" w:type="dxa"/>
            <w:noWrap/>
            <w:hideMark/>
          </w:tcPr>
          <w:p w14:paraId="3499796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Beverly</w:t>
            </w:r>
          </w:p>
        </w:tc>
        <w:tc>
          <w:tcPr>
            <w:tcW w:w="1148" w:type="dxa"/>
            <w:noWrap/>
            <w:hideMark/>
          </w:tcPr>
          <w:p w14:paraId="7ED3EC3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31ACF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$35,715,877 </w:t>
            </w:r>
          </w:p>
        </w:tc>
        <w:tc>
          <w:tcPr>
            <w:tcW w:w="1786" w:type="dxa"/>
            <w:noWrap/>
            <w:hideMark/>
          </w:tcPr>
          <w:p w14:paraId="56919E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$6,612,472 </w:t>
            </w:r>
          </w:p>
        </w:tc>
        <w:tc>
          <w:tcPr>
            <w:tcW w:w="901" w:type="dxa"/>
            <w:noWrap/>
            <w:hideMark/>
          </w:tcPr>
          <w:p w14:paraId="2B8679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0F827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w:t>
            </w:r>
          </w:p>
        </w:tc>
        <w:tc>
          <w:tcPr>
            <w:tcW w:w="1602" w:type="dxa"/>
            <w:noWrap/>
            <w:hideMark/>
          </w:tcPr>
          <w:p w14:paraId="2B0BEC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$3,786,397</w:t>
            </w:r>
          </w:p>
        </w:tc>
        <w:tc>
          <w:tcPr>
            <w:tcW w:w="1264" w:type="dxa"/>
            <w:noWrap/>
            <w:hideMark/>
          </w:tcPr>
          <w:p w14:paraId="038AA35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8A91E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$49,446,399</w:t>
            </w:r>
          </w:p>
        </w:tc>
        <w:tc>
          <w:tcPr>
            <w:tcW w:w="1786" w:type="dxa"/>
            <w:noWrap/>
            <w:hideMark/>
          </w:tcPr>
          <w:p w14:paraId="0AFAF2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$9,257,567</w:t>
            </w:r>
          </w:p>
        </w:tc>
        <w:tc>
          <w:tcPr>
            <w:tcW w:w="901" w:type="dxa"/>
            <w:noWrap/>
            <w:hideMark/>
          </w:tcPr>
          <w:p w14:paraId="583592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A50AA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18.7%</w:t>
            </w:r>
          </w:p>
        </w:tc>
        <w:tc>
          <w:tcPr>
            <w:tcW w:w="1602" w:type="dxa"/>
            <w:noWrap/>
            <w:hideMark/>
          </w:tcPr>
          <w:p w14:paraId="239815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6DC238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AD05C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0031</w:t>
            </w:r>
          </w:p>
        </w:tc>
        <w:tc>
          <w:tcPr>
            <w:tcW w:w="2880" w:type="dxa"/>
            <w:noWrap/>
            <w:hideMark/>
          </w:tcPr>
          <w:p w14:paraId="267E3CB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Billerica</w:t>
            </w:r>
          </w:p>
        </w:tc>
        <w:tc>
          <w:tcPr>
            <w:tcW w:w="1148" w:type="dxa"/>
            <w:noWrap/>
            <w:hideMark/>
          </w:tcPr>
          <w:p w14:paraId="53ED1DF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AA357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$47,634,964 </w:t>
            </w:r>
          </w:p>
        </w:tc>
        <w:tc>
          <w:tcPr>
            <w:tcW w:w="1786" w:type="dxa"/>
            <w:noWrap/>
            <w:hideMark/>
          </w:tcPr>
          <w:p w14:paraId="7760FA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$14,140,521 </w:t>
            </w:r>
          </w:p>
        </w:tc>
        <w:tc>
          <w:tcPr>
            <w:tcW w:w="901" w:type="dxa"/>
            <w:noWrap/>
            <w:hideMark/>
          </w:tcPr>
          <w:p w14:paraId="5E7EBB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39.2%</w:t>
            </w:r>
          </w:p>
        </w:tc>
        <w:tc>
          <w:tcPr>
            <w:tcW w:w="1374" w:type="dxa"/>
            <w:noWrap/>
            <w:hideMark/>
          </w:tcPr>
          <w:p w14:paraId="3EEB53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29.7%</w:t>
            </w:r>
          </w:p>
        </w:tc>
        <w:tc>
          <w:tcPr>
            <w:tcW w:w="1602" w:type="dxa"/>
            <w:noWrap/>
            <w:hideMark/>
          </w:tcPr>
          <w:p w14:paraId="64F6B0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$150,643</w:t>
            </w:r>
          </w:p>
        </w:tc>
        <w:tc>
          <w:tcPr>
            <w:tcW w:w="1264" w:type="dxa"/>
            <w:noWrap/>
            <w:hideMark/>
          </w:tcPr>
          <w:p w14:paraId="66E699F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7ADCD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$51,908,631</w:t>
            </w:r>
          </w:p>
        </w:tc>
        <w:tc>
          <w:tcPr>
            <w:tcW w:w="1786" w:type="dxa"/>
            <w:noWrap/>
            <w:hideMark/>
          </w:tcPr>
          <w:p w14:paraId="21AFDF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$19,348,854</w:t>
            </w:r>
          </w:p>
        </w:tc>
        <w:tc>
          <w:tcPr>
            <w:tcW w:w="901" w:type="dxa"/>
            <w:noWrap/>
            <w:hideMark/>
          </w:tcPr>
          <w:p w14:paraId="732B08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23.2%</w:t>
            </w:r>
          </w:p>
        </w:tc>
        <w:tc>
          <w:tcPr>
            <w:tcW w:w="1374" w:type="dxa"/>
            <w:noWrap/>
            <w:hideMark/>
          </w:tcPr>
          <w:p w14:paraId="55008E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37.3%</w:t>
            </w:r>
          </w:p>
        </w:tc>
        <w:tc>
          <w:tcPr>
            <w:tcW w:w="1602" w:type="dxa"/>
            <w:noWrap/>
            <w:hideMark/>
          </w:tcPr>
          <w:p w14:paraId="116410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$6,811,908</w:t>
            </w:r>
          </w:p>
        </w:tc>
      </w:tr>
      <w:tr w:rsidR="008C6E34" w:rsidRPr="008C6E34" w14:paraId="7F0133E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64CBDC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0032</w:t>
            </w:r>
          </w:p>
        </w:tc>
        <w:tc>
          <w:tcPr>
            <w:tcW w:w="2880" w:type="dxa"/>
            <w:noWrap/>
            <w:hideMark/>
          </w:tcPr>
          <w:p w14:paraId="49184D4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Blackstone</w:t>
            </w:r>
          </w:p>
        </w:tc>
        <w:tc>
          <w:tcPr>
            <w:tcW w:w="1148" w:type="dxa"/>
            <w:noWrap/>
            <w:hideMark/>
          </w:tcPr>
          <w:p w14:paraId="445AB26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67A15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$194,416 </w:t>
            </w:r>
          </w:p>
        </w:tc>
        <w:tc>
          <w:tcPr>
            <w:tcW w:w="1786" w:type="dxa"/>
            <w:noWrap/>
            <w:hideMark/>
          </w:tcPr>
          <w:p w14:paraId="74995B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$115,035 </w:t>
            </w:r>
          </w:p>
        </w:tc>
        <w:tc>
          <w:tcPr>
            <w:tcW w:w="901" w:type="dxa"/>
            <w:noWrap/>
            <w:hideMark/>
          </w:tcPr>
          <w:p w14:paraId="3A5153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w:t>
            </w:r>
          </w:p>
        </w:tc>
        <w:tc>
          <w:tcPr>
            <w:tcW w:w="1374" w:type="dxa"/>
            <w:noWrap/>
            <w:hideMark/>
          </w:tcPr>
          <w:p w14:paraId="5CF284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59.2%</w:t>
            </w:r>
          </w:p>
        </w:tc>
        <w:tc>
          <w:tcPr>
            <w:tcW w:w="1602" w:type="dxa"/>
            <w:noWrap/>
            <w:hideMark/>
          </w:tcPr>
          <w:p w14:paraId="5EC0D8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73D1CB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E8401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$357,719</w:t>
            </w:r>
          </w:p>
        </w:tc>
        <w:tc>
          <w:tcPr>
            <w:tcW w:w="1786" w:type="dxa"/>
            <w:noWrap/>
            <w:hideMark/>
          </w:tcPr>
          <w:p w14:paraId="59296F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$183,898</w:t>
            </w:r>
          </w:p>
        </w:tc>
        <w:tc>
          <w:tcPr>
            <w:tcW w:w="901" w:type="dxa"/>
            <w:noWrap/>
            <w:hideMark/>
          </w:tcPr>
          <w:p w14:paraId="2597D3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50.3%</w:t>
            </w:r>
          </w:p>
        </w:tc>
        <w:tc>
          <w:tcPr>
            <w:tcW w:w="1374" w:type="dxa"/>
            <w:noWrap/>
            <w:hideMark/>
          </w:tcPr>
          <w:p w14:paraId="4C8839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51.4%</w:t>
            </w:r>
          </w:p>
        </w:tc>
        <w:tc>
          <w:tcPr>
            <w:tcW w:w="1602" w:type="dxa"/>
            <w:noWrap/>
            <w:hideMark/>
          </w:tcPr>
          <w:p w14:paraId="210CB1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w:t>
            </w:r>
          </w:p>
        </w:tc>
      </w:tr>
      <w:tr w:rsidR="008C6E34" w:rsidRPr="008C6E34" w14:paraId="01BC6F4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C308FD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0033</w:t>
            </w:r>
          </w:p>
        </w:tc>
        <w:tc>
          <w:tcPr>
            <w:tcW w:w="2880" w:type="dxa"/>
            <w:noWrap/>
            <w:hideMark/>
          </w:tcPr>
          <w:p w14:paraId="1E0BE9A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Blandford</w:t>
            </w:r>
          </w:p>
        </w:tc>
        <w:tc>
          <w:tcPr>
            <w:tcW w:w="1148" w:type="dxa"/>
            <w:noWrap/>
            <w:hideMark/>
          </w:tcPr>
          <w:p w14:paraId="4A0E7EF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92963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$65,098 </w:t>
            </w:r>
          </w:p>
        </w:tc>
        <w:tc>
          <w:tcPr>
            <w:tcW w:w="1786" w:type="dxa"/>
            <w:noWrap/>
            <w:hideMark/>
          </w:tcPr>
          <w:p w14:paraId="33C9F9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$43,027 </w:t>
            </w:r>
          </w:p>
        </w:tc>
        <w:tc>
          <w:tcPr>
            <w:tcW w:w="901" w:type="dxa"/>
            <w:noWrap/>
            <w:hideMark/>
          </w:tcPr>
          <w:p w14:paraId="6664A0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50.6%</w:t>
            </w:r>
          </w:p>
        </w:tc>
        <w:tc>
          <w:tcPr>
            <w:tcW w:w="1374" w:type="dxa"/>
            <w:noWrap/>
            <w:hideMark/>
          </w:tcPr>
          <w:p w14:paraId="3D73BE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66.1%</w:t>
            </w:r>
          </w:p>
        </w:tc>
        <w:tc>
          <w:tcPr>
            <w:tcW w:w="1602" w:type="dxa"/>
            <w:noWrap/>
            <w:hideMark/>
          </w:tcPr>
          <w:p w14:paraId="1C6E3E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$15,461</w:t>
            </w:r>
          </w:p>
        </w:tc>
        <w:tc>
          <w:tcPr>
            <w:tcW w:w="1264" w:type="dxa"/>
            <w:noWrap/>
            <w:hideMark/>
          </w:tcPr>
          <w:p w14:paraId="4C5494B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3DA5C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$114,974</w:t>
            </w:r>
          </w:p>
        </w:tc>
        <w:tc>
          <w:tcPr>
            <w:tcW w:w="1786" w:type="dxa"/>
            <w:noWrap/>
            <w:hideMark/>
          </w:tcPr>
          <w:p w14:paraId="4B1C0F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$43,655</w:t>
            </w:r>
          </w:p>
        </w:tc>
        <w:tc>
          <w:tcPr>
            <w:tcW w:w="901" w:type="dxa"/>
            <w:noWrap/>
            <w:hideMark/>
          </w:tcPr>
          <w:p w14:paraId="0E8EF3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D192D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38.0%</w:t>
            </w:r>
          </w:p>
        </w:tc>
        <w:tc>
          <w:tcPr>
            <w:tcW w:w="1602" w:type="dxa"/>
            <w:noWrap/>
            <w:hideMark/>
          </w:tcPr>
          <w:p w14:paraId="69F89D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$19,764</w:t>
            </w:r>
          </w:p>
        </w:tc>
      </w:tr>
      <w:tr w:rsidR="008C6E34" w:rsidRPr="008C6E34" w14:paraId="1425776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50613B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0034</w:t>
            </w:r>
          </w:p>
        </w:tc>
        <w:tc>
          <w:tcPr>
            <w:tcW w:w="2880" w:type="dxa"/>
            <w:noWrap/>
            <w:hideMark/>
          </w:tcPr>
          <w:p w14:paraId="452E54C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Bolton</w:t>
            </w:r>
          </w:p>
        </w:tc>
        <w:tc>
          <w:tcPr>
            <w:tcW w:w="1148" w:type="dxa"/>
            <w:noWrap/>
            <w:hideMark/>
          </w:tcPr>
          <w:p w14:paraId="1D77413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30DBC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$11,171 </w:t>
            </w:r>
          </w:p>
        </w:tc>
        <w:tc>
          <w:tcPr>
            <w:tcW w:w="1786" w:type="dxa"/>
            <w:noWrap/>
            <w:hideMark/>
          </w:tcPr>
          <w:p w14:paraId="4106C0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$5,551 </w:t>
            </w:r>
          </w:p>
        </w:tc>
        <w:tc>
          <w:tcPr>
            <w:tcW w:w="901" w:type="dxa"/>
            <w:noWrap/>
            <w:hideMark/>
          </w:tcPr>
          <w:p w14:paraId="3B192A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F802F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49.7%</w:t>
            </w:r>
          </w:p>
        </w:tc>
        <w:tc>
          <w:tcPr>
            <w:tcW w:w="1602" w:type="dxa"/>
            <w:noWrap/>
            <w:hideMark/>
          </w:tcPr>
          <w:p w14:paraId="03AE8B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$3,003</w:t>
            </w:r>
          </w:p>
        </w:tc>
        <w:tc>
          <w:tcPr>
            <w:tcW w:w="1264" w:type="dxa"/>
            <w:noWrap/>
            <w:hideMark/>
          </w:tcPr>
          <w:p w14:paraId="5A287B3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E0BCE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$14,862</w:t>
            </w:r>
          </w:p>
        </w:tc>
        <w:tc>
          <w:tcPr>
            <w:tcW w:w="1786" w:type="dxa"/>
            <w:noWrap/>
            <w:hideMark/>
          </w:tcPr>
          <w:p w14:paraId="060DA9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$4,568</w:t>
            </w:r>
          </w:p>
        </w:tc>
        <w:tc>
          <w:tcPr>
            <w:tcW w:w="901" w:type="dxa"/>
            <w:noWrap/>
            <w:hideMark/>
          </w:tcPr>
          <w:p w14:paraId="553F5D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B0403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30.7%</w:t>
            </w:r>
          </w:p>
        </w:tc>
        <w:tc>
          <w:tcPr>
            <w:tcW w:w="1602" w:type="dxa"/>
            <w:noWrap/>
            <w:hideMark/>
          </w:tcPr>
          <w:p w14:paraId="640AF9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$1,797</w:t>
            </w:r>
          </w:p>
        </w:tc>
      </w:tr>
      <w:tr w:rsidR="008C6E34" w:rsidRPr="008C6E34" w14:paraId="11C10DD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C62034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0035</w:t>
            </w:r>
          </w:p>
        </w:tc>
        <w:tc>
          <w:tcPr>
            <w:tcW w:w="2880" w:type="dxa"/>
            <w:noWrap/>
            <w:hideMark/>
          </w:tcPr>
          <w:p w14:paraId="5725A83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Boston</w:t>
            </w:r>
          </w:p>
        </w:tc>
        <w:tc>
          <w:tcPr>
            <w:tcW w:w="1148" w:type="dxa"/>
            <w:noWrap/>
            <w:hideMark/>
          </w:tcPr>
          <w:p w14:paraId="5AB340F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9CF13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$619,256,557 </w:t>
            </w:r>
          </w:p>
        </w:tc>
        <w:tc>
          <w:tcPr>
            <w:tcW w:w="1786" w:type="dxa"/>
            <w:noWrap/>
            <w:hideMark/>
          </w:tcPr>
          <w:p w14:paraId="083766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$210,540,147 </w:t>
            </w:r>
          </w:p>
        </w:tc>
        <w:tc>
          <w:tcPr>
            <w:tcW w:w="901" w:type="dxa"/>
            <w:noWrap/>
            <w:hideMark/>
          </w:tcPr>
          <w:p w14:paraId="506164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20.8%</w:t>
            </w:r>
          </w:p>
        </w:tc>
        <w:tc>
          <w:tcPr>
            <w:tcW w:w="1374" w:type="dxa"/>
            <w:noWrap/>
            <w:hideMark/>
          </w:tcPr>
          <w:p w14:paraId="4352A0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34.0%</w:t>
            </w:r>
          </w:p>
        </w:tc>
        <w:tc>
          <w:tcPr>
            <w:tcW w:w="1602" w:type="dxa"/>
            <w:noWrap/>
            <w:hideMark/>
          </w:tcPr>
          <w:p w14:paraId="53DA27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$13,345,075</w:t>
            </w:r>
          </w:p>
        </w:tc>
        <w:tc>
          <w:tcPr>
            <w:tcW w:w="1264" w:type="dxa"/>
            <w:noWrap/>
            <w:hideMark/>
          </w:tcPr>
          <w:p w14:paraId="7319880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58427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$910,864,776</w:t>
            </w:r>
          </w:p>
        </w:tc>
        <w:tc>
          <w:tcPr>
            <w:tcW w:w="1786" w:type="dxa"/>
            <w:noWrap/>
            <w:hideMark/>
          </w:tcPr>
          <w:p w14:paraId="29F1BA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$221,915,045</w:t>
            </w:r>
          </w:p>
        </w:tc>
        <w:tc>
          <w:tcPr>
            <w:tcW w:w="901" w:type="dxa"/>
            <w:noWrap/>
            <w:hideMark/>
          </w:tcPr>
          <w:p w14:paraId="398458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5342E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w:t>
            </w:r>
          </w:p>
        </w:tc>
        <w:tc>
          <w:tcPr>
            <w:tcW w:w="1602" w:type="dxa"/>
            <w:noWrap/>
            <w:hideMark/>
          </w:tcPr>
          <w:p w14:paraId="5DE769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$60,957,607</w:t>
            </w:r>
          </w:p>
        </w:tc>
      </w:tr>
      <w:tr w:rsidR="008C6E34" w:rsidRPr="008C6E34" w14:paraId="539A528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63CC5C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0036</w:t>
            </w:r>
          </w:p>
        </w:tc>
        <w:tc>
          <w:tcPr>
            <w:tcW w:w="2880" w:type="dxa"/>
            <w:noWrap/>
            <w:hideMark/>
          </w:tcPr>
          <w:p w14:paraId="547C208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Bourne</w:t>
            </w:r>
          </w:p>
        </w:tc>
        <w:tc>
          <w:tcPr>
            <w:tcW w:w="1148" w:type="dxa"/>
            <w:noWrap/>
            <w:hideMark/>
          </w:tcPr>
          <w:p w14:paraId="38F8046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DCEA4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$19,096,416 </w:t>
            </w:r>
          </w:p>
        </w:tc>
        <w:tc>
          <w:tcPr>
            <w:tcW w:w="1786" w:type="dxa"/>
            <w:noWrap/>
            <w:hideMark/>
          </w:tcPr>
          <w:p w14:paraId="1B834F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$4,725,494 </w:t>
            </w:r>
          </w:p>
        </w:tc>
        <w:tc>
          <w:tcPr>
            <w:tcW w:w="901" w:type="dxa"/>
            <w:noWrap/>
            <w:hideMark/>
          </w:tcPr>
          <w:p w14:paraId="179986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7C9AF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24.7%</w:t>
            </w:r>
          </w:p>
        </w:tc>
        <w:tc>
          <w:tcPr>
            <w:tcW w:w="1602" w:type="dxa"/>
            <w:noWrap/>
            <w:hideMark/>
          </w:tcPr>
          <w:p w14:paraId="0F53E5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$586,919</w:t>
            </w:r>
          </w:p>
        </w:tc>
        <w:tc>
          <w:tcPr>
            <w:tcW w:w="1264" w:type="dxa"/>
            <w:noWrap/>
            <w:hideMark/>
          </w:tcPr>
          <w:p w14:paraId="209AA6A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7F7DF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$22,123,863</w:t>
            </w:r>
          </w:p>
        </w:tc>
        <w:tc>
          <w:tcPr>
            <w:tcW w:w="1786" w:type="dxa"/>
            <w:noWrap/>
            <w:hideMark/>
          </w:tcPr>
          <w:p w14:paraId="2B55AA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$5,215,213</w:t>
            </w:r>
          </w:p>
        </w:tc>
        <w:tc>
          <w:tcPr>
            <w:tcW w:w="901" w:type="dxa"/>
            <w:noWrap/>
            <w:hideMark/>
          </w:tcPr>
          <w:p w14:paraId="107D23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BCD0F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23.6%</w:t>
            </w:r>
          </w:p>
        </w:tc>
        <w:tc>
          <w:tcPr>
            <w:tcW w:w="1602" w:type="dxa"/>
            <w:noWrap/>
            <w:hideMark/>
          </w:tcPr>
          <w:p w14:paraId="74D612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$1,343,537</w:t>
            </w:r>
          </w:p>
        </w:tc>
      </w:tr>
      <w:tr w:rsidR="008C6E34" w:rsidRPr="008C6E34" w14:paraId="7335A5B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25BD0F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0037</w:t>
            </w:r>
          </w:p>
        </w:tc>
        <w:tc>
          <w:tcPr>
            <w:tcW w:w="2880" w:type="dxa"/>
            <w:noWrap/>
            <w:hideMark/>
          </w:tcPr>
          <w:p w14:paraId="776D679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Boxborough</w:t>
            </w:r>
          </w:p>
        </w:tc>
        <w:tc>
          <w:tcPr>
            <w:tcW w:w="1148" w:type="dxa"/>
            <w:noWrap/>
            <w:hideMark/>
          </w:tcPr>
          <w:p w14:paraId="3B2C7C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4A3AB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$4,120,405 </w:t>
            </w:r>
          </w:p>
        </w:tc>
        <w:tc>
          <w:tcPr>
            <w:tcW w:w="1786" w:type="dxa"/>
            <w:noWrap/>
            <w:hideMark/>
          </w:tcPr>
          <w:p w14:paraId="05FFC3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$1,344,663 </w:t>
            </w:r>
          </w:p>
        </w:tc>
        <w:tc>
          <w:tcPr>
            <w:tcW w:w="901" w:type="dxa"/>
            <w:noWrap/>
            <w:hideMark/>
          </w:tcPr>
          <w:p w14:paraId="400D49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29.3%</w:t>
            </w:r>
          </w:p>
        </w:tc>
        <w:tc>
          <w:tcPr>
            <w:tcW w:w="1374" w:type="dxa"/>
            <w:noWrap/>
            <w:hideMark/>
          </w:tcPr>
          <w:p w14:paraId="58BB10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32.6%</w:t>
            </w:r>
          </w:p>
        </w:tc>
        <w:tc>
          <w:tcPr>
            <w:tcW w:w="1602" w:type="dxa"/>
            <w:noWrap/>
            <w:hideMark/>
          </w:tcPr>
          <w:p w14:paraId="1B67F6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$384,976</w:t>
            </w:r>
          </w:p>
        </w:tc>
        <w:tc>
          <w:tcPr>
            <w:tcW w:w="1264" w:type="dxa"/>
            <w:noWrap/>
            <w:hideMark/>
          </w:tcPr>
          <w:p w14:paraId="7E608FA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97510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$127,475</w:t>
            </w:r>
          </w:p>
        </w:tc>
        <w:tc>
          <w:tcPr>
            <w:tcW w:w="1786" w:type="dxa"/>
            <w:noWrap/>
            <w:hideMark/>
          </w:tcPr>
          <w:p w14:paraId="7B1090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$22,674</w:t>
            </w:r>
          </w:p>
        </w:tc>
        <w:tc>
          <w:tcPr>
            <w:tcW w:w="901" w:type="dxa"/>
            <w:noWrap/>
            <w:hideMark/>
          </w:tcPr>
          <w:p w14:paraId="4580CC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940D1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w:t>
            </w:r>
          </w:p>
        </w:tc>
        <w:tc>
          <w:tcPr>
            <w:tcW w:w="1602" w:type="dxa"/>
            <w:noWrap/>
            <w:hideMark/>
          </w:tcPr>
          <w:p w14:paraId="46B39A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w:t>
            </w:r>
          </w:p>
        </w:tc>
      </w:tr>
      <w:tr w:rsidR="008C6E34" w:rsidRPr="008C6E34" w14:paraId="036A07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C24608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0038</w:t>
            </w:r>
          </w:p>
        </w:tc>
        <w:tc>
          <w:tcPr>
            <w:tcW w:w="2880" w:type="dxa"/>
            <w:noWrap/>
            <w:hideMark/>
          </w:tcPr>
          <w:p w14:paraId="4A99359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Boxford</w:t>
            </w:r>
          </w:p>
        </w:tc>
        <w:tc>
          <w:tcPr>
            <w:tcW w:w="1148" w:type="dxa"/>
            <w:noWrap/>
            <w:hideMark/>
          </w:tcPr>
          <w:p w14:paraId="72A92A5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EC9E8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$6,289,687 </w:t>
            </w:r>
          </w:p>
        </w:tc>
        <w:tc>
          <w:tcPr>
            <w:tcW w:w="1786" w:type="dxa"/>
            <w:noWrap/>
            <w:hideMark/>
          </w:tcPr>
          <w:p w14:paraId="02DEE1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$1,536,107 </w:t>
            </w:r>
          </w:p>
        </w:tc>
        <w:tc>
          <w:tcPr>
            <w:tcW w:w="901" w:type="dxa"/>
            <w:noWrap/>
            <w:hideMark/>
          </w:tcPr>
          <w:p w14:paraId="3B8CEC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857E4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w:t>
            </w:r>
          </w:p>
        </w:tc>
        <w:tc>
          <w:tcPr>
            <w:tcW w:w="1602" w:type="dxa"/>
            <w:noWrap/>
            <w:hideMark/>
          </w:tcPr>
          <w:p w14:paraId="4EF721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$306,646</w:t>
            </w:r>
          </w:p>
        </w:tc>
        <w:tc>
          <w:tcPr>
            <w:tcW w:w="1264" w:type="dxa"/>
            <w:noWrap/>
            <w:hideMark/>
          </w:tcPr>
          <w:p w14:paraId="79D4F80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A3B94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$7,004,474</w:t>
            </w:r>
          </w:p>
        </w:tc>
        <w:tc>
          <w:tcPr>
            <w:tcW w:w="1786" w:type="dxa"/>
            <w:noWrap/>
            <w:hideMark/>
          </w:tcPr>
          <w:p w14:paraId="5ABA3E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$1,747,903</w:t>
            </w:r>
          </w:p>
        </w:tc>
        <w:tc>
          <w:tcPr>
            <w:tcW w:w="901" w:type="dxa"/>
            <w:noWrap/>
            <w:hideMark/>
          </w:tcPr>
          <w:p w14:paraId="35F1A0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1A20E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25.0%</w:t>
            </w:r>
          </w:p>
        </w:tc>
        <w:tc>
          <w:tcPr>
            <w:tcW w:w="1602" w:type="dxa"/>
            <w:noWrap/>
            <w:hideMark/>
          </w:tcPr>
          <w:p w14:paraId="111591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$509,027</w:t>
            </w:r>
          </w:p>
        </w:tc>
      </w:tr>
      <w:tr w:rsidR="008C6E34" w:rsidRPr="008C6E34" w14:paraId="3CB864C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5B23FB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0039</w:t>
            </w:r>
          </w:p>
        </w:tc>
        <w:tc>
          <w:tcPr>
            <w:tcW w:w="2880" w:type="dxa"/>
            <w:noWrap/>
            <w:hideMark/>
          </w:tcPr>
          <w:p w14:paraId="72422B3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Boylston</w:t>
            </w:r>
          </w:p>
        </w:tc>
        <w:tc>
          <w:tcPr>
            <w:tcW w:w="1148" w:type="dxa"/>
            <w:noWrap/>
            <w:hideMark/>
          </w:tcPr>
          <w:p w14:paraId="6F81970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98AE5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$2,596,679 </w:t>
            </w:r>
          </w:p>
        </w:tc>
        <w:tc>
          <w:tcPr>
            <w:tcW w:w="1786" w:type="dxa"/>
            <w:noWrap/>
            <w:hideMark/>
          </w:tcPr>
          <w:p w14:paraId="40839A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$424,025 </w:t>
            </w:r>
          </w:p>
        </w:tc>
        <w:tc>
          <w:tcPr>
            <w:tcW w:w="901" w:type="dxa"/>
            <w:noWrap/>
            <w:hideMark/>
          </w:tcPr>
          <w:p w14:paraId="13CD86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E9FE8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16.3%</w:t>
            </w:r>
          </w:p>
        </w:tc>
        <w:tc>
          <w:tcPr>
            <w:tcW w:w="1602" w:type="dxa"/>
            <w:noWrap/>
            <w:hideMark/>
          </w:tcPr>
          <w:p w14:paraId="679E8D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$295,599</w:t>
            </w:r>
          </w:p>
        </w:tc>
        <w:tc>
          <w:tcPr>
            <w:tcW w:w="1264" w:type="dxa"/>
            <w:noWrap/>
            <w:hideMark/>
          </w:tcPr>
          <w:p w14:paraId="48966B2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D9A07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$429,578</w:t>
            </w:r>
          </w:p>
        </w:tc>
        <w:tc>
          <w:tcPr>
            <w:tcW w:w="1786" w:type="dxa"/>
            <w:noWrap/>
            <w:hideMark/>
          </w:tcPr>
          <w:p w14:paraId="29231E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$84,733</w:t>
            </w:r>
          </w:p>
        </w:tc>
        <w:tc>
          <w:tcPr>
            <w:tcW w:w="901" w:type="dxa"/>
            <w:noWrap/>
            <w:hideMark/>
          </w:tcPr>
          <w:p w14:paraId="435CAA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50091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19.7%</w:t>
            </w:r>
          </w:p>
        </w:tc>
        <w:tc>
          <w:tcPr>
            <w:tcW w:w="1602" w:type="dxa"/>
            <w:noWrap/>
            <w:hideMark/>
          </w:tcPr>
          <w:p w14:paraId="11DF40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78EE44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8FE05F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0040</w:t>
            </w:r>
          </w:p>
        </w:tc>
        <w:tc>
          <w:tcPr>
            <w:tcW w:w="2880" w:type="dxa"/>
            <w:noWrap/>
            <w:hideMark/>
          </w:tcPr>
          <w:p w14:paraId="1436F9D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Braintree</w:t>
            </w:r>
          </w:p>
        </w:tc>
        <w:tc>
          <w:tcPr>
            <w:tcW w:w="1148" w:type="dxa"/>
            <w:noWrap/>
            <w:hideMark/>
          </w:tcPr>
          <w:p w14:paraId="1C1BA0A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AEEB7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$39,382,975 </w:t>
            </w:r>
          </w:p>
        </w:tc>
        <w:tc>
          <w:tcPr>
            <w:tcW w:w="1786" w:type="dxa"/>
            <w:noWrap/>
            <w:hideMark/>
          </w:tcPr>
          <w:p w14:paraId="62F80B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$6,348,111 </w:t>
            </w:r>
          </w:p>
        </w:tc>
        <w:tc>
          <w:tcPr>
            <w:tcW w:w="901" w:type="dxa"/>
            <w:noWrap/>
            <w:hideMark/>
          </w:tcPr>
          <w:p w14:paraId="60D963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23.0%</w:t>
            </w:r>
          </w:p>
        </w:tc>
        <w:tc>
          <w:tcPr>
            <w:tcW w:w="1374" w:type="dxa"/>
            <w:noWrap/>
            <w:hideMark/>
          </w:tcPr>
          <w:p w14:paraId="0ED967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16.1%</w:t>
            </w:r>
          </w:p>
        </w:tc>
        <w:tc>
          <w:tcPr>
            <w:tcW w:w="1602" w:type="dxa"/>
            <w:noWrap/>
            <w:hideMark/>
          </w:tcPr>
          <w:p w14:paraId="45713F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4AF4AD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3D79D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$63,032,118</w:t>
            </w:r>
          </w:p>
        </w:tc>
        <w:tc>
          <w:tcPr>
            <w:tcW w:w="1786" w:type="dxa"/>
            <w:noWrap/>
            <w:hideMark/>
          </w:tcPr>
          <w:p w14:paraId="31D0B7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$18,297,651</w:t>
            </w:r>
          </w:p>
        </w:tc>
        <w:tc>
          <w:tcPr>
            <w:tcW w:w="901" w:type="dxa"/>
            <w:noWrap/>
            <w:hideMark/>
          </w:tcPr>
          <w:p w14:paraId="2F13E0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26.9%</w:t>
            </w:r>
          </w:p>
        </w:tc>
        <w:tc>
          <w:tcPr>
            <w:tcW w:w="1374" w:type="dxa"/>
            <w:noWrap/>
            <w:hideMark/>
          </w:tcPr>
          <w:p w14:paraId="28875A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w:t>
            </w:r>
          </w:p>
        </w:tc>
        <w:tc>
          <w:tcPr>
            <w:tcW w:w="1602" w:type="dxa"/>
            <w:noWrap/>
            <w:hideMark/>
          </w:tcPr>
          <w:p w14:paraId="6BB8B1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$61,479</w:t>
            </w:r>
          </w:p>
        </w:tc>
      </w:tr>
      <w:tr w:rsidR="008C6E34" w:rsidRPr="008C6E34" w14:paraId="477C84D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FD787E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0041</w:t>
            </w:r>
          </w:p>
        </w:tc>
        <w:tc>
          <w:tcPr>
            <w:tcW w:w="2880" w:type="dxa"/>
            <w:noWrap/>
            <w:hideMark/>
          </w:tcPr>
          <w:p w14:paraId="7A8661A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Brewster</w:t>
            </w:r>
          </w:p>
        </w:tc>
        <w:tc>
          <w:tcPr>
            <w:tcW w:w="1148" w:type="dxa"/>
            <w:noWrap/>
            <w:hideMark/>
          </w:tcPr>
          <w:p w14:paraId="105DBD6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73801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$3,716,661 </w:t>
            </w:r>
          </w:p>
        </w:tc>
        <w:tc>
          <w:tcPr>
            <w:tcW w:w="1786" w:type="dxa"/>
            <w:noWrap/>
            <w:hideMark/>
          </w:tcPr>
          <w:p w14:paraId="3AB144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$872,877 </w:t>
            </w:r>
          </w:p>
        </w:tc>
        <w:tc>
          <w:tcPr>
            <w:tcW w:w="901" w:type="dxa"/>
            <w:noWrap/>
            <w:hideMark/>
          </w:tcPr>
          <w:p w14:paraId="3D9D59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88851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23.5%</w:t>
            </w:r>
          </w:p>
        </w:tc>
        <w:tc>
          <w:tcPr>
            <w:tcW w:w="1602" w:type="dxa"/>
            <w:noWrap/>
            <w:hideMark/>
          </w:tcPr>
          <w:p w14:paraId="00AA50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$659,671</w:t>
            </w:r>
          </w:p>
        </w:tc>
        <w:tc>
          <w:tcPr>
            <w:tcW w:w="1264" w:type="dxa"/>
            <w:noWrap/>
            <w:hideMark/>
          </w:tcPr>
          <w:p w14:paraId="20CE967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06EF1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$5,028,082</w:t>
            </w:r>
          </w:p>
        </w:tc>
        <w:tc>
          <w:tcPr>
            <w:tcW w:w="1786" w:type="dxa"/>
            <w:noWrap/>
            <w:hideMark/>
          </w:tcPr>
          <w:p w14:paraId="2B2550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$1,011,979</w:t>
            </w:r>
          </w:p>
        </w:tc>
        <w:tc>
          <w:tcPr>
            <w:tcW w:w="901" w:type="dxa"/>
            <w:noWrap/>
            <w:hideMark/>
          </w:tcPr>
          <w:p w14:paraId="51818D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22308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20.1%</w:t>
            </w:r>
          </w:p>
        </w:tc>
        <w:tc>
          <w:tcPr>
            <w:tcW w:w="1602" w:type="dxa"/>
            <w:noWrap/>
            <w:hideMark/>
          </w:tcPr>
          <w:p w14:paraId="451B68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$75,376</w:t>
            </w:r>
          </w:p>
        </w:tc>
      </w:tr>
      <w:tr w:rsidR="008C6E34" w:rsidRPr="008C6E34" w14:paraId="296D87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023C6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0042</w:t>
            </w:r>
          </w:p>
        </w:tc>
        <w:tc>
          <w:tcPr>
            <w:tcW w:w="2880" w:type="dxa"/>
            <w:noWrap/>
            <w:hideMark/>
          </w:tcPr>
          <w:p w14:paraId="63D2EEC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Bridgewater</w:t>
            </w:r>
          </w:p>
        </w:tc>
        <w:tc>
          <w:tcPr>
            <w:tcW w:w="1148" w:type="dxa"/>
            <w:noWrap/>
            <w:hideMark/>
          </w:tcPr>
          <w:p w14:paraId="2E1F92E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C5361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$97,647 </w:t>
            </w:r>
          </w:p>
        </w:tc>
        <w:tc>
          <w:tcPr>
            <w:tcW w:w="1786" w:type="dxa"/>
            <w:noWrap/>
            <w:hideMark/>
          </w:tcPr>
          <w:p w14:paraId="75CBF9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$91,714 </w:t>
            </w:r>
          </w:p>
        </w:tc>
        <w:tc>
          <w:tcPr>
            <w:tcW w:w="901" w:type="dxa"/>
            <w:noWrap/>
            <w:hideMark/>
          </w:tcPr>
          <w:p w14:paraId="2D1CF7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37.4%</w:t>
            </w:r>
          </w:p>
        </w:tc>
        <w:tc>
          <w:tcPr>
            <w:tcW w:w="1374" w:type="dxa"/>
            <w:noWrap/>
            <w:hideMark/>
          </w:tcPr>
          <w:p w14:paraId="4B4CFC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93.9%</w:t>
            </w:r>
          </w:p>
        </w:tc>
        <w:tc>
          <w:tcPr>
            <w:tcW w:w="1602" w:type="dxa"/>
            <w:noWrap/>
            <w:hideMark/>
          </w:tcPr>
          <w:p w14:paraId="638DBC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$46,657</w:t>
            </w:r>
          </w:p>
        </w:tc>
        <w:tc>
          <w:tcPr>
            <w:tcW w:w="1264" w:type="dxa"/>
            <w:noWrap/>
            <w:hideMark/>
          </w:tcPr>
          <w:p w14:paraId="4F870FE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B7A61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$129,346</w:t>
            </w:r>
          </w:p>
        </w:tc>
        <w:tc>
          <w:tcPr>
            <w:tcW w:w="1786" w:type="dxa"/>
            <w:noWrap/>
            <w:hideMark/>
          </w:tcPr>
          <w:p w14:paraId="7101B8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$76,038</w:t>
            </w:r>
          </w:p>
        </w:tc>
        <w:tc>
          <w:tcPr>
            <w:tcW w:w="901" w:type="dxa"/>
            <w:noWrap/>
            <w:hideMark/>
          </w:tcPr>
          <w:p w14:paraId="6A1F89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36.2%</w:t>
            </w:r>
          </w:p>
        </w:tc>
        <w:tc>
          <w:tcPr>
            <w:tcW w:w="1374" w:type="dxa"/>
            <w:noWrap/>
            <w:hideMark/>
          </w:tcPr>
          <w:p w14:paraId="56F193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58.8%</w:t>
            </w:r>
          </w:p>
        </w:tc>
        <w:tc>
          <w:tcPr>
            <w:tcW w:w="1602" w:type="dxa"/>
            <w:noWrap/>
            <w:hideMark/>
          </w:tcPr>
          <w:p w14:paraId="0CA823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$28,332</w:t>
            </w:r>
          </w:p>
        </w:tc>
      </w:tr>
      <w:tr w:rsidR="008C6E34" w:rsidRPr="008C6E34" w14:paraId="1415939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9E5CA5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0043</w:t>
            </w:r>
          </w:p>
        </w:tc>
        <w:tc>
          <w:tcPr>
            <w:tcW w:w="2880" w:type="dxa"/>
            <w:noWrap/>
            <w:hideMark/>
          </w:tcPr>
          <w:p w14:paraId="2F8F4A4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Brimfield</w:t>
            </w:r>
          </w:p>
        </w:tc>
        <w:tc>
          <w:tcPr>
            <w:tcW w:w="1148" w:type="dxa"/>
            <w:noWrap/>
            <w:hideMark/>
          </w:tcPr>
          <w:p w14:paraId="2721A99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173BB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$2,227,974 </w:t>
            </w:r>
          </w:p>
        </w:tc>
        <w:tc>
          <w:tcPr>
            <w:tcW w:w="1786" w:type="dxa"/>
            <w:noWrap/>
            <w:hideMark/>
          </w:tcPr>
          <w:p w14:paraId="5FFB7F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$1,046,886 </w:t>
            </w:r>
          </w:p>
        </w:tc>
        <w:tc>
          <w:tcPr>
            <w:tcW w:w="901" w:type="dxa"/>
            <w:noWrap/>
            <w:hideMark/>
          </w:tcPr>
          <w:p w14:paraId="4E49E1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w:t>
            </w:r>
          </w:p>
        </w:tc>
        <w:tc>
          <w:tcPr>
            <w:tcW w:w="1374" w:type="dxa"/>
            <w:noWrap/>
            <w:hideMark/>
          </w:tcPr>
          <w:p w14:paraId="036BE9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47.0%</w:t>
            </w:r>
          </w:p>
        </w:tc>
        <w:tc>
          <w:tcPr>
            <w:tcW w:w="1602" w:type="dxa"/>
            <w:noWrap/>
            <w:hideMark/>
          </w:tcPr>
          <w:p w14:paraId="5DDC6A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BF3D78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49FB6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$2,714,228</w:t>
            </w:r>
          </w:p>
        </w:tc>
        <w:tc>
          <w:tcPr>
            <w:tcW w:w="1786" w:type="dxa"/>
            <w:noWrap/>
            <w:hideMark/>
          </w:tcPr>
          <w:p w14:paraId="7E3493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$1,247,172</w:t>
            </w:r>
          </w:p>
        </w:tc>
        <w:tc>
          <w:tcPr>
            <w:tcW w:w="901" w:type="dxa"/>
            <w:noWrap/>
            <w:hideMark/>
          </w:tcPr>
          <w:p w14:paraId="42186F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43.0%</w:t>
            </w:r>
          </w:p>
        </w:tc>
        <w:tc>
          <w:tcPr>
            <w:tcW w:w="1374" w:type="dxa"/>
            <w:noWrap/>
            <w:hideMark/>
          </w:tcPr>
          <w:p w14:paraId="3E88DD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45.9%</w:t>
            </w:r>
          </w:p>
        </w:tc>
        <w:tc>
          <w:tcPr>
            <w:tcW w:w="1602" w:type="dxa"/>
            <w:noWrap/>
            <w:hideMark/>
          </w:tcPr>
          <w:p w14:paraId="23A1DF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$79,393</w:t>
            </w:r>
          </w:p>
        </w:tc>
      </w:tr>
      <w:tr w:rsidR="008C6E34" w:rsidRPr="008C6E34" w14:paraId="514E2BB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ACB3F0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0044</w:t>
            </w:r>
          </w:p>
        </w:tc>
        <w:tc>
          <w:tcPr>
            <w:tcW w:w="2880" w:type="dxa"/>
            <w:noWrap/>
            <w:hideMark/>
          </w:tcPr>
          <w:p w14:paraId="023DB41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Brockton</w:t>
            </w:r>
          </w:p>
        </w:tc>
        <w:tc>
          <w:tcPr>
            <w:tcW w:w="1148" w:type="dxa"/>
            <w:noWrap/>
            <w:hideMark/>
          </w:tcPr>
          <w:p w14:paraId="14332B0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A058B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$148,050,711 </w:t>
            </w:r>
          </w:p>
        </w:tc>
        <w:tc>
          <w:tcPr>
            <w:tcW w:w="1786" w:type="dxa"/>
            <w:noWrap/>
            <w:hideMark/>
          </w:tcPr>
          <w:p w14:paraId="11D3D7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$117,298,166 </w:t>
            </w:r>
          </w:p>
        </w:tc>
        <w:tc>
          <w:tcPr>
            <w:tcW w:w="901" w:type="dxa"/>
            <w:noWrap/>
            <w:hideMark/>
          </w:tcPr>
          <w:p w14:paraId="070FB1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72.4%</w:t>
            </w:r>
          </w:p>
        </w:tc>
        <w:tc>
          <w:tcPr>
            <w:tcW w:w="1374" w:type="dxa"/>
            <w:noWrap/>
            <w:hideMark/>
          </w:tcPr>
          <w:p w14:paraId="000E1F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79.2%</w:t>
            </w:r>
          </w:p>
        </w:tc>
        <w:tc>
          <w:tcPr>
            <w:tcW w:w="1602" w:type="dxa"/>
            <w:noWrap/>
            <w:hideMark/>
          </w:tcPr>
          <w:p w14:paraId="38E455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AA5609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57676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$232,535,452</w:t>
            </w:r>
          </w:p>
        </w:tc>
        <w:tc>
          <w:tcPr>
            <w:tcW w:w="1786" w:type="dxa"/>
            <w:noWrap/>
            <w:hideMark/>
          </w:tcPr>
          <w:p w14:paraId="4CA89A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$186,500,509</w:t>
            </w:r>
          </w:p>
        </w:tc>
        <w:tc>
          <w:tcPr>
            <w:tcW w:w="901" w:type="dxa"/>
            <w:noWrap/>
            <w:hideMark/>
          </w:tcPr>
          <w:p w14:paraId="7B37D3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77.5%</w:t>
            </w:r>
          </w:p>
        </w:tc>
        <w:tc>
          <w:tcPr>
            <w:tcW w:w="1374" w:type="dxa"/>
            <w:noWrap/>
            <w:hideMark/>
          </w:tcPr>
          <w:p w14:paraId="27C477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80.2%</w:t>
            </w:r>
          </w:p>
        </w:tc>
        <w:tc>
          <w:tcPr>
            <w:tcW w:w="1602" w:type="dxa"/>
            <w:noWrap/>
            <w:hideMark/>
          </w:tcPr>
          <w:p w14:paraId="371F92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001191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EF0D6E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0045</w:t>
            </w:r>
          </w:p>
        </w:tc>
        <w:tc>
          <w:tcPr>
            <w:tcW w:w="2880" w:type="dxa"/>
            <w:noWrap/>
            <w:hideMark/>
          </w:tcPr>
          <w:p w14:paraId="3870AB8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Brookfield</w:t>
            </w:r>
          </w:p>
        </w:tc>
        <w:tc>
          <w:tcPr>
            <w:tcW w:w="1148" w:type="dxa"/>
            <w:noWrap/>
            <w:hideMark/>
          </w:tcPr>
          <w:p w14:paraId="5570B3C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FACD3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$2,063,442 </w:t>
            </w:r>
          </w:p>
        </w:tc>
        <w:tc>
          <w:tcPr>
            <w:tcW w:w="1786" w:type="dxa"/>
            <w:noWrap/>
            <w:hideMark/>
          </w:tcPr>
          <w:p w14:paraId="044AD2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$1,345,037 </w:t>
            </w:r>
          </w:p>
        </w:tc>
        <w:tc>
          <w:tcPr>
            <w:tcW w:w="901" w:type="dxa"/>
            <w:noWrap/>
            <w:hideMark/>
          </w:tcPr>
          <w:p w14:paraId="457214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60.3%</w:t>
            </w:r>
          </w:p>
        </w:tc>
        <w:tc>
          <w:tcPr>
            <w:tcW w:w="1374" w:type="dxa"/>
            <w:noWrap/>
            <w:hideMark/>
          </w:tcPr>
          <w:p w14:paraId="4480FF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65.2%</w:t>
            </w:r>
          </w:p>
        </w:tc>
        <w:tc>
          <w:tcPr>
            <w:tcW w:w="1602" w:type="dxa"/>
            <w:noWrap/>
            <w:hideMark/>
          </w:tcPr>
          <w:p w14:paraId="23CC0B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$83,233</w:t>
            </w:r>
          </w:p>
        </w:tc>
        <w:tc>
          <w:tcPr>
            <w:tcW w:w="1264" w:type="dxa"/>
            <w:noWrap/>
            <w:hideMark/>
          </w:tcPr>
          <w:p w14:paraId="65D7313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B871A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$2,740,659</w:t>
            </w:r>
          </w:p>
        </w:tc>
        <w:tc>
          <w:tcPr>
            <w:tcW w:w="1786" w:type="dxa"/>
            <w:noWrap/>
            <w:hideMark/>
          </w:tcPr>
          <w:p w14:paraId="590E1B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$1,585,489</w:t>
            </w:r>
          </w:p>
        </w:tc>
        <w:tc>
          <w:tcPr>
            <w:tcW w:w="901" w:type="dxa"/>
            <w:noWrap/>
            <w:hideMark/>
          </w:tcPr>
          <w:p w14:paraId="0D3905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57.9%</w:t>
            </w:r>
          </w:p>
        </w:tc>
        <w:tc>
          <w:tcPr>
            <w:tcW w:w="1374" w:type="dxa"/>
            <w:noWrap/>
            <w:hideMark/>
          </w:tcPr>
          <w:p w14:paraId="5F8490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57.9%</w:t>
            </w:r>
          </w:p>
        </w:tc>
        <w:tc>
          <w:tcPr>
            <w:tcW w:w="1602" w:type="dxa"/>
            <w:noWrap/>
            <w:hideMark/>
          </w:tcPr>
          <w:p w14:paraId="7B964C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254CE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52D9FA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0046</w:t>
            </w:r>
          </w:p>
        </w:tc>
        <w:tc>
          <w:tcPr>
            <w:tcW w:w="2880" w:type="dxa"/>
            <w:noWrap/>
            <w:hideMark/>
          </w:tcPr>
          <w:p w14:paraId="5252273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Brookline</w:t>
            </w:r>
          </w:p>
        </w:tc>
        <w:tc>
          <w:tcPr>
            <w:tcW w:w="1148" w:type="dxa"/>
            <w:noWrap/>
            <w:hideMark/>
          </w:tcPr>
          <w:p w14:paraId="34B6BA7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11BAF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$46,243,375 </w:t>
            </w:r>
          </w:p>
        </w:tc>
        <w:tc>
          <w:tcPr>
            <w:tcW w:w="1786" w:type="dxa"/>
            <w:noWrap/>
            <w:hideMark/>
          </w:tcPr>
          <w:p w14:paraId="7E223C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$5,789,916 </w:t>
            </w:r>
          </w:p>
        </w:tc>
        <w:tc>
          <w:tcPr>
            <w:tcW w:w="901" w:type="dxa"/>
            <w:noWrap/>
            <w:hideMark/>
          </w:tcPr>
          <w:p w14:paraId="028168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99936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12.5%</w:t>
            </w:r>
          </w:p>
        </w:tc>
        <w:tc>
          <w:tcPr>
            <w:tcW w:w="1602" w:type="dxa"/>
            <w:noWrap/>
            <w:hideMark/>
          </w:tcPr>
          <w:p w14:paraId="45CF5F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$5,789,916</w:t>
            </w:r>
          </w:p>
        </w:tc>
        <w:tc>
          <w:tcPr>
            <w:tcW w:w="1264" w:type="dxa"/>
            <w:noWrap/>
            <w:hideMark/>
          </w:tcPr>
          <w:p w14:paraId="3F972C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5988E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$83,235,897</w:t>
            </w:r>
          </w:p>
        </w:tc>
        <w:tc>
          <w:tcPr>
            <w:tcW w:w="1786" w:type="dxa"/>
            <w:noWrap/>
            <w:hideMark/>
          </w:tcPr>
          <w:p w14:paraId="68AE3E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$15,006,787</w:t>
            </w:r>
          </w:p>
        </w:tc>
        <w:tc>
          <w:tcPr>
            <w:tcW w:w="901" w:type="dxa"/>
            <w:noWrap/>
            <w:hideMark/>
          </w:tcPr>
          <w:p w14:paraId="7FAF22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CC088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18.0%</w:t>
            </w:r>
          </w:p>
        </w:tc>
        <w:tc>
          <w:tcPr>
            <w:tcW w:w="1602" w:type="dxa"/>
            <w:noWrap/>
            <w:hideMark/>
          </w:tcPr>
          <w:p w14:paraId="013110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$440,504</w:t>
            </w:r>
          </w:p>
        </w:tc>
      </w:tr>
      <w:tr w:rsidR="008C6E34" w:rsidRPr="008C6E34" w14:paraId="47A2E08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A7D70C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0047</w:t>
            </w:r>
          </w:p>
        </w:tc>
        <w:tc>
          <w:tcPr>
            <w:tcW w:w="2880" w:type="dxa"/>
            <w:noWrap/>
            <w:hideMark/>
          </w:tcPr>
          <w:p w14:paraId="595D0B1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Buckland</w:t>
            </w:r>
          </w:p>
        </w:tc>
        <w:tc>
          <w:tcPr>
            <w:tcW w:w="1148" w:type="dxa"/>
            <w:noWrap/>
            <w:hideMark/>
          </w:tcPr>
          <w:p w14:paraId="617F480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AFBD4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A0B21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8199B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47.8%</w:t>
            </w:r>
          </w:p>
        </w:tc>
        <w:tc>
          <w:tcPr>
            <w:tcW w:w="1374" w:type="dxa"/>
            <w:noWrap/>
            <w:hideMark/>
          </w:tcPr>
          <w:p w14:paraId="09615A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6E8BA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93E899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F3113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$28,744</w:t>
            </w:r>
          </w:p>
        </w:tc>
        <w:tc>
          <w:tcPr>
            <w:tcW w:w="1786" w:type="dxa"/>
            <w:noWrap/>
            <w:hideMark/>
          </w:tcPr>
          <w:p w14:paraId="28B42E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$13,074</w:t>
            </w:r>
          </w:p>
        </w:tc>
        <w:tc>
          <w:tcPr>
            <w:tcW w:w="901" w:type="dxa"/>
            <w:noWrap/>
            <w:hideMark/>
          </w:tcPr>
          <w:p w14:paraId="236572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45.5%</w:t>
            </w:r>
          </w:p>
        </w:tc>
        <w:tc>
          <w:tcPr>
            <w:tcW w:w="1374" w:type="dxa"/>
            <w:noWrap/>
            <w:hideMark/>
          </w:tcPr>
          <w:p w14:paraId="05F1D1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45.5%</w:t>
            </w:r>
          </w:p>
        </w:tc>
        <w:tc>
          <w:tcPr>
            <w:tcW w:w="1602" w:type="dxa"/>
            <w:noWrap/>
            <w:hideMark/>
          </w:tcPr>
          <w:p w14:paraId="28F485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EDDB5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E8D849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0048</w:t>
            </w:r>
          </w:p>
        </w:tc>
        <w:tc>
          <w:tcPr>
            <w:tcW w:w="2880" w:type="dxa"/>
            <w:noWrap/>
            <w:hideMark/>
          </w:tcPr>
          <w:p w14:paraId="2623BED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Burlington</w:t>
            </w:r>
          </w:p>
        </w:tc>
        <w:tc>
          <w:tcPr>
            <w:tcW w:w="1148" w:type="dxa"/>
            <w:noWrap/>
            <w:hideMark/>
          </w:tcPr>
          <w:p w14:paraId="445D03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F6A13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$28,476,093 </w:t>
            </w:r>
          </w:p>
        </w:tc>
        <w:tc>
          <w:tcPr>
            <w:tcW w:w="1786" w:type="dxa"/>
            <w:noWrap/>
            <w:hideMark/>
          </w:tcPr>
          <w:p w14:paraId="637129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$4,099,585 </w:t>
            </w:r>
          </w:p>
        </w:tc>
        <w:tc>
          <w:tcPr>
            <w:tcW w:w="901" w:type="dxa"/>
            <w:noWrap/>
            <w:hideMark/>
          </w:tcPr>
          <w:p w14:paraId="0745CC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BD5C2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14.4%</w:t>
            </w:r>
          </w:p>
        </w:tc>
        <w:tc>
          <w:tcPr>
            <w:tcW w:w="1602" w:type="dxa"/>
            <w:noWrap/>
            <w:hideMark/>
          </w:tcPr>
          <w:p w14:paraId="728ECD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$4,099,585</w:t>
            </w:r>
          </w:p>
        </w:tc>
        <w:tc>
          <w:tcPr>
            <w:tcW w:w="1264" w:type="dxa"/>
            <w:noWrap/>
            <w:hideMark/>
          </w:tcPr>
          <w:p w14:paraId="6B5FD57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68DCA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$39,132,795</w:t>
            </w:r>
          </w:p>
        </w:tc>
        <w:tc>
          <w:tcPr>
            <w:tcW w:w="1786" w:type="dxa"/>
            <w:noWrap/>
            <w:hideMark/>
          </w:tcPr>
          <w:p w14:paraId="18AF51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$6,851,477</w:t>
            </w:r>
          </w:p>
        </w:tc>
        <w:tc>
          <w:tcPr>
            <w:tcW w:w="901" w:type="dxa"/>
            <w:noWrap/>
            <w:hideMark/>
          </w:tcPr>
          <w:p w14:paraId="18DFF0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20E5F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5C7425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$3,239</w:t>
            </w:r>
          </w:p>
        </w:tc>
      </w:tr>
      <w:tr w:rsidR="008C6E34" w:rsidRPr="008C6E34" w14:paraId="05760B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A907E2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0049</w:t>
            </w:r>
          </w:p>
        </w:tc>
        <w:tc>
          <w:tcPr>
            <w:tcW w:w="2880" w:type="dxa"/>
            <w:noWrap/>
            <w:hideMark/>
          </w:tcPr>
          <w:p w14:paraId="2443734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Cambridge</w:t>
            </w:r>
          </w:p>
        </w:tc>
        <w:tc>
          <w:tcPr>
            <w:tcW w:w="1148" w:type="dxa"/>
            <w:noWrap/>
            <w:hideMark/>
          </w:tcPr>
          <w:p w14:paraId="4AA9787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27ECC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$59,270,960 </w:t>
            </w:r>
          </w:p>
        </w:tc>
        <w:tc>
          <w:tcPr>
            <w:tcW w:w="1786" w:type="dxa"/>
            <w:noWrap/>
            <w:hideMark/>
          </w:tcPr>
          <w:p w14:paraId="3588E2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$7,772,248 </w:t>
            </w:r>
          </w:p>
        </w:tc>
        <w:tc>
          <w:tcPr>
            <w:tcW w:w="901" w:type="dxa"/>
            <w:noWrap/>
            <w:hideMark/>
          </w:tcPr>
          <w:p w14:paraId="5F536A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E1F04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13.1%</w:t>
            </w:r>
          </w:p>
        </w:tc>
        <w:tc>
          <w:tcPr>
            <w:tcW w:w="1602" w:type="dxa"/>
            <w:noWrap/>
            <w:hideMark/>
          </w:tcPr>
          <w:p w14:paraId="26FA46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$7,772,248</w:t>
            </w:r>
          </w:p>
        </w:tc>
        <w:tc>
          <w:tcPr>
            <w:tcW w:w="1264" w:type="dxa"/>
            <w:noWrap/>
            <w:hideMark/>
          </w:tcPr>
          <w:p w14:paraId="6A7FF72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A3A1D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$95,754,602</w:t>
            </w:r>
          </w:p>
        </w:tc>
        <w:tc>
          <w:tcPr>
            <w:tcW w:w="1786" w:type="dxa"/>
            <w:noWrap/>
            <w:hideMark/>
          </w:tcPr>
          <w:p w14:paraId="328087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$16,757,055</w:t>
            </w:r>
          </w:p>
        </w:tc>
        <w:tc>
          <w:tcPr>
            <w:tcW w:w="901" w:type="dxa"/>
            <w:noWrap/>
            <w:hideMark/>
          </w:tcPr>
          <w:p w14:paraId="07D07C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43CC9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0B0CCF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E9A593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CAFB8B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0050</w:t>
            </w:r>
          </w:p>
        </w:tc>
        <w:tc>
          <w:tcPr>
            <w:tcW w:w="2880" w:type="dxa"/>
            <w:noWrap/>
            <w:hideMark/>
          </w:tcPr>
          <w:p w14:paraId="1C4E77B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Canton</w:t>
            </w:r>
          </w:p>
        </w:tc>
        <w:tc>
          <w:tcPr>
            <w:tcW w:w="1148" w:type="dxa"/>
            <w:noWrap/>
            <w:hideMark/>
          </w:tcPr>
          <w:p w14:paraId="0953472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ADE5C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$23,120,446 </w:t>
            </w:r>
          </w:p>
        </w:tc>
        <w:tc>
          <w:tcPr>
            <w:tcW w:w="1786" w:type="dxa"/>
            <w:noWrap/>
            <w:hideMark/>
          </w:tcPr>
          <w:p w14:paraId="1F9BA5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$2,977,671 </w:t>
            </w:r>
          </w:p>
        </w:tc>
        <w:tc>
          <w:tcPr>
            <w:tcW w:w="901" w:type="dxa"/>
            <w:noWrap/>
            <w:hideMark/>
          </w:tcPr>
          <w:p w14:paraId="3119B4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23C0A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w:t>
            </w:r>
          </w:p>
        </w:tc>
        <w:tc>
          <w:tcPr>
            <w:tcW w:w="1602" w:type="dxa"/>
            <w:noWrap/>
            <w:hideMark/>
          </w:tcPr>
          <w:p w14:paraId="146416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$2,571,274</w:t>
            </w:r>
          </w:p>
        </w:tc>
        <w:tc>
          <w:tcPr>
            <w:tcW w:w="1264" w:type="dxa"/>
            <w:noWrap/>
            <w:hideMark/>
          </w:tcPr>
          <w:p w14:paraId="5EC0D16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62DEA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$36,127,373</w:t>
            </w:r>
          </w:p>
        </w:tc>
        <w:tc>
          <w:tcPr>
            <w:tcW w:w="1786" w:type="dxa"/>
            <w:noWrap/>
            <w:hideMark/>
          </w:tcPr>
          <w:p w14:paraId="4A95B5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$6,327,312</w:t>
            </w:r>
          </w:p>
        </w:tc>
        <w:tc>
          <w:tcPr>
            <w:tcW w:w="901" w:type="dxa"/>
            <w:noWrap/>
            <w:hideMark/>
          </w:tcPr>
          <w:p w14:paraId="6C6F58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6AE5E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6A73FC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$5,021</w:t>
            </w:r>
          </w:p>
        </w:tc>
      </w:tr>
      <w:tr w:rsidR="008C6E34" w:rsidRPr="008C6E34" w14:paraId="36AC00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25C830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0051</w:t>
            </w:r>
          </w:p>
        </w:tc>
        <w:tc>
          <w:tcPr>
            <w:tcW w:w="2880" w:type="dxa"/>
            <w:noWrap/>
            <w:hideMark/>
          </w:tcPr>
          <w:p w14:paraId="321C198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Carlisle</w:t>
            </w:r>
          </w:p>
        </w:tc>
        <w:tc>
          <w:tcPr>
            <w:tcW w:w="1148" w:type="dxa"/>
            <w:noWrap/>
            <w:hideMark/>
          </w:tcPr>
          <w:p w14:paraId="7B0C5CC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44F73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$5,564,262 </w:t>
            </w:r>
          </w:p>
        </w:tc>
        <w:tc>
          <w:tcPr>
            <w:tcW w:w="1786" w:type="dxa"/>
            <w:noWrap/>
            <w:hideMark/>
          </w:tcPr>
          <w:p w14:paraId="17209D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$695,338 </w:t>
            </w:r>
          </w:p>
        </w:tc>
        <w:tc>
          <w:tcPr>
            <w:tcW w:w="901" w:type="dxa"/>
            <w:noWrap/>
            <w:hideMark/>
          </w:tcPr>
          <w:p w14:paraId="594253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07BD8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12.5%</w:t>
            </w:r>
          </w:p>
        </w:tc>
        <w:tc>
          <w:tcPr>
            <w:tcW w:w="1602" w:type="dxa"/>
            <w:noWrap/>
            <w:hideMark/>
          </w:tcPr>
          <w:p w14:paraId="0A1A6E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$695,338</w:t>
            </w:r>
          </w:p>
        </w:tc>
        <w:tc>
          <w:tcPr>
            <w:tcW w:w="1264" w:type="dxa"/>
            <w:noWrap/>
            <w:hideMark/>
          </w:tcPr>
          <w:p w14:paraId="3320A47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65271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$5,645,404</w:t>
            </w:r>
          </w:p>
        </w:tc>
        <w:tc>
          <w:tcPr>
            <w:tcW w:w="1786" w:type="dxa"/>
            <w:noWrap/>
            <w:hideMark/>
          </w:tcPr>
          <w:p w14:paraId="23CBAB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$1,009,657</w:t>
            </w:r>
          </w:p>
        </w:tc>
        <w:tc>
          <w:tcPr>
            <w:tcW w:w="901" w:type="dxa"/>
            <w:noWrap/>
            <w:hideMark/>
          </w:tcPr>
          <w:p w14:paraId="5785E2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65947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w:t>
            </w:r>
          </w:p>
        </w:tc>
        <w:tc>
          <w:tcPr>
            <w:tcW w:w="1602" w:type="dxa"/>
            <w:noWrap/>
            <w:hideMark/>
          </w:tcPr>
          <w:p w14:paraId="6A1EB2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$9,044</w:t>
            </w:r>
          </w:p>
        </w:tc>
      </w:tr>
      <w:tr w:rsidR="008C6E34" w:rsidRPr="008C6E34" w14:paraId="3E5312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F8DD3F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0052</w:t>
            </w:r>
          </w:p>
        </w:tc>
        <w:tc>
          <w:tcPr>
            <w:tcW w:w="2880" w:type="dxa"/>
            <w:noWrap/>
            <w:hideMark/>
          </w:tcPr>
          <w:p w14:paraId="7F0AA79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Carver</w:t>
            </w:r>
          </w:p>
        </w:tc>
        <w:tc>
          <w:tcPr>
            <w:tcW w:w="1148" w:type="dxa"/>
            <w:noWrap/>
            <w:hideMark/>
          </w:tcPr>
          <w:p w14:paraId="56CC30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26CDC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$15,522,693 </w:t>
            </w:r>
          </w:p>
        </w:tc>
        <w:tc>
          <w:tcPr>
            <w:tcW w:w="1786" w:type="dxa"/>
            <w:noWrap/>
            <w:hideMark/>
          </w:tcPr>
          <w:p w14:paraId="555EFF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$9,740,177 </w:t>
            </w:r>
          </w:p>
        </w:tc>
        <w:tc>
          <w:tcPr>
            <w:tcW w:w="901" w:type="dxa"/>
            <w:noWrap/>
            <w:hideMark/>
          </w:tcPr>
          <w:p w14:paraId="38868F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57.1%</w:t>
            </w:r>
          </w:p>
        </w:tc>
        <w:tc>
          <w:tcPr>
            <w:tcW w:w="1374" w:type="dxa"/>
            <w:noWrap/>
            <w:hideMark/>
          </w:tcPr>
          <w:p w14:paraId="1D34E8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62.7%</w:t>
            </w:r>
          </w:p>
        </w:tc>
        <w:tc>
          <w:tcPr>
            <w:tcW w:w="1602" w:type="dxa"/>
            <w:noWrap/>
            <w:hideMark/>
          </w:tcPr>
          <w:p w14:paraId="11B8E0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$155,036</w:t>
            </w:r>
          </w:p>
        </w:tc>
        <w:tc>
          <w:tcPr>
            <w:tcW w:w="1264" w:type="dxa"/>
            <w:noWrap/>
            <w:hideMark/>
          </w:tcPr>
          <w:p w14:paraId="7C88502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478E6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$17,414,155</w:t>
            </w:r>
          </w:p>
        </w:tc>
        <w:tc>
          <w:tcPr>
            <w:tcW w:w="1786" w:type="dxa"/>
            <w:noWrap/>
            <w:hideMark/>
          </w:tcPr>
          <w:p w14:paraId="7D3C1F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$10,008,599</w:t>
            </w:r>
          </w:p>
        </w:tc>
        <w:tc>
          <w:tcPr>
            <w:tcW w:w="901" w:type="dxa"/>
            <w:noWrap/>
            <w:hideMark/>
          </w:tcPr>
          <w:p w14:paraId="0680B7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47.0%</w:t>
            </w:r>
          </w:p>
        </w:tc>
        <w:tc>
          <w:tcPr>
            <w:tcW w:w="1374" w:type="dxa"/>
            <w:noWrap/>
            <w:hideMark/>
          </w:tcPr>
          <w:p w14:paraId="12FA58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57.5%</w:t>
            </w:r>
          </w:p>
        </w:tc>
        <w:tc>
          <w:tcPr>
            <w:tcW w:w="1602" w:type="dxa"/>
            <w:noWrap/>
            <w:hideMark/>
          </w:tcPr>
          <w:p w14:paraId="29124E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$1,656,582</w:t>
            </w:r>
          </w:p>
        </w:tc>
      </w:tr>
      <w:tr w:rsidR="008C6E34" w:rsidRPr="008C6E34" w14:paraId="24614E7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F4D96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0053</w:t>
            </w:r>
          </w:p>
        </w:tc>
        <w:tc>
          <w:tcPr>
            <w:tcW w:w="2880" w:type="dxa"/>
            <w:noWrap/>
            <w:hideMark/>
          </w:tcPr>
          <w:p w14:paraId="3343EBF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Charlemont</w:t>
            </w:r>
          </w:p>
        </w:tc>
        <w:tc>
          <w:tcPr>
            <w:tcW w:w="1148" w:type="dxa"/>
            <w:noWrap/>
            <w:hideMark/>
          </w:tcPr>
          <w:p w14:paraId="4FBFAC5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74317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$140,168 </w:t>
            </w:r>
          </w:p>
        </w:tc>
        <w:tc>
          <w:tcPr>
            <w:tcW w:w="1786" w:type="dxa"/>
            <w:noWrap/>
            <w:hideMark/>
          </w:tcPr>
          <w:p w14:paraId="33EFA5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$104,458 </w:t>
            </w:r>
          </w:p>
        </w:tc>
        <w:tc>
          <w:tcPr>
            <w:tcW w:w="901" w:type="dxa"/>
            <w:noWrap/>
            <w:hideMark/>
          </w:tcPr>
          <w:p w14:paraId="0BBF64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61.4%</w:t>
            </w:r>
          </w:p>
        </w:tc>
        <w:tc>
          <w:tcPr>
            <w:tcW w:w="1374" w:type="dxa"/>
            <w:noWrap/>
            <w:hideMark/>
          </w:tcPr>
          <w:p w14:paraId="487106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74.5%</w:t>
            </w:r>
          </w:p>
        </w:tc>
        <w:tc>
          <w:tcPr>
            <w:tcW w:w="1602" w:type="dxa"/>
            <w:noWrap/>
            <w:hideMark/>
          </w:tcPr>
          <w:p w14:paraId="331625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$17,153</w:t>
            </w:r>
          </w:p>
        </w:tc>
        <w:tc>
          <w:tcPr>
            <w:tcW w:w="1264" w:type="dxa"/>
            <w:noWrap/>
            <w:hideMark/>
          </w:tcPr>
          <w:p w14:paraId="73A0A92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586E6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$199,629</w:t>
            </w:r>
          </w:p>
        </w:tc>
        <w:tc>
          <w:tcPr>
            <w:tcW w:w="1786" w:type="dxa"/>
            <w:noWrap/>
            <w:hideMark/>
          </w:tcPr>
          <w:p w14:paraId="534213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$106,276</w:t>
            </w:r>
          </w:p>
        </w:tc>
        <w:tc>
          <w:tcPr>
            <w:tcW w:w="901" w:type="dxa"/>
            <w:noWrap/>
            <w:hideMark/>
          </w:tcPr>
          <w:p w14:paraId="28F2E8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w:t>
            </w:r>
          </w:p>
        </w:tc>
        <w:tc>
          <w:tcPr>
            <w:tcW w:w="1374" w:type="dxa"/>
            <w:noWrap/>
            <w:hideMark/>
          </w:tcPr>
          <w:p w14:paraId="09D7B9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w:t>
            </w:r>
          </w:p>
        </w:tc>
        <w:tc>
          <w:tcPr>
            <w:tcW w:w="1602" w:type="dxa"/>
            <w:noWrap/>
            <w:hideMark/>
          </w:tcPr>
          <w:p w14:paraId="33FA4C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3CD0D8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40BAD4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0054</w:t>
            </w:r>
          </w:p>
        </w:tc>
        <w:tc>
          <w:tcPr>
            <w:tcW w:w="2880" w:type="dxa"/>
            <w:noWrap/>
            <w:hideMark/>
          </w:tcPr>
          <w:p w14:paraId="0F026CC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Charlton</w:t>
            </w:r>
          </w:p>
        </w:tc>
        <w:tc>
          <w:tcPr>
            <w:tcW w:w="1148" w:type="dxa"/>
            <w:noWrap/>
            <w:hideMark/>
          </w:tcPr>
          <w:p w14:paraId="6B140A2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AD637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0714B3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04790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374" w:type="dxa"/>
            <w:noWrap/>
            <w:hideMark/>
          </w:tcPr>
          <w:p w14:paraId="147B51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9FFE5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92369E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EA238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0643C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00823D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46.8%</w:t>
            </w:r>
          </w:p>
        </w:tc>
        <w:tc>
          <w:tcPr>
            <w:tcW w:w="1374" w:type="dxa"/>
            <w:noWrap/>
            <w:hideMark/>
          </w:tcPr>
          <w:p w14:paraId="1F7B0C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E9135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C4A908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C8C13A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0055</w:t>
            </w:r>
          </w:p>
        </w:tc>
        <w:tc>
          <w:tcPr>
            <w:tcW w:w="2880" w:type="dxa"/>
            <w:noWrap/>
            <w:hideMark/>
          </w:tcPr>
          <w:p w14:paraId="04DC0A2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Chatham</w:t>
            </w:r>
          </w:p>
        </w:tc>
        <w:tc>
          <w:tcPr>
            <w:tcW w:w="1148" w:type="dxa"/>
            <w:noWrap/>
            <w:hideMark/>
          </w:tcPr>
          <w:p w14:paraId="087E2B0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B4549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$4,300,106 </w:t>
            </w:r>
          </w:p>
        </w:tc>
        <w:tc>
          <w:tcPr>
            <w:tcW w:w="1786" w:type="dxa"/>
            <w:noWrap/>
            <w:hideMark/>
          </w:tcPr>
          <w:p w14:paraId="5C13BA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$532,284 </w:t>
            </w:r>
          </w:p>
        </w:tc>
        <w:tc>
          <w:tcPr>
            <w:tcW w:w="901" w:type="dxa"/>
            <w:noWrap/>
            <w:hideMark/>
          </w:tcPr>
          <w:p w14:paraId="7BDD10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ADD43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12.4%</w:t>
            </w:r>
          </w:p>
        </w:tc>
        <w:tc>
          <w:tcPr>
            <w:tcW w:w="1602" w:type="dxa"/>
            <w:noWrap/>
            <w:hideMark/>
          </w:tcPr>
          <w:p w14:paraId="456910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$532,284</w:t>
            </w:r>
          </w:p>
        </w:tc>
        <w:tc>
          <w:tcPr>
            <w:tcW w:w="1264" w:type="dxa"/>
            <w:noWrap/>
            <w:hideMark/>
          </w:tcPr>
          <w:p w14:paraId="6ABCA82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28C95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63DD6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D5620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C372E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BF90B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5304BE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39795B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0056</w:t>
            </w:r>
          </w:p>
        </w:tc>
        <w:tc>
          <w:tcPr>
            <w:tcW w:w="2880" w:type="dxa"/>
            <w:noWrap/>
            <w:hideMark/>
          </w:tcPr>
          <w:p w14:paraId="49582F7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Chelmsford</w:t>
            </w:r>
          </w:p>
        </w:tc>
        <w:tc>
          <w:tcPr>
            <w:tcW w:w="1148" w:type="dxa"/>
            <w:noWrap/>
            <w:hideMark/>
          </w:tcPr>
          <w:p w14:paraId="57214D0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39508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$42,592,748 </w:t>
            </w:r>
          </w:p>
        </w:tc>
        <w:tc>
          <w:tcPr>
            <w:tcW w:w="1786" w:type="dxa"/>
            <w:noWrap/>
            <w:hideMark/>
          </w:tcPr>
          <w:p w14:paraId="77691D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$7,440,307 </w:t>
            </w:r>
          </w:p>
        </w:tc>
        <w:tc>
          <w:tcPr>
            <w:tcW w:w="901" w:type="dxa"/>
            <w:noWrap/>
            <w:hideMark/>
          </w:tcPr>
          <w:p w14:paraId="16A8B9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22.8%</w:t>
            </w:r>
          </w:p>
        </w:tc>
        <w:tc>
          <w:tcPr>
            <w:tcW w:w="1374" w:type="dxa"/>
            <w:noWrap/>
            <w:hideMark/>
          </w:tcPr>
          <w:p w14:paraId="61D6E7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0C6F5B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$2,027,420</w:t>
            </w:r>
          </w:p>
        </w:tc>
        <w:tc>
          <w:tcPr>
            <w:tcW w:w="1264" w:type="dxa"/>
            <w:noWrap/>
            <w:hideMark/>
          </w:tcPr>
          <w:p w14:paraId="2717FE8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E8C2D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$52,945,359</w:t>
            </w:r>
          </w:p>
        </w:tc>
        <w:tc>
          <w:tcPr>
            <w:tcW w:w="1786" w:type="dxa"/>
            <w:noWrap/>
            <w:hideMark/>
          </w:tcPr>
          <w:p w14:paraId="42B690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$11,199,428</w:t>
            </w:r>
          </w:p>
        </w:tc>
        <w:tc>
          <w:tcPr>
            <w:tcW w:w="901" w:type="dxa"/>
            <w:noWrap/>
            <w:hideMark/>
          </w:tcPr>
          <w:p w14:paraId="70C9AE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43F66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w:t>
            </w:r>
          </w:p>
        </w:tc>
        <w:tc>
          <w:tcPr>
            <w:tcW w:w="1602" w:type="dxa"/>
            <w:noWrap/>
            <w:hideMark/>
          </w:tcPr>
          <w:p w14:paraId="0F5CC6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$699,858</w:t>
            </w:r>
          </w:p>
        </w:tc>
      </w:tr>
      <w:tr w:rsidR="008C6E34" w:rsidRPr="008C6E34" w14:paraId="0D1114C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8DC547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0057</w:t>
            </w:r>
          </w:p>
        </w:tc>
        <w:tc>
          <w:tcPr>
            <w:tcW w:w="2880" w:type="dxa"/>
            <w:noWrap/>
            <w:hideMark/>
          </w:tcPr>
          <w:p w14:paraId="17A0ABE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Chelsea</w:t>
            </w:r>
          </w:p>
        </w:tc>
        <w:tc>
          <w:tcPr>
            <w:tcW w:w="1148" w:type="dxa"/>
            <w:noWrap/>
            <w:hideMark/>
          </w:tcPr>
          <w:p w14:paraId="09EF748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255BD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$53,256,174 </w:t>
            </w:r>
          </w:p>
        </w:tc>
        <w:tc>
          <w:tcPr>
            <w:tcW w:w="1786" w:type="dxa"/>
            <w:noWrap/>
            <w:hideMark/>
          </w:tcPr>
          <w:p w14:paraId="6E4A1D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$44,127,092 </w:t>
            </w:r>
          </w:p>
        </w:tc>
        <w:tc>
          <w:tcPr>
            <w:tcW w:w="901" w:type="dxa"/>
            <w:noWrap/>
            <w:hideMark/>
          </w:tcPr>
          <w:p w14:paraId="2C4D90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74.1%</w:t>
            </w:r>
          </w:p>
        </w:tc>
        <w:tc>
          <w:tcPr>
            <w:tcW w:w="1374" w:type="dxa"/>
            <w:noWrap/>
            <w:hideMark/>
          </w:tcPr>
          <w:p w14:paraId="36B5F9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82.9%</w:t>
            </w:r>
          </w:p>
        </w:tc>
        <w:tc>
          <w:tcPr>
            <w:tcW w:w="1602" w:type="dxa"/>
            <w:noWrap/>
            <w:hideMark/>
          </w:tcPr>
          <w:p w14:paraId="7E326E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$13,590</w:t>
            </w:r>
          </w:p>
        </w:tc>
        <w:tc>
          <w:tcPr>
            <w:tcW w:w="1264" w:type="dxa"/>
            <w:noWrap/>
            <w:hideMark/>
          </w:tcPr>
          <w:p w14:paraId="6FBBC47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16E07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$100,163,293</w:t>
            </w:r>
          </w:p>
        </w:tc>
        <w:tc>
          <w:tcPr>
            <w:tcW w:w="1786" w:type="dxa"/>
            <w:noWrap/>
            <w:hideMark/>
          </w:tcPr>
          <w:p w14:paraId="452BC2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$81,572,477</w:t>
            </w:r>
          </w:p>
        </w:tc>
        <w:tc>
          <w:tcPr>
            <w:tcW w:w="901" w:type="dxa"/>
            <w:noWrap/>
            <w:hideMark/>
          </w:tcPr>
          <w:p w14:paraId="3AC3A8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78.3%</w:t>
            </w:r>
          </w:p>
        </w:tc>
        <w:tc>
          <w:tcPr>
            <w:tcW w:w="1374" w:type="dxa"/>
            <w:noWrap/>
            <w:hideMark/>
          </w:tcPr>
          <w:p w14:paraId="7F2FDC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81.4%</w:t>
            </w:r>
          </w:p>
        </w:tc>
        <w:tc>
          <w:tcPr>
            <w:tcW w:w="1602" w:type="dxa"/>
            <w:noWrap/>
            <w:hideMark/>
          </w:tcPr>
          <w:p w14:paraId="6A384D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9A8F9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355B2F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0058</w:t>
            </w:r>
          </w:p>
        </w:tc>
        <w:tc>
          <w:tcPr>
            <w:tcW w:w="2880" w:type="dxa"/>
            <w:noWrap/>
            <w:hideMark/>
          </w:tcPr>
          <w:p w14:paraId="69BF5D7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Cheshire</w:t>
            </w:r>
          </w:p>
        </w:tc>
        <w:tc>
          <w:tcPr>
            <w:tcW w:w="1148" w:type="dxa"/>
            <w:noWrap/>
            <w:hideMark/>
          </w:tcPr>
          <w:p w14:paraId="6D71466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DA651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$421,382 </w:t>
            </w:r>
          </w:p>
        </w:tc>
        <w:tc>
          <w:tcPr>
            <w:tcW w:w="1786" w:type="dxa"/>
            <w:noWrap/>
            <w:hideMark/>
          </w:tcPr>
          <w:p w14:paraId="60A2DF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$269,956 </w:t>
            </w:r>
          </w:p>
        </w:tc>
        <w:tc>
          <w:tcPr>
            <w:tcW w:w="901" w:type="dxa"/>
            <w:noWrap/>
            <w:hideMark/>
          </w:tcPr>
          <w:p w14:paraId="6367CD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61.6%</w:t>
            </w:r>
          </w:p>
        </w:tc>
        <w:tc>
          <w:tcPr>
            <w:tcW w:w="1374" w:type="dxa"/>
            <w:noWrap/>
            <w:hideMark/>
          </w:tcPr>
          <w:p w14:paraId="203F37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64.1%</w:t>
            </w:r>
          </w:p>
        </w:tc>
        <w:tc>
          <w:tcPr>
            <w:tcW w:w="1602" w:type="dxa"/>
            <w:noWrap/>
            <w:hideMark/>
          </w:tcPr>
          <w:p w14:paraId="34465E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$10,658</w:t>
            </w:r>
          </w:p>
        </w:tc>
        <w:tc>
          <w:tcPr>
            <w:tcW w:w="1264" w:type="dxa"/>
            <w:noWrap/>
            <w:hideMark/>
          </w:tcPr>
          <w:p w14:paraId="0AB392F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619FF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E7613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2E7C3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51.2%</w:t>
            </w:r>
          </w:p>
        </w:tc>
        <w:tc>
          <w:tcPr>
            <w:tcW w:w="1374" w:type="dxa"/>
            <w:noWrap/>
            <w:hideMark/>
          </w:tcPr>
          <w:p w14:paraId="303802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FD5D7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1AC157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289B77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0059</w:t>
            </w:r>
          </w:p>
        </w:tc>
        <w:tc>
          <w:tcPr>
            <w:tcW w:w="2880" w:type="dxa"/>
            <w:noWrap/>
            <w:hideMark/>
          </w:tcPr>
          <w:p w14:paraId="5850487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Chester</w:t>
            </w:r>
          </w:p>
        </w:tc>
        <w:tc>
          <w:tcPr>
            <w:tcW w:w="1148" w:type="dxa"/>
            <w:noWrap/>
            <w:hideMark/>
          </w:tcPr>
          <w:p w14:paraId="1AF9D1B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CEECE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$108,497 </w:t>
            </w:r>
          </w:p>
        </w:tc>
        <w:tc>
          <w:tcPr>
            <w:tcW w:w="1786" w:type="dxa"/>
            <w:noWrap/>
            <w:hideMark/>
          </w:tcPr>
          <w:p w14:paraId="707950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$89,800 </w:t>
            </w:r>
          </w:p>
        </w:tc>
        <w:tc>
          <w:tcPr>
            <w:tcW w:w="901" w:type="dxa"/>
            <w:noWrap/>
            <w:hideMark/>
          </w:tcPr>
          <w:p w14:paraId="790975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58.3%</w:t>
            </w:r>
          </w:p>
        </w:tc>
        <w:tc>
          <w:tcPr>
            <w:tcW w:w="1374" w:type="dxa"/>
            <w:noWrap/>
            <w:hideMark/>
          </w:tcPr>
          <w:p w14:paraId="7AE7FB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82.8%</w:t>
            </w:r>
          </w:p>
        </w:tc>
        <w:tc>
          <w:tcPr>
            <w:tcW w:w="1602" w:type="dxa"/>
            <w:noWrap/>
            <w:hideMark/>
          </w:tcPr>
          <w:p w14:paraId="30A836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$33,869</w:t>
            </w:r>
          </w:p>
        </w:tc>
        <w:tc>
          <w:tcPr>
            <w:tcW w:w="1264" w:type="dxa"/>
            <w:noWrap/>
            <w:hideMark/>
          </w:tcPr>
          <w:p w14:paraId="403D57E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C6224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$100,603</w:t>
            </w:r>
          </w:p>
        </w:tc>
        <w:tc>
          <w:tcPr>
            <w:tcW w:w="1786" w:type="dxa"/>
            <w:noWrap/>
            <w:hideMark/>
          </w:tcPr>
          <w:p w14:paraId="2C19EF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$55,349</w:t>
            </w:r>
          </w:p>
        </w:tc>
        <w:tc>
          <w:tcPr>
            <w:tcW w:w="901" w:type="dxa"/>
            <w:noWrap/>
            <w:hideMark/>
          </w:tcPr>
          <w:p w14:paraId="7A0FB5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48.6%</w:t>
            </w:r>
          </w:p>
        </w:tc>
        <w:tc>
          <w:tcPr>
            <w:tcW w:w="1374" w:type="dxa"/>
            <w:noWrap/>
            <w:hideMark/>
          </w:tcPr>
          <w:p w14:paraId="47B2C9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55.0%</w:t>
            </w:r>
          </w:p>
        </w:tc>
        <w:tc>
          <w:tcPr>
            <w:tcW w:w="1602" w:type="dxa"/>
            <w:noWrap/>
            <w:hideMark/>
          </w:tcPr>
          <w:p w14:paraId="30D760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$6,506</w:t>
            </w:r>
          </w:p>
        </w:tc>
      </w:tr>
      <w:tr w:rsidR="008C6E34" w:rsidRPr="008C6E34" w14:paraId="3623A50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1C14B6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0060</w:t>
            </w:r>
          </w:p>
        </w:tc>
        <w:tc>
          <w:tcPr>
            <w:tcW w:w="2880" w:type="dxa"/>
            <w:noWrap/>
            <w:hideMark/>
          </w:tcPr>
          <w:p w14:paraId="7F75A27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Chesterfield</w:t>
            </w:r>
          </w:p>
        </w:tc>
        <w:tc>
          <w:tcPr>
            <w:tcW w:w="1148" w:type="dxa"/>
            <w:noWrap/>
            <w:hideMark/>
          </w:tcPr>
          <w:p w14:paraId="5EE60A4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A25A4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$151,018 </w:t>
            </w:r>
          </w:p>
        </w:tc>
        <w:tc>
          <w:tcPr>
            <w:tcW w:w="1786" w:type="dxa"/>
            <w:noWrap/>
            <w:hideMark/>
          </w:tcPr>
          <w:p w14:paraId="511576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$87,945 </w:t>
            </w:r>
          </w:p>
        </w:tc>
        <w:tc>
          <w:tcPr>
            <w:tcW w:w="901" w:type="dxa"/>
            <w:noWrap/>
            <w:hideMark/>
          </w:tcPr>
          <w:p w14:paraId="3F7E4B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57.7%</w:t>
            </w:r>
          </w:p>
        </w:tc>
        <w:tc>
          <w:tcPr>
            <w:tcW w:w="1374" w:type="dxa"/>
            <w:noWrap/>
            <w:hideMark/>
          </w:tcPr>
          <w:p w14:paraId="6B2D50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58.2%</w:t>
            </w:r>
          </w:p>
        </w:tc>
        <w:tc>
          <w:tcPr>
            <w:tcW w:w="1602" w:type="dxa"/>
            <w:noWrap/>
            <w:hideMark/>
          </w:tcPr>
          <w:p w14:paraId="446CB4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$16,218</w:t>
            </w:r>
          </w:p>
        </w:tc>
        <w:tc>
          <w:tcPr>
            <w:tcW w:w="1264" w:type="dxa"/>
            <w:noWrap/>
            <w:hideMark/>
          </w:tcPr>
          <w:p w14:paraId="194F48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1A2B0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$300,232</w:t>
            </w:r>
          </w:p>
        </w:tc>
        <w:tc>
          <w:tcPr>
            <w:tcW w:w="1786" w:type="dxa"/>
            <w:noWrap/>
            <w:hideMark/>
          </w:tcPr>
          <w:p w14:paraId="29476D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$133,114</w:t>
            </w:r>
          </w:p>
        </w:tc>
        <w:tc>
          <w:tcPr>
            <w:tcW w:w="901" w:type="dxa"/>
            <w:noWrap/>
            <w:hideMark/>
          </w:tcPr>
          <w:p w14:paraId="3445B4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34.2%</w:t>
            </w:r>
          </w:p>
        </w:tc>
        <w:tc>
          <w:tcPr>
            <w:tcW w:w="1374" w:type="dxa"/>
            <w:noWrap/>
            <w:hideMark/>
          </w:tcPr>
          <w:p w14:paraId="7119F6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w:t>
            </w:r>
          </w:p>
        </w:tc>
        <w:tc>
          <w:tcPr>
            <w:tcW w:w="1602" w:type="dxa"/>
            <w:noWrap/>
            <w:hideMark/>
          </w:tcPr>
          <w:p w14:paraId="0C1900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$30,370</w:t>
            </w:r>
          </w:p>
        </w:tc>
      </w:tr>
      <w:tr w:rsidR="008C6E34" w:rsidRPr="008C6E34" w14:paraId="3648D9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07DC64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0061</w:t>
            </w:r>
          </w:p>
        </w:tc>
        <w:tc>
          <w:tcPr>
            <w:tcW w:w="2880" w:type="dxa"/>
            <w:noWrap/>
            <w:hideMark/>
          </w:tcPr>
          <w:p w14:paraId="442C13A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Chicopee</w:t>
            </w:r>
          </w:p>
        </w:tc>
        <w:tc>
          <w:tcPr>
            <w:tcW w:w="1148" w:type="dxa"/>
            <w:noWrap/>
            <w:hideMark/>
          </w:tcPr>
          <w:p w14:paraId="69FB4F5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9200D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$66,358,804 </w:t>
            </w:r>
          </w:p>
        </w:tc>
        <w:tc>
          <w:tcPr>
            <w:tcW w:w="1786" w:type="dxa"/>
            <w:noWrap/>
            <w:hideMark/>
          </w:tcPr>
          <w:p w14:paraId="0DB017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$39,917,521 </w:t>
            </w:r>
          </w:p>
        </w:tc>
        <w:tc>
          <w:tcPr>
            <w:tcW w:w="901" w:type="dxa"/>
            <w:noWrap/>
            <w:hideMark/>
          </w:tcPr>
          <w:p w14:paraId="378AB0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65.4%</w:t>
            </w:r>
          </w:p>
        </w:tc>
        <w:tc>
          <w:tcPr>
            <w:tcW w:w="1374" w:type="dxa"/>
            <w:noWrap/>
            <w:hideMark/>
          </w:tcPr>
          <w:p w14:paraId="5EABBD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60.2%</w:t>
            </w:r>
          </w:p>
        </w:tc>
        <w:tc>
          <w:tcPr>
            <w:tcW w:w="1602" w:type="dxa"/>
            <w:noWrap/>
            <w:hideMark/>
          </w:tcPr>
          <w:p w14:paraId="7D9DF5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FE8FBF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8174E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$99,336,605</w:t>
            </w:r>
          </w:p>
        </w:tc>
        <w:tc>
          <w:tcPr>
            <w:tcW w:w="1786" w:type="dxa"/>
            <w:noWrap/>
            <w:hideMark/>
          </w:tcPr>
          <w:p w14:paraId="51371C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$68,822,698</w:t>
            </w:r>
          </w:p>
        </w:tc>
        <w:tc>
          <w:tcPr>
            <w:tcW w:w="901" w:type="dxa"/>
            <w:noWrap/>
            <w:hideMark/>
          </w:tcPr>
          <w:p w14:paraId="4A48DC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69.3%</w:t>
            </w:r>
          </w:p>
        </w:tc>
        <w:tc>
          <w:tcPr>
            <w:tcW w:w="1374" w:type="dxa"/>
            <w:noWrap/>
            <w:hideMark/>
          </w:tcPr>
          <w:p w14:paraId="684D7D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69.3%</w:t>
            </w:r>
          </w:p>
        </w:tc>
        <w:tc>
          <w:tcPr>
            <w:tcW w:w="1602" w:type="dxa"/>
            <w:noWrap/>
            <w:hideMark/>
          </w:tcPr>
          <w:p w14:paraId="7FDC02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E49312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3CB6B3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0062</w:t>
            </w:r>
          </w:p>
        </w:tc>
        <w:tc>
          <w:tcPr>
            <w:tcW w:w="2880" w:type="dxa"/>
            <w:noWrap/>
            <w:hideMark/>
          </w:tcPr>
          <w:p w14:paraId="4DDC232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Chilmark</w:t>
            </w:r>
          </w:p>
        </w:tc>
        <w:tc>
          <w:tcPr>
            <w:tcW w:w="1148" w:type="dxa"/>
            <w:noWrap/>
            <w:hideMark/>
          </w:tcPr>
          <w:p w14:paraId="113D354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432DC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E4710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675FAC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C753A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855B8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B8C4F1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0C22A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3F861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AB16A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35A09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0281F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FD39EC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8EF2EE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0063</w:t>
            </w:r>
          </w:p>
        </w:tc>
        <w:tc>
          <w:tcPr>
            <w:tcW w:w="2880" w:type="dxa"/>
            <w:noWrap/>
            <w:hideMark/>
          </w:tcPr>
          <w:p w14:paraId="1AE76BA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Clarksburg</w:t>
            </w:r>
          </w:p>
        </w:tc>
        <w:tc>
          <w:tcPr>
            <w:tcW w:w="1148" w:type="dxa"/>
            <w:noWrap/>
            <w:hideMark/>
          </w:tcPr>
          <w:p w14:paraId="3B19925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F0F5D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$1,972,655 </w:t>
            </w:r>
          </w:p>
        </w:tc>
        <w:tc>
          <w:tcPr>
            <w:tcW w:w="1786" w:type="dxa"/>
            <w:noWrap/>
            <w:hideMark/>
          </w:tcPr>
          <w:p w14:paraId="6B9177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$1,491,068 </w:t>
            </w:r>
          </w:p>
        </w:tc>
        <w:tc>
          <w:tcPr>
            <w:tcW w:w="901" w:type="dxa"/>
            <w:noWrap/>
            <w:hideMark/>
          </w:tcPr>
          <w:p w14:paraId="46B09E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71.8%</w:t>
            </w:r>
          </w:p>
        </w:tc>
        <w:tc>
          <w:tcPr>
            <w:tcW w:w="1374" w:type="dxa"/>
            <w:noWrap/>
            <w:hideMark/>
          </w:tcPr>
          <w:p w14:paraId="00CBAA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75.6%</w:t>
            </w:r>
          </w:p>
        </w:tc>
        <w:tc>
          <w:tcPr>
            <w:tcW w:w="1602" w:type="dxa"/>
            <w:noWrap/>
            <w:hideMark/>
          </w:tcPr>
          <w:p w14:paraId="2054FF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$58,407</w:t>
            </w:r>
          </w:p>
        </w:tc>
        <w:tc>
          <w:tcPr>
            <w:tcW w:w="1264" w:type="dxa"/>
            <w:noWrap/>
            <w:hideMark/>
          </w:tcPr>
          <w:p w14:paraId="77E028B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D860C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$2,056,911</w:t>
            </w:r>
          </w:p>
        </w:tc>
        <w:tc>
          <w:tcPr>
            <w:tcW w:w="1786" w:type="dxa"/>
            <w:noWrap/>
            <w:hideMark/>
          </w:tcPr>
          <w:p w14:paraId="4A8CB0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$1,799,935</w:t>
            </w:r>
          </w:p>
        </w:tc>
        <w:tc>
          <w:tcPr>
            <w:tcW w:w="901" w:type="dxa"/>
            <w:noWrap/>
            <w:hideMark/>
          </w:tcPr>
          <w:p w14:paraId="126195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64.2%</w:t>
            </w:r>
          </w:p>
        </w:tc>
        <w:tc>
          <w:tcPr>
            <w:tcW w:w="1374" w:type="dxa"/>
            <w:noWrap/>
            <w:hideMark/>
          </w:tcPr>
          <w:p w14:paraId="44B582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87.5%</w:t>
            </w:r>
          </w:p>
        </w:tc>
        <w:tc>
          <w:tcPr>
            <w:tcW w:w="1602" w:type="dxa"/>
            <w:noWrap/>
            <w:hideMark/>
          </w:tcPr>
          <w:p w14:paraId="025E1E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$428,470</w:t>
            </w:r>
          </w:p>
        </w:tc>
      </w:tr>
      <w:tr w:rsidR="008C6E34" w:rsidRPr="008C6E34" w14:paraId="57C04EE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47E96C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0064</w:t>
            </w:r>
          </w:p>
        </w:tc>
        <w:tc>
          <w:tcPr>
            <w:tcW w:w="2880" w:type="dxa"/>
            <w:noWrap/>
            <w:hideMark/>
          </w:tcPr>
          <w:p w14:paraId="276C1FE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Clinton</w:t>
            </w:r>
          </w:p>
        </w:tc>
        <w:tc>
          <w:tcPr>
            <w:tcW w:w="1148" w:type="dxa"/>
            <w:noWrap/>
            <w:hideMark/>
          </w:tcPr>
          <w:p w14:paraId="7A1083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69E74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$17,332,016 </w:t>
            </w:r>
          </w:p>
        </w:tc>
        <w:tc>
          <w:tcPr>
            <w:tcW w:w="1786" w:type="dxa"/>
            <w:noWrap/>
            <w:hideMark/>
          </w:tcPr>
          <w:p w14:paraId="67F937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$9,908,530 </w:t>
            </w:r>
          </w:p>
        </w:tc>
        <w:tc>
          <w:tcPr>
            <w:tcW w:w="901" w:type="dxa"/>
            <w:noWrap/>
            <w:hideMark/>
          </w:tcPr>
          <w:p w14:paraId="5ECFAC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56.4%</w:t>
            </w:r>
          </w:p>
        </w:tc>
        <w:tc>
          <w:tcPr>
            <w:tcW w:w="1374" w:type="dxa"/>
            <w:noWrap/>
            <w:hideMark/>
          </w:tcPr>
          <w:p w14:paraId="601E95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57.2%</w:t>
            </w:r>
          </w:p>
        </w:tc>
        <w:tc>
          <w:tcPr>
            <w:tcW w:w="1602" w:type="dxa"/>
            <w:noWrap/>
            <w:hideMark/>
          </w:tcPr>
          <w:p w14:paraId="105A10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A338B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6757F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$24,086,138</w:t>
            </w:r>
          </w:p>
        </w:tc>
        <w:tc>
          <w:tcPr>
            <w:tcW w:w="1786" w:type="dxa"/>
            <w:noWrap/>
            <w:hideMark/>
          </w:tcPr>
          <w:p w14:paraId="74ACAE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$13,416,101</w:t>
            </w:r>
          </w:p>
        </w:tc>
        <w:tc>
          <w:tcPr>
            <w:tcW w:w="901" w:type="dxa"/>
            <w:noWrap/>
            <w:hideMark/>
          </w:tcPr>
          <w:p w14:paraId="1FB9E9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54.1%</w:t>
            </w:r>
          </w:p>
        </w:tc>
        <w:tc>
          <w:tcPr>
            <w:tcW w:w="1374" w:type="dxa"/>
            <w:noWrap/>
            <w:hideMark/>
          </w:tcPr>
          <w:p w14:paraId="3A4D16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55.7%</w:t>
            </w:r>
          </w:p>
        </w:tc>
        <w:tc>
          <w:tcPr>
            <w:tcW w:w="1602" w:type="dxa"/>
            <w:noWrap/>
            <w:hideMark/>
          </w:tcPr>
          <w:p w14:paraId="3A728E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D39DC2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7A0E1D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0065</w:t>
            </w:r>
          </w:p>
        </w:tc>
        <w:tc>
          <w:tcPr>
            <w:tcW w:w="2880" w:type="dxa"/>
            <w:noWrap/>
            <w:hideMark/>
          </w:tcPr>
          <w:p w14:paraId="4205E09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Cohasset</w:t>
            </w:r>
          </w:p>
        </w:tc>
        <w:tc>
          <w:tcPr>
            <w:tcW w:w="1148" w:type="dxa"/>
            <w:noWrap/>
            <w:hideMark/>
          </w:tcPr>
          <w:p w14:paraId="7685934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D704B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$11,254,255 </w:t>
            </w:r>
          </w:p>
        </w:tc>
        <w:tc>
          <w:tcPr>
            <w:tcW w:w="1786" w:type="dxa"/>
            <w:noWrap/>
            <w:hideMark/>
          </w:tcPr>
          <w:p w14:paraId="58107A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$1,552,631 </w:t>
            </w:r>
          </w:p>
        </w:tc>
        <w:tc>
          <w:tcPr>
            <w:tcW w:w="901" w:type="dxa"/>
            <w:noWrap/>
            <w:hideMark/>
          </w:tcPr>
          <w:p w14:paraId="0B47DF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F6103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w:t>
            </w:r>
          </w:p>
        </w:tc>
        <w:tc>
          <w:tcPr>
            <w:tcW w:w="1602" w:type="dxa"/>
            <w:noWrap/>
            <w:hideMark/>
          </w:tcPr>
          <w:p w14:paraId="27C1CC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0BDD8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E146A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$15,680,191</w:t>
            </w:r>
          </w:p>
        </w:tc>
        <w:tc>
          <w:tcPr>
            <w:tcW w:w="1786" w:type="dxa"/>
            <w:noWrap/>
            <w:hideMark/>
          </w:tcPr>
          <w:p w14:paraId="10490C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$2,748,292</w:t>
            </w:r>
          </w:p>
        </w:tc>
        <w:tc>
          <w:tcPr>
            <w:tcW w:w="901" w:type="dxa"/>
            <w:noWrap/>
            <w:hideMark/>
          </w:tcPr>
          <w:p w14:paraId="5D6209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5172F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358E3F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$4,258</w:t>
            </w:r>
          </w:p>
        </w:tc>
      </w:tr>
      <w:tr w:rsidR="008C6E34" w:rsidRPr="008C6E34" w14:paraId="6262B89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FC0693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0066</w:t>
            </w:r>
          </w:p>
        </w:tc>
        <w:tc>
          <w:tcPr>
            <w:tcW w:w="2880" w:type="dxa"/>
            <w:noWrap/>
            <w:hideMark/>
          </w:tcPr>
          <w:p w14:paraId="339125A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Colrain</w:t>
            </w:r>
          </w:p>
        </w:tc>
        <w:tc>
          <w:tcPr>
            <w:tcW w:w="1148" w:type="dxa"/>
            <w:noWrap/>
            <w:hideMark/>
          </w:tcPr>
          <w:p w14:paraId="625EDDE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C7487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D80AD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5C7B7F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59.8%</w:t>
            </w:r>
          </w:p>
        </w:tc>
        <w:tc>
          <w:tcPr>
            <w:tcW w:w="1374" w:type="dxa"/>
            <w:noWrap/>
            <w:hideMark/>
          </w:tcPr>
          <w:p w14:paraId="08CB99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5C112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AFF8F9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934AC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4C42B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4BAE4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44.8%</w:t>
            </w:r>
          </w:p>
        </w:tc>
        <w:tc>
          <w:tcPr>
            <w:tcW w:w="1374" w:type="dxa"/>
            <w:noWrap/>
            <w:hideMark/>
          </w:tcPr>
          <w:p w14:paraId="50D259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0C3CB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D31E9C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04FDFC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0067</w:t>
            </w:r>
          </w:p>
        </w:tc>
        <w:tc>
          <w:tcPr>
            <w:tcW w:w="2880" w:type="dxa"/>
            <w:noWrap/>
            <w:hideMark/>
          </w:tcPr>
          <w:p w14:paraId="1347CEB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Concord</w:t>
            </w:r>
          </w:p>
        </w:tc>
        <w:tc>
          <w:tcPr>
            <w:tcW w:w="1148" w:type="dxa"/>
            <w:noWrap/>
            <w:hideMark/>
          </w:tcPr>
          <w:p w14:paraId="44D2605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5C760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$13,626,561 </w:t>
            </w:r>
          </w:p>
        </w:tc>
        <w:tc>
          <w:tcPr>
            <w:tcW w:w="1786" w:type="dxa"/>
            <w:noWrap/>
            <w:hideMark/>
          </w:tcPr>
          <w:p w14:paraId="5CCA17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$1,788,314 </w:t>
            </w:r>
          </w:p>
        </w:tc>
        <w:tc>
          <w:tcPr>
            <w:tcW w:w="901" w:type="dxa"/>
            <w:noWrap/>
            <w:hideMark/>
          </w:tcPr>
          <w:p w14:paraId="4FE8D9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2F8FC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13.1%</w:t>
            </w:r>
          </w:p>
        </w:tc>
        <w:tc>
          <w:tcPr>
            <w:tcW w:w="1602" w:type="dxa"/>
            <w:noWrap/>
            <w:hideMark/>
          </w:tcPr>
          <w:p w14:paraId="14EA19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$1,788,314</w:t>
            </w:r>
          </w:p>
        </w:tc>
        <w:tc>
          <w:tcPr>
            <w:tcW w:w="1264" w:type="dxa"/>
            <w:noWrap/>
            <w:hideMark/>
          </w:tcPr>
          <w:p w14:paraId="73CECBA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F67A2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$20,298,530</w:t>
            </w:r>
          </w:p>
        </w:tc>
        <w:tc>
          <w:tcPr>
            <w:tcW w:w="1786" w:type="dxa"/>
            <w:noWrap/>
            <w:hideMark/>
          </w:tcPr>
          <w:p w14:paraId="25D7CA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$3,552,455</w:t>
            </w:r>
          </w:p>
        </w:tc>
        <w:tc>
          <w:tcPr>
            <w:tcW w:w="901" w:type="dxa"/>
            <w:noWrap/>
            <w:hideMark/>
          </w:tcPr>
          <w:p w14:paraId="628203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0C27B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300A7B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w:t>
            </w:r>
          </w:p>
        </w:tc>
      </w:tr>
      <w:tr w:rsidR="008C6E34" w:rsidRPr="008C6E34" w14:paraId="6414612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EE3055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0068</w:t>
            </w:r>
          </w:p>
        </w:tc>
        <w:tc>
          <w:tcPr>
            <w:tcW w:w="2880" w:type="dxa"/>
            <w:noWrap/>
            <w:hideMark/>
          </w:tcPr>
          <w:p w14:paraId="0650800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Conway</w:t>
            </w:r>
          </w:p>
        </w:tc>
        <w:tc>
          <w:tcPr>
            <w:tcW w:w="1148" w:type="dxa"/>
            <w:noWrap/>
            <w:hideMark/>
          </w:tcPr>
          <w:p w14:paraId="594B259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2EED8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$887,748 </w:t>
            </w:r>
          </w:p>
        </w:tc>
        <w:tc>
          <w:tcPr>
            <w:tcW w:w="1786" w:type="dxa"/>
            <w:noWrap/>
            <w:hideMark/>
          </w:tcPr>
          <w:p w14:paraId="100483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$569,433 </w:t>
            </w:r>
          </w:p>
        </w:tc>
        <w:tc>
          <w:tcPr>
            <w:tcW w:w="901" w:type="dxa"/>
            <w:noWrap/>
            <w:hideMark/>
          </w:tcPr>
          <w:p w14:paraId="184497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w:t>
            </w:r>
          </w:p>
        </w:tc>
        <w:tc>
          <w:tcPr>
            <w:tcW w:w="1374" w:type="dxa"/>
            <w:noWrap/>
            <w:hideMark/>
          </w:tcPr>
          <w:p w14:paraId="1A73C8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64.1%</w:t>
            </w:r>
          </w:p>
        </w:tc>
        <w:tc>
          <w:tcPr>
            <w:tcW w:w="1602" w:type="dxa"/>
            <w:noWrap/>
            <w:hideMark/>
          </w:tcPr>
          <w:p w14:paraId="66CDDB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$251,906</w:t>
            </w:r>
          </w:p>
        </w:tc>
        <w:tc>
          <w:tcPr>
            <w:tcW w:w="1264" w:type="dxa"/>
            <w:noWrap/>
            <w:hideMark/>
          </w:tcPr>
          <w:p w14:paraId="0261529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AAA15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$982,499</w:t>
            </w:r>
          </w:p>
        </w:tc>
        <w:tc>
          <w:tcPr>
            <w:tcW w:w="1786" w:type="dxa"/>
            <w:noWrap/>
            <w:hideMark/>
          </w:tcPr>
          <w:p w14:paraId="1A0D03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$626,464</w:t>
            </w:r>
          </w:p>
        </w:tc>
        <w:tc>
          <w:tcPr>
            <w:tcW w:w="901" w:type="dxa"/>
            <w:noWrap/>
            <w:hideMark/>
          </w:tcPr>
          <w:p w14:paraId="004E3A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41F5C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63.8%</w:t>
            </w:r>
          </w:p>
        </w:tc>
        <w:tc>
          <w:tcPr>
            <w:tcW w:w="1602" w:type="dxa"/>
            <w:noWrap/>
            <w:hideMark/>
          </w:tcPr>
          <w:p w14:paraId="521AAA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$454,527</w:t>
            </w:r>
          </w:p>
        </w:tc>
      </w:tr>
      <w:tr w:rsidR="008C6E34" w:rsidRPr="008C6E34" w14:paraId="2D6652E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CE12A1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0069</w:t>
            </w:r>
          </w:p>
        </w:tc>
        <w:tc>
          <w:tcPr>
            <w:tcW w:w="2880" w:type="dxa"/>
            <w:noWrap/>
            <w:hideMark/>
          </w:tcPr>
          <w:p w14:paraId="6518319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Cummington</w:t>
            </w:r>
          </w:p>
        </w:tc>
        <w:tc>
          <w:tcPr>
            <w:tcW w:w="1148" w:type="dxa"/>
            <w:noWrap/>
            <w:hideMark/>
          </w:tcPr>
          <w:p w14:paraId="6C3305C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C70BB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$75,948 </w:t>
            </w:r>
          </w:p>
        </w:tc>
        <w:tc>
          <w:tcPr>
            <w:tcW w:w="1786" w:type="dxa"/>
            <w:noWrap/>
            <w:hideMark/>
          </w:tcPr>
          <w:p w14:paraId="0BC842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$41,166 </w:t>
            </w:r>
          </w:p>
        </w:tc>
        <w:tc>
          <w:tcPr>
            <w:tcW w:w="901" w:type="dxa"/>
            <w:noWrap/>
            <w:hideMark/>
          </w:tcPr>
          <w:p w14:paraId="1C98BF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31.3%</w:t>
            </w:r>
          </w:p>
        </w:tc>
        <w:tc>
          <w:tcPr>
            <w:tcW w:w="1374" w:type="dxa"/>
            <w:noWrap/>
            <w:hideMark/>
          </w:tcPr>
          <w:p w14:paraId="2AF5D3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54.2%</w:t>
            </w:r>
          </w:p>
        </w:tc>
        <w:tc>
          <w:tcPr>
            <w:tcW w:w="1602" w:type="dxa"/>
            <w:noWrap/>
            <w:hideMark/>
          </w:tcPr>
          <w:p w14:paraId="33D119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$34,995</w:t>
            </w:r>
          </w:p>
        </w:tc>
        <w:tc>
          <w:tcPr>
            <w:tcW w:w="1264" w:type="dxa"/>
            <w:noWrap/>
            <w:hideMark/>
          </w:tcPr>
          <w:p w14:paraId="77C91F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9CFED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$86,231</w:t>
            </w:r>
          </w:p>
        </w:tc>
        <w:tc>
          <w:tcPr>
            <w:tcW w:w="1786" w:type="dxa"/>
            <w:noWrap/>
            <w:hideMark/>
          </w:tcPr>
          <w:p w14:paraId="38E4E0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$73,684</w:t>
            </w:r>
          </w:p>
        </w:tc>
        <w:tc>
          <w:tcPr>
            <w:tcW w:w="901" w:type="dxa"/>
            <w:noWrap/>
            <w:hideMark/>
          </w:tcPr>
          <w:p w14:paraId="3F881E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3FA75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85.4%</w:t>
            </w:r>
          </w:p>
        </w:tc>
        <w:tc>
          <w:tcPr>
            <w:tcW w:w="1602" w:type="dxa"/>
            <w:noWrap/>
            <w:hideMark/>
          </w:tcPr>
          <w:p w14:paraId="1A82F7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$58,593</w:t>
            </w:r>
          </w:p>
        </w:tc>
      </w:tr>
      <w:tr w:rsidR="008C6E34" w:rsidRPr="008C6E34" w14:paraId="76B4DC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987CBA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0070</w:t>
            </w:r>
          </w:p>
        </w:tc>
        <w:tc>
          <w:tcPr>
            <w:tcW w:w="2880" w:type="dxa"/>
            <w:noWrap/>
            <w:hideMark/>
          </w:tcPr>
          <w:p w14:paraId="799B933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Dalton</w:t>
            </w:r>
          </w:p>
        </w:tc>
        <w:tc>
          <w:tcPr>
            <w:tcW w:w="1148" w:type="dxa"/>
            <w:noWrap/>
            <w:hideMark/>
          </w:tcPr>
          <w:p w14:paraId="606A7F0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09789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$226,965 </w:t>
            </w:r>
          </w:p>
        </w:tc>
        <w:tc>
          <w:tcPr>
            <w:tcW w:w="1786" w:type="dxa"/>
            <w:noWrap/>
            <w:hideMark/>
          </w:tcPr>
          <w:p w14:paraId="0084E2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$177,549 </w:t>
            </w:r>
          </w:p>
        </w:tc>
        <w:tc>
          <w:tcPr>
            <w:tcW w:w="901" w:type="dxa"/>
            <w:noWrap/>
            <w:hideMark/>
          </w:tcPr>
          <w:p w14:paraId="05019B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58.1%</w:t>
            </w:r>
          </w:p>
        </w:tc>
        <w:tc>
          <w:tcPr>
            <w:tcW w:w="1374" w:type="dxa"/>
            <w:noWrap/>
            <w:hideMark/>
          </w:tcPr>
          <w:p w14:paraId="29B180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78.2%</w:t>
            </w:r>
          </w:p>
        </w:tc>
        <w:tc>
          <w:tcPr>
            <w:tcW w:w="1602" w:type="dxa"/>
            <w:noWrap/>
            <w:hideMark/>
          </w:tcPr>
          <w:p w14:paraId="199F35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$50,720</w:t>
            </w:r>
          </w:p>
        </w:tc>
        <w:tc>
          <w:tcPr>
            <w:tcW w:w="1264" w:type="dxa"/>
            <w:noWrap/>
            <w:hideMark/>
          </w:tcPr>
          <w:p w14:paraId="0BDBCC7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A4098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$285,860</w:t>
            </w:r>
          </w:p>
        </w:tc>
        <w:tc>
          <w:tcPr>
            <w:tcW w:w="1786" w:type="dxa"/>
            <w:noWrap/>
            <w:hideMark/>
          </w:tcPr>
          <w:p w14:paraId="6B37EF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$236,011</w:t>
            </w:r>
          </w:p>
        </w:tc>
        <w:tc>
          <w:tcPr>
            <w:tcW w:w="901" w:type="dxa"/>
            <w:noWrap/>
            <w:hideMark/>
          </w:tcPr>
          <w:p w14:paraId="5BFABE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49.6%</w:t>
            </w:r>
          </w:p>
        </w:tc>
        <w:tc>
          <w:tcPr>
            <w:tcW w:w="1374" w:type="dxa"/>
            <w:noWrap/>
            <w:hideMark/>
          </w:tcPr>
          <w:p w14:paraId="3D6F08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82.6%</w:t>
            </w:r>
          </w:p>
        </w:tc>
        <w:tc>
          <w:tcPr>
            <w:tcW w:w="1602" w:type="dxa"/>
            <w:noWrap/>
            <w:hideMark/>
          </w:tcPr>
          <w:p w14:paraId="679914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$94,299</w:t>
            </w:r>
          </w:p>
        </w:tc>
      </w:tr>
      <w:tr w:rsidR="008C6E34" w:rsidRPr="008C6E34" w14:paraId="40665C9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8D3DA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0071</w:t>
            </w:r>
          </w:p>
        </w:tc>
        <w:tc>
          <w:tcPr>
            <w:tcW w:w="2880" w:type="dxa"/>
            <w:noWrap/>
            <w:hideMark/>
          </w:tcPr>
          <w:p w14:paraId="2C84092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Danvers</w:t>
            </w:r>
          </w:p>
        </w:tc>
        <w:tc>
          <w:tcPr>
            <w:tcW w:w="1148" w:type="dxa"/>
            <w:noWrap/>
            <w:hideMark/>
          </w:tcPr>
          <w:p w14:paraId="606058A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B3550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$27,291,805 </w:t>
            </w:r>
          </w:p>
        </w:tc>
        <w:tc>
          <w:tcPr>
            <w:tcW w:w="1786" w:type="dxa"/>
            <w:noWrap/>
            <w:hideMark/>
          </w:tcPr>
          <w:p w14:paraId="776CEE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$3,957,823 </w:t>
            </w:r>
          </w:p>
        </w:tc>
        <w:tc>
          <w:tcPr>
            <w:tcW w:w="901" w:type="dxa"/>
            <w:noWrap/>
            <w:hideMark/>
          </w:tcPr>
          <w:p w14:paraId="2918D6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8F6F7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14.5%</w:t>
            </w:r>
          </w:p>
        </w:tc>
        <w:tc>
          <w:tcPr>
            <w:tcW w:w="1602" w:type="dxa"/>
            <w:noWrap/>
            <w:hideMark/>
          </w:tcPr>
          <w:p w14:paraId="757684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$3,866,112</w:t>
            </w:r>
          </w:p>
        </w:tc>
        <w:tc>
          <w:tcPr>
            <w:tcW w:w="1264" w:type="dxa"/>
            <w:noWrap/>
            <w:hideMark/>
          </w:tcPr>
          <w:p w14:paraId="5ED23A9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21E85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$37,107,615</w:t>
            </w:r>
          </w:p>
        </w:tc>
        <w:tc>
          <w:tcPr>
            <w:tcW w:w="1786" w:type="dxa"/>
            <w:noWrap/>
            <w:hideMark/>
          </w:tcPr>
          <w:p w14:paraId="27FA26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$7,108,192</w:t>
            </w:r>
          </w:p>
        </w:tc>
        <w:tc>
          <w:tcPr>
            <w:tcW w:w="901" w:type="dxa"/>
            <w:noWrap/>
            <w:hideMark/>
          </w:tcPr>
          <w:p w14:paraId="42A38C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76198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19.2%</w:t>
            </w:r>
          </w:p>
        </w:tc>
        <w:tc>
          <w:tcPr>
            <w:tcW w:w="1602" w:type="dxa"/>
            <w:noWrap/>
            <w:hideMark/>
          </w:tcPr>
          <w:p w14:paraId="1611B5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$33,434</w:t>
            </w:r>
          </w:p>
        </w:tc>
      </w:tr>
      <w:tr w:rsidR="008C6E34" w:rsidRPr="008C6E34" w14:paraId="1C4D37B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1FAD71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0072</w:t>
            </w:r>
          </w:p>
        </w:tc>
        <w:tc>
          <w:tcPr>
            <w:tcW w:w="2880" w:type="dxa"/>
            <w:noWrap/>
            <w:hideMark/>
          </w:tcPr>
          <w:p w14:paraId="7F1B273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Dartmouth</w:t>
            </w:r>
          </w:p>
        </w:tc>
        <w:tc>
          <w:tcPr>
            <w:tcW w:w="1148" w:type="dxa"/>
            <w:noWrap/>
            <w:hideMark/>
          </w:tcPr>
          <w:p w14:paraId="4FBD0F6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303A2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$31,787,364 </w:t>
            </w:r>
          </w:p>
        </w:tc>
        <w:tc>
          <w:tcPr>
            <w:tcW w:w="1786" w:type="dxa"/>
            <w:noWrap/>
            <w:hideMark/>
          </w:tcPr>
          <w:p w14:paraId="5D9027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$9,149,719 </w:t>
            </w:r>
          </w:p>
        </w:tc>
        <w:tc>
          <w:tcPr>
            <w:tcW w:w="901" w:type="dxa"/>
            <w:noWrap/>
            <w:hideMark/>
          </w:tcPr>
          <w:p w14:paraId="7E3A4D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20.2%</w:t>
            </w:r>
          </w:p>
        </w:tc>
        <w:tc>
          <w:tcPr>
            <w:tcW w:w="1374" w:type="dxa"/>
            <w:noWrap/>
            <w:hideMark/>
          </w:tcPr>
          <w:p w14:paraId="1DAE5F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28.8%</w:t>
            </w:r>
          </w:p>
        </w:tc>
        <w:tc>
          <w:tcPr>
            <w:tcW w:w="1602" w:type="dxa"/>
            <w:noWrap/>
            <w:hideMark/>
          </w:tcPr>
          <w:p w14:paraId="459A5F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E4F571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4CC1A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$38,394,448</w:t>
            </w:r>
          </w:p>
        </w:tc>
        <w:tc>
          <w:tcPr>
            <w:tcW w:w="1786" w:type="dxa"/>
            <w:noWrap/>
            <w:hideMark/>
          </w:tcPr>
          <w:p w14:paraId="3526DB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$9,948,121</w:t>
            </w:r>
          </w:p>
        </w:tc>
        <w:tc>
          <w:tcPr>
            <w:tcW w:w="901" w:type="dxa"/>
            <w:noWrap/>
            <w:hideMark/>
          </w:tcPr>
          <w:p w14:paraId="2ECEC3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D3386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25.9%</w:t>
            </w:r>
          </w:p>
        </w:tc>
        <w:tc>
          <w:tcPr>
            <w:tcW w:w="1602" w:type="dxa"/>
            <w:noWrap/>
            <w:hideMark/>
          </w:tcPr>
          <w:p w14:paraId="4CA977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$3,229,093</w:t>
            </w:r>
          </w:p>
        </w:tc>
      </w:tr>
      <w:tr w:rsidR="008C6E34" w:rsidRPr="008C6E34" w14:paraId="143DE0D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95F167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0073</w:t>
            </w:r>
          </w:p>
        </w:tc>
        <w:tc>
          <w:tcPr>
            <w:tcW w:w="2880" w:type="dxa"/>
            <w:noWrap/>
            <w:hideMark/>
          </w:tcPr>
          <w:p w14:paraId="2FED827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Dedham</w:t>
            </w:r>
          </w:p>
        </w:tc>
        <w:tc>
          <w:tcPr>
            <w:tcW w:w="1148" w:type="dxa"/>
            <w:noWrap/>
            <w:hideMark/>
          </w:tcPr>
          <w:p w14:paraId="45B1C6C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0245E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$21,999,587 </w:t>
            </w:r>
          </w:p>
        </w:tc>
        <w:tc>
          <w:tcPr>
            <w:tcW w:w="1786" w:type="dxa"/>
            <w:noWrap/>
            <w:hideMark/>
          </w:tcPr>
          <w:p w14:paraId="1E3F69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$3,524,055 </w:t>
            </w:r>
          </w:p>
        </w:tc>
        <w:tc>
          <w:tcPr>
            <w:tcW w:w="901" w:type="dxa"/>
            <w:noWrap/>
            <w:hideMark/>
          </w:tcPr>
          <w:p w14:paraId="01C227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06FB0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16.0%</w:t>
            </w:r>
          </w:p>
        </w:tc>
        <w:tc>
          <w:tcPr>
            <w:tcW w:w="1602" w:type="dxa"/>
            <w:noWrap/>
            <w:hideMark/>
          </w:tcPr>
          <w:p w14:paraId="27E277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$3,524,055</w:t>
            </w:r>
          </w:p>
        </w:tc>
        <w:tc>
          <w:tcPr>
            <w:tcW w:w="1264" w:type="dxa"/>
            <w:noWrap/>
            <w:hideMark/>
          </w:tcPr>
          <w:p w14:paraId="3600ABA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2C582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$30,327,812</w:t>
            </w:r>
          </w:p>
        </w:tc>
        <w:tc>
          <w:tcPr>
            <w:tcW w:w="1786" w:type="dxa"/>
            <w:noWrap/>
            <w:hideMark/>
          </w:tcPr>
          <w:p w14:paraId="7E1C08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$6,066,360</w:t>
            </w:r>
          </w:p>
        </w:tc>
        <w:tc>
          <w:tcPr>
            <w:tcW w:w="901" w:type="dxa"/>
            <w:noWrap/>
            <w:hideMark/>
          </w:tcPr>
          <w:p w14:paraId="147AB6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2CA55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20.0%</w:t>
            </w:r>
          </w:p>
        </w:tc>
        <w:tc>
          <w:tcPr>
            <w:tcW w:w="1602" w:type="dxa"/>
            <w:noWrap/>
            <w:hideMark/>
          </w:tcPr>
          <w:p w14:paraId="6749C6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$58,515</w:t>
            </w:r>
          </w:p>
        </w:tc>
      </w:tr>
      <w:tr w:rsidR="008C6E34" w:rsidRPr="008C6E34" w14:paraId="7BDF842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4E8699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0074</w:t>
            </w:r>
          </w:p>
        </w:tc>
        <w:tc>
          <w:tcPr>
            <w:tcW w:w="2880" w:type="dxa"/>
            <w:noWrap/>
            <w:hideMark/>
          </w:tcPr>
          <w:p w14:paraId="0327572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Deerfield</w:t>
            </w:r>
          </w:p>
        </w:tc>
        <w:tc>
          <w:tcPr>
            <w:tcW w:w="1148" w:type="dxa"/>
            <w:noWrap/>
            <w:hideMark/>
          </w:tcPr>
          <w:p w14:paraId="1747BE8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664F3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$2,837,157 </w:t>
            </w:r>
          </w:p>
        </w:tc>
        <w:tc>
          <w:tcPr>
            <w:tcW w:w="1786" w:type="dxa"/>
            <w:noWrap/>
            <w:hideMark/>
          </w:tcPr>
          <w:p w14:paraId="59DD3C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$920,952 </w:t>
            </w:r>
          </w:p>
        </w:tc>
        <w:tc>
          <w:tcPr>
            <w:tcW w:w="901" w:type="dxa"/>
            <w:noWrap/>
            <w:hideMark/>
          </w:tcPr>
          <w:p w14:paraId="177268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25.5%</w:t>
            </w:r>
          </w:p>
        </w:tc>
        <w:tc>
          <w:tcPr>
            <w:tcW w:w="1374" w:type="dxa"/>
            <w:noWrap/>
            <w:hideMark/>
          </w:tcPr>
          <w:p w14:paraId="1B1183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32.5%</w:t>
            </w:r>
          </w:p>
        </w:tc>
        <w:tc>
          <w:tcPr>
            <w:tcW w:w="1602" w:type="dxa"/>
            <w:noWrap/>
            <w:hideMark/>
          </w:tcPr>
          <w:p w14:paraId="09F9D9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1149DB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EF3B3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$3,354,720</w:t>
            </w:r>
          </w:p>
        </w:tc>
        <w:tc>
          <w:tcPr>
            <w:tcW w:w="1786" w:type="dxa"/>
            <w:noWrap/>
            <w:hideMark/>
          </w:tcPr>
          <w:p w14:paraId="063441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$1,114,363</w:t>
            </w:r>
          </w:p>
        </w:tc>
        <w:tc>
          <w:tcPr>
            <w:tcW w:w="901" w:type="dxa"/>
            <w:noWrap/>
            <w:hideMark/>
          </w:tcPr>
          <w:p w14:paraId="1DCD92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w:t>
            </w:r>
          </w:p>
        </w:tc>
        <w:tc>
          <w:tcPr>
            <w:tcW w:w="1374" w:type="dxa"/>
            <w:noWrap/>
            <w:hideMark/>
          </w:tcPr>
          <w:p w14:paraId="727216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33.2%</w:t>
            </w:r>
          </w:p>
        </w:tc>
        <w:tc>
          <w:tcPr>
            <w:tcW w:w="1602" w:type="dxa"/>
            <w:noWrap/>
            <w:hideMark/>
          </w:tcPr>
          <w:p w14:paraId="1DE52C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$450,086</w:t>
            </w:r>
          </w:p>
        </w:tc>
      </w:tr>
      <w:tr w:rsidR="008C6E34" w:rsidRPr="008C6E34" w14:paraId="155C29D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8DE353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0075</w:t>
            </w:r>
          </w:p>
        </w:tc>
        <w:tc>
          <w:tcPr>
            <w:tcW w:w="2880" w:type="dxa"/>
            <w:noWrap/>
            <w:hideMark/>
          </w:tcPr>
          <w:p w14:paraId="0FAB956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Dennis</w:t>
            </w:r>
          </w:p>
        </w:tc>
        <w:tc>
          <w:tcPr>
            <w:tcW w:w="1148" w:type="dxa"/>
            <w:noWrap/>
            <w:hideMark/>
          </w:tcPr>
          <w:p w14:paraId="448F93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31090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D93F6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0733D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016CB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586C2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DD05CE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D8993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1EDEB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6F79FD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6063A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7EEF5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C887D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BBEA45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0076</w:t>
            </w:r>
          </w:p>
        </w:tc>
        <w:tc>
          <w:tcPr>
            <w:tcW w:w="2880" w:type="dxa"/>
            <w:noWrap/>
            <w:hideMark/>
          </w:tcPr>
          <w:p w14:paraId="2BB3085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Dighton</w:t>
            </w:r>
          </w:p>
        </w:tc>
        <w:tc>
          <w:tcPr>
            <w:tcW w:w="1148" w:type="dxa"/>
            <w:noWrap/>
            <w:hideMark/>
          </w:tcPr>
          <w:p w14:paraId="0E5341E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B1313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5E104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46810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53.3%</w:t>
            </w:r>
          </w:p>
        </w:tc>
        <w:tc>
          <w:tcPr>
            <w:tcW w:w="1374" w:type="dxa"/>
            <w:noWrap/>
            <w:hideMark/>
          </w:tcPr>
          <w:p w14:paraId="574FAB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66B2D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8B94A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77246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61422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D7F99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50.6%</w:t>
            </w:r>
          </w:p>
        </w:tc>
        <w:tc>
          <w:tcPr>
            <w:tcW w:w="1374" w:type="dxa"/>
            <w:noWrap/>
            <w:hideMark/>
          </w:tcPr>
          <w:p w14:paraId="233C28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5D9B8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2AD772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B420C1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0077</w:t>
            </w:r>
          </w:p>
        </w:tc>
        <w:tc>
          <w:tcPr>
            <w:tcW w:w="2880" w:type="dxa"/>
            <w:noWrap/>
            <w:hideMark/>
          </w:tcPr>
          <w:p w14:paraId="6FD650E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Douglas</w:t>
            </w:r>
          </w:p>
        </w:tc>
        <w:tc>
          <w:tcPr>
            <w:tcW w:w="1148" w:type="dxa"/>
            <w:noWrap/>
            <w:hideMark/>
          </w:tcPr>
          <w:p w14:paraId="0BEA8E8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069A3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$11,244,183 </w:t>
            </w:r>
          </w:p>
        </w:tc>
        <w:tc>
          <w:tcPr>
            <w:tcW w:w="1786" w:type="dxa"/>
            <w:noWrap/>
            <w:hideMark/>
          </w:tcPr>
          <w:p w14:paraId="2FB578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$6,966,367 </w:t>
            </w:r>
          </w:p>
        </w:tc>
        <w:tc>
          <w:tcPr>
            <w:tcW w:w="901" w:type="dxa"/>
            <w:noWrap/>
            <w:hideMark/>
          </w:tcPr>
          <w:p w14:paraId="5FD20E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52.7%</w:t>
            </w:r>
          </w:p>
        </w:tc>
        <w:tc>
          <w:tcPr>
            <w:tcW w:w="1374" w:type="dxa"/>
            <w:noWrap/>
            <w:hideMark/>
          </w:tcPr>
          <w:p w14:paraId="188439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62.0%</w:t>
            </w:r>
          </w:p>
        </w:tc>
        <w:tc>
          <w:tcPr>
            <w:tcW w:w="1602" w:type="dxa"/>
            <w:noWrap/>
            <w:hideMark/>
          </w:tcPr>
          <w:p w14:paraId="239E78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$124,903</w:t>
            </w:r>
          </w:p>
        </w:tc>
        <w:tc>
          <w:tcPr>
            <w:tcW w:w="1264" w:type="dxa"/>
            <w:noWrap/>
            <w:hideMark/>
          </w:tcPr>
          <w:p w14:paraId="1183BB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5A9B9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$12,970,127</w:t>
            </w:r>
          </w:p>
        </w:tc>
        <w:tc>
          <w:tcPr>
            <w:tcW w:w="1786" w:type="dxa"/>
            <w:noWrap/>
            <w:hideMark/>
          </w:tcPr>
          <w:p w14:paraId="5B404C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$8,759,585</w:t>
            </w:r>
          </w:p>
        </w:tc>
        <w:tc>
          <w:tcPr>
            <w:tcW w:w="901" w:type="dxa"/>
            <w:noWrap/>
            <w:hideMark/>
          </w:tcPr>
          <w:p w14:paraId="4CB696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43.3%</w:t>
            </w:r>
          </w:p>
        </w:tc>
        <w:tc>
          <w:tcPr>
            <w:tcW w:w="1374" w:type="dxa"/>
            <w:noWrap/>
            <w:hideMark/>
          </w:tcPr>
          <w:p w14:paraId="13CB36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67.5%</w:t>
            </w:r>
          </w:p>
        </w:tc>
        <w:tc>
          <w:tcPr>
            <w:tcW w:w="1602" w:type="dxa"/>
            <w:noWrap/>
            <w:hideMark/>
          </w:tcPr>
          <w:p w14:paraId="75F427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$2,902,217</w:t>
            </w:r>
          </w:p>
        </w:tc>
      </w:tr>
      <w:tr w:rsidR="008C6E34" w:rsidRPr="008C6E34" w14:paraId="7756810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C035E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0078</w:t>
            </w:r>
          </w:p>
        </w:tc>
        <w:tc>
          <w:tcPr>
            <w:tcW w:w="2880" w:type="dxa"/>
            <w:noWrap/>
            <w:hideMark/>
          </w:tcPr>
          <w:p w14:paraId="3FDFF37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Dover</w:t>
            </w:r>
          </w:p>
        </w:tc>
        <w:tc>
          <w:tcPr>
            <w:tcW w:w="1148" w:type="dxa"/>
            <w:noWrap/>
            <w:hideMark/>
          </w:tcPr>
          <w:p w14:paraId="0D8C30A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633BD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$4,498,246 </w:t>
            </w:r>
          </w:p>
        </w:tc>
        <w:tc>
          <w:tcPr>
            <w:tcW w:w="1786" w:type="dxa"/>
            <w:noWrap/>
            <w:hideMark/>
          </w:tcPr>
          <w:p w14:paraId="19E981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$448,199 </w:t>
            </w:r>
          </w:p>
        </w:tc>
        <w:tc>
          <w:tcPr>
            <w:tcW w:w="901" w:type="dxa"/>
            <w:noWrap/>
            <w:hideMark/>
          </w:tcPr>
          <w:p w14:paraId="2E1A18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A2B53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w:t>
            </w:r>
          </w:p>
        </w:tc>
        <w:tc>
          <w:tcPr>
            <w:tcW w:w="1602" w:type="dxa"/>
            <w:noWrap/>
            <w:hideMark/>
          </w:tcPr>
          <w:p w14:paraId="2B405C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$448,199</w:t>
            </w:r>
          </w:p>
        </w:tc>
        <w:tc>
          <w:tcPr>
            <w:tcW w:w="1264" w:type="dxa"/>
            <w:noWrap/>
            <w:hideMark/>
          </w:tcPr>
          <w:p w14:paraId="5F29A8C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C3D24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$4,873,658</w:t>
            </w:r>
          </w:p>
        </w:tc>
        <w:tc>
          <w:tcPr>
            <w:tcW w:w="1786" w:type="dxa"/>
            <w:noWrap/>
            <w:hideMark/>
          </w:tcPr>
          <w:p w14:paraId="30B7AB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$853,856</w:t>
            </w:r>
          </w:p>
        </w:tc>
        <w:tc>
          <w:tcPr>
            <w:tcW w:w="901" w:type="dxa"/>
            <w:noWrap/>
            <w:hideMark/>
          </w:tcPr>
          <w:p w14:paraId="1140C7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D2831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09ED80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$966</w:t>
            </w:r>
          </w:p>
        </w:tc>
      </w:tr>
      <w:tr w:rsidR="008C6E34" w:rsidRPr="008C6E34" w14:paraId="64F41C5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CA0277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0079</w:t>
            </w:r>
          </w:p>
        </w:tc>
        <w:tc>
          <w:tcPr>
            <w:tcW w:w="2880" w:type="dxa"/>
            <w:noWrap/>
            <w:hideMark/>
          </w:tcPr>
          <w:p w14:paraId="3716858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Dracut</w:t>
            </w:r>
          </w:p>
        </w:tc>
        <w:tc>
          <w:tcPr>
            <w:tcW w:w="1148" w:type="dxa"/>
            <w:noWrap/>
            <w:hideMark/>
          </w:tcPr>
          <w:p w14:paraId="760E481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CF07A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$31,544,589 </w:t>
            </w:r>
          </w:p>
        </w:tc>
        <w:tc>
          <w:tcPr>
            <w:tcW w:w="1786" w:type="dxa"/>
            <w:noWrap/>
            <w:hideMark/>
          </w:tcPr>
          <w:p w14:paraId="509229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$15,009,207 </w:t>
            </w:r>
          </w:p>
        </w:tc>
        <w:tc>
          <w:tcPr>
            <w:tcW w:w="901" w:type="dxa"/>
            <w:noWrap/>
            <w:hideMark/>
          </w:tcPr>
          <w:p w14:paraId="12477D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42.9%</w:t>
            </w:r>
          </w:p>
        </w:tc>
        <w:tc>
          <w:tcPr>
            <w:tcW w:w="1374" w:type="dxa"/>
            <w:noWrap/>
            <w:hideMark/>
          </w:tcPr>
          <w:p w14:paraId="5B94AB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47.6%</w:t>
            </w:r>
          </w:p>
        </w:tc>
        <w:tc>
          <w:tcPr>
            <w:tcW w:w="1602" w:type="dxa"/>
            <w:noWrap/>
            <w:hideMark/>
          </w:tcPr>
          <w:p w14:paraId="717495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$39,254</w:t>
            </w:r>
          </w:p>
        </w:tc>
        <w:tc>
          <w:tcPr>
            <w:tcW w:w="1264" w:type="dxa"/>
            <w:noWrap/>
            <w:hideMark/>
          </w:tcPr>
          <w:p w14:paraId="20AA84F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8BCD0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$41,837,071</w:t>
            </w:r>
          </w:p>
        </w:tc>
        <w:tc>
          <w:tcPr>
            <w:tcW w:w="1786" w:type="dxa"/>
            <w:noWrap/>
            <w:hideMark/>
          </w:tcPr>
          <w:p w14:paraId="0EA227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$19,413,857</w:t>
            </w:r>
          </w:p>
        </w:tc>
        <w:tc>
          <w:tcPr>
            <w:tcW w:w="901" w:type="dxa"/>
            <w:noWrap/>
            <w:hideMark/>
          </w:tcPr>
          <w:p w14:paraId="7DC7BA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w:t>
            </w:r>
          </w:p>
        </w:tc>
        <w:tc>
          <w:tcPr>
            <w:tcW w:w="1374" w:type="dxa"/>
            <w:noWrap/>
            <w:hideMark/>
          </w:tcPr>
          <w:p w14:paraId="723B76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46.4%</w:t>
            </w:r>
          </w:p>
        </w:tc>
        <w:tc>
          <w:tcPr>
            <w:tcW w:w="1602" w:type="dxa"/>
            <w:noWrap/>
            <w:hideMark/>
          </w:tcPr>
          <w:p w14:paraId="6E2D8F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$589,912</w:t>
            </w:r>
          </w:p>
        </w:tc>
      </w:tr>
      <w:tr w:rsidR="008C6E34" w:rsidRPr="008C6E34" w14:paraId="72D8335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3EF615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0080</w:t>
            </w:r>
          </w:p>
        </w:tc>
        <w:tc>
          <w:tcPr>
            <w:tcW w:w="2880" w:type="dxa"/>
            <w:noWrap/>
            <w:hideMark/>
          </w:tcPr>
          <w:p w14:paraId="117506A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Dudley</w:t>
            </w:r>
          </w:p>
        </w:tc>
        <w:tc>
          <w:tcPr>
            <w:tcW w:w="1148" w:type="dxa"/>
            <w:noWrap/>
            <w:hideMark/>
          </w:tcPr>
          <w:p w14:paraId="518C8D7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81C81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8A4A3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F1696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58.7%</w:t>
            </w:r>
          </w:p>
        </w:tc>
        <w:tc>
          <w:tcPr>
            <w:tcW w:w="1374" w:type="dxa"/>
            <w:noWrap/>
            <w:hideMark/>
          </w:tcPr>
          <w:p w14:paraId="20AAC3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217CE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65B68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BD1B8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$14,372</w:t>
            </w:r>
          </w:p>
        </w:tc>
        <w:tc>
          <w:tcPr>
            <w:tcW w:w="1786" w:type="dxa"/>
            <w:noWrap/>
            <w:hideMark/>
          </w:tcPr>
          <w:p w14:paraId="279B24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$14,383</w:t>
            </w:r>
          </w:p>
        </w:tc>
        <w:tc>
          <w:tcPr>
            <w:tcW w:w="901" w:type="dxa"/>
            <w:noWrap/>
            <w:hideMark/>
          </w:tcPr>
          <w:p w14:paraId="05D7E6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60.7%</w:t>
            </w:r>
          </w:p>
        </w:tc>
        <w:tc>
          <w:tcPr>
            <w:tcW w:w="1374" w:type="dxa"/>
            <w:noWrap/>
            <w:hideMark/>
          </w:tcPr>
          <w:p w14:paraId="46BB9C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100.1%</w:t>
            </w:r>
          </w:p>
        </w:tc>
        <w:tc>
          <w:tcPr>
            <w:tcW w:w="1602" w:type="dxa"/>
            <w:noWrap/>
            <w:hideMark/>
          </w:tcPr>
          <w:p w14:paraId="266B06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$4,881</w:t>
            </w:r>
          </w:p>
        </w:tc>
      </w:tr>
      <w:tr w:rsidR="008C6E34" w:rsidRPr="008C6E34" w14:paraId="511145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B35EE9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0081</w:t>
            </w:r>
          </w:p>
        </w:tc>
        <w:tc>
          <w:tcPr>
            <w:tcW w:w="2880" w:type="dxa"/>
            <w:noWrap/>
            <w:hideMark/>
          </w:tcPr>
          <w:p w14:paraId="0F0EDF0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Dunstable</w:t>
            </w:r>
          </w:p>
        </w:tc>
        <w:tc>
          <w:tcPr>
            <w:tcW w:w="1148" w:type="dxa"/>
            <w:noWrap/>
            <w:hideMark/>
          </w:tcPr>
          <w:p w14:paraId="488E4CE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62A34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C2579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4A433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39.5%</w:t>
            </w:r>
          </w:p>
        </w:tc>
        <w:tc>
          <w:tcPr>
            <w:tcW w:w="1374" w:type="dxa"/>
            <w:noWrap/>
            <w:hideMark/>
          </w:tcPr>
          <w:p w14:paraId="5A4AAB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D9848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615102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11A93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38801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3A064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18.0%</w:t>
            </w:r>
          </w:p>
        </w:tc>
        <w:tc>
          <w:tcPr>
            <w:tcW w:w="1374" w:type="dxa"/>
            <w:noWrap/>
            <w:hideMark/>
          </w:tcPr>
          <w:p w14:paraId="7B2A04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5ED70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BF7E17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E95DC7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0082</w:t>
            </w:r>
          </w:p>
        </w:tc>
        <w:tc>
          <w:tcPr>
            <w:tcW w:w="2880" w:type="dxa"/>
            <w:noWrap/>
            <w:hideMark/>
          </w:tcPr>
          <w:p w14:paraId="7637235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Duxbury</w:t>
            </w:r>
          </w:p>
        </w:tc>
        <w:tc>
          <w:tcPr>
            <w:tcW w:w="1148" w:type="dxa"/>
            <w:noWrap/>
            <w:hideMark/>
          </w:tcPr>
          <w:p w14:paraId="3C5361E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5DE9A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$24,332,600 </w:t>
            </w:r>
          </w:p>
        </w:tc>
        <w:tc>
          <w:tcPr>
            <w:tcW w:w="1786" w:type="dxa"/>
            <w:noWrap/>
            <w:hideMark/>
          </w:tcPr>
          <w:p w14:paraId="27E2AE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$3,127,346 </w:t>
            </w:r>
          </w:p>
        </w:tc>
        <w:tc>
          <w:tcPr>
            <w:tcW w:w="901" w:type="dxa"/>
            <w:noWrap/>
            <w:hideMark/>
          </w:tcPr>
          <w:p w14:paraId="3E5DC6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E9E18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w:t>
            </w:r>
          </w:p>
        </w:tc>
        <w:tc>
          <w:tcPr>
            <w:tcW w:w="1602" w:type="dxa"/>
            <w:noWrap/>
            <w:hideMark/>
          </w:tcPr>
          <w:p w14:paraId="021256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$594,534</w:t>
            </w:r>
          </w:p>
        </w:tc>
        <w:tc>
          <w:tcPr>
            <w:tcW w:w="1264" w:type="dxa"/>
            <w:noWrap/>
            <w:hideMark/>
          </w:tcPr>
          <w:p w14:paraId="148108C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53A09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$30,413,601</w:t>
            </w:r>
          </w:p>
        </w:tc>
        <w:tc>
          <w:tcPr>
            <w:tcW w:w="1786" w:type="dxa"/>
            <w:noWrap/>
            <w:hideMark/>
          </w:tcPr>
          <w:p w14:paraId="0E9773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$5,340,535</w:t>
            </w:r>
          </w:p>
        </w:tc>
        <w:tc>
          <w:tcPr>
            <w:tcW w:w="901" w:type="dxa"/>
            <w:noWrap/>
            <w:hideMark/>
          </w:tcPr>
          <w:p w14:paraId="6340DB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A3956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17.6%</w:t>
            </w:r>
          </w:p>
        </w:tc>
        <w:tc>
          <w:tcPr>
            <w:tcW w:w="1602" w:type="dxa"/>
            <w:noWrap/>
            <w:hideMark/>
          </w:tcPr>
          <w:p w14:paraId="14B417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$18,155</w:t>
            </w:r>
          </w:p>
        </w:tc>
      </w:tr>
      <w:tr w:rsidR="008C6E34" w:rsidRPr="008C6E34" w14:paraId="09E2868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F91BEB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0083</w:t>
            </w:r>
          </w:p>
        </w:tc>
        <w:tc>
          <w:tcPr>
            <w:tcW w:w="2880" w:type="dxa"/>
            <w:noWrap/>
            <w:hideMark/>
          </w:tcPr>
          <w:p w14:paraId="254E519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East Bridgewater</w:t>
            </w:r>
          </w:p>
        </w:tc>
        <w:tc>
          <w:tcPr>
            <w:tcW w:w="1148" w:type="dxa"/>
            <w:noWrap/>
            <w:hideMark/>
          </w:tcPr>
          <w:p w14:paraId="489BEE6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115F7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$18,126,132 </w:t>
            </w:r>
          </w:p>
        </w:tc>
        <w:tc>
          <w:tcPr>
            <w:tcW w:w="1786" w:type="dxa"/>
            <w:noWrap/>
            <w:hideMark/>
          </w:tcPr>
          <w:p w14:paraId="62C8B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$10,037,234 </w:t>
            </w:r>
          </w:p>
        </w:tc>
        <w:tc>
          <w:tcPr>
            <w:tcW w:w="901" w:type="dxa"/>
            <w:noWrap/>
            <w:hideMark/>
          </w:tcPr>
          <w:p w14:paraId="49307F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53.0%</w:t>
            </w:r>
          </w:p>
        </w:tc>
        <w:tc>
          <w:tcPr>
            <w:tcW w:w="1374" w:type="dxa"/>
            <w:noWrap/>
            <w:hideMark/>
          </w:tcPr>
          <w:p w14:paraId="649720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602" w:type="dxa"/>
            <w:noWrap/>
            <w:hideMark/>
          </w:tcPr>
          <w:p w14:paraId="14C1A7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43306B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496C9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$23,021,486</w:t>
            </w:r>
          </w:p>
        </w:tc>
        <w:tc>
          <w:tcPr>
            <w:tcW w:w="1786" w:type="dxa"/>
            <w:noWrap/>
            <w:hideMark/>
          </w:tcPr>
          <w:p w14:paraId="77CA31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$10,847,253</w:t>
            </w:r>
          </w:p>
        </w:tc>
        <w:tc>
          <w:tcPr>
            <w:tcW w:w="901" w:type="dxa"/>
            <w:noWrap/>
            <w:hideMark/>
          </w:tcPr>
          <w:p w14:paraId="22ECC4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45.8%</w:t>
            </w:r>
          </w:p>
        </w:tc>
        <w:tc>
          <w:tcPr>
            <w:tcW w:w="1374" w:type="dxa"/>
            <w:noWrap/>
            <w:hideMark/>
          </w:tcPr>
          <w:p w14:paraId="704A8D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47.1%</w:t>
            </w:r>
          </w:p>
        </w:tc>
        <w:tc>
          <w:tcPr>
            <w:tcW w:w="1602" w:type="dxa"/>
            <w:noWrap/>
            <w:hideMark/>
          </w:tcPr>
          <w:p w14:paraId="7722B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$8,804</w:t>
            </w:r>
          </w:p>
        </w:tc>
      </w:tr>
      <w:tr w:rsidR="008C6E34" w:rsidRPr="008C6E34" w14:paraId="785BDE1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24F544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0084</w:t>
            </w:r>
          </w:p>
        </w:tc>
        <w:tc>
          <w:tcPr>
            <w:tcW w:w="2880" w:type="dxa"/>
            <w:noWrap/>
            <w:hideMark/>
          </w:tcPr>
          <w:p w14:paraId="486168A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East Brookfield</w:t>
            </w:r>
          </w:p>
        </w:tc>
        <w:tc>
          <w:tcPr>
            <w:tcW w:w="1148" w:type="dxa"/>
            <w:noWrap/>
            <w:hideMark/>
          </w:tcPr>
          <w:p w14:paraId="5BF8E3B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6442E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$172,717 </w:t>
            </w:r>
          </w:p>
        </w:tc>
        <w:tc>
          <w:tcPr>
            <w:tcW w:w="1786" w:type="dxa"/>
            <w:noWrap/>
            <w:hideMark/>
          </w:tcPr>
          <w:p w14:paraId="30C19A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$105,264 </w:t>
            </w:r>
          </w:p>
        </w:tc>
        <w:tc>
          <w:tcPr>
            <w:tcW w:w="901" w:type="dxa"/>
            <w:noWrap/>
            <w:hideMark/>
          </w:tcPr>
          <w:p w14:paraId="0E5396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w:t>
            </w:r>
          </w:p>
        </w:tc>
        <w:tc>
          <w:tcPr>
            <w:tcW w:w="1374" w:type="dxa"/>
            <w:noWrap/>
            <w:hideMark/>
          </w:tcPr>
          <w:p w14:paraId="37BDAC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60.9%</w:t>
            </w:r>
          </w:p>
        </w:tc>
        <w:tc>
          <w:tcPr>
            <w:tcW w:w="1602" w:type="dxa"/>
            <w:noWrap/>
            <w:hideMark/>
          </w:tcPr>
          <w:p w14:paraId="02844F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8E4672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D5696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$328,975</w:t>
            </w:r>
          </w:p>
        </w:tc>
        <w:tc>
          <w:tcPr>
            <w:tcW w:w="1786" w:type="dxa"/>
            <w:noWrap/>
            <w:hideMark/>
          </w:tcPr>
          <w:p w14:paraId="5DDFEC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$186,016</w:t>
            </w:r>
          </w:p>
        </w:tc>
        <w:tc>
          <w:tcPr>
            <w:tcW w:w="901" w:type="dxa"/>
            <w:noWrap/>
            <w:hideMark/>
          </w:tcPr>
          <w:p w14:paraId="727C04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46.3%</w:t>
            </w:r>
          </w:p>
        </w:tc>
        <w:tc>
          <w:tcPr>
            <w:tcW w:w="1374" w:type="dxa"/>
            <w:noWrap/>
            <w:hideMark/>
          </w:tcPr>
          <w:p w14:paraId="1AB922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56.5%</w:t>
            </w:r>
          </w:p>
        </w:tc>
        <w:tc>
          <w:tcPr>
            <w:tcW w:w="1602" w:type="dxa"/>
            <w:noWrap/>
            <w:hideMark/>
          </w:tcPr>
          <w:p w14:paraId="4B6838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$20,638</w:t>
            </w:r>
          </w:p>
        </w:tc>
      </w:tr>
      <w:tr w:rsidR="008C6E34" w:rsidRPr="008C6E34" w14:paraId="51B815F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7631E7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0085</w:t>
            </w:r>
          </w:p>
        </w:tc>
        <w:tc>
          <w:tcPr>
            <w:tcW w:w="2880" w:type="dxa"/>
            <w:noWrap/>
            <w:hideMark/>
          </w:tcPr>
          <w:p w14:paraId="3093E76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Eastham</w:t>
            </w:r>
          </w:p>
        </w:tc>
        <w:tc>
          <w:tcPr>
            <w:tcW w:w="1148" w:type="dxa"/>
            <w:noWrap/>
            <w:hideMark/>
          </w:tcPr>
          <w:p w14:paraId="3520911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D69F3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$1,616,182 </w:t>
            </w:r>
          </w:p>
        </w:tc>
        <w:tc>
          <w:tcPr>
            <w:tcW w:w="1786" w:type="dxa"/>
            <w:noWrap/>
            <w:hideMark/>
          </w:tcPr>
          <w:p w14:paraId="24A868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$271,645 </w:t>
            </w:r>
          </w:p>
        </w:tc>
        <w:tc>
          <w:tcPr>
            <w:tcW w:w="901" w:type="dxa"/>
            <w:noWrap/>
            <w:hideMark/>
          </w:tcPr>
          <w:p w14:paraId="6BCA77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14E34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16.8%</w:t>
            </w:r>
          </w:p>
        </w:tc>
        <w:tc>
          <w:tcPr>
            <w:tcW w:w="1602" w:type="dxa"/>
            <w:noWrap/>
            <w:hideMark/>
          </w:tcPr>
          <w:p w14:paraId="405093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$271,645</w:t>
            </w:r>
          </w:p>
        </w:tc>
        <w:tc>
          <w:tcPr>
            <w:tcW w:w="1264" w:type="dxa"/>
            <w:noWrap/>
            <w:hideMark/>
          </w:tcPr>
          <w:p w14:paraId="6E48D2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AB30C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$1,859,186</w:t>
            </w:r>
          </w:p>
        </w:tc>
        <w:tc>
          <w:tcPr>
            <w:tcW w:w="1786" w:type="dxa"/>
            <w:noWrap/>
            <w:hideMark/>
          </w:tcPr>
          <w:p w14:paraId="41E78E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$364,971</w:t>
            </w:r>
          </w:p>
        </w:tc>
        <w:tc>
          <w:tcPr>
            <w:tcW w:w="901" w:type="dxa"/>
            <w:noWrap/>
            <w:hideMark/>
          </w:tcPr>
          <w:p w14:paraId="6B541C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4E0AD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19.6%</w:t>
            </w:r>
          </w:p>
        </w:tc>
        <w:tc>
          <w:tcPr>
            <w:tcW w:w="1602" w:type="dxa"/>
            <w:noWrap/>
            <w:hideMark/>
          </w:tcPr>
          <w:p w14:paraId="0A614C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$39,614</w:t>
            </w:r>
          </w:p>
        </w:tc>
      </w:tr>
      <w:tr w:rsidR="008C6E34" w:rsidRPr="008C6E34" w14:paraId="574FC34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E2F53D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0086</w:t>
            </w:r>
          </w:p>
        </w:tc>
        <w:tc>
          <w:tcPr>
            <w:tcW w:w="2880" w:type="dxa"/>
            <w:noWrap/>
            <w:hideMark/>
          </w:tcPr>
          <w:p w14:paraId="18B1026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Easthampton</w:t>
            </w:r>
          </w:p>
        </w:tc>
        <w:tc>
          <w:tcPr>
            <w:tcW w:w="1148" w:type="dxa"/>
            <w:noWrap/>
            <w:hideMark/>
          </w:tcPr>
          <w:p w14:paraId="59B6F1D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A6830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$14,811,911 </w:t>
            </w:r>
          </w:p>
        </w:tc>
        <w:tc>
          <w:tcPr>
            <w:tcW w:w="1786" w:type="dxa"/>
            <w:noWrap/>
            <w:hideMark/>
          </w:tcPr>
          <w:p w14:paraId="6A27D9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$7,246,465 </w:t>
            </w:r>
          </w:p>
        </w:tc>
        <w:tc>
          <w:tcPr>
            <w:tcW w:w="901" w:type="dxa"/>
            <w:noWrap/>
            <w:hideMark/>
          </w:tcPr>
          <w:p w14:paraId="15D261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42.9%</w:t>
            </w:r>
          </w:p>
        </w:tc>
        <w:tc>
          <w:tcPr>
            <w:tcW w:w="1374" w:type="dxa"/>
            <w:noWrap/>
            <w:hideMark/>
          </w:tcPr>
          <w:p w14:paraId="42F32C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48.9%</w:t>
            </w:r>
          </w:p>
        </w:tc>
        <w:tc>
          <w:tcPr>
            <w:tcW w:w="1602" w:type="dxa"/>
            <w:noWrap/>
            <w:hideMark/>
          </w:tcPr>
          <w:p w14:paraId="05FD97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$345,511</w:t>
            </w:r>
          </w:p>
        </w:tc>
        <w:tc>
          <w:tcPr>
            <w:tcW w:w="1264" w:type="dxa"/>
            <w:noWrap/>
            <w:hideMark/>
          </w:tcPr>
          <w:p w14:paraId="6C9EE57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6D68A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$19,700,559</w:t>
            </w:r>
          </w:p>
        </w:tc>
        <w:tc>
          <w:tcPr>
            <w:tcW w:w="1786" w:type="dxa"/>
            <w:noWrap/>
            <w:hideMark/>
          </w:tcPr>
          <w:p w14:paraId="0F9E9D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$8,029,692</w:t>
            </w:r>
          </w:p>
        </w:tc>
        <w:tc>
          <w:tcPr>
            <w:tcW w:w="901" w:type="dxa"/>
            <w:noWrap/>
            <w:hideMark/>
          </w:tcPr>
          <w:p w14:paraId="530245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37.5%</w:t>
            </w:r>
          </w:p>
        </w:tc>
        <w:tc>
          <w:tcPr>
            <w:tcW w:w="1374" w:type="dxa"/>
            <w:noWrap/>
            <w:hideMark/>
          </w:tcPr>
          <w:p w14:paraId="19354A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w:t>
            </w:r>
          </w:p>
        </w:tc>
        <w:tc>
          <w:tcPr>
            <w:tcW w:w="1602" w:type="dxa"/>
            <w:noWrap/>
            <w:hideMark/>
          </w:tcPr>
          <w:p w14:paraId="2C7674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$649,340</w:t>
            </w:r>
          </w:p>
        </w:tc>
      </w:tr>
      <w:tr w:rsidR="008C6E34" w:rsidRPr="008C6E34" w14:paraId="75D502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02AA5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0087</w:t>
            </w:r>
          </w:p>
        </w:tc>
        <w:tc>
          <w:tcPr>
            <w:tcW w:w="2880" w:type="dxa"/>
            <w:noWrap/>
            <w:hideMark/>
          </w:tcPr>
          <w:p w14:paraId="434CE27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East Longmeadow</w:t>
            </w:r>
          </w:p>
        </w:tc>
        <w:tc>
          <w:tcPr>
            <w:tcW w:w="1148" w:type="dxa"/>
            <w:noWrap/>
            <w:hideMark/>
          </w:tcPr>
          <w:p w14:paraId="7799689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34E55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$20,729,713 </w:t>
            </w:r>
          </w:p>
        </w:tc>
        <w:tc>
          <w:tcPr>
            <w:tcW w:w="1786" w:type="dxa"/>
            <w:noWrap/>
            <w:hideMark/>
          </w:tcPr>
          <w:p w14:paraId="7F4157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$4,616,186 </w:t>
            </w:r>
          </w:p>
        </w:tc>
        <w:tc>
          <w:tcPr>
            <w:tcW w:w="901" w:type="dxa"/>
            <w:noWrap/>
            <w:hideMark/>
          </w:tcPr>
          <w:p w14:paraId="08BF18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45.2%</w:t>
            </w:r>
          </w:p>
        </w:tc>
        <w:tc>
          <w:tcPr>
            <w:tcW w:w="1374" w:type="dxa"/>
            <w:noWrap/>
            <w:hideMark/>
          </w:tcPr>
          <w:p w14:paraId="261C37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22.3%</w:t>
            </w:r>
          </w:p>
        </w:tc>
        <w:tc>
          <w:tcPr>
            <w:tcW w:w="1602" w:type="dxa"/>
            <w:noWrap/>
            <w:hideMark/>
          </w:tcPr>
          <w:p w14:paraId="2377CE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636FEF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6E136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$28,769,863</w:t>
            </w:r>
          </w:p>
        </w:tc>
        <w:tc>
          <w:tcPr>
            <w:tcW w:w="1786" w:type="dxa"/>
            <w:noWrap/>
            <w:hideMark/>
          </w:tcPr>
          <w:p w14:paraId="48F3EF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$12,102,248</w:t>
            </w:r>
          </w:p>
        </w:tc>
        <w:tc>
          <w:tcPr>
            <w:tcW w:w="901" w:type="dxa"/>
            <w:noWrap/>
            <w:hideMark/>
          </w:tcPr>
          <w:p w14:paraId="512CE5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41.4%</w:t>
            </w:r>
          </w:p>
        </w:tc>
        <w:tc>
          <w:tcPr>
            <w:tcW w:w="1374" w:type="dxa"/>
            <w:noWrap/>
            <w:hideMark/>
          </w:tcPr>
          <w:p w14:paraId="426775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42.1%</w:t>
            </w:r>
          </w:p>
        </w:tc>
        <w:tc>
          <w:tcPr>
            <w:tcW w:w="1602" w:type="dxa"/>
            <w:noWrap/>
            <w:hideMark/>
          </w:tcPr>
          <w:p w14:paraId="160FC3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$181,280</w:t>
            </w:r>
          </w:p>
        </w:tc>
      </w:tr>
      <w:tr w:rsidR="008C6E34" w:rsidRPr="008C6E34" w14:paraId="5AFD267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7DD183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0088</w:t>
            </w:r>
          </w:p>
        </w:tc>
        <w:tc>
          <w:tcPr>
            <w:tcW w:w="2880" w:type="dxa"/>
            <w:noWrap/>
            <w:hideMark/>
          </w:tcPr>
          <w:p w14:paraId="47F67D6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Easton</w:t>
            </w:r>
          </w:p>
        </w:tc>
        <w:tc>
          <w:tcPr>
            <w:tcW w:w="1148" w:type="dxa"/>
            <w:noWrap/>
            <w:hideMark/>
          </w:tcPr>
          <w:p w14:paraId="56358B3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F2AC3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$27,484,649 </w:t>
            </w:r>
          </w:p>
        </w:tc>
        <w:tc>
          <w:tcPr>
            <w:tcW w:w="1786" w:type="dxa"/>
            <w:noWrap/>
            <w:hideMark/>
          </w:tcPr>
          <w:p w14:paraId="0688BB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$8,115,511 </w:t>
            </w:r>
          </w:p>
        </w:tc>
        <w:tc>
          <w:tcPr>
            <w:tcW w:w="901" w:type="dxa"/>
            <w:noWrap/>
            <w:hideMark/>
          </w:tcPr>
          <w:p w14:paraId="46940D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28.9%</w:t>
            </w:r>
          </w:p>
        </w:tc>
        <w:tc>
          <w:tcPr>
            <w:tcW w:w="1374" w:type="dxa"/>
            <w:noWrap/>
            <w:hideMark/>
          </w:tcPr>
          <w:p w14:paraId="38CD15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w:t>
            </w:r>
          </w:p>
        </w:tc>
        <w:tc>
          <w:tcPr>
            <w:tcW w:w="1602" w:type="dxa"/>
            <w:noWrap/>
            <w:hideMark/>
          </w:tcPr>
          <w:p w14:paraId="2EB849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$198,216</w:t>
            </w:r>
          </w:p>
        </w:tc>
        <w:tc>
          <w:tcPr>
            <w:tcW w:w="1264" w:type="dxa"/>
            <w:noWrap/>
            <w:hideMark/>
          </w:tcPr>
          <w:p w14:paraId="6EF6003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E733D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$37,265,050</w:t>
            </w:r>
          </w:p>
        </w:tc>
        <w:tc>
          <w:tcPr>
            <w:tcW w:w="1786" w:type="dxa"/>
            <w:noWrap/>
            <w:hideMark/>
          </w:tcPr>
          <w:p w14:paraId="5619E3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$10,148,451</w:t>
            </w:r>
          </w:p>
        </w:tc>
        <w:tc>
          <w:tcPr>
            <w:tcW w:w="901" w:type="dxa"/>
            <w:noWrap/>
            <w:hideMark/>
          </w:tcPr>
          <w:p w14:paraId="3A334B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23.3%</w:t>
            </w:r>
          </w:p>
        </w:tc>
        <w:tc>
          <w:tcPr>
            <w:tcW w:w="1374" w:type="dxa"/>
            <w:noWrap/>
            <w:hideMark/>
          </w:tcPr>
          <w:p w14:paraId="5CD733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27.2%</w:t>
            </w:r>
          </w:p>
        </w:tc>
        <w:tc>
          <w:tcPr>
            <w:tcW w:w="1602" w:type="dxa"/>
            <w:noWrap/>
            <w:hideMark/>
          </w:tcPr>
          <w:p w14:paraId="46DE58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$1,486,137</w:t>
            </w:r>
          </w:p>
        </w:tc>
      </w:tr>
      <w:tr w:rsidR="008C6E34" w:rsidRPr="008C6E34" w14:paraId="632A5C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CB9647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0089</w:t>
            </w:r>
          </w:p>
        </w:tc>
        <w:tc>
          <w:tcPr>
            <w:tcW w:w="2880" w:type="dxa"/>
            <w:noWrap/>
            <w:hideMark/>
          </w:tcPr>
          <w:p w14:paraId="2F5117A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Edgartown</w:t>
            </w:r>
          </w:p>
        </w:tc>
        <w:tc>
          <w:tcPr>
            <w:tcW w:w="1148" w:type="dxa"/>
            <w:noWrap/>
            <w:hideMark/>
          </w:tcPr>
          <w:p w14:paraId="55045DD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391FA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$3,005,079 </w:t>
            </w:r>
          </w:p>
        </w:tc>
        <w:tc>
          <w:tcPr>
            <w:tcW w:w="1786" w:type="dxa"/>
            <w:noWrap/>
            <w:hideMark/>
          </w:tcPr>
          <w:p w14:paraId="3241B7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$379,680 </w:t>
            </w:r>
          </w:p>
        </w:tc>
        <w:tc>
          <w:tcPr>
            <w:tcW w:w="901" w:type="dxa"/>
            <w:noWrap/>
            <w:hideMark/>
          </w:tcPr>
          <w:p w14:paraId="1E243D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F52AC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12.6%</w:t>
            </w:r>
          </w:p>
        </w:tc>
        <w:tc>
          <w:tcPr>
            <w:tcW w:w="1602" w:type="dxa"/>
            <w:noWrap/>
            <w:hideMark/>
          </w:tcPr>
          <w:p w14:paraId="51AA6F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$379,680</w:t>
            </w:r>
          </w:p>
        </w:tc>
        <w:tc>
          <w:tcPr>
            <w:tcW w:w="1264" w:type="dxa"/>
            <w:noWrap/>
            <w:hideMark/>
          </w:tcPr>
          <w:p w14:paraId="12752F0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49B1A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$4,884,681</w:t>
            </w:r>
          </w:p>
        </w:tc>
        <w:tc>
          <w:tcPr>
            <w:tcW w:w="1786" w:type="dxa"/>
            <w:noWrap/>
            <w:hideMark/>
          </w:tcPr>
          <w:p w14:paraId="3D55A3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$854,820</w:t>
            </w:r>
          </w:p>
        </w:tc>
        <w:tc>
          <w:tcPr>
            <w:tcW w:w="901" w:type="dxa"/>
            <w:noWrap/>
            <w:hideMark/>
          </w:tcPr>
          <w:p w14:paraId="1962EC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326A8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7D2DDA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6EFAC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B32ADD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0090</w:t>
            </w:r>
          </w:p>
        </w:tc>
        <w:tc>
          <w:tcPr>
            <w:tcW w:w="2880" w:type="dxa"/>
            <w:noWrap/>
            <w:hideMark/>
          </w:tcPr>
          <w:p w14:paraId="1245070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Egremont</w:t>
            </w:r>
          </w:p>
        </w:tc>
        <w:tc>
          <w:tcPr>
            <w:tcW w:w="1148" w:type="dxa"/>
            <w:noWrap/>
            <w:hideMark/>
          </w:tcPr>
          <w:p w14:paraId="7D2A4D7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AEA86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722866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3022C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5697C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AC809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71CE39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A5332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54BBB5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038E4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1B58E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D15C3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6B7CA8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3C677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0091</w:t>
            </w:r>
          </w:p>
        </w:tc>
        <w:tc>
          <w:tcPr>
            <w:tcW w:w="2880" w:type="dxa"/>
            <w:noWrap/>
            <w:hideMark/>
          </w:tcPr>
          <w:p w14:paraId="6FF6147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Erving</w:t>
            </w:r>
          </w:p>
        </w:tc>
        <w:tc>
          <w:tcPr>
            <w:tcW w:w="1148" w:type="dxa"/>
            <w:noWrap/>
            <w:hideMark/>
          </w:tcPr>
          <w:p w14:paraId="4E7C77E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81145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$1,886,102 </w:t>
            </w:r>
          </w:p>
        </w:tc>
        <w:tc>
          <w:tcPr>
            <w:tcW w:w="1786" w:type="dxa"/>
            <w:noWrap/>
            <w:hideMark/>
          </w:tcPr>
          <w:p w14:paraId="69B410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$283,645 </w:t>
            </w:r>
          </w:p>
        </w:tc>
        <w:tc>
          <w:tcPr>
            <w:tcW w:w="901" w:type="dxa"/>
            <w:noWrap/>
            <w:hideMark/>
          </w:tcPr>
          <w:p w14:paraId="3BDC82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58597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w:t>
            </w:r>
          </w:p>
        </w:tc>
        <w:tc>
          <w:tcPr>
            <w:tcW w:w="1602" w:type="dxa"/>
            <w:noWrap/>
            <w:hideMark/>
          </w:tcPr>
          <w:p w14:paraId="411695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$90,699</w:t>
            </w:r>
          </w:p>
        </w:tc>
        <w:tc>
          <w:tcPr>
            <w:tcW w:w="1264" w:type="dxa"/>
            <w:noWrap/>
            <w:hideMark/>
          </w:tcPr>
          <w:p w14:paraId="1A7D36D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0AE4C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$2,280,809</w:t>
            </w:r>
          </w:p>
        </w:tc>
        <w:tc>
          <w:tcPr>
            <w:tcW w:w="1786" w:type="dxa"/>
            <w:noWrap/>
            <w:hideMark/>
          </w:tcPr>
          <w:p w14:paraId="49BB5A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$471,505</w:t>
            </w:r>
          </w:p>
        </w:tc>
        <w:tc>
          <w:tcPr>
            <w:tcW w:w="901" w:type="dxa"/>
            <w:noWrap/>
            <w:hideMark/>
          </w:tcPr>
          <w:p w14:paraId="3383DB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48383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602" w:type="dxa"/>
            <w:noWrap/>
            <w:hideMark/>
          </w:tcPr>
          <w:p w14:paraId="24499A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$72,363</w:t>
            </w:r>
          </w:p>
        </w:tc>
      </w:tr>
      <w:tr w:rsidR="008C6E34" w:rsidRPr="008C6E34" w14:paraId="0554409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E099B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0092</w:t>
            </w:r>
          </w:p>
        </w:tc>
        <w:tc>
          <w:tcPr>
            <w:tcW w:w="2880" w:type="dxa"/>
            <w:noWrap/>
            <w:hideMark/>
          </w:tcPr>
          <w:p w14:paraId="1A750B8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Essex</w:t>
            </w:r>
          </w:p>
        </w:tc>
        <w:tc>
          <w:tcPr>
            <w:tcW w:w="1148" w:type="dxa"/>
            <w:noWrap/>
            <w:hideMark/>
          </w:tcPr>
          <w:p w14:paraId="1748B11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ABE47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0C7D1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CCD78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1917C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55CA6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E7D5D5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A73B5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540B39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DA5F7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31267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41644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1F01E6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C3EA1B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0093</w:t>
            </w:r>
          </w:p>
        </w:tc>
        <w:tc>
          <w:tcPr>
            <w:tcW w:w="2880" w:type="dxa"/>
            <w:noWrap/>
            <w:hideMark/>
          </w:tcPr>
          <w:p w14:paraId="59CFDB6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Everett</w:t>
            </w:r>
          </w:p>
        </w:tc>
        <w:tc>
          <w:tcPr>
            <w:tcW w:w="1148" w:type="dxa"/>
            <w:noWrap/>
            <w:hideMark/>
          </w:tcPr>
          <w:p w14:paraId="1620CF0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3B39D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$48,207,135 </w:t>
            </w:r>
          </w:p>
        </w:tc>
        <w:tc>
          <w:tcPr>
            <w:tcW w:w="1786" w:type="dxa"/>
            <w:noWrap/>
            <w:hideMark/>
          </w:tcPr>
          <w:p w14:paraId="1CB032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$23,168,687 </w:t>
            </w:r>
          </w:p>
        </w:tc>
        <w:tc>
          <w:tcPr>
            <w:tcW w:w="901" w:type="dxa"/>
            <w:noWrap/>
            <w:hideMark/>
          </w:tcPr>
          <w:p w14:paraId="2E807B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52.2%</w:t>
            </w:r>
          </w:p>
        </w:tc>
        <w:tc>
          <w:tcPr>
            <w:tcW w:w="1374" w:type="dxa"/>
            <w:noWrap/>
            <w:hideMark/>
          </w:tcPr>
          <w:p w14:paraId="121FF0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48.1%</w:t>
            </w:r>
          </w:p>
        </w:tc>
        <w:tc>
          <w:tcPr>
            <w:tcW w:w="1602" w:type="dxa"/>
            <w:noWrap/>
            <w:hideMark/>
          </w:tcPr>
          <w:p w14:paraId="6E4E7C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40F73B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FD633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$105,617,503</w:t>
            </w:r>
          </w:p>
        </w:tc>
        <w:tc>
          <w:tcPr>
            <w:tcW w:w="1786" w:type="dxa"/>
            <w:noWrap/>
            <w:hideMark/>
          </w:tcPr>
          <w:p w14:paraId="077FCC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$75,001,709</w:t>
            </w:r>
          </w:p>
        </w:tc>
        <w:tc>
          <w:tcPr>
            <w:tcW w:w="901" w:type="dxa"/>
            <w:noWrap/>
            <w:hideMark/>
          </w:tcPr>
          <w:p w14:paraId="4CD6B2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67.7%</w:t>
            </w:r>
          </w:p>
        </w:tc>
        <w:tc>
          <w:tcPr>
            <w:tcW w:w="1374" w:type="dxa"/>
            <w:noWrap/>
            <w:hideMark/>
          </w:tcPr>
          <w:p w14:paraId="638540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71.0%</w:t>
            </w:r>
          </w:p>
        </w:tc>
        <w:tc>
          <w:tcPr>
            <w:tcW w:w="1602" w:type="dxa"/>
            <w:noWrap/>
            <w:hideMark/>
          </w:tcPr>
          <w:p w14:paraId="0A008B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2D49C5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3CAE2D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0094</w:t>
            </w:r>
          </w:p>
        </w:tc>
        <w:tc>
          <w:tcPr>
            <w:tcW w:w="2880" w:type="dxa"/>
            <w:noWrap/>
            <w:hideMark/>
          </w:tcPr>
          <w:p w14:paraId="196CCC9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Fairhaven</w:t>
            </w:r>
          </w:p>
        </w:tc>
        <w:tc>
          <w:tcPr>
            <w:tcW w:w="1148" w:type="dxa"/>
            <w:noWrap/>
            <w:hideMark/>
          </w:tcPr>
          <w:p w14:paraId="7DF0793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D6729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$16,146,316 </w:t>
            </w:r>
          </w:p>
        </w:tc>
        <w:tc>
          <w:tcPr>
            <w:tcW w:w="1786" w:type="dxa"/>
            <w:noWrap/>
            <w:hideMark/>
          </w:tcPr>
          <w:p w14:paraId="499F55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$7,147,073 </w:t>
            </w:r>
          </w:p>
        </w:tc>
        <w:tc>
          <w:tcPr>
            <w:tcW w:w="901" w:type="dxa"/>
            <w:noWrap/>
            <w:hideMark/>
          </w:tcPr>
          <w:p w14:paraId="009498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43.8%</w:t>
            </w:r>
          </w:p>
        </w:tc>
        <w:tc>
          <w:tcPr>
            <w:tcW w:w="1374" w:type="dxa"/>
            <w:noWrap/>
            <w:hideMark/>
          </w:tcPr>
          <w:p w14:paraId="5FACA8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w:t>
            </w:r>
          </w:p>
        </w:tc>
        <w:tc>
          <w:tcPr>
            <w:tcW w:w="1602" w:type="dxa"/>
            <w:noWrap/>
            <w:hideMark/>
          </w:tcPr>
          <w:p w14:paraId="7DBB6E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A819E9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9AEAF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$20,489,575</w:t>
            </w:r>
          </w:p>
        </w:tc>
        <w:tc>
          <w:tcPr>
            <w:tcW w:w="1786" w:type="dxa"/>
            <w:noWrap/>
            <w:hideMark/>
          </w:tcPr>
          <w:p w14:paraId="3D83F9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$8,156,470</w:t>
            </w:r>
          </w:p>
        </w:tc>
        <w:tc>
          <w:tcPr>
            <w:tcW w:w="901" w:type="dxa"/>
            <w:noWrap/>
            <w:hideMark/>
          </w:tcPr>
          <w:p w14:paraId="0B175D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w:t>
            </w:r>
          </w:p>
        </w:tc>
        <w:tc>
          <w:tcPr>
            <w:tcW w:w="1374" w:type="dxa"/>
            <w:noWrap/>
            <w:hideMark/>
          </w:tcPr>
          <w:p w14:paraId="1A68DD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39.8%</w:t>
            </w:r>
          </w:p>
        </w:tc>
        <w:tc>
          <w:tcPr>
            <w:tcW w:w="1602" w:type="dxa"/>
            <w:noWrap/>
            <w:hideMark/>
          </w:tcPr>
          <w:p w14:paraId="440BC6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3FA451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17EF20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0095</w:t>
            </w:r>
          </w:p>
        </w:tc>
        <w:tc>
          <w:tcPr>
            <w:tcW w:w="2880" w:type="dxa"/>
            <w:noWrap/>
            <w:hideMark/>
          </w:tcPr>
          <w:p w14:paraId="7E18AFE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Fall River</w:t>
            </w:r>
          </w:p>
        </w:tc>
        <w:tc>
          <w:tcPr>
            <w:tcW w:w="1148" w:type="dxa"/>
            <w:noWrap/>
            <w:hideMark/>
          </w:tcPr>
          <w:p w14:paraId="1420AF8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4F96F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$104,481,871 </w:t>
            </w:r>
          </w:p>
        </w:tc>
        <w:tc>
          <w:tcPr>
            <w:tcW w:w="1786" w:type="dxa"/>
            <w:noWrap/>
            <w:hideMark/>
          </w:tcPr>
          <w:p w14:paraId="302EF6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$90,065,583 </w:t>
            </w:r>
          </w:p>
        </w:tc>
        <w:tc>
          <w:tcPr>
            <w:tcW w:w="901" w:type="dxa"/>
            <w:noWrap/>
            <w:hideMark/>
          </w:tcPr>
          <w:p w14:paraId="14AC87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70.5%</w:t>
            </w:r>
          </w:p>
        </w:tc>
        <w:tc>
          <w:tcPr>
            <w:tcW w:w="1374" w:type="dxa"/>
            <w:noWrap/>
            <w:hideMark/>
          </w:tcPr>
          <w:p w14:paraId="39D605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86.2%</w:t>
            </w:r>
          </w:p>
        </w:tc>
        <w:tc>
          <w:tcPr>
            <w:tcW w:w="1602" w:type="dxa"/>
            <w:noWrap/>
            <w:hideMark/>
          </w:tcPr>
          <w:p w14:paraId="628D74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$430,728</w:t>
            </w:r>
          </w:p>
        </w:tc>
        <w:tc>
          <w:tcPr>
            <w:tcW w:w="1264" w:type="dxa"/>
            <w:noWrap/>
            <w:hideMark/>
          </w:tcPr>
          <w:p w14:paraId="67C4FB8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AF388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$162,111,259</w:t>
            </w:r>
          </w:p>
        </w:tc>
        <w:tc>
          <w:tcPr>
            <w:tcW w:w="1786" w:type="dxa"/>
            <w:noWrap/>
            <w:hideMark/>
          </w:tcPr>
          <w:p w14:paraId="3BD895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$130,926,689</w:t>
            </w:r>
          </w:p>
        </w:tc>
        <w:tc>
          <w:tcPr>
            <w:tcW w:w="901" w:type="dxa"/>
            <w:noWrap/>
            <w:hideMark/>
          </w:tcPr>
          <w:p w14:paraId="7EF60D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76.8%</w:t>
            </w:r>
          </w:p>
        </w:tc>
        <w:tc>
          <w:tcPr>
            <w:tcW w:w="1374" w:type="dxa"/>
            <w:noWrap/>
            <w:hideMark/>
          </w:tcPr>
          <w:p w14:paraId="405E2E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80.8%</w:t>
            </w:r>
          </w:p>
        </w:tc>
        <w:tc>
          <w:tcPr>
            <w:tcW w:w="1602" w:type="dxa"/>
            <w:noWrap/>
            <w:hideMark/>
          </w:tcPr>
          <w:p w14:paraId="782F27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A103FB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33A3B4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0096</w:t>
            </w:r>
          </w:p>
        </w:tc>
        <w:tc>
          <w:tcPr>
            <w:tcW w:w="2880" w:type="dxa"/>
            <w:noWrap/>
            <w:hideMark/>
          </w:tcPr>
          <w:p w14:paraId="1C01198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Falmouth</w:t>
            </w:r>
          </w:p>
        </w:tc>
        <w:tc>
          <w:tcPr>
            <w:tcW w:w="1148" w:type="dxa"/>
            <w:noWrap/>
            <w:hideMark/>
          </w:tcPr>
          <w:p w14:paraId="713CA73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EE776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$31,282,682 </w:t>
            </w:r>
          </w:p>
        </w:tc>
        <w:tc>
          <w:tcPr>
            <w:tcW w:w="1786" w:type="dxa"/>
            <w:noWrap/>
            <w:hideMark/>
          </w:tcPr>
          <w:p w14:paraId="50B2E8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$4,646,659 </w:t>
            </w:r>
          </w:p>
        </w:tc>
        <w:tc>
          <w:tcPr>
            <w:tcW w:w="901" w:type="dxa"/>
            <w:noWrap/>
            <w:hideMark/>
          </w:tcPr>
          <w:p w14:paraId="7A80FB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12F0E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14.9%</w:t>
            </w:r>
          </w:p>
        </w:tc>
        <w:tc>
          <w:tcPr>
            <w:tcW w:w="1602" w:type="dxa"/>
            <w:noWrap/>
            <w:hideMark/>
          </w:tcPr>
          <w:p w14:paraId="454A86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$4,646,659</w:t>
            </w:r>
          </w:p>
        </w:tc>
        <w:tc>
          <w:tcPr>
            <w:tcW w:w="1264" w:type="dxa"/>
            <w:noWrap/>
            <w:hideMark/>
          </w:tcPr>
          <w:p w14:paraId="5725408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B2A40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$38,230,736</w:t>
            </w:r>
          </w:p>
        </w:tc>
        <w:tc>
          <w:tcPr>
            <w:tcW w:w="1786" w:type="dxa"/>
            <w:noWrap/>
            <w:hideMark/>
          </w:tcPr>
          <w:p w14:paraId="2F031C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$6,780,099</w:t>
            </w:r>
          </w:p>
        </w:tc>
        <w:tc>
          <w:tcPr>
            <w:tcW w:w="901" w:type="dxa"/>
            <w:noWrap/>
            <w:hideMark/>
          </w:tcPr>
          <w:p w14:paraId="256F2C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4FCB2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w:t>
            </w:r>
          </w:p>
        </w:tc>
        <w:tc>
          <w:tcPr>
            <w:tcW w:w="1602" w:type="dxa"/>
            <w:noWrap/>
            <w:hideMark/>
          </w:tcPr>
          <w:p w14:paraId="5D51E6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31F70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C68D88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0097</w:t>
            </w:r>
          </w:p>
        </w:tc>
        <w:tc>
          <w:tcPr>
            <w:tcW w:w="2880" w:type="dxa"/>
            <w:noWrap/>
            <w:hideMark/>
          </w:tcPr>
          <w:p w14:paraId="6D484BD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Fitchburg</w:t>
            </w:r>
          </w:p>
        </w:tc>
        <w:tc>
          <w:tcPr>
            <w:tcW w:w="1148" w:type="dxa"/>
            <w:noWrap/>
            <w:hideMark/>
          </w:tcPr>
          <w:p w14:paraId="0993A22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FBF5F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$52,232,260 </w:t>
            </w:r>
          </w:p>
        </w:tc>
        <w:tc>
          <w:tcPr>
            <w:tcW w:w="1786" w:type="dxa"/>
            <w:noWrap/>
            <w:hideMark/>
          </w:tcPr>
          <w:p w14:paraId="6BC700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$38,857,303 </w:t>
            </w:r>
          </w:p>
        </w:tc>
        <w:tc>
          <w:tcPr>
            <w:tcW w:w="901" w:type="dxa"/>
            <w:noWrap/>
            <w:hideMark/>
          </w:tcPr>
          <w:p w14:paraId="4C741A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71.4%</w:t>
            </w:r>
          </w:p>
        </w:tc>
        <w:tc>
          <w:tcPr>
            <w:tcW w:w="1374" w:type="dxa"/>
            <w:noWrap/>
            <w:hideMark/>
          </w:tcPr>
          <w:p w14:paraId="1D359A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74.4%</w:t>
            </w:r>
          </w:p>
        </w:tc>
        <w:tc>
          <w:tcPr>
            <w:tcW w:w="1602" w:type="dxa"/>
            <w:noWrap/>
            <w:hideMark/>
          </w:tcPr>
          <w:p w14:paraId="2C7F3F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$127,474</w:t>
            </w:r>
          </w:p>
        </w:tc>
        <w:tc>
          <w:tcPr>
            <w:tcW w:w="1264" w:type="dxa"/>
            <w:noWrap/>
            <w:hideMark/>
          </w:tcPr>
          <w:p w14:paraId="28A2942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019E8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$75,293,069</w:t>
            </w:r>
          </w:p>
        </w:tc>
        <w:tc>
          <w:tcPr>
            <w:tcW w:w="1786" w:type="dxa"/>
            <w:noWrap/>
            <w:hideMark/>
          </w:tcPr>
          <w:p w14:paraId="7CF250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$56,693,907</w:t>
            </w:r>
          </w:p>
        </w:tc>
        <w:tc>
          <w:tcPr>
            <w:tcW w:w="901" w:type="dxa"/>
            <w:noWrap/>
            <w:hideMark/>
          </w:tcPr>
          <w:p w14:paraId="77187F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75.0%</w:t>
            </w:r>
          </w:p>
        </w:tc>
        <w:tc>
          <w:tcPr>
            <w:tcW w:w="1374" w:type="dxa"/>
            <w:noWrap/>
            <w:hideMark/>
          </w:tcPr>
          <w:p w14:paraId="01D4B8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75.3%</w:t>
            </w:r>
          </w:p>
        </w:tc>
        <w:tc>
          <w:tcPr>
            <w:tcW w:w="1602" w:type="dxa"/>
            <w:noWrap/>
            <w:hideMark/>
          </w:tcPr>
          <w:p w14:paraId="58A37D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303FDC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82CF09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0098</w:t>
            </w:r>
          </w:p>
        </w:tc>
        <w:tc>
          <w:tcPr>
            <w:tcW w:w="2880" w:type="dxa"/>
            <w:noWrap/>
            <w:hideMark/>
          </w:tcPr>
          <w:p w14:paraId="2F15B86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Florida</w:t>
            </w:r>
          </w:p>
        </w:tc>
        <w:tc>
          <w:tcPr>
            <w:tcW w:w="1148" w:type="dxa"/>
            <w:noWrap/>
            <w:hideMark/>
          </w:tcPr>
          <w:p w14:paraId="6F4F229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9EE4A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$831,136 </w:t>
            </w:r>
          </w:p>
        </w:tc>
        <w:tc>
          <w:tcPr>
            <w:tcW w:w="1786" w:type="dxa"/>
            <w:noWrap/>
            <w:hideMark/>
          </w:tcPr>
          <w:p w14:paraId="55A271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$473,569 </w:t>
            </w:r>
          </w:p>
        </w:tc>
        <w:tc>
          <w:tcPr>
            <w:tcW w:w="901" w:type="dxa"/>
            <w:noWrap/>
            <w:hideMark/>
          </w:tcPr>
          <w:p w14:paraId="53E570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59.1%</w:t>
            </w:r>
          </w:p>
        </w:tc>
        <w:tc>
          <w:tcPr>
            <w:tcW w:w="1374" w:type="dxa"/>
            <w:noWrap/>
            <w:hideMark/>
          </w:tcPr>
          <w:p w14:paraId="241BE6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57.0%</w:t>
            </w:r>
          </w:p>
        </w:tc>
        <w:tc>
          <w:tcPr>
            <w:tcW w:w="1602" w:type="dxa"/>
            <w:noWrap/>
            <w:hideMark/>
          </w:tcPr>
          <w:p w14:paraId="5D5D30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$24,713</w:t>
            </w:r>
          </w:p>
        </w:tc>
        <w:tc>
          <w:tcPr>
            <w:tcW w:w="1264" w:type="dxa"/>
            <w:noWrap/>
            <w:hideMark/>
          </w:tcPr>
          <w:p w14:paraId="5B13720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40B93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$740,255</w:t>
            </w:r>
          </w:p>
        </w:tc>
        <w:tc>
          <w:tcPr>
            <w:tcW w:w="1786" w:type="dxa"/>
            <w:noWrap/>
            <w:hideMark/>
          </w:tcPr>
          <w:p w14:paraId="1B1704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$550,717</w:t>
            </w:r>
          </w:p>
        </w:tc>
        <w:tc>
          <w:tcPr>
            <w:tcW w:w="901" w:type="dxa"/>
            <w:noWrap/>
            <w:hideMark/>
          </w:tcPr>
          <w:p w14:paraId="5D0B8A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40.4%</w:t>
            </w:r>
          </w:p>
        </w:tc>
        <w:tc>
          <w:tcPr>
            <w:tcW w:w="1374" w:type="dxa"/>
            <w:noWrap/>
            <w:hideMark/>
          </w:tcPr>
          <w:p w14:paraId="1EDCB6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74.4%</w:t>
            </w:r>
          </w:p>
        </w:tc>
        <w:tc>
          <w:tcPr>
            <w:tcW w:w="1602" w:type="dxa"/>
            <w:noWrap/>
            <w:hideMark/>
          </w:tcPr>
          <w:p w14:paraId="145EC6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$251,634</w:t>
            </w:r>
          </w:p>
        </w:tc>
      </w:tr>
      <w:tr w:rsidR="008C6E34" w:rsidRPr="008C6E34" w14:paraId="2265CC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B2B5B1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0099</w:t>
            </w:r>
          </w:p>
        </w:tc>
        <w:tc>
          <w:tcPr>
            <w:tcW w:w="2880" w:type="dxa"/>
            <w:noWrap/>
            <w:hideMark/>
          </w:tcPr>
          <w:p w14:paraId="69514F4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Foxborough</w:t>
            </w:r>
          </w:p>
        </w:tc>
        <w:tc>
          <w:tcPr>
            <w:tcW w:w="1148" w:type="dxa"/>
            <w:noWrap/>
            <w:hideMark/>
          </w:tcPr>
          <w:p w14:paraId="6F5A2D4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188E8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$23,679,618 </w:t>
            </w:r>
          </w:p>
        </w:tc>
        <w:tc>
          <w:tcPr>
            <w:tcW w:w="1786" w:type="dxa"/>
            <w:noWrap/>
            <w:hideMark/>
          </w:tcPr>
          <w:p w14:paraId="2C3DBE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$7,467,990 </w:t>
            </w:r>
          </w:p>
        </w:tc>
        <w:tc>
          <w:tcPr>
            <w:tcW w:w="901" w:type="dxa"/>
            <w:noWrap/>
            <w:hideMark/>
          </w:tcPr>
          <w:p w14:paraId="57C450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34.1%</w:t>
            </w:r>
          </w:p>
        </w:tc>
        <w:tc>
          <w:tcPr>
            <w:tcW w:w="1374" w:type="dxa"/>
            <w:noWrap/>
            <w:hideMark/>
          </w:tcPr>
          <w:p w14:paraId="2161CA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w:t>
            </w:r>
          </w:p>
        </w:tc>
        <w:tc>
          <w:tcPr>
            <w:tcW w:w="1602" w:type="dxa"/>
            <w:noWrap/>
            <w:hideMark/>
          </w:tcPr>
          <w:p w14:paraId="3FA721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9CBB91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7876C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$28,934,003</w:t>
            </w:r>
          </w:p>
        </w:tc>
        <w:tc>
          <w:tcPr>
            <w:tcW w:w="1786" w:type="dxa"/>
            <w:noWrap/>
            <w:hideMark/>
          </w:tcPr>
          <w:p w14:paraId="514B4B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$9,046,950</w:t>
            </w:r>
          </w:p>
        </w:tc>
        <w:tc>
          <w:tcPr>
            <w:tcW w:w="901" w:type="dxa"/>
            <w:noWrap/>
            <w:hideMark/>
          </w:tcPr>
          <w:p w14:paraId="508C47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09E43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31.3%</w:t>
            </w:r>
          </w:p>
        </w:tc>
        <w:tc>
          <w:tcPr>
            <w:tcW w:w="1602" w:type="dxa"/>
            <w:noWrap/>
            <w:hideMark/>
          </w:tcPr>
          <w:p w14:paraId="4299D3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$3,910,328</w:t>
            </w:r>
          </w:p>
        </w:tc>
      </w:tr>
      <w:tr w:rsidR="008C6E34" w:rsidRPr="008C6E34" w14:paraId="613E7DA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65A8AF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0100</w:t>
            </w:r>
          </w:p>
        </w:tc>
        <w:tc>
          <w:tcPr>
            <w:tcW w:w="2880" w:type="dxa"/>
            <w:noWrap/>
            <w:hideMark/>
          </w:tcPr>
          <w:p w14:paraId="4A9146D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Framingham</w:t>
            </w:r>
          </w:p>
        </w:tc>
        <w:tc>
          <w:tcPr>
            <w:tcW w:w="1148" w:type="dxa"/>
            <w:noWrap/>
            <w:hideMark/>
          </w:tcPr>
          <w:p w14:paraId="4258B48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01164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$69,363,563 </w:t>
            </w:r>
          </w:p>
        </w:tc>
        <w:tc>
          <w:tcPr>
            <w:tcW w:w="1786" w:type="dxa"/>
            <w:noWrap/>
            <w:hideMark/>
          </w:tcPr>
          <w:p w14:paraId="163705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$10,628,154 </w:t>
            </w:r>
          </w:p>
        </w:tc>
        <w:tc>
          <w:tcPr>
            <w:tcW w:w="901" w:type="dxa"/>
            <w:noWrap/>
            <w:hideMark/>
          </w:tcPr>
          <w:p w14:paraId="57DFEE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27.4%</w:t>
            </w:r>
          </w:p>
        </w:tc>
        <w:tc>
          <w:tcPr>
            <w:tcW w:w="1374" w:type="dxa"/>
            <w:noWrap/>
            <w:hideMark/>
          </w:tcPr>
          <w:p w14:paraId="44C68A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15.3%</w:t>
            </w:r>
          </w:p>
        </w:tc>
        <w:tc>
          <w:tcPr>
            <w:tcW w:w="1602" w:type="dxa"/>
            <w:noWrap/>
            <w:hideMark/>
          </w:tcPr>
          <w:p w14:paraId="0FC760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$2,892,245</w:t>
            </w:r>
          </w:p>
        </w:tc>
        <w:tc>
          <w:tcPr>
            <w:tcW w:w="1264" w:type="dxa"/>
            <w:noWrap/>
            <w:hideMark/>
          </w:tcPr>
          <w:p w14:paraId="6ED822E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4C0FB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$114,246,010</w:t>
            </w:r>
          </w:p>
        </w:tc>
        <w:tc>
          <w:tcPr>
            <w:tcW w:w="1786" w:type="dxa"/>
            <w:noWrap/>
            <w:hideMark/>
          </w:tcPr>
          <w:p w14:paraId="2A80EF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$50,962,180</w:t>
            </w:r>
          </w:p>
        </w:tc>
        <w:tc>
          <w:tcPr>
            <w:tcW w:w="901" w:type="dxa"/>
            <w:noWrap/>
            <w:hideMark/>
          </w:tcPr>
          <w:p w14:paraId="2F666B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42.8%</w:t>
            </w:r>
          </w:p>
        </w:tc>
        <w:tc>
          <w:tcPr>
            <w:tcW w:w="1374" w:type="dxa"/>
            <w:noWrap/>
            <w:hideMark/>
          </w:tcPr>
          <w:p w14:paraId="0732EE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44.6%</w:t>
            </w:r>
          </w:p>
        </w:tc>
        <w:tc>
          <w:tcPr>
            <w:tcW w:w="1602" w:type="dxa"/>
            <w:noWrap/>
            <w:hideMark/>
          </w:tcPr>
          <w:p w14:paraId="47E2C2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A43EF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567275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0101</w:t>
            </w:r>
          </w:p>
        </w:tc>
        <w:tc>
          <w:tcPr>
            <w:tcW w:w="2880" w:type="dxa"/>
            <w:noWrap/>
            <w:hideMark/>
          </w:tcPr>
          <w:p w14:paraId="515D0CD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Franklin</w:t>
            </w:r>
          </w:p>
        </w:tc>
        <w:tc>
          <w:tcPr>
            <w:tcW w:w="1148" w:type="dxa"/>
            <w:noWrap/>
            <w:hideMark/>
          </w:tcPr>
          <w:p w14:paraId="79C39FC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0D65E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$48,378,503 </w:t>
            </w:r>
          </w:p>
        </w:tc>
        <w:tc>
          <w:tcPr>
            <w:tcW w:w="1786" w:type="dxa"/>
            <w:noWrap/>
            <w:hideMark/>
          </w:tcPr>
          <w:p w14:paraId="1AFAFF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$25,494,597 </w:t>
            </w:r>
          </w:p>
        </w:tc>
        <w:tc>
          <w:tcPr>
            <w:tcW w:w="901" w:type="dxa"/>
            <w:noWrap/>
            <w:hideMark/>
          </w:tcPr>
          <w:p w14:paraId="2A2B4D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43.8%</w:t>
            </w:r>
          </w:p>
        </w:tc>
        <w:tc>
          <w:tcPr>
            <w:tcW w:w="1374" w:type="dxa"/>
            <w:noWrap/>
            <w:hideMark/>
          </w:tcPr>
          <w:p w14:paraId="5A368F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52.7%</w:t>
            </w:r>
          </w:p>
        </w:tc>
        <w:tc>
          <w:tcPr>
            <w:tcW w:w="1602" w:type="dxa"/>
            <w:noWrap/>
            <w:hideMark/>
          </w:tcPr>
          <w:p w14:paraId="7A2C4E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0BE5B6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1C430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$59,674,984</w:t>
            </w:r>
          </w:p>
        </w:tc>
        <w:tc>
          <w:tcPr>
            <w:tcW w:w="1786" w:type="dxa"/>
            <w:noWrap/>
            <w:hideMark/>
          </w:tcPr>
          <w:p w14:paraId="0E832C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$28,416,161</w:t>
            </w:r>
          </w:p>
        </w:tc>
        <w:tc>
          <w:tcPr>
            <w:tcW w:w="901" w:type="dxa"/>
            <w:noWrap/>
            <w:hideMark/>
          </w:tcPr>
          <w:p w14:paraId="59448A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w:t>
            </w:r>
          </w:p>
        </w:tc>
        <w:tc>
          <w:tcPr>
            <w:tcW w:w="1374" w:type="dxa"/>
            <w:noWrap/>
            <w:hideMark/>
          </w:tcPr>
          <w:p w14:paraId="358264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47.6%</w:t>
            </w:r>
          </w:p>
        </w:tc>
        <w:tc>
          <w:tcPr>
            <w:tcW w:w="1602" w:type="dxa"/>
            <w:noWrap/>
            <w:hideMark/>
          </w:tcPr>
          <w:p w14:paraId="664759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$8,829,988</w:t>
            </w:r>
          </w:p>
        </w:tc>
      </w:tr>
      <w:tr w:rsidR="008C6E34" w:rsidRPr="008C6E34" w14:paraId="16D860A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B5693A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0102</w:t>
            </w:r>
          </w:p>
        </w:tc>
        <w:tc>
          <w:tcPr>
            <w:tcW w:w="2880" w:type="dxa"/>
            <w:noWrap/>
            <w:hideMark/>
          </w:tcPr>
          <w:p w14:paraId="436A823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Freetown</w:t>
            </w:r>
          </w:p>
        </w:tc>
        <w:tc>
          <w:tcPr>
            <w:tcW w:w="1148" w:type="dxa"/>
            <w:noWrap/>
            <w:hideMark/>
          </w:tcPr>
          <w:p w14:paraId="68128C9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AA751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$4,507,080 </w:t>
            </w:r>
          </w:p>
        </w:tc>
        <w:tc>
          <w:tcPr>
            <w:tcW w:w="1786" w:type="dxa"/>
            <w:noWrap/>
            <w:hideMark/>
          </w:tcPr>
          <w:p w14:paraId="6FF11F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$1,236,264 </w:t>
            </w:r>
          </w:p>
        </w:tc>
        <w:tc>
          <w:tcPr>
            <w:tcW w:w="901" w:type="dxa"/>
            <w:noWrap/>
            <w:hideMark/>
          </w:tcPr>
          <w:p w14:paraId="104083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36.3%</w:t>
            </w:r>
          </w:p>
        </w:tc>
        <w:tc>
          <w:tcPr>
            <w:tcW w:w="1374" w:type="dxa"/>
            <w:noWrap/>
            <w:hideMark/>
          </w:tcPr>
          <w:p w14:paraId="16082A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27.4%</w:t>
            </w:r>
          </w:p>
        </w:tc>
        <w:tc>
          <w:tcPr>
            <w:tcW w:w="1602" w:type="dxa"/>
            <w:noWrap/>
            <w:hideMark/>
          </w:tcPr>
          <w:p w14:paraId="5250D3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1BE1ED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5B245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$1,402,131</w:t>
            </w:r>
          </w:p>
        </w:tc>
        <w:tc>
          <w:tcPr>
            <w:tcW w:w="1786" w:type="dxa"/>
            <w:noWrap/>
            <w:hideMark/>
          </w:tcPr>
          <w:p w14:paraId="531B2A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$459,454</w:t>
            </w:r>
          </w:p>
        </w:tc>
        <w:tc>
          <w:tcPr>
            <w:tcW w:w="901" w:type="dxa"/>
            <w:noWrap/>
            <w:hideMark/>
          </w:tcPr>
          <w:p w14:paraId="544D43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w:t>
            </w:r>
          </w:p>
        </w:tc>
        <w:tc>
          <w:tcPr>
            <w:tcW w:w="1374" w:type="dxa"/>
            <w:noWrap/>
            <w:hideMark/>
          </w:tcPr>
          <w:p w14:paraId="33343D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32.8%</w:t>
            </w:r>
          </w:p>
        </w:tc>
        <w:tc>
          <w:tcPr>
            <w:tcW w:w="1602" w:type="dxa"/>
            <w:noWrap/>
            <w:hideMark/>
          </w:tcPr>
          <w:p w14:paraId="761821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$738</w:t>
            </w:r>
          </w:p>
        </w:tc>
      </w:tr>
      <w:tr w:rsidR="008C6E34" w:rsidRPr="008C6E34" w14:paraId="79708E6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60084D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0103</w:t>
            </w:r>
          </w:p>
        </w:tc>
        <w:tc>
          <w:tcPr>
            <w:tcW w:w="2880" w:type="dxa"/>
            <w:noWrap/>
            <w:hideMark/>
          </w:tcPr>
          <w:p w14:paraId="5CF5F3D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Gardner</w:t>
            </w:r>
          </w:p>
        </w:tc>
        <w:tc>
          <w:tcPr>
            <w:tcW w:w="1148" w:type="dxa"/>
            <w:noWrap/>
            <w:hideMark/>
          </w:tcPr>
          <w:p w14:paraId="62986BF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C732C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$24,280,380 </w:t>
            </w:r>
          </w:p>
        </w:tc>
        <w:tc>
          <w:tcPr>
            <w:tcW w:w="1786" w:type="dxa"/>
            <w:noWrap/>
            <w:hideMark/>
          </w:tcPr>
          <w:p w14:paraId="39881D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$18,638,594 </w:t>
            </w:r>
          </w:p>
        </w:tc>
        <w:tc>
          <w:tcPr>
            <w:tcW w:w="901" w:type="dxa"/>
            <w:noWrap/>
            <w:hideMark/>
          </w:tcPr>
          <w:p w14:paraId="35D19B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65.1%</w:t>
            </w:r>
          </w:p>
        </w:tc>
        <w:tc>
          <w:tcPr>
            <w:tcW w:w="1374" w:type="dxa"/>
            <w:noWrap/>
            <w:hideMark/>
          </w:tcPr>
          <w:p w14:paraId="4553F9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76.8%</w:t>
            </w:r>
          </w:p>
        </w:tc>
        <w:tc>
          <w:tcPr>
            <w:tcW w:w="1602" w:type="dxa"/>
            <w:noWrap/>
            <w:hideMark/>
          </w:tcPr>
          <w:p w14:paraId="41AA67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$178,242</w:t>
            </w:r>
          </w:p>
        </w:tc>
        <w:tc>
          <w:tcPr>
            <w:tcW w:w="1264" w:type="dxa"/>
            <w:noWrap/>
            <w:hideMark/>
          </w:tcPr>
          <w:p w14:paraId="4148FF1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86FB9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$30,422,249</w:t>
            </w:r>
          </w:p>
        </w:tc>
        <w:tc>
          <w:tcPr>
            <w:tcW w:w="1786" w:type="dxa"/>
            <w:noWrap/>
            <w:hideMark/>
          </w:tcPr>
          <w:p w14:paraId="6134E5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$21,003,460</w:t>
            </w:r>
          </w:p>
        </w:tc>
        <w:tc>
          <w:tcPr>
            <w:tcW w:w="901" w:type="dxa"/>
            <w:noWrap/>
            <w:hideMark/>
          </w:tcPr>
          <w:p w14:paraId="454C53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68.2%</w:t>
            </w:r>
          </w:p>
        </w:tc>
        <w:tc>
          <w:tcPr>
            <w:tcW w:w="1374" w:type="dxa"/>
            <w:noWrap/>
            <w:hideMark/>
          </w:tcPr>
          <w:p w14:paraId="1C2FCB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69.0%</w:t>
            </w:r>
          </w:p>
        </w:tc>
        <w:tc>
          <w:tcPr>
            <w:tcW w:w="1602" w:type="dxa"/>
            <w:noWrap/>
            <w:hideMark/>
          </w:tcPr>
          <w:p w14:paraId="70A4B2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F2D05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E13E5B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0104</w:t>
            </w:r>
          </w:p>
        </w:tc>
        <w:tc>
          <w:tcPr>
            <w:tcW w:w="2880" w:type="dxa"/>
            <w:noWrap/>
            <w:hideMark/>
          </w:tcPr>
          <w:p w14:paraId="0C5FED9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Aquinnah</w:t>
            </w:r>
          </w:p>
        </w:tc>
        <w:tc>
          <w:tcPr>
            <w:tcW w:w="1148" w:type="dxa"/>
            <w:noWrap/>
            <w:hideMark/>
          </w:tcPr>
          <w:p w14:paraId="572B043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84E63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23C35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AD9BE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E731D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135F6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E357C9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4FACB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45E1B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95F94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2CCDF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8B47D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85816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D4A330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0105</w:t>
            </w:r>
          </w:p>
        </w:tc>
        <w:tc>
          <w:tcPr>
            <w:tcW w:w="2880" w:type="dxa"/>
            <w:noWrap/>
            <w:hideMark/>
          </w:tcPr>
          <w:p w14:paraId="0293DDF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Georgetown</w:t>
            </w:r>
          </w:p>
        </w:tc>
        <w:tc>
          <w:tcPr>
            <w:tcW w:w="1148" w:type="dxa"/>
            <w:noWrap/>
            <w:hideMark/>
          </w:tcPr>
          <w:p w14:paraId="7DB751C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CCA16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$11,110,810 </w:t>
            </w:r>
          </w:p>
        </w:tc>
        <w:tc>
          <w:tcPr>
            <w:tcW w:w="1786" w:type="dxa"/>
            <w:noWrap/>
            <w:hideMark/>
          </w:tcPr>
          <w:p w14:paraId="6FBE61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$4,067,937 </w:t>
            </w:r>
          </w:p>
        </w:tc>
        <w:tc>
          <w:tcPr>
            <w:tcW w:w="901" w:type="dxa"/>
            <w:noWrap/>
            <w:hideMark/>
          </w:tcPr>
          <w:p w14:paraId="75AC49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34.7%</w:t>
            </w:r>
          </w:p>
        </w:tc>
        <w:tc>
          <w:tcPr>
            <w:tcW w:w="1374" w:type="dxa"/>
            <w:noWrap/>
            <w:hideMark/>
          </w:tcPr>
          <w:p w14:paraId="6D98D2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36.6%</w:t>
            </w:r>
          </w:p>
        </w:tc>
        <w:tc>
          <w:tcPr>
            <w:tcW w:w="1602" w:type="dxa"/>
            <w:noWrap/>
            <w:hideMark/>
          </w:tcPr>
          <w:p w14:paraId="1AC427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22365F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30AD3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$13,380,030</w:t>
            </w:r>
          </w:p>
        </w:tc>
        <w:tc>
          <w:tcPr>
            <w:tcW w:w="1786" w:type="dxa"/>
            <w:noWrap/>
            <w:hideMark/>
          </w:tcPr>
          <w:p w14:paraId="61656B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$5,527,768</w:t>
            </w:r>
          </w:p>
        </w:tc>
        <w:tc>
          <w:tcPr>
            <w:tcW w:w="901" w:type="dxa"/>
            <w:noWrap/>
            <w:hideMark/>
          </w:tcPr>
          <w:p w14:paraId="0AD542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21.3%</w:t>
            </w:r>
          </w:p>
        </w:tc>
        <w:tc>
          <w:tcPr>
            <w:tcW w:w="1374" w:type="dxa"/>
            <w:noWrap/>
            <w:hideMark/>
          </w:tcPr>
          <w:p w14:paraId="325D6A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41.3%</w:t>
            </w:r>
          </w:p>
        </w:tc>
        <w:tc>
          <w:tcPr>
            <w:tcW w:w="1602" w:type="dxa"/>
            <w:noWrap/>
            <w:hideMark/>
          </w:tcPr>
          <w:p w14:paraId="44CD70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$2,452,909</w:t>
            </w:r>
          </w:p>
        </w:tc>
      </w:tr>
      <w:tr w:rsidR="008C6E34" w:rsidRPr="008C6E34" w14:paraId="79897D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667D32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0106</w:t>
            </w:r>
          </w:p>
        </w:tc>
        <w:tc>
          <w:tcPr>
            <w:tcW w:w="2880" w:type="dxa"/>
            <w:noWrap/>
            <w:hideMark/>
          </w:tcPr>
          <w:p w14:paraId="581B9A3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Gill</w:t>
            </w:r>
          </w:p>
        </w:tc>
        <w:tc>
          <w:tcPr>
            <w:tcW w:w="1148" w:type="dxa"/>
            <w:noWrap/>
            <w:hideMark/>
          </w:tcPr>
          <w:p w14:paraId="35F8FC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C01CB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BF4E4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5CEADD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58.2%</w:t>
            </w:r>
          </w:p>
        </w:tc>
        <w:tc>
          <w:tcPr>
            <w:tcW w:w="1374" w:type="dxa"/>
            <w:noWrap/>
            <w:hideMark/>
          </w:tcPr>
          <w:p w14:paraId="394E6C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09450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4D5525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6C505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F6D68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34581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36.6%</w:t>
            </w:r>
          </w:p>
        </w:tc>
        <w:tc>
          <w:tcPr>
            <w:tcW w:w="1374" w:type="dxa"/>
            <w:noWrap/>
            <w:hideMark/>
          </w:tcPr>
          <w:p w14:paraId="2C737C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58D51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AD3858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A41DE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0107</w:t>
            </w:r>
          </w:p>
        </w:tc>
        <w:tc>
          <w:tcPr>
            <w:tcW w:w="2880" w:type="dxa"/>
            <w:noWrap/>
            <w:hideMark/>
          </w:tcPr>
          <w:p w14:paraId="751C70D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Gloucester</w:t>
            </w:r>
          </w:p>
        </w:tc>
        <w:tc>
          <w:tcPr>
            <w:tcW w:w="1148" w:type="dxa"/>
            <w:noWrap/>
            <w:hideMark/>
          </w:tcPr>
          <w:p w14:paraId="5F2222A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B992B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$32,559,972 </w:t>
            </w:r>
          </w:p>
        </w:tc>
        <w:tc>
          <w:tcPr>
            <w:tcW w:w="1786" w:type="dxa"/>
            <w:noWrap/>
            <w:hideMark/>
          </w:tcPr>
          <w:p w14:paraId="7E313E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$5,678,696 </w:t>
            </w:r>
          </w:p>
        </w:tc>
        <w:tc>
          <w:tcPr>
            <w:tcW w:w="901" w:type="dxa"/>
            <w:noWrap/>
            <w:hideMark/>
          </w:tcPr>
          <w:p w14:paraId="42365E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AE2BD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17.4%</w:t>
            </w:r>
          </w:p>
        </w:tc>
        <w:tc>
          <w:tcPr>
            <w:tcW w:w="1602" w:type="dxa"/>
            <w:noWrap/>
            <w:hideMark/>
          </w:tcPr>
          <w:p w14:paraId="277E30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$678,456</w:t>
            </w:r>
          </w:p>
        </w:tc>
        <w:tc>
          <w:tcPr>
            <w:tcW w:w="1264" w:type="dxa"/>
            <w:noWrap/>
            <w:hideMark/>
          </w:tcPr>
          <w:p w14:paraId="2F258FF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F11A0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$37,845,892</w:t>
            </w:r>
          </w:p>
        </w:tc>
        <w:tc>
          <w:tcPr>
            <w:tcW w:w="1786" w:type="dxa"/>
            <w:noWrap/>
            <w:hideMark/>
          </w:tcPr>
          <w:p w14:paraId="7246FB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$6,699,157</w:t>
            </w:r>
          </w:p>
        </w:tc>
        <w:tc>
          <w:tcPr>
            <w:tcW w:w="901" w:type="dxa"/>
            <w:noWrap/>
            <w:hideMark/>
          </w:tcPr>
          <w:p w14:paraId="2837F0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502C1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w:t>
            </w:r>
          </w:p>
        </w:tc>
        <w:tc>
          <w:tcPr>
            <w:tcW w:w="1602" w:type="dxa"/>
            <w:noWrap/>
            <w:hideMark/>
          </w:tcPr>
          <w:p w14:paraId="55B7E4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$22,883</w:t>
            </w:r>
          </w:p>
        </w:tc>
      </w:tr>
      <w:tr w:rsidR="008C6E34" w:rsidRPr="008C6E34" w14:paraId="5F3518E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FB6F31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0108</w:t>
            </w:r>
          </w:p>
        </w:tc>
        <w:tc>
          <w:tcPr>
            <w:tcW w:w="2880" w:type="dxa"/>
            <w:noWrap/>
            <w:hideMark/>
          </w:tcPr>
          <w:p w14:paraId="5899CCF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Goshen</w:t>
            </w:r>
          </w:p>
        </w:tc>
        <w:tc>
          <w:tcPr>
            <w:tcW w:w="1148" w:type="dxa"/>
            <w:noWrap/>
            <w:hideMark/>
          </w:tcPr>
          <w:p w14:paraId="1F5A194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E8937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$97,647 </w:t>
            </w:r>
          </w:p>
        </w:tc>
        <w:tc>
          <w:tcPr>
            <w:tcW w:w="1786" w:type="dxa"/>
            <w:noWrap/>
            <w:hideMark/>
          </w:tcPr>
          <w:p w14:paraId="5113A6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$72,297 </w:t>
            </w:r>
          </w:p>
        </w:tc>
        <w:tc>
          <w:tcPr>
            <w:tcW w:w="901" w:type="dxa"/>
            <w:noWrap/>
            <w:hideMark/>
          </w:tcPr>
          <w:p w14:paraId="79ED36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52.1%</w:t>
            </w:r>
          </w:p>
        </w:tc>
        <w:tc>
          <w:tcPr>
            <w:tcW w:w="1374" w:type="dxa"/>
            <w:noWrap/>
            <w:hideMark/>
          </w:tcPr>
          <w:p w14:paraId="1C4055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74.0%</w:t>
            </w:r>
          </w:p>
        </w:tc>
        <w:tc>
          <w:tcPr>
            <w:tcW w:w="1602" w:type="dxa"/>
            <w:noWrap/>
            <w:hideMark/>
          </w:tcPr>
          <w:p w14:paraId="6B29D1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$38,642</w:t>
            </w:r>
          </w:p>
        </w:tc>
        <w:tc>
          <w:tcPr>
            <w:tcW w:w="1264" w:type="dxa"/>
            <w:noWrap/>
            <w:hideMark/>
          </w:tcPr>
          <w:p w14:paraId="3E69387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5A8F7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$143,718</w:t>
            </w:r>
          </w:p>
        </w:tc>
        <w:tc>
          <w:tcPr>
            <w:tcW w:w="1786" w:type="dxa"/>
            <w:noWrap/>
            <w:hideMark/>
          </w:tcPr>
          <w:p w14:paraId="1E1DF0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$96,111</w:t>
            </w:r>
          </w:p>
        </w:tc>
        <w:tc>
          <w:tcPr>
            <w:tcW w:w="901" w:type="dxa"/>
            <w:noWrap/>
            <w:hideMark/>
          </w:tcPr>
          <w:p w14:paraId="7DADAD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38.8%</w:t>
            </w:r>
          </w:p>
        </w:tc>
        <w:tc>
          <w:tcPr>
            <w:tcW w:w="1374" w:type="dxa"/>
            <w:noWrap/>
            <w:hideMark/>
          </w:tcPr>
          <w:p w14:paraId="0AED38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66.9%</w:t>
            </w:r>
          </w:p>
        </w:tc>
        <w:tc>
          <w:tcPr>
            <w:tcW w:w="1602" w:type="dxa"/>
            <w:noWrap/>
            <w:hideMark/>
          </w:tcPr>
          <w:p w14:paraId="49A1CC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$40,396</w:t>
            </w:r>
          </w:p>
        </w:tc>
      </w:tr>
      <w:tr w:rsidR="008C6E34" w:rsidRPr="008C6E34" w14:paraId="071945E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0947E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0109</w:t>
            </w:r>
          </w:p>
        </w:tc>
        <w:tc>
          <w:tcPr>
            <w:tcW w:w="2880" w:type="dxa"/>
            <w:noWrap/>
            <w:hideMark/>
          </w:tcPr>
          <w:p w14:paraId="66178D8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Gosnold</w:t>
            </w:r>
          </w:p>
        </w:tc>
        <w:tc>
          <w:tcPr>
            <w:tcW w:w="1148" w:type="dxa"/>
            <w:noWrap/>
            <w:hideMark/>
          </w:tcPr>
          <w:p w14:paraId="309C76F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D8D9B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$51,911 </w:t>
            </w:r>
          </w:p>
        </w:tc>
        <w:tc>
          <w:tcPr>
            <w:tcW w:w="1786" w:type="dxa"/>
            <w:noWrap/>
            <w:hideMark/>
          </w:tcPr>
          <w:p w14:paraId="3C9A3E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$16,648 </w:t>
            </w:r>
          </w:p>
        </w:tc>
        <w:tc>
          <w:tcPr>
            <w:tcW w:w="901" w:type="dxa"/>
            <w:noWrap/>
            <w:hideMark/>
          </w:tcPr>
          <w:p w14:paraId="046BCB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66CE3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32.1%</w:t>
            </w:r>
          </w:p>
        </w:tc>
        <w:tc>
          <w:tcPr>
            <w:tcW w:w="1602" w:type="dxa"/>
            <w:noWrap/>
            <w:hideMark/>
          </w:tcPr>
          <w:p w14:paraId="0A6BE1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7B4D88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FE3DE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$28,233</w:t>
            </w:r>
          </w:p>
        </w:tc>
        <w:tc>
          <w:tcPr>
            <w:tcW w:w="1786" w:type="dxa"/>
            <w:noWrap/>
            <w:hideMark/>
          </w:tcPr>
          <w:p w14:paraId="03E93E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$16,414</w:t>
            </w:r>
          </w:p>
        </w:tc>
        <w:tc>
          <w:tcPr>
            <w:tcW w:w="901" w:type="dxa"/>
            <w:noWrap/>
            <w:hideMark/>
          </w:tcPr>
          <w:p w14:paraId="260788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A1449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58.1%</w:t>
            </w:r>
          </w:p>
        </w:tc>
        <w:tc>
          <w:tcPr>
            <w:tcW w:w="1602" w:type="dxa"/>
            <w:noWrap/>
            <w:hideMark/>
          </w:tcPr>
          <w:p w14:paraId="47619E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$11,473</w:t>
            </w:r>
          </w:p>
        </w:tc>
      </w:tr>
      <w:tr w:rsidR="008C6E34" w:rsidRPr="008C6E34" w14:paraId="3D90D8F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F9A934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0110</w:t>
            </w:r>
          </w:p>
        </w:tc>
        <w:tc>
          <w:tcPr>
            <w:tcW w:w="2880" w:type="dxa"/>
            <w:noWrap/>
            <w:hideMark/>
          </w:tcPr>
          <w:p w14:paraId="181173D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Grafton</w:t>
            </w:r>
          </w:p>
        </w:tc>
        <w:tc>
          <w:tcPr>
            <w:tcW w:w="1148" w:type="dxa"/>
            <w:noWrap/>
            <w:hideMark/>
          </w:tcPr>
          <w:p w14:paraId="7095158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67DE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$18,952,992 </w:t>
            </w:r>
          </w:p>
        </w:tc>
        <w:tc>
          <w:tcPr>
            <w:tcW w:w="1786" w:type="dxa"/>
            <w:noWrap/>
            <w:hideMark/>
          </w:tcPr>
          <w:p w14:paraId="05DDCA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$6,583,500 </w:t>
            </w:r>
          </w:p>
        </w:tc>
        <w:tc>
          <w:tcPr>
            <w:tcW w:w="901" w:type="dxa"/>
            <w:noWrap/>
            <w:hideMark/>
          </w:tcPr>
          <w:p w14:paraId="28A237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31.6%</w:t>
            </w:r>
          </w:p>
        </w:tc>
        <w:tc>
          <w:tcPr>
            <w:tcW w:w="1374" w:type="dxa"/>
            <w:noWrap/>
            <w:hideMark/>
          </w:tcPr>
          <w:p w14:paraId="722E8B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34.7%</w:t>
            </w:r>
          </w:p>
        </w:tc>
        <w:tc>
          <w:tcPr>
            <w:tcW w:w="1602" w:type="dxa"/>
            <w:noWrap/>
            <w:hideMark/>
          </w:tcPr>
          <w:p w14:paraId="7EB289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24FF3C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04885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$32,167,051</w:t>
            </w:r>
          </w:p>
        </w:tc>
        <w:tc>
          <w:tcPr>
            <w:tcW w:w="1786" w:type="dxa"/>
            <w:noWrap/>
            <w:hideMark/>
          </w:tcPr>
          <w:p w14:paraId="293DB4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$11,108,735</w:t>
            </w:r>
          </w:p>
        </w:tc>
        <w:tc>
          <w:tcPr>
            <w:tcW w:w="901" w:type="dxa"/>
            <w:noWrap/>
            <w:hideMark/>
          </w:tcPr>
          <w:p w14:paraId="3F319E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w:t>
            </w:r>
          </w:p>
        </w:tc>
        <w:tc>
          <w:tcPr>
            <w:tcW w:w="1374" w:type="dxa"/>
            <w:noWrap/>
            <w:hideMark/>
          </w:tcPr>
          <w:p w14:paraId="6DA817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34.5%</w:t>
            </w:r>
          </w:p>
        </w:tc>
        <w:tc>
          <w:tcPr>
            <w:tcW w:w="1602" w:type="dxa"/>
            <w:noWrap/>
            <w:hideMark/>
          </w:tcPr>
          <w:p w14:paraId="649EDC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$416,016</w:t>
            </w:r>
          </w:p>
        </w:tc>
      </w:tr>
      <w:tr w:rsidR="008C6E34" w:rsidRPr="008C6E34" w14:paraId="667BD58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8E0234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0111</w:t>
            </w:r>
          </w:p>
        </w:tc>
        <w:tc>
          <w:tcPr>
            <w:tcW w:w="2880" w:type="dxa"/>
            <w:noWrap/>
            <w:hideMark/>
          </w:tcPr>
          <w:p w14:paraId="49B6CA7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Granby</w:t>
            </w:r>
          </w:p>
        </w:tc>
        <w:tc>
          <w:tcPr>
            <w:tcW w:w="1148" w:type="dxa"/>
            <w:noWrap/>
            <w:hideMark/>
          </w:tcPr>
          <w:p w14:paraId="0482F9F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FBB9F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$8,086,550 </w:t>
            </w:r>
          </w:p>
        </w:tc>
        <w:tc>
          <w:tcPr>
            <w:tcW w:w="1786" w:type="dxa"/>
            <w:noWrap/>
            <w:hideMark/>
          </w:tcPr>
          <w:p w14:paraId="4BD9D2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$3,818,112 </w:t>
            </w:r>
          </w:p>
        </w:tc>
        <w:tc>
          <w:tcPr>
            <w:tcW w:w="901" w:type="dxa"/>
            <w:noWrap/>
            <w:hideMark/>
          </w:tcPr>
          <w:p w14:paraId="7E6157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55.9%</w:t>
            </w:r>
          </w:p>
        </w:tc>
        <w:tc>
          <w:tcPr>
            <w:tcW w:w="1374" w:type="dxa"/>
            <w:noWrap/>
            <w:hideMark/>
          </w:tcPr>
          <w:p w14:paraId="775933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47.2%</w:t>
            </w:r>
          </w:p>
        </w:tc>
        <w:tc>
          <w:tcPr>
            <w:tcW w:w="1602" w:type="dxa"/>
            <w:noWrap/>
            <w:hideMark/>
          </w:tcPr>
          <w:p w14:paraId="340F43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8AF13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F78D0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$7,816,401</w:t>
            </w:r>
          </w:p>
        </w:tc>
        <w:tc>
          <w:tcPr>
            <w:tcW w:w="1786" w:type="dxa"/>
            <w:noWrap/>
            <w:hideMark/>
          </w:tcPr>
          <w:p w14:paraId="58E94E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$4,664,780</w:t>
            </w:r>
          </w:p>
        </w:tc>
        <w:tc>
          <w:tcPr>
            <w:tcW w:w="901" w:type="dxa"/>
            <w:noWrap/>
            <w:hideMark/>
          </w:tcPr>
          <w:p w14:paraId="0974F7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36.0%</w:t>
            </w:r>
          </w:p>
        </w:tc>
        <w:tc>
          <w:tcPr>
            <w:tcW w:w="1374" w:type="dxa"/>
            <w:noWrap/>
            <w:hideMark/>
          </w:tcPr>
          <w:p w14:paraId="674EF2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59.7%</w:t>
            </w:r>
          </w:p>
        </w:tc>
        <w:tc>
          <w:tcPr>
            <w:tcW w:w="1602" w:type="dxa"/>
            <w:noWrap/>
            <w:hideMark/>
          </w:tcPr>
          <w:p w14:paraId="5AB82B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$1,839,033</w:t>
            </w:r>
          </w:p>
        </w:tc>
      </w:tr>
      <w:tr w:rsidR="008C6E34" w:rsidRPr="008C6E34" w14:paraId="14E9864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7BAC53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0112</w:t>
            </w:r>
          </w:p>
        </w:tc>
        <w:tc>
          <w:tcPr>
            <w:tcW w:w="2880" w:type="dxa"/>
            <w:noWrap/>
            <w:hideMark/>
          </w:tcPr>
          <w:p w14:paraId="132C21B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Granville</w:t>
            </w:r>
          </w:p>
        </w:tc>
        <w:tc>
          <w:tcPr>
            <w:tcW w:w="1148" w:type="dxa"/>
            <w:noWrap/>
            <w:hideMark/>
          </w:tcPr>
          <w:p w14:paraId="1F169B2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14A5A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$2,358,065 </w:t>
            </w:r>
          </w:p>
        </w:tc>
        <w:tc>
          <w:tcPr>
            <w:tcW w:w="1786" w:type="dxa"/>
            <w:noWrap/>
            <w:hideMark/>
          </w:tcPr>
          <w:p w14:paraId="5C8DBA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$1,307,669 </w:t>
            </w:r>
          </w:p>
        </w:tc>
        <w:tc>
          <w:tcPr>
            <w:tcW w:w="901" w:type="dxa"/>
            <w:noWrap/>
            <w:hideMark/>
          </w:tcPr>
          <w:p w14:paraId="4429C9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56.5%</w:t>
            </w:r>
          </w:p>
        </w:tc>
        <w:tc>
          <w:tcPr>
            <w:tcW w:w="1374" w:type="dxa"/>
            <w:noWrap/>
            <w:hideMark/>
          </w:tcPr>
          <w:p w14:paraId="12313F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55.5%</w:t>
            </w:r>
          </w:p>
        </w:tc>
        <w:tc>
          <w:tcPr>
            <w:tcW w:w="1602" w:type="dxa"/>
            <w:noWrap/>
            <w:hideMark/>
          </w:tcPr>
          <w:p w14:paraId="064ECE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$135,380</w:t>
            </w:r>
          </w:p>
        </w:tc>
        <w:tc>
          <w:tcPr>
            <w:tcW w:w="1264" w:type="dxa"/>
            <w:noWrap/>
            <w:hideMark/>
          </w:tcPr>
          <w:p w14:paraId="184BF04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44DAB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22A656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624000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23.3%</w:t>
            </w:r>
          </w:p>
        </w:tc>
        <w:tc>
          <w:tcPr>
            <w:tcW w:w="1374" w:type="dxa"/>
            <w:noWrap/>
            <w:hideMark/>
          </w:tcPr>
          <w:p w14:paraId="4C6F38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1DDCC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543C67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DD057A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0113</w:t>
            </w:r>
          </w:p>
        </w:tc>
        <w:tc>
          <w:tcPr>
            <w:tcW w:w="2880" w:type="dxa"/>
            <w:noWrap/>
            <w:hideMark/>
          </w:tcPr>
          <w:p w14:paraId="1CBFC56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Great Barrington</w:t>
            </w:r>
          </w:p>
        </w:tc>
        <w:tc>
          <w:tcPr>
            <w:tcW w:w="1148" w:type="dxa"/>
            <w:noWrap/>
            <w:hideMark/>
          </w:tcPr>
          <w:p w14:paraId="04043C6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18D58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67B1D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0C16F3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78E76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F55D0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A22733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6AC35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79A5F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86109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DA64F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0526D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C65023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421F0C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0114</w:t>
            </w:r>
          </w:p>
        </w:tc>
        <w:tc>
          <w:tcPr>
            <w:tcW w:w="2880" w:type="dxa"/>
            <w:noWrap/>
            <w:hideMark/>
          </w:tcPr>
          <w:p w14:paraId="451E5CC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Greenfield</w:t>
            </w:r>
          </w:p>
        </w:tc>
        <w:tc>
          <w:tcPr>
            <w:tcW w:w="1148" w:type="dxa"/>
            <w:noWrap/>
            <w:hideMark/>
          </w:tcPr>
          <w:p w14:paraId="38D931E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F5B4F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$17,803,364 </w:t>
            </w:r>
          </w:p>
        </w:tc>
        <w:tc>
          <w:tcPr>
            <w:tcW w:w="1786" w:type="dxa"/>
            <w:noWrap/>
            <w:hideMark/>
          </w:tcPr>
          <w:p w14:paraId="6D037F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$9,054,173 </w:t>
            </w:r>
          </w:p>
        </w:tc>
        <w:tc>
          <w:tcPr>
            <w:tcW w:w="901" w:type="dxa"/>
            <w:noWrap/>
            <w:hideMark/>
          </w:tcPr>
          <w:p w14:paraId="3A4185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58.1%</w:t>
            </w:r>
          </w:p>
        </w:tc>
        <w:tc>
          <w:tcPr>
            <w:tcW w:w="1374" w:type="dxa"/>
            <w:noWrap/>
            <w:hideMark/>
          </w:tcPr>
          <w:p w14:paraId="7E9E6B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50.9%</w:t>
            </w:r>
          </w:p>
        </w:tc>
        <w:tc>
          <w:tcPr>
            <w:tcW w:w="1602" w:type="dxa"/>
            <w:noWrap/>
            <w:hideMark/>
          </w:tcPr>
          <w:p w14:paraId="1E9300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$534,633</w:t>
            </w:r>
          </w:p>
        </w:tc>
        <w:tc>
          <w:tcPr>
            <w:tcW w:w="1264" w:type="dxa"/>
            <w:noWrap/>
            <w:hideMark/>
          </w:tcPr>
          <w:p w14:paraId="0894D2F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06DF5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$23,758,804</w:t>
            </w:r>
          </w:p>
        </w:tc>
        <w:tc>
          <w:tcPr>
            <w:tcW w:w="1786" w:type="dxa"/>
            <w:noWrap/>
            <w:hideMark/>
          </w:tcPr>
          <w:p w14:paraId="256DD4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$13,611,355</w:t>
            </w:r>
          </w:p>
        </w:tc>
        <w:tc>
          <w:tcPr>
            <w:tcW w:w="901" w:type="dxa"/>
            <w:noWrap/>
            <w:hideMark/>
          </w:tcPr>
          <w:p w14:paraId="0173AF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57.3%</w:t>
            </w:r>
          </w:p>
        </w:tc>
        <w:tc>
          <w:tcPr>
            <w:tcW w:w="1374" w:type="dxa"/>
            <w:noWrap/>
            <w:hideMark/>
          </w:tcPr>
          <w:p w14:paraId="4E2679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57.3%</w:t>
            </w:r>
          </w:p>
        </w:tc>
        <w:tc>
          <w:tcPr>
            <w:tcW w:w="1602" w:type="dxa"/>
            <w:noWrap/>
            <w:hideMark/>
          </w:tcPr>
          <w:p w14:paraId="351B89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57847D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A132A6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0115</w:t>
            </w:r>
          </w:p>
        </w:tc>
        <w:tc>
          <w:tcPr>
            <w:tcW w:w="2880" w:type="dxa"/>
            <w:noWrap/>
            <w:hideMark/>
          </w:tcPr>
          <w:p w14:paraId="5C4DDE2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Groton</w:t>
            </w:r>
          </w:p>
        </w:tc>
        <w:tc>
          <w:tcPr>
            <w:tcW w:w="1148" w:type="dxa"/>
            <w:noWrap/>
            <w:hideMark/>
          </w:tcPr>
          <w:p w14:paraId="32511F6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D2E1E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D4BCF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00642F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w:t>
            </w:r>
          </w:p>
        </w:tc>
        <w:tc>
          <w:tcPr>
            <w:tcW w:w="1374" w:type="dxa"/>
            <w:noWrap/>
            <w:hideMark/>
          </w:tcPr>
          <w:p w14:paraId="1E795E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13D30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3814A3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20A0D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6C262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A4A91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9CE57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C070C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1E5D6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26826B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0116</w:t>
            </w:r>
          </w:p>
        </w:tc>
        <w:tc>
          <w:tcPr>
            <w:tcW w:w="2880" w:type="dxa"/>
            <w:noWrap/>
            <w:hideMark/>
          </w:tcPr>
          <w:p w14:paraId="50A23C1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Groveland</w:t>
            </w:r>
          </w:p>
        </w:tc>
        <w:tc>
          <w:tcPr>
            <w:tcW w:w="1148" w:type="dxa"/>
            <w:noWrap/>
            <w:hideMark/>
          </w:tcPr>
          <w:p w14:paraId="7AE8BAC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D52AF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78180C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DB29C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w:t>
            </w:r>
          </w:p>
        </w:tc>
        <w:tc>
          <w:tcPr>
            <w:tcW w:w="1374" w:type="dxa"/>
            <w:noWrap/>
            <w:hideMark/>
          </w:tcPr>
          <w:p w14:paraId="582DC4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ED3F6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491A81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2EA03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$185,257</w:t>
            </w:r>
          </w:p>
        </w:tc>
        <w:tc>
          <w:tcPr>
            <w:tcW w:w="1786" w:type="dxa"/>
            <w:noWrap/>
            <w:hideMark/>
          </w:tcPr>
          <w:p w14:paraId="16869F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$65,200</w:t>
            </w:r>
          </w:p>
        </w:tc>
        <w:tc>
          <w:tcPr>
            <w:tcW w:w="901" w:type="dxa"/>
            <w:noWrap/>
            <w:hideMark/>
          </w:tcPr>
          <w:p w14:paraId="45AC04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28.5%</w:t>
            </w:r>
          </w:p>
        </w:tc>
        <w:tc>
          <w:tcPr>
            <w:tcW w:w="1374" w:type="dxa"/>
            <w:noWrap/>
            <w:hideMark/>
          </w:tcPr>
          <w:p w14:paraId="7332F5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35.2%</w:t>
            </w:r>
          </w:p>
        </w:tc>
        <w:tc>
          <w:tcPr>
            <w:tcW w:w="1602" w:type="dxa"/>
            <w:noWrap/>
            <w:hideMark/>
          </w:tcPr>
          <w:p w14:paraId="04F4E4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$11,887</w:t>
            </w:r>
          </w:p>
        </w:tc>
      </w:tr>
      <w:tr w:rsidR="008C6E34" w:rsidRPr="008C6E34" w14:paraId="2F7D40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96699E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0117</w:t>
            </w:r>
          </w:p>
        </w:tc>
        <w:tc>
          <w:tcPr>
            <w:tcW w:w="2880" w:type="dxa"/>
            <w:noWrap/>
            <w:hideMark/>
          </w:tcPr>
          <w:p w14:paraId="602A0E9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Hadley</w:t>
            </w:r>
          </w:p>
        </w:tc>
        <w:tc>
          <w:tcPr>
            <w:tcW w:w="1148" w:type="dxa"/>
            <w:noWrap/>
            <w:hideMark/>
          </w:tcPr>
          <w:p w14:paraId="487EF6D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9CFBE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$4,764,269 </w:t>
            </w:r>
          </w:p>
        </w:tc>
        <w:tc>
          <w:tcPr>
            <w:tcW w:w="1786" w:type="dxa"/>
            <w:noWrap/>
            <w:hideMark/>
          </w:tcPr>
          <w:p w14:paraId="41BB5B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$667,691 </w:t>
            </w:r>
          </w:p>
        </w:tc>
        <w:tc>
          <w:tcPr>
            <w:tcW w:w="901" w:type="dxa"/>
            <w:noWrap/>
            <w:hideMark/>
          </w:tcPr>
          <w:p w14:paraId="4BB623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57AB9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14.0%</w:t>
            </w:r>
          </w:p>
        </w:tc>
        <w:tc>
          <w:tcPr>
            <w:tcW w:w="1602" w:type="dxa"/>
            <w:noWrap/>
            <w:hideMark/>
          </w:tcPr>
          <w:p w14:paraId="703CDB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$667,691</w:t>
            </w:r>
          </w:p>
        </w:tc>
        <w:tc>
          <w:tcPr>
            <w:tcW w:w="1264" w:type="dxa"/>
            <w:noWrap/>
            <w:hideMark/>
          </w:tcPr>
          <w:p w14:paraId="69B4DC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A6EA8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$6,230,654</w:t>
            </w:r>
          </w:p>
        </w:tc>
        <w:tc>
          <w:tcPr>
            <w:tcW w:w="1786" w:type="dxa"/>
            <w:noWrap/>
            <w:hideMark/>
          </w:tcPr>
          <w:p w14:paraId="623772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$1,279,420</w:t>
            </w:r>
          </w:p>
        </w:tc>
        <w:tc>
          <w:tcPr>
            <w:tcW w:w="901" w:type="dxa"/>
            <w:noWrap/>
            <w:hideMark/>
          </w:tcPr>
          <w:p w14:paraId="043C57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9F87D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20.5%</w:t>
            </w:r>
          </w:p>
        </w:tc>
        <w:tc>
          <w:tcPr>
            <w:tcW w:w="1602" w:type="dxa"/>
            <w:noWrap/>
            <w:hideMark/>
          </w:tcPr>
          <w:p w14:paraId="6CE886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$16,787</w:t>
            </w:r>
          </w:p>
        </w:tc>
      </w:tr>
      <w:tr w:rsidR="008C6E34" w:rsidRPr="008C6E34" w14:paraId="0A16FE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3122B9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0118</w:t>
            </w:r>
          </w:p>
        </w:tc>
        <w:tc>
          <w:tcPr>
            <w:tcW w:w="2880" w:type="dxa"/>
            <w:noWrap/>
            <w:hideMark/>
          </w:tcPr>
          <w:p w14:paraId="1B1F5ED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Halifax</w:t>
            </w:r>
          </w:p>
        </w:tc>
        <w:tc>
          <w:tcPr>
            <w:tcW w:w="1148" w:type="dxa"/>
            <w:noWrap/>
            <w:hideMark/>
          </w:tcPr>
          <w:p w14:paraId="1D86BC1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4EBAC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$5,102,051 </w:t>
            </w:r>
          </w:p>
        </w:tc>
        <w:tc>
          <w:tcPr>
            <w:tcW w:w="1786" w:type="dxa"/>
            <w:noWrap/>
            <w:hideMark/>
          </w:tcPr>
          <w:p w14:paraId="7043CB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$2,423,716 </w:t>
            </w:r>
          </w:p>
        </w:tc>
        <w:tc>
          <w:tcPr>
            <w:tcW w:w="901" w:type="dxa"/>
            <w:noWrap/>
            <w:hideMark/>
          </w:tcPr>
          <w:p w14:paraId="73D009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46.1%</w:t>
            </w:r>
          </w:p>
        </w:tc>
        <w:tc>
          <w:tcPr>
            <w:tcW w:w="1374" w:type="dxa"/>
            <w:noWrap/>
            <w:hideMark/>
          </w:tcPr>
          <w:p w14:paraId="0EF660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47.5%</w:t>
            </w:r>
          </w:p>
        </w:tc>
        <w:tc>
          <w:tcPr>
            <w:tcW w:w="1602" w:type="dxa"/>
            <w:noWrap/>
            <w:hideMark/>
          </w:tcPr>
          <w:p w14:paraId="1CD47F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$74,541</w:t>
            </w:r>
          </w:p>
        </w:tc>
        <w:tc>
          <w:tcPr>
            <w:tcW w:w="1264" w:type="dxa"/>
            <w:noWrap/>
            <w:hideMark/>
          </w:tcPr>
          <w:p w14:paraId="1F1C0F3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28068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$6,718,564</w:t>
            </w:r>
          </w:p>
        </w:tc>
        <w:tc>
          <w:tcPr>
            <w:tcW w:w="1786" w:type="dxa"/>
            <w:noWrap/>
            <w:hideMark/>
          </w:tcPr>
          <w:p w14:paraId="6335E7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$3,063,392</w:t>
            </w:r>
          </w:p>
        </w:tc>
        <w:tc>
          <w:tcPr>
            <w:tcW w:w="901" w:type="dxa"/>
            <w:noWrap/>
            <w:hideMark/>
          </w:tcPr>
          <w:p w14:paraId="25F323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42.7%</w:t>
            </w:r>
          </w:p>
        </w:tc>
        <w:tc>
          <w:tcPr>
            <w:tcW w:w="1374" w:type="dxa"/>
            <w:noWrap/>
            <w:hideMark/>
          </w:tcPr>
          <w:p w14:paraId="7BB284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45.6%</w:t>
            </w:r>
          </w:p>
        </w:tc>
        <w:tc>
          <w:tcPr>
            <w:tcW w:w="1602" w:type="dxa"/>
            <w:noWrap/>
            <w:hideMark/>
          </w:tcPr>
          <w:p w14:paraId="0A9ED3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$9,502</w:t>
            </w:r>
          </w:p>
        </w:tc>
      </w:tr>
      <w:tr w:rsidR="008C6E34" w:rsidRPr="008C6E34" w14:paraId="1AD9B2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F284FE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0119</w:t>
            </w:r>
          </w:p>
        </w:tc>
        <w:tc>
          <w:tcPr>
            <w:tcW w:w="2880" w:type="dxa"/>
            <w:noWrap/>
            <w:hideMark/>
          </w:tcPr>
          <w:p w14:paraId="388D69B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Hamilton</w:t>
            </w:r>
          </w:p>
        </w:tc>
        <w:tc>
          <w:tcPr>
            <w:tcW w:w="1148" w:type="dxa"/>
            <w:noWrap/>
            <w:hideMark/>
          </w:tcPr>
          <w:p w14:paraId="241E73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F39D2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85A97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6621E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D3AC3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26F47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20F83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833E1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94F5D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4C7F5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611E9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83095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9161D2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CB02F4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0120</w:t>
            </w:r>
          </w:p>
        </w:tc>
        <w:tc>
          <w:tcPr>
            <w:tcW w:w="2880" w:type="dxa"/>
            <w:noWrap/>
            <w:hideMark/>
          </w:tcPr>
          <w:p w14:paraId="7E1303A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Hampden</w:t>
            </w:r>
          </w:p>
        </w:tc>
        <w:tc>
          <w:tcPr>
            <w:tcW w:w="1148" w:type="dxa"/>
            <w:noWrap/>
            <w:hideMark/>
          </w:tcPr>
          <w:p w14:paraId="3A7FC20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242A4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1A665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79F5A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46.1%</w:t>
            </w:r>
          </w:p>
        </w:tc>
        <w:tc>
          <w:tcPr>
            <w:tcW w:w="1374" w:type="dxa"/>
            <w:noWrap/>
            <w:hideMark/>
          </w:tcPr>
          <w:p w14:paraId="475650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55DCC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A7C289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82D0E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5383DE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04F9F9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18.8%</w:t>
            </w:r>
          </w:p>
        </w:tc>
        <w:tc>
          <w:tcPr>
            <w:tcW w:w="1374" w:type="dxa"/>
            <w:noWrap/>
            <w:hideMark/>
          </w:tcPr>
          <w:p w14:paraId="04E5C3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D802B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B4F08F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069F3A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0121</w:t>
            </w:r>
          </w:p>
        </w:tc>
        <w:tc>
          <w:tcPr>
            <w:tcW w:w="2880" w:type="dxa"/>
            <w:noWrap/>
            <w:hideMark/>
          </w:tcPr>
          <w:p w14:paraId="1BB44EB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Hancock</w:t>
            </w:r>
          </w:p>
        </w:tc>
        <w:tc>
          <w:tcPr>
            <w:tcW w:w="1148" w:type="dxa"/>
            <w:noWrap/>
            <w:hideMark/>
          </w:tcPr>
          <w:p w14:paraId="6F3D8E0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77EE6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$880,073 </w:t>
            </w:r>
          </w:p>
        </w:tc>
        <w:tc>
          <w:tcPr>
            <w:tcW w:w="1786" w:type="dxa"/>
            <w:noWrap/>
            <w:hideMark/>
          </w:tcPr>
          <w:p w14:paraId="4A5436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$184,299 </w:t>
            </w:r>
          </w:p>
        </w:tc>
        <w:tc>
          <w:tcPr>
            <w:tcW w:w="901" w:type="dxa"/>
            <w:noWrap/>
            <w:hideMark/>
          </w:tcPr>
          <w:p w14:paraId="1BBD07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DCEE8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w:t>
            </w:r>
          </w:p>
        </w:tc>
        <w:tc>
          <w:tcPr>
            <w:tcW w:w="1602" w:type="dxa"/>
            <w:noWrap/>
            <w:hideMark/>
          </w:tcPr>
          <w:p w14:paraId="45A805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$46,016</w:t>
            </w:r>
          </w:p>
        </w:tc>
        <w:tc>
          <w:tcPr>
            <w:tcW w:w="1264" w:type="dxa"/>
            <w:noWrap/>
            <w:hideMark/>
          </w:tcPr>
          <w:p w14:paraId="59D85E8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CAF68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$800,339</w:t>
            </w:r>
          </w:p>
        </w:tc>
        <w:tc>
          <w:tcPr>
            <w:tcW w:w="1786" w:type="dxa"/>
            <w:noWrap/>
            <w:hideMark/>
          </w:tcPr>
          <w:p w14:paraId="503813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$211,450</w:t>
            </w:r>
          </w:p>
        </w:tc>
        <w:tc>
          <w:tcPr>
            <w:tcW w:w="901" w:type="dxa"/>
            <w:noWrap/>
            <w:hideMark/>
          </w:tcPr>
          <w:p w14:paraId="125C0E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0A0DC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w:t>
            </w:r>
          </w:p>
        </w:tc>
        <w:tc>
          <w:tcPr>
            <w:tcW w:w="1602" w:type="dxa"/>
            <w:noWrap/>
            <w:hideMark/>
          </w:tcPr>
          <w:p w14:paraId="662F9A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$20,256</w:t>
            </w:r>
          </w:p>
        </w:tc>
      </w:tr>
      <w:tr w:rsidR="008C6E34" w:rsidRPr="008C6E34" w14:paraId="04DF791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217C53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0122</w:t>
            </w:r>
          </w:p>
        </w:tc>
        <w:tc>
          <w:tcPr>
            <w:tcW w:w="2880" w:type="dxa"/>
            <w:noWrap/>
            <w:hideMark/>
          </w:tcPr>
          <w:p w14:paraId="54F4E45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Hanover</w:t>
            </w:r>
          </w:p>
        </w:tc>
        <w:tc>
          <w:tcPr>
            <w:tcW w:w="1148" w:type="dxa"/>
            <w:noWrap/>
            <w:hideMark/>
          </w:tcPr>
          <w:p w14:paraId="51E9650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1D696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$20,142,434 </w:t>
            </w:r>
          </w:p>
        </w:tc>
        <w:tc>
          <w:tcPr>
            <w:tcW w:w="1786" w:type="dxa"/>
            <w:noWrap/>
            <w:hideMark/>
          </w:tcPr>
          <w:p w14:paraId="205624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$5,345,783 </w:t>
            </w:r>
          </w:p>
        </w:tc>
        <w:tc>
          <w:tcPr>
            <w:tcW w:w="901" w:type="dxa"/>
            <w:noWrap/>
            <w:hideMark/>
          </w:tcPr>
          <w:p w14:paraId="23B1C6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w:t>
            </w:r>
          </w:p>
        </w:tc>
        <w:tc>
          <w:tcPr>
            <w:tcW w:w="1374" w:type="dxa"/>
            <w:noWrap/>
            <w:hideMark/>
          </w:tcPr>
          <w:p w14:paraId="761E49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26.5%</w:t>
            </w:r>
          </w:p>
        </w:tc>
        <w:tc>
          <w:tcPr>
            <w:tcW w:w="1602" w:type="dxa"/>
            <w:noWrap/>
            <w:hideMark/>
          </w:tcPr>
          <w:p w14:paraId="02FF88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013B4D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F0D6C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$26,655,203</w:t>
            </w:r>
          </w:p>
        </w:tc>
        <w:tc>
          <w:tcPr>
            <w:tcW w:w="1786" w:type="dxa"/>
            <w:noWrap/>
            <w:hideMark/>
          </w:tcPr>
          <w:p w14:paraId="310B5D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$7,023,879</w:t>
            </w:r>
          </w:p>
        </w:tc>
        <w:tc>
          <w:tcPr>
            <w:tcW w:w="901" w:type="dxa"/>
            <w:noWrap/>
            <w:hideMark/>
          </w:tcPr>
          <w:p w14:paraId="1C1895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w:t>
            </w:r>
          </w:p>
        </w:tc>
        <w:tc>
          <w:tcPr>
            <w:tcW w:w="1374" w:type="dxa"/>
            <w:noWrap/>
            <w:hideMark/>
          </w:tcPr>
          <w:p w14:paraId="76396C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w:t>
            </w:r>
          </w:p>
        </w:tc>
        <w:tc>
          <w:tcPr>
            <w:tcW w:w="1602" w:type="dxa"/>
            <w:noWrap/>
            <w:hideMark/>
          </w:tcPr>
          <w:p w14:paraId="1400FC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$875,449</w:t>
            </w:r>
          </w:p>
        </w:tc>
      </w:tr>
      <w:tr w:rsidR="008C6E34" w:rsidRPr="008C6E34" w14:paraId="00ECD5D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C3575B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0123</w:t>
            </w:r>
          </w:p>
        </w:tc>
        <w:tc>
          <w:tcPr>
            <w:tcW w:w="2880" w:type="dxa"/>
            <w:noWrap/>
            <w:hideMark/>
          </w:tcPr>
          <w:p w14:paraId="79F1F22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Hanson</w:t>
            </w:r>
          </w:p>
        </w:tc>
        <w:tc>
          <w:tcPr>
            <w:tcW w:w="1148" w:type="dxa"/>
            <w:noWrap/>
            <w:hideMark/>
          </w:tcPr>
          <w:p w14:paraId="51E49C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A542F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$32,549 </w:t>
            </w:r>
          </w:p>
        </w:tc>
        <w:tc>
          <w:tcPr>
            <w:tcW w:w="1786" w:type="dxa"/>
            <w:noWrap/>
            <w:hideMark/>
          </w:tcPr>
          <w:p w14:paraId="1ABD23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$30,063 </w:t>
            </w:r>
          </w:p>
        </w:tc>
        <w:tc>
          <w:tcPr>
            <w:tcW w:w="901" w:type="dxa"/>
            <w:noWrap/>
            <w:hideMark/>
          </w:tcPr>
          <w:p w14:paraId="651811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50.1%</w:t>
            </w:r>
          </w:p>
        </w:tc>
        <w:tc>
          <w:tcPr>
            <w:tcW w:w="1374" w:type="dxa"/>
            <w:noWrap/>
            <w:hideMark/>
          </w:tcPr>
          <w:p w14:paraId="6763D2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92.4%</w:t>
            </w:r>
          </w:p>
        </w:tc>
        <w:tc>
          <w:tcPr>
            <w:tcW w:w="1602" w:type="dxa"/>
            <w:noWrap/>
            <w:hideMark/>
          </w:tcPr>
          <w:p w14:paraId="7B9B26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$6,490</w:t>
            </w:r>
          </w:p>
        </w:tc>
        <w:tc>
          <w:tcPr>
            <w:tcW w:w="1264" w:type="dxa"/>
            <w:noWrap/>
            <w:hideMark/>
          </w:tcPr>
          <w:p w14:paraId="0A1ABAF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E8343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$43,115</w:t>
            </w:r>
          </w:p>
        </w:tc>
        <w:tc>
          <w:tcPr>
            <w:tcW w:w="1786" w:type="dxa"/>
            <w:noWrap/>
            <w:hideMark/>
          </w:tcPr>
          <w:p w14:paraId="4CCD51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$43,148</w:t>
            </w:r>
          </w:p>
        </w:tc>
        <w:tc>
          <w:tcPr>
            <w:tcW w:w="901" w:type="dxa"/>
            <w:noWrap/>
            <w:hideMark/>
          </w:tcPr>
          <w:p w14:paraId="7BB260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w:t>
            </w:r>
          </w:p>
        </w:tc>
        <w:tc>
          <w:tcPr>
            <w:tcW w:w="1374" w:type="dxa"/>
            <w:noWrap/>
            <w:hideMark/>
          </w:tcPr>
          <w:p w14:paraId="052783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100.1%</w:t>
            </w:r>
          </w:p>
        </w:tc>
        <w:tc>
          <w:tcPr>
            <w:tcW w:w="1602" w:type="dxa"/>
            <w:noWrap/>
            <w:hideMark/>
          </w:tcPr>
          <w:p w14:paraId="57DAD3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$23,947</w:t>
            </w:r>
          </w:p>
        </w:tc>
      </w:tr>
      <w:tr w:rsidR="008C6E34" w:rsidRPr="008C6E34" w14:paraId="03EEED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8D3334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0124</w:t>
            </w:r>
          </w:p>
        </w:tc>
        <w:tc>
          <w:tcPr>
            <w:tcW w:w="2880" w:type="dxa"/>
            <w:noWrap/>
            <w:hideMark/>
          </w:tcPr>
          <w:p w14:paraId="7963E74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Hardwick</w:t>
            </w:r>
          </w:p>
        </w:tc>
        <w:tc>
          <w:tcPr>
            <w:tcW w:w="1148" w:type="dxa"/>
            <w:noWrap/>
            <w:hideMark/>
          </w:tcPr>
          <w:p w14:paraId="08ACF0D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D9F45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$10,850 </w:t>
            </w:r>
          </w:p>
        </w:tc>
        <w:tc>
          <w:tcPr>
            <w:tcW w:w="1786" w:type="dxa"/>
            <w:noWrap/>
            <w:hideMark/>
          </w:tcPr>
          <w:p w14:paraId="123D66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$8,596 </w:t>
            </w:r>
          </w:p>
        </w:tc>
        <w:tc>
          <w:tcPr>
            <w:tcW w:w="901" w:type="dxa"/>
            <w:noWrap/>
            <w:hideMark/>
          </w:tcPr>
          <w:p w14:paraId="5884DE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68.4%</w:t>
            </w:r>
          </w:p>
        </w:tc>
        <w:tc>
          <w:tcPr>
            <w:tcW w:w="1374" w:type="dxa"/>
            <w:noWrap/>
            <w:hideMark/>
          </w:tcPr>
          <w:p w14:paraId="7C502A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79.2%</w:t>
            </w:r>
          </w:p>
        </w:tc>
        <w:tc>
          <w:tcPr>
            <w:tcW w:w="1602" w:type="dxa"/>
            <w:noWrap/>
            <w:hideMark/>
          </w:tcPr>
          <w:p w14:paraId="2A6DE4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4DB1DA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50C9F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$14,372</w:t>
            </w:r>
          </w:p>
        </w:tc>
        <w:tc>
          <w:tcPr>
            <w:tcW w:w="1786" w:type="dxa"/>
            <w:noWrap/>
            <w:hideMark/>
          </w:tcPr>
          <w:p w14:paraId="00472E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$8,588</w:t>
            </w:r>
          </w:p>
        </w:tc>
        <w:tc>
          <w:tcPr>
            <w:tcW w:w="901" w:type="dxa"/>
            <w:noWrap/>
            <w:hideMark/>
          </w:tcPr>
          <w:p w14:paraId="45E0F7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56.1%</w:t>
            </w:r>
          </w:p>
        </w:tc>
        <w:tc>
          <w:tcPr>
            <w:tcW w:w="1374" w:type="dxa"/>
            <w:noWrap/>
            <w:hideMark/>
          </w:tcPr>
          <w:p w14:paraId="627527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59.8%</w:t>
            </w:r>
          </w:p>
        </w:tc>
        <w:tc>
          <w:tcPr>
            <w:tcW w:w="1602" w:type="dxa"/>
            <w:noWrap/>
            <w:hideMark/>
          </w:tcPr>
          <w:p w14:paraId="438297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r>
      <w:tr w:rsidR="008C6E34" w:rsidRPr="008C6E34" w14:paraId="3F30EE8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010577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0125</w:t>
            </w:r>
          </w:p>
        </w:tc>
        <w:tc>
          <w:tcPr>
            <w:tcW w:w="2880" w:type="dxa"/>
            <w:noWrap/>
            <w:hideMark/>
          </w:tcPr>
          <w:p w14:paraId="0DF73D7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Harvard</w:t>
            </w:r>
          </w:p>
        </w:tc>
        <w:tc>
          <w:tcPr>
            <w:tcW w:w="1148" w:type="dxa"/>
            <w:noWrap/>
            <w:hideMark/>
          </w:tcPr>
          <w:p w14:paraId="60FD55D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1D32A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$9,436,456 </w:t>
            </w:r>
          </w:p>
        </w:tc>
        <w:tc>
          <w:tcPr>
            <w:tcW w:w="1786" w:type="dxa"/>
            <w:noWrap/>
            <w:hideMark/>
          </w:tcPr>
          <w:p w14:paraId="4D1777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$1,394,722 </w:t>
            </w:r>
          </w:p>
        </w:tc>
        <w:tc>
          <w:tcPr>
            <w:tcW w:w="901" w:type="dxa"/>
            <w:noWrap/>
            <w:hideMark/>
          </w:tcPr>
          <w:p w14:paraId="184E2E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A4D4A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w:t>
            </w:r>
          </w:p>
        </w:tc>
        <w:tc>
          <w:tcPr>
            <w:tcW w:w="1602" w:type="dxa"/>
            <w:noWrap/>
            <w:hideMark/>
          </w:tcPr>
          <w:p w14:paraId="523239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BCA21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470B3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$9,480,814</w:t>
            </w:r>
          </w:p>
        </w:tc>
        <w:tc>
          <w:tcPr>
            <w:tcW w:w="1786" w:type="dxa"/>
            <w:noWrap/>
            <w:hideMark/>
          </w:tcPr>
          <w:p w14:paraId="32B466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$1,982,671</w:t>
            </w:r>
          </w:p>
        </w:tc>
        <w:tc>
          <w:tcPr>
            <w:tcW w:w="901" w:type="dxa"/>
            <w:noWrap/>
            <w:hideMark/>
          </w:tcPr>
          <w:p w14:paraId="4DC8E0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E593D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w:t>
            </w:r>
          </w:p>
        </w:tc>
        <w:tc>
          <w:tcPr>
            <w:tcW w:w="1602" w:type="dxa"/>
            <w:noWrap/>
            <w:hideMark/>
          </w:tcPr>
          <w:p w14:paraId="309E2C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$323,529</w:t>
            </w:r>
          </w:p>
        </w:tc>
      </w:tr>
      <w:tr w:rsidR="008C6E34" w:rsidRPr="008C6E34" w14:paraId="1DB11C6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33AA9B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0126</w:t>
            </w:r>
          </w:p>
        </w:tc>
        <w:tc>
          <w:tcPr>
            <w:tcW w:w="2880" w:type="dxa"/>
            <w:noWrap/>
            <w:hideMark/>
          </w:tcPr>
          <w:p w14:paraId="0C8DF66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Harwich</w:t>
            </w:r>
          </w:p>
        </w:tc>
        <w:tc>
          <w:tcPr>
            <w:tcW w:w="1148" w:type="dxa"/>
            <w:noWrap/>
            <w:hideMark/>
          </w:tcPr>
          <w:p w14:paraId="3D3278E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45410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$11,707,485 </w:t>
            </w:r>
          </w:p>
        </w:tc>
        <w:tc>
          <w:tcPr>
            <w:tcW w:w="1786" w:type="dxa"/>
            <w:noWrap/>
            <w:hideMark/>
          </w:tcPr>
          <w:p w14:paraId="38118F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$1,562,804 </w:t>
            </w:r>
          </w:p>
        </w:tc>
        <w:tc>
          <w:tcPr>
            <w:tcW w:w="901" w:type="dxa"/>
            <w:noWrap/>
            <w:hideMark/>
          </w:tcPr>
          <w:p w14:paraId="14B622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A51A8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w:t>
            </w:r>
          </w:p>
        </w:tc>
        <w:tc>
          <w:tcPr>
            <w:tcW w:w="1602" w:type="dxa"/>
            <w:noWrap/>
            <w:hideMark/>
          </w:tcPr>
          <w:p w14:paraId="19AD7E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$1,349,947</w:t>
            </w:r>
          </w:p>
        </w:tc>
        <w:tc>
          <w:tcPr>
            <w:tcW w:w="1264" w:type="dxa"/>
            <w:noWrap/>
            <w:hideMark/>
          </w:tcPr>
          <w:p w14:paraId="2FC85E1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4CE24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35800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207C5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F3554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BE866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1B17A1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E9BAEC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0127</w:t>
            </w:r>
          </w:p>
        </w:tc>
        <w:tc>
          <w:tcPr>
            <w:tcW w:w="2880" w:type="dxa"/>
            <w:noWrap/>
            <w:hideMark/>
          </w:tcPr>
          <w:p w14:paraId="258DD35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Hatfield</w:t>
            </w:r>
          </w:p>
        </w:tc>
        <w:tc>
          <w:tcPr>
            <w:tcW w:w="1148" w:type="dxa"/>
            <w:noWrap/>
            <w:hideMark/>
          </w:tcPr>
          <w:p w14:paraId="4CF103B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528B1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$3,642,953 </w:t>
            </w:r>
          </w:p>
        </w:tc>
        <w:tc>
          <w:tcPr>
            <w:tcW w:w="1786" w:type="dxa"/>
            <w:noWrap/>
            <w:hideMark/>
          </w:tcPr>
          <w:p w14:paraId="1532B2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$707,251 </w:t>
            </w:r>
          </w:p>
        </w:tc>
        <w:tc>
          <w:tcPr>
            <w:tcW w:w="901" w:type="dxa"/>
            <w:noWrap/>
            <w:hideMark/>
          </w:tcPr>
          <w:p w14:paraId="5508B3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w:t>
            </w:r>
          </w:p>
        </w:tc>
        <w:tc>
          <w:tcPr>
            <w:tcW w:w="1374" w:type="dxa"/>
            <w:noWrap/>
            <w:hideMark/>
          </w:tcPr>
          <w:p w14:paraId="49D192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19.4%</w:t>
            </w:r>
          </w:p>
        </w:tc>
        <w:tc>
          <w:tcPr>
            <w:tcW w:w="1602" w:type="dxa"/>
            <w:noWrap/>
            <w:hideMark/>
          </w:tcPr>
          <w:p w14:paraId="07E6EE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$2,651</w:t>
            </w:r>
          </w:p>
        </w:tc>
        <w:tc>
          <w:tcPr>
            <w:tcW w:w="1264" w:type="dxa"/>
            <w:noWrap/>
            <w:hideMark/>
          </w:tcPr>
          <w:p w14:paraId="416297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E6133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$3,779,441</w:t>
            </w:r>
          </w:p>
        </w:tc>
        <w:tc>
          <w:tcPr>
            <w:tcW w:w="1786" w:type="dxa"/>
            <w:noWrap/>
            <w:hideMark/>
          </w:tcPr>
          <w:p w14:paraId="71EF0D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$846,256</w:t>
            </w:r>
          </w:p>
        </w:tc>
        <w:tc>
          <w:tcPr>
            <w:tcW w:w="901" w:type="dxa"/>
            <w:noWrap/>
            <w:hideMark/>
          </w:tcPr>
          <w:p w14:paraId="7AEA7F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12F08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22.4%</w:t>
            </w:r>
          </w:p>
        </w:tc>
        <w:tc>
          <w:tcPr>
            <w:tcW w:w="1602" w:type="dxa"/>
            <w:noWrap/>
            <w:hideMark/>
          </w:tcPr>
          <w:p w14:paraId="5465D5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$120,210</w:t>
            </w:r>
          </w:p>
        </w:tc>
      </w:tr>
      <w:tr w:rsidR="008C6E34" w:rsidRPr="008C6E34" w14:paraId="798B3B4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0A5BFC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0128</w:t>
            </w:r>
          </w:p>
        </w:tc>
        <w:tc>
          <w:tcPr>
            <w:tcW w:w="2880" w:type="dxa"/>
            <w:noWrap/>
            <w:hideMark/>
          </w:tcPr>
          <w:p w14:paraId="21BA7BE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Haverhill</w:t>
            </w:r>
          </w:p>
        </w:tc>
        <w:tc>
          <w:tcPr>
            <w:tcW w:w="1148" w:type="dxa"/>
            <w:noWrap/>
            <w:hideMark/>
          </w:tcPr>
          <w:p w14:paraId="0A2FFB4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DC87D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$61,978,683 </w:t>
            </w:r>
          </w:p>
        </w:tc>
        <w:tc>
          <w:tcPr>
            <w:tcW w:w="1786" w:type="dxa"/>
            <w:noWrap/>
            <w:hideMark/>
          </w:tcPr>
          <w:p w14:paraId="3F764C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$33,057,731 </w:t>
            </w:r>
          </w:p>
        </w:tc>
        <w:tc>
          <w:tcPr>
            <w:tcW w:w="901" w:type="dxa"/>
            <w:noWrap/>
            <w:hideMark/>
          </w:tcPr>
          <w:p w14:paraId="3865D7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47.8%</w:t>
            </w:r>
          </w:p>
        </w:tc>
        <w:tc>
          <w:tcPr>
            <w:tcW w:w="1374" w:type="dxa"/>
            <w:noWrap/>
            <w:hideMark/>
          </w:tcPr>
          <w:p w14:paraId="3616EE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53.3%</w:t>
            </w:r>
          </w:p>
        </w:tc>
        <w:tc>
          <w:tcPr>
            <w:tcW w:w="1602" w:type="dxa"/>
            <w:noWrap/>
            <w:hideMark/>
          </w:tcPr>
          <w:p w14:paraId="28D922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$3,131,369</w:t>
            </w:r>
          </w:p>
        </w:tc>
        <w:tc>
          <w:tcPr>
            <w:tcW w:w="1264" w:type="dxa"/>
            <w:noWrap/>
            <w:hideMark/>
          </w:tcPr>
          <w:p w14:paraId="2D1767C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5F649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$100,463,268</w:t>
            </w:r>
          </w:p>
        </w:tc>
        <w:tc>
          <w:tcPr>
            <w:tcW w:w="1786" w:type="dxa"/>
            <w:noWrap/>
            <w:hideMark/>
          </w:tcPr>
          <w:p w14:paraId="046674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$58,353,924</w:t>
            </w:r>
          </w:p>
        </w:tc>
        <w:tc>
          <w:tcPr>
            <w:tcW w:w="901" w:type="dxa"/>
            <w:noWrap/>
            <w:hideMark/>
          </w:tcPr>
          <w:p w14:paraId="6993ED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56.8%</w:t>
            </w:r>
          </w:p>
        </w:tc>
        <w:tc>
          <w:tcPr>
            <w:tcW w:w="1374" w:type="dxa"/>
            <w:noWrap/>
            <w:hideMark/>
          </w:tcPr>
          <w:p w14:paraId="6B175B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58.1%</w:t>
            </w:r>
          </w:p>
        </w:tc>
        <w:tc>
          <w:tcPr>
            <w:tcW w:w="1602" w:type="dxa"/>
            <w:noWrap/>
            <w:hideMark/>
          </w:tcPr>
          <w:p w14:paraId="7A285D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A0D1E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D6DC1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0129</w:t>
            </w:r>
          </w:p>
        </w:tc>
        <w:tc>
          <w:tcPr>
            <w:tcW w:w="2880" w:type="dxa"/>
            <w:noWrap/>
            <w:hideMark/>
          </w:tcPr>
          <w:p w14:paraId="26A9DED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Hawley</w:t>
            </w:r>
          </w:p>
        </w:tc>
        <w:tc>
          <w:tcPr>
            <w:tcW w:w="1148" w:type="dxa"/>
            <w:noWrap/>
            <w:hideMark/>
          </w:tcPr>
          <w:p w14:paraId="5DD664C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4E4E0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$32,549 </w:t>
            </w:r>
          </w:p>
        </w:tc>
        <w:tc>
          <w:tcPr>
            <w:tcW w:w="1786" w:type="dxa"/>
            <w:noWrap/>
            <w:hideMark/>
          </w:tcPr>
          <w:p w14:paraId="5B7781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$27,475 </w:t>
            </w:r>
          </w:p>
        </w:tc>
        <w:tc>
          <w:tcPr>
            <w:tcW w:w="901" w:type="dxa"/>
            <w:noWrap/>
            <w:hideMark/>
          </w:tcPr>
          <w:p w14:paraId="12A622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46.4%</w:t>
            </w:r>
          </w:p>
        </w:tc>
        <w:tc>
          <w:tcPr>
            <w:tcW w:w="1374" w:type="dxa"/>
            <w:noWrap/>
            <w:hideMark/>
          </w:tcPr>
          <w:p w14:paraId="0A7D05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84.4%</w:t>
            </w:r>
          </w:p>
        </w:tc>
        <w:tc>
          <w:tcPr>
            <w:tcW w:w="1602" w:type="dxa"/>
            <w:noWrap/>
            <w:hideMark/>
          </w:tcPr>
          <w:p w14:paraId="794FDD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$17,855</w:t>
            </w:r>
          </w:p>
        </w:tc>
        <w:tc>
          <w:tcPr>
            <w:tcW w:w="1264" w:type="dxa"/>
            <w:noWrap/>
            <w:hideMark/>
          </w:tcPr>
          <w:p w14:paraId="0800736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45929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BA11F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F51A8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35.1%</w:t>
            </w:r>
          </w:p>
        </w:tc>
        <w:tc>
          <w:tcPr>
            <w:tcW w:w="1374" w:type="dxa"/>
            <w:noWrap/>
            <w:hideMark/>
          </w:tcPr>
          <w:p w14:paraId="6AA7D6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3DC00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4BA0E8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45F82D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0130</w:t>
            </w:r>
          </w:p>
        </w:tc>
        <w:tc>
          <w:tcPr>
            <w:tcW w:w="2880" w:type="dxa"/>
            <w:noWrap/>
            <w:hideMark/>
          </w:tcPr>
          <w:p w14:paraId="2F2AFBF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Heath</w:t>
            </w:r>
          </w:p>
        </w:tc>
        <w:tc>
          <w:tcPr>
            <w:tcW w:w="1148" w:type="dxa"/>
            <w:noWrap/>
            <w:hideMark/>
          </w:tcPr>
          <w:p w14:paraId="1F123E9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9F77E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6BE7E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51A06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68.3%</w:t>
            </w:r>
          </w:p>
        </w:tc>
        <w:tc>
          <w:tcPr>
            <w:tcW w:w="1374" w:type="dxa"/>
            <w:noWrap/>
            <w:hideMark/>
          </w:tcPr>
          <w:p w14:paraId="227A1E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1FF2E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597594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A49ED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122DA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01282D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59.9%</w:t>
            </w:r>
          </w:p>
        </w:tc>
        <w:tc>
          <w:tcPr>
            <w:tcW w:w="1374" w:type="dxa"/>
            <w:noWrap/>
            <w:hideMark/>
          </w:tcPr>
          <w:p w14:paraId="7D67F5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84D9E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1E8EAC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0CBECE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0131</w:t>
            </w:r>
          </w:p>
        </w:tc>
        <w:tc>
          <w:tcPr>
            <w:tcW w:w="2880" w:type="dxa"/>
            <w:noWrap/>
            <w:hideMark/>
          </w:tcPr>
          <w:p w14:paraId="4A4CBCB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Hingham</w:t>
            </w:r>
          </w:p>
        </w:tc>
        <w:tc>
          <w:tcPr>
            <w:tcW w:w="1148" w:type="dxa"/>
            <w:noWrap/>
            <w:hideMark/>
          </w:tcPr>
          <w:p w14:paraId="7CF0FE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4698A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$27,560,965 </w:t>
            </w:r>
          </w:p>
        </w:tc>
        <w:tc>
          <w:tcPr>
            <w:tcW w:w="1786" w:type="dxa"/>
            <w:noWrap/>
            <w:hideMark/>
          </w:tcPr>
          <w:p w14:paraId="1FEC81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$3,996,893 </w:t>
            </w:r>
          </w:p>
        </w:tc>
        <w:tc>
          <w:tcPr>
            <w:tcW w:w="901" w:type="dxa"/>
            <w:noWrap/>
            <w:hideMark/>
          </w:tcPr>
          <w:p w14:paraId="4F225C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44282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14.5%</w:t>
            </w:r>
          </w:p>
        </w:tc>
        <w:tc>
          <w:tcPr>
            <w:tcW w:w="1602" w:type="dxa"/>
            <w:noWrap/>
            <w:hideMark/>
          </w:tcPr>
          <w:p w14:paraId="369420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BB8E94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FD9EA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$43,961,797</w:t>
            </w:r>
          </w:p>
        </w:tc>
        <w:tc>
          <w:tcPr>
            <w:tcW w:w="1786" w:type="dxa"/>
            <w:noWrap/>
            <w:hideMark/>
          </w:tcPr>
          <w:p w14:paraId="560673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$7,695,110</w:t>
            </w:r>
          </w:p>
        </w:tc>
        <w:tc>
          <w:tcPr>
            <w:tcW w:w="901" w:type="dxa"/>
            <w:noWrap/>
            <w:hideMark/>
          </w:tcPr>
          <w:p w14:paraId="508B47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A4AA4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6C9C43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$1,796</w:t>
            </w:r>
          </w:p>
        </w:tc>
      </w:tr>
      <w:tr w:rsidR="008C6E34" w:rsidRPr="008C6E34" w14:paraId="185F581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F845C4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0132</w:t>
            </w:r>
          </w:p>
        </w:tc>
        <w:tc>
          <w:tcPr>
            <w:tcW w:w="2880" w:type="dxa"/>
            <w:noWrap/>
            <w:hideMark/>
          </w:tcPr>
          <w:p w14:paraId="33D4737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Hinsdale</w:t>
            </w:r>
          </w:p>
        </w:tc>
        <w:tc>
          <w:tcPr>
            <w:tcW w:w="1148" w:type="dxa"/>
            <w:noWrap/>
            <w:hideMark/>
          </w:tcPr>
          <w:p w14:paraId="785EA97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29849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$97,647 </w:t>
            </w:r>
          </w:p>
        </w:tc>
        <w:tc>
          <w:tcPr>
            <w:tcW w:w="1786" w:type="dxa"/>
            <w:noWrap/>
            <w:hideMark/>
          </w:tcPr>
          <w:p w14:paraId="07484C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$80,464 </w:t>
            </w:r>
          </w:p>
        </w:tc>
        <w:tc>
          <w:tcPr>
            <w:tcW w:w="901" w:type="dxa"/>
            <w:noWrap/>
            <w:hideMark/>
          </w:tcPr>
          <w:p w14:paraId="7B9885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47.1%</w:t>
            </w:r>
          </w:p>
        </w:tc>
        <w:tc>
          <w:tcPr>
            <w:tcW w:w="1374" w:type="dxa"/>
            <w:noWrap/>
            <w:hideMark/>
          </w:tcPr>
          <w:p w14:paraId="253510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82.4%</w:t>
            </w:r>
          </w:p>
        </w:tc>
        <w:tc>
          <w:tcPr>
            <w:tcW w:w="1602" w:type="dxa"/>
            <w:noWrap/>
            <w:hideMark/>
          </w:tcPr>
          <w:p w14:paraId="7FC7C5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$34,756</w:t>
            </w:r>
          </w:p>
        </w:tc>
        <w:tc>
          <w:tcPr>
            <w:tcW w:w="1264" w:type="dxa"/>
            <w:noWrap/>
            <w:hideMark/>
          </w:tcPr>
          <w:p w14:paraId="2DF2F9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D6736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$214,001</w:t>
            </w:r>
          </w:p>
        </w:tc>
        <w:tc>
          <w:tcPr>
            <w:tcW w:w="1786" w:type="dxa"/>
            <w:noWrap/>
            <w:hideMark/>
          </w:tcPr>
          <w:p w14:paraId="5B904F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$104,683</w:t>
            </w:r>
          </w:p>
        </w:tc>
        <w:tc>
          <w:tcPr>
            <w:tcW w:w="901" w:type="dxa"/>
            <w:noWrap/>
            <w:hideMark/>
          </w:tcPr>
          <w:p w14:paraId="4A3D70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22393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48.9%</w:t>
            </w:r>
          </w:p>
        </w:tc>
        <w:tc>
          <w:tcPr>
            <w:tcW w:w="1602" w:type="dxa"/>
            <w:noWrap/>
            <w:hideMark/>
          </w:tcPr>
          <w:p w14:paraId="19D841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$67,233</w:t>
            </w:r>
          </w:p>
        </w:tc>
      </w:tr>
      <w:tr w:rsidR="008C6E34" w:rsidRPr="008C6E34" w14:paraId="03D1B77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CC32F1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0133</w:t>
            </w:r>
          </w:p>
        </w:tc>
        <w:tc>
          <w:tcPr>
            <w:tcW w:w="2880" w:type="dxa"/>
            <w:noWrap/>
            <w:hideMark/>
          </w:tcPr>
          <w:p w14:paraId="06F1684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Holbrook</w:t>
            </w:r>
          </w:p>
        </w:tc>
        <w:tc>
          <w:tcPr>
            <w:tcW w:w="1148" w:type="dxa"/>
            <w:noWrap/>
            <w:hideMark/>
          </w:tcPr>
          <w:p w14:paraId="763B5CF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E6A4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$11,106,582 </w:t>
            </w:r>
          </w:p>
        </w:tc>
        <w:tc>
          <w:tcPr>
            <w:tcW w:w="1786" w:type="dxa"/>
            <w:noWrap/>
            <w:hideMark/>
          </w:tcPr>
          <w:p w14:paraId="2E41DB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$4,533,288 </w:t>
            </w:r>
          </w:p>
        </w:tc>
        <w:tc>
          <w:tcPr>
            <w:tcW w:w="901" w:type="dxa"/>
            <w:noWrap/>
            <w:hideMark/>
          </w:tcPr>
          <w:p w14:paraId="2F92DB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43.2%</w:t>
            </w:r>
          </w:p>
        </w:tc>
        <w:tc>
          <w:tcPr>
            <w:tcW w:w="1374" w:type="dxa"/>
            <w:noWrap/>
            <w:hideMark/>
          </w:tcPr>
          <w:p w14:paraId="2FF879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w:t>
            </w:r>
          </w:p>
        </w:tc>
        <w:tc>
          <w:tcPr>
            <w:tcW w:w="1602" w:type="dxa"/>
            <w:noWrap/>
            <w:hideMark/>
          </w:tcPr>
          <w:p w14:paraId="6A5457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$96,064</w:t>
            </w:r>
          </w:p>
        </w:tc>
        <w:tc>
          <w:tcPr>
            <w:tcW w:w="1264" w:type="dxa"/>
            <w:noWrap/>
            <w:hideMark/>
          </w:tcPr>
          <w:p w14:paraId="40B1639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04798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$15,200,055</w:t>
            </w:r>
          </w:p>
        </w:tc>
        <w:tc>
          <w:tcPr>
            <w:tcW w:w="1786" w:type="dxa"/>
            <w:noWrap/>
            <w:hideMark/>
          </w:tcPr>
          <w:p w14:paraId="05BF2D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$7,338,311</w:t>
            </w:r>
          </w:p>
        </w:tc>
        <w:tc>
          <w:tcPr>
            <w:tcW w:w="901" w:type="dxa"/>
            <w:noWrap/>
            <w:hideMark/>
          </w:tcPr>
          <w:p w14:paraId="12518B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46.9%</w:t>
            </w:r>
          </w:p>
        </w:tc>
        <w:tc>
          <w:tcPr>
            <w:tcW w:w="1374" w:type="dxa"/>
            <w:noWrap/>
            <w:hideMark/>
          </w:tcPr>
          <w:p w14:paraId="5D4F72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w:t>
            </w:r>
          </w:p>
        </w:tc>
        <w:tc>
          <w:tcPr>
            <w:tcW w:w="1602" w:type="dxa"/>
            <w:noWrap/>
            <w:hideMark/>
          </w:tcPr>
          <w:p w14:paraId="4BEDFB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E5CF57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F783A6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0134</w:t>
            </w:r>
          </w:p>
        </w:tc>
        <w:tc>
          <w:tcPr>
            <w:tcW w:w="2880" w:type="dxa"/>
            <w:noWrap/>
            <w:hideMark/>
          </w:tcPr>
          <w:p w14:paraId="62656A0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Holden</w:t>
            </w:r>
          </w:p>
        </w:tc>
        <w:tc>
          <w:tcPr>
            <w:tcW w:w="1148" w:type="dxa"/>
            <w:noWrap/>
            <w:hideMark/>
          </w:tcPr>
          <w:p w14:paraId="67A10B2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8366A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A934B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0FD119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37.5%</w:t>
            </w:r>
          </w:p>
        </w:tc>
        <w:tc>
          <w:tcPr>
            <w:tcW w:w="1374" w:type="dxa"/>
            <w:noWrap/>
            <w:hideMark/>
          </w:tcPr>
          <w:p w14:paraId="63C365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A2070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97A19A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C37AF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F456D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588DD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40.7%</w:t>
            </w:r>
          </w:p>
        </w:tc>
        <w:tc>
          <w:tcPr>
            <w:tcW w:w="1374" w:type="dxa"/>
            <w:noWrap/>
            <w:hideMark/>
          </w:tcPr>
          <w:p w14:paraId="1E979D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97DE8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A4F10D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F424A6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0135</w:t>
            </w:r>
          </w:p>
        </w:tc>
        <w:tc>
          <w:tcPr>
            <w:tcW w:w="2880" w:type="dxa"/>
            <w:noWrap/>
            <w:hideMark/>
          </w:tcPr>
          <w:p w14:paraId="6D2DE9C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Holland</w:t>
            </w:r>
          </w:p>
        </w:tc>
        <w:tc>
          <w:tcPr>
            <w:tcW w:w="1148" w:type="dxa"/>
            <w:noWrap/>
            <w:hideMark/>
          </w:tcPr>
          <w:p w14:paraId="156F2BC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4EF1D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$1,587,801 </w:t>
            </w:r>
          </w:p>
        </w:tc>
        <w:tc>
          <w:tcPr>
            <w:tcW w:w="1786" w:type="dxa"/>
            <w:noWrap/>
            <w:hideMark/>
          </w:tcPr>
          <w:p w14:paraId="44543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$792,435 </w:t>
            </w:r>
          </w:p>
        </w:tc>
        <w:tc>
          <w:tcPr>
            <w:tcW w:w="901" w:type="dxa"/>
            <w:noWrap/>
            <w:hideMark/>
          </w:tcPr>
          <w:p w14:paraId="6DDDFA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56.1%</w:t>
            </w:r>
          </w:p>
        </w:tc>
        <w:tc>
          <w:tcPr>
            <w:tcW w:w="1374" w:type="dxa"/>
            <w:noWrap/>
            <w:hideMark/>
          </w:tcPr>
          <w:p w14:paraId="77EC68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49.9%</w:t>
            </w:r>
          </w:p>
        </w:tc>
        <w:tc>
          <w:tcPr>
            <w:tcW w:w="1602" w:type="dxa"/>
            <w:noWrap/>
            <w:hideMark/>
          </w:tcPr>
          <w:p w14:paraId="436D81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$72,085</w:t>
            </w:r>
          </w:p>
        </w:tc>
        <w:tc>
          <w:tcPr>
            <w:tcW w:w="1264" w:type="dxa"/>
            <w:noWrap/>
            <w:hideMark/>
          </w:tcPr>
          <w:p w14:paraId="5B20D9F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657D4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$1,957,811</w:t>
            </w:r>
          </w:p>
        </w:tc>
        <w:tc>
          <w:tcPr>
            <w:tcW w:w="1786" w:type="dxa"/>
            <w:noWrap/>
            <w:hideMark/>
          </w:tcPr>
          <w:p w14:paraId="428488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$933,678</w:t>
            </w:r>
          </w:p>
        </w:tc>
        <w:tc>
          <w:tcPr>
            <w:tcW w:w="901" w:type="dxa"/>
            <w:noWrap/>
            <w:hideMark/>
          </w:tcPr>
          <w:p w14:paraId="7165BA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44.4%</w:t>
            </w:r>
          </w:p>
        </w:tc>
        <w:tc>
          <w:tcPr>
            <w:tcW w:w="1374" w:type="dxa"/>
            <w:noWrap/>
            <w:hideMark/>
          </w:tcPr>
          <w:p w14:paraId="66A789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47.7%</w:t>
            </w:r>
          </w:p>
        </w:tc>
        <w:tc>
          <w:tcPr>
            <w:tcW w:w="1602" w:type="dxa"/>
            <w:noWrap/>
            <w:hideMark/>
          </w:tcPr>
          <w:p w14:paraId="444D73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$63,693</w:t>
            </w:r>
          </w:p>
        </w:tc>
      </w:tr>
      <w:tr w:rsidR="008C6E34" w:rsidRPr="008C6E34" w14:paraId="2567A0F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647184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0136</w:t>
            </w:r>
          </w:p>
        </w:tc>
        <w:tc>
          <w:tcPr>
            <w:tcW w:w="2880" w:type="dxa"/>
            <w:noWrap/>
            <w:hideMark/>
          </w:tcPr>
          <w:p w14:paraId="207BFAE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Holliston</w:t>
            </w:r>
          </w:p>
        </w:tc>
        <w:tc>
          <w:tcPr>
            <w:tcW w:w="1148" w:type="dxa"/>
            <w:noWrap/>
            <w:hideMark/>
          </w:tcPr>
          <w:p w14:paraId="4F55E50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D3F5D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$21,289,179 </w:t>
            </w:r>
          </w:p>
        </w:tc>
        <w:tc>
          <w:tcPr>
            <w:tcW w:w="1786" w:type="dxa"/>
            <w:noWrap/>
            <w:hideMark/>
          </w:tcPr>
          <w:p w14:paraId="72E6BD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$6,258,872 </w:t>
            </w:r>
          </w:p>
        </w:tc>
        <w:tc>
          <w:tcPr>
            <w:tcW w:w="901" w:type="dxa"/>
            <w:noWrap/>
            <w:hideMark/>
          </w:tcPr>
          <w:p w14:paraId="190660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32.1%</w:t>
            </w:r>
          </w:p>
        </w:tc>
        <w:tc>
          <w:tcPr>
            <w:tcW w:w="1374" w:type="dxa"/>
            <w:noWrap/>
            <w:hideMark/>
          </w:tcPr>
          <w:p w14:paraId="24B1B8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w:t>
            </w:r>
          </w:p>
        </w:tc>
        <w:tc>
          <w:tcPr>
            <w:tcW w:w="1602" w:type="dxa"/>
            <w:noWrap/>
            <w:hideMark/>
          </w:tcPr>
          <w:p w14:paraId="51053B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$1,401,538</w:t>
            </w:r>
          </w:p>
        </w:tc>
        <w:tc>
          <w:tcPr>
            <w:tcW w:w="1264" w:type="dxa"/>
            <w:noWrap/>
            <w:hideMark/>
          </w:tcPr>
          <w:p w14:paraId="50D21C3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791B0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$27,996,289</w:t>
            </w:r>
          </w:p>
        </w:tc>
        <w:tc>
          <w:tcPr>
            <w:tcW w:w="1786" w:type="dxa"/>
            <w:noWrap/>
            <w:hideMark/>
          </w:tcPr>
          <w:p w14:paraId="1B3FC4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$7,936,216</w:t>
            </w:r>
          </w:p>
        </w:tc>
        <w:tc>
          <w:tcPr>
            <w:tcW w:w="901" w:type="dxa"/>
            <w:noWrap/>
            <w:hideMark/>
          </w:tcPr>
          <w:p w14:paraId="786381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27.6%</w:t>
            </w:r>
          </w:p>
        </w:tc>
        <w:tc>
          <w:tcPr>
            <w:tcW w:w="1374" w:type="dxa"/>
            <w:noWrap/>
            <w:hideMark/>
          </w:tcPr>
          <w:p w14:paraId="1C6A16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28.3%</w:t>
            </w:r>
          </w:p>
        </w:tc>
        <w:tc>
          <w:tcPr>
            <w:tcW w:w="1602" w:type="dxa"/>
            <w:noWrap/>
            <w:hideMark/>
          </w:tcPr>
          <w:p w14:paraId="2CDFEB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$207,546</w:t>
            </w:r>
          </w:p>
        </w:tc>
      </w:tr>
      <w:tr w:rsidR="008C6E34" w:rsidRPr="008C6E34" w14:paraId="064CF11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9752B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0137</w:t>
            </w:r>
          </w:p>
        </w:tc>
        <w:tc>
          <w:tcPr>
            <w:tcW w:w="2880" w:type="dxa"/>
            <w:noWrap/>
            <w:hideMark/>
          </w:tcPr>
          <w:p w14:paraId="2F4C08C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Holyoke</w:t>
            </w:r>
          </w:p>
        </w:tc>
        <w:tc>
          <w:tcPr>
            <w:tcW w:w="1148" w:type="dxa"/>
            <w:noWrap/>
            <w:hideMark/>
          </w:tcPr>
          <w:p w14:paraId="12FA524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83425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$72,388,532 </w:t>
            </w:r>
          </w:p>
        </w:tc>
        <w:tc>
          <w:tcPr>
            <w:tcW w:w="1786" w:type="dxa"/>
            <w:noWrap/>
            <w:hideMark/>
          </w:tcPr>
          <w:p w14:paraId="739AC4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$65,099,227 </w:t>
            </w:r>
          </w:p>
        </w:tc>
        <w:tc>
          <w:tcPr>
            <w:tcW w:w="901" w:type="dxa"/>
            <w:noWrap/>
            <w:hideMark/>
          </w:tcPr>
          <w:p w14:paraId="1360D2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80.8%</w:t>
            </w:r>
          </w:p>
        </w:tc>
        <w:tc>
          <w:tcPr>
            <w:tcW w:w="1374" w:type="dxa"/>
            <w:noWrap/>
            <w:hideMark/>
          </w:tcPr>
          <w:p w14:paraId="04871B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89.9%</w:t>
            </w:r>
          </w:p>
        </w:tc>
        <w:tc>
          <w:tcPr>
            <w:tcW w:w="1602" w:type="dxa"/>
            <w:noWrap/>
            <w:hideMark/>
          </w:tcPr>
          <w:p w14:paraId="4E2820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47DFB5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020D1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$88,111,146</w:t>
            </w:r>
          </w:p>
        </w:tc>
        <w:tc>
          <w:tcPr>
            <w:tcW w:w="1786" w:type="dxa"/>
            <w:noWrap/>
            <w:hideMark/>
          </w:tcPr>
          <w:p w14:paraId="260F87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$77,036,376</w:t>
            </w:r>
          </w:p>
        </w:tc>
        <w:tc>
          <w:tcPr>
            <w:tcW w:w="901" w:type="dxa"/>
            <w:noWrap/>
            <w:hideMark/>
          </w:tcPr>
          <w:p w14:paraId="3CCB8D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80.2%</w:t>
            </w:r>
          </w:p>
        </w:tc>
        <w:tc>
          <w:tcPr>
            <w:tcW w:w="1374" w:type="dxa"/>
            <w:noWrap/>
            <w:hideMark/>
          </w:tcPr>
          <w:p w14:paraId="68073C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87.4%</w:t>
            </w:r>
          </w:p>
        </w:tc>
        <w:tc>
          <w:tcPr>
            <w:tcW w:w="1602" w:type="dxa"/>
            <w:noWrap/>
            <w:hideMark/>
          </w:tcPr>
          <w:p w14:paraId="78AFAB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8B7C06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0C8BF2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0138</w:t>
            </w:r>
          </w:p>
        </w:tc>
        <w:tc>
          <w:tcPr>
            <w:tcW w:w="2880" w:type="dxa"/>
            <w:noWrap/>
            <w:hideMark/>
          </w:tcPr>
          <w:p w14:paraId="405A8B9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Hopedale</w:t>
            </w:r>
          </w:p>
        </w:tc>
        <w:tc>
          <w:tcPr>
            <w:tcW w:w="1148" w:type="dxa"/>
            <w:noWrap/>
            <w:hideMark/>
          </w:tcPr>
          <w:p w14:paraId="6CAB12A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9F84E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$8,292,537 </w:t>
            </w:r>
          </w:p>
        </w:tc>
        <w:tc>
          <w:tcPr>
            <w:tcW w:w="1786" w:type="dxa"/>
            <w:noWrap/>
            <w:hideMark/>
          </w:tcPr>
          <w:p w14:paraId="45E325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$5,621,974 </w:t>
            </w:r>
          </w:p>
        </w:tc>
        <w:tc>
          <w:tcPr>
            <w:tcW w:w="901" w:type="dxa"/>
            <w:noWrap/>
            <w:hideMark/>
          </w:tcPr>
          <w:p w14:paraId="362704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42.4%</w:t>
            </w:r>
          </w:p>
        </w:tc>
        <w:tc>
          <w:tcPr>
            <w:tcW w:w="1374" w:type="dxa"/>
            <w:noWrap/>
            <w:hideMark/>
          </w:tcPr>
          <w:p w14:paraId="11E578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67.8%</w:t>
            </w:r>
          </w:p>
        </w:tc>
        <w:tc>
          <w:tcPr>
            <w:tcW w:w="1602" w:type="dxa"/>
            <w:noWrap/>
            <w:hideMark/>
          </w:tcPr>
          <w:p w14:paraId="2B5153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A0A1E0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12F7C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$9,935,233</w:t>
            </w:r>
          </w:p>
        </w:tc>
        <w:tc>
          <w:tcPr>
            <w:tcW w:w="1786" w:type="dxa"/>
            <w:noWrap/>
            <w:hideMark/>
          </w:tcPr>
          <w:p w14:paraId="35B56E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$6,087,390</w:t>
            </w:r>
          </w:p>
        </w:tc>
        <w:tc>
          <w:tcPr>
            <w:tcW w:w="901" w:type="dxa"/>
            <w:noWrap/>
            <w:hideMark/>
          </w:tcPr>
          <w:p w14:paraId="0C4EEF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w:t>
            </w:r>
          </w:p>
        </w:tc>
        <w:tc>
          <w:tcPr>
            <w:tcW w:w="1374" w:type="dxa"/>
            <w:noWrap/>
            <w:hideMark/>
          </w:tcPr>
          <w:p w14:paraId="4B4824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61.3%</w:t>
            </w:r>
          </w:p>
        </w:tc>
        <w:tc>
          <w:tcPr>
            <w:tcW w:w="1602" w:type="dxa"/>
            <w:noWrap/>
            <w:hideMark/>
          </w:tcPr>
          <w:p w14:paraId="29B891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$1,938,613</w:t>
            </w:r>
          </w:p>
        </w:tc>
      </w:tr>
      <w:tr w:rsidR="008C6E34" w:rsidRPr="008C6E34" w14:paraId="384E510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C5E07D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0139</w:t>
            </w:r>
          </w:p>
        </w:tc>
        <w:tc>
          <w:tcPr>
            <w:tcW w:w="2880" w:type="dxa"/>
            <w:noWrap/>
            <w:hideMark/>
          </w:tcPr>
          <w:p w14:paraId="2E60833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Hopkinton</w:t>
            </w:r>
          </w:p>
        </w:tc>
        <w:tc>
          <w:tcPr>
            <w:tcW w:w="1148" w:type="dxa"/>
            <w:noWrap/>
            <w:hideMark/>
          </w:tcPr>
          <w:p w14:paraId="4796142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3908A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$25,867,183 </w:t>
            </w:r>
          </w:p>
        </w:tc>
        <w:tc>
          <w:tcPr>
            <w:tcW w:w="1786" w:type="dxa"/>
            <w:noWrap/>
            <w:hideMark/>
          </w:tcPr>
          <w:p w14:paraId="3B2D1B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$5,364,504 </w:t>
            </w:r>
          </w:p>
        </w:tc>
        <w:tc>
          <w:tcPr>
            <w:tcW w:w="901" w:type="dxa"/>
            <w:noWrap/>
            <w:hideMark/>
          </w:tcPr>
          <w:p w14:paraId="4C8213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w:t>
            </w:r>
          </w:p>
        </w:tc>
        <w:tc>
          <w:tcPr>
            <w:tcW w:w="1374" w:type="dxa"/>
            <w:noWrap/>
            <w:hideMark/>
          </w:tcPr>
          <w:p w14:paraId="35271C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602" w:type="dxa"/>
            <w:noWrap/>
            <w:hideMark/>
          </w:tcPr>
          <w:p w14:paraId="387E96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B617BF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5DD21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$39,305,560</w:t>
            </w:r>
          </w:p>
        </w:tc>
        <w:tc>
          <w:tcPr>
            <w:tcW w:w="1786" w:type="dxa"/>
            <w:noWrap/>
            <w:hideMark/>
          </w:tcPr>
          <w:p w14:paraId="5F5527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$7,021,215</w:t>
            </w:r>
          </w:p>
        </w:tc>
        <w:tc>
          <w:tcPr>
            <w:tcW w:w="901" w:type="dxa"/>
            <w:noWrap/>
            <w:hideMark/>
          </w:tcPr>
          <w:p w14:paraId="60E3CB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E14B8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w:t>
            </w:r>
          </w:p>
        </w:tc>
        <w:tc>
          <w:tcPr>
            <w:tcW w:w="1602" w:type="dxa"/>
            <w:noWrap/>
            <w:hideMark/>
          </w:tcPr>
          <w:p w14:paraId="1BEEEE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$30,264</w:t>
            </w:r>
          </w:p>
        </w:tc>
      </w:tr>
      <w:tr w:rsidR="008C6E34" w:rsidRPr="008C6E34" w14:paraId="7D643DD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F88457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0140</w:t>
            </w:r>
          </w:p>
        </w:tc>
        <w:tc>
          <w:tcPr>
            <w:tcW w:w="2880" w:type="dxa"/>
            <w:noWrap/>
            <w:hideMark/>
          </w:tcPr>
          <w:p w14:paraId="19DE266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Hubbardston</w:t>
            </w:r>
          </w:p>
        </w:tc>
        <w:tc>
          <w:tcPr>
            <w:tcW w:w="1148" w:type="dxa"/>
            <w:noWrap/>
            <w:hideMark/>
          </w:tcPr>
          <w:p w14:paraId="7A74D38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EE4AB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59A01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0256D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60.3%</w:t>
            </w:r>
          </w:p>
        </w:tc>
        <w:tc>
          <w:tcPr>
            <w:tcW w:w="1374" w:type="dxa"/>
            <w:noWrap/>
            <w:hideMark/>
          </w:tcPr>
          <w:p w14:paraId="06E249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22F77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1F859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F8B09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405E1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0B983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w:t>
            </w:r>
          </w:p>
        </w:tc>
        <w:tc>
          <w:tcPr>
            <w:tcW w:w="1374" w:type="dxa"/>
            <w:noWrap/>
            <w:hideMark/>
          </w:tcPr>
          <w:p w14:paraId="77FDC6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DA426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E946B6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9A4DA5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0141</w:t>
            </w:r>
          </w:p>
        </w:tc>
        <w:tc>
          <w:tcPr>
            <w:tcW w:w="2880" w:type="dxa"/>
            <w:noWrap/>
            <w:hideMark/>
          </w:tcPr>
          <w:p w14:paraId="1459EE7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Hudson</w:t>
            </w:r>
          </w:p>
        </w:tc>
        <w:tc>
          <w:tcPr>
            <w:tcW w:w="1148" w:type="dxa"/>
            <w:noWrap/>
            <w:hideMark/>
          </w:tcPr>
          <w:p w14:paraId="591D118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B3770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$20,737,186 </w:t>
            </w:r>
          </w:p>
        </w:tc>
        <w:tc>
          <w:tcPr>
            <w:tcW w:w="1786" w:type="dxa"/>
            <w:noWrap/>
            <w:hideMark/>
          </w:tcPr>
          <w:p w14:paraId="28ED02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$5,923,344 </w:t>
            </w:r>
          </w:p>
        </w:tc>
        <w:tc>
          <w:tcPr>
            <w:tcW w:w="901" w:type="dxa"/>
            <w:noWrap/>
            <w:hideMark/>
          </w:tcPr>
          <w:p w14:paraId="27740B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32.8%</w:t>
            </w:r>
          </w:p>
        </w:tc>
        <w:tc>
          <w:tcPr>
            <w:tcW w:w="1374" w:type="dxa"/>
            <w:noWrap/>
            <w:hideMark/>
          </w:tcPr>
          <w:p w14:paraId="29E568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28.6%</w:t>
            </w:r>
          </w:p>
        </w:tc>
        <w:tc>
          <w:tcPr>
            <w:tcW w:w="1602" w:type="dxa"/>
            <w:noWrap/>
            <w:hideMark/>
          </w:tcPr>
          <w:p w14:paraId="60EA7F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$132,893</w:t>
            </w:r>
          </w:p>
        </w:tc>
        <w:tc>
          <w:tcPr>
            <w:tcW w:w="1264" w:type="dxa"/>
            <w:noWrap/>
            <w:hideMark/>
          </w:tcPr>
          <w:p w14:paraId="1F314F1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1B307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$29,439,397</w:t>
            </w:r>
          </w:p>
        </w:tc>
        <w:tc>
          <w:tcPr>
            <w:tcW w:w="1786" w:type="dxa"/>
            <w:noWrap/>
            <w:hideMark/>
          </w:tcPr>
          <w:p w14:paraId="0C389E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$12,020,446</w:t>
            </w:r>
          </w:p>
        </w:tc>
        <w:tc>
          <w:tcPr>
            <w:tcW w:w="901" w:type="dxa"/>
            <w:noWrap/>
            <w:hideMark/>
          </w:tcPr>
          <w:p w14:paraId="73172E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w:t>
            </w:r>
          </w:p>
        </w:tc>
        <w:tc>
          <w:tcPr>
            <w:tcW w:w="1374" w:type="dxa"/>
            <w:noWrap/>
            <w:hideMark/>
          </w:tcPr>
          <w:p w14:paraId="5B5B29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w:t>
            </w:r>
          </w:p>
        </w:tc>
        <w:tc>
          <w:tcPr>
            <w:tcW w:w="1602" w:type="dxa"/>
            <w:noWrap/>
            <w:hideMark/>
          </w:tcPr>
          <w:p w14:paraId="535929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$315,778</w:t>
            </w:r>
          </w:p>
        </w:tc>
      </w:tr>
      <w:tr w:rsidR="008C6E34" w:rsidRPr="008C6E34" w14:paraId="744ED51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EE995C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0142</w:t>
            </w:r>
          </w:p>
        </w:tc>
        <w:tc>
          <w:tcPr>
            <w:tcW w:w="2880" w:type="dxa"/>
            <w:noWrap/>
            <w:hideMark/>
          </w:tcPr>
          <w:p w14:paraId="2224C09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Hull</w:t>
            </w:r>
          </w:p>
        </w:tc>
        <w:tc>
          <w:tcPr>
            <w:tcW w:w="1148" w:type="dxa"/>
            <w:noWrap/>
            <w:hideMark/>
          </w:tcPr>
          <w:p w14:paraId="76FC9ED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4669D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$11,214,367 </w:t>
            </w:r>
          </w:p>
        </w:tc>
        <w:tc>
          <w:tcPr>
            <w:tcW w:w="1786" w:type="dxa"/>
            <w:noWrap/>
            <w:hideMark/>
          </w:tcPr>
          <w:p w14:paraId="7FAEB0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$3,756,143 </w:t>
            </w:r>
          </w:p>
        </w:tc>
        <w:tc>
          <w:tcPr>
            <w:tcW w:w="901" w:type="dxa"/>
            <w:noWrap/>
            <w:hideMark/>
          </w:tcPr>
          <w:p w14:paraId="6BAA8B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8A5CC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33.5%</w:t>
            </w:r>
          </w:p>
        </w:tc>
        <w:tc>
          <w:tcPr>
            <w:tcW w:w="1602" w:type="dxa"/>
            <w:noWrap/>
            <w:hideMark/>
          </w:tcPr>
          <w:p w14:paraId="5BA0C6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$1,926,087</w:t>
            </w:r>
          </w:p>
        </w:tc>
        <w:tc>
          <w:tcPr>
            <w:tcW w:w="1264" w:type="dxa"/>
            <w:noWrap/>
            <w:hideMark/>
          </w:tcPr>
          <w:p w14:paraId="41F084B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3217C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$10,718,332</w:t>
            </w:r>
          </w:p>
        </w:tc>
        <w:tc>
          <w:tcPr>
            <w:tcW w:w="1786" w:type="dxa"/>
            <w:noWrap/>
            <w:hideMark/>
          </w:tcPr>
          <w:p w14:paraId="76A142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$3,874,466</w:t>
            </w:r>
          </w:p>
        </w:tc>
        <w:tc>
          <w:tcPr>
            <w:tcW w:w="901" w:type="dxa"/>
            <w:noWrap/>
            <w:hideMark/>
          </w:tcPr>
          <w:p w14:paraId="237307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EFDB5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36.1%</w:t>
            </w:r>
          </w:p>
        </w:tc>
        <w:tc>
          <w:tcPr>
            <w:tcW w:w="1602" w:type="dxa"/>
            <w:noWrap/>
            <w:hideMark/>
          </w:tcPr>
          <w:p w14:paraId="363A43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$1,898,068</w:t>
            </w:r>
          </w:p>
        </w:tc>
      </w:tr>
      <w:tr w:rsidR="008C6E34" w:rsidRPr="008C6E34" w14:paraId="44308D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50C1B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0143</w:t>
            </w:r>
          </w:p>
        </w:tc>
        <w:tc>
          <w:tcPr>
            <w:tcW w:w="2880" w:type="dxa"/>
            <w:noWrap/>
            <w:hideMark/>
          </w:tcPr>
          <w:p w14:paraId="28239F4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Huntington</w:t>
            </w:r>
          </w:p>
        </w:tc>
        <w:tc>
          <w:tcPr>
            <w:tcW w:w="1148" w:type="dxa"/>
            <w:noWrap/>
            <w:hideMark/>
          </w:tcPr>
          <w:p w14:paraId="79A364C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C5E00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$216,116 </w:t>
            </w:r>
          </w:p>
        </w:tc>
        <w:tc>
          <w:tcPr>
            <w:tcW w:w="1786" w:type="dxa"/>
            <w:noWrap/>
            <w:hideMark/>
          </w:tcPr>
          <w:p w14:paraId="0D3DA9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$144,631 </w:t>
            </w:r>
          </w:p>
        </w:tc>
        <w:tc>
          <w:tcPr>
            <w:tcW w:w="901" w:type="dxa"/>
            <w:noWrap/>
            <w:hideMark/>
          </w:tcPr>
          <w:p w14:paraId="11A975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61.7%</w:t>
            </w:r>
          </w:p>
        </w:tc>
        <w:tc>
          <w:tcPr>
            <w:tcW w:w="1374" w:type="dxa"/>
            <w:noWrap/>
            <w:hideMark/>
          </w:tcPr>
          <w:p w14:paraId="2D02D6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66.9%</w:t>
            </w:r>
          </w:p>
        </w:tc>
        <w:tc>
          <w:tcPr>
            <w:tcW w:w="1602" w:type="dxa"/>
            <w:noWrap/>
            <w:hideMark/>
          </w:tcPr>
          <w:p w14:paraId="60EE1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$2,900</w:t>
            </w:r>
          </w:p>
        </w:tc>
        <w:tc>
          <w:tcPr>
            <w:tcW w:w="1264" w:type="dxa"/>
            <w:noWrap/>
            <w:hideMark/>
          </w:tcPr>
          <w:p w14:paraId="290469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9566E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$372,091</w:t>
            </w:r>
          </w:p>
        </w:tc>
        <w:tc>
          <w:tcPr>
            <w:tcW w:w="1786" w:type="dxa"/>
            <w:noWrap/>
            <w:hideMark/>
          </w:tcPr>
          <w:p w14:paraId="73E4C8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$257,686</w:t>
            </w:r>
          </w:p>
        </w:tc>
        <w:tc>
          <w:tcPr>
            <w:tcW w:w="901" w:type="dxa"/>
            <w:noWrap/>
            <w:hideMark/>
          </w:tcPr>
          <w:p w14:paraId="2AE102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52.3%</w:t>
            </w:r>
          </w:p>
        </w:tc>
        <w:tc>
          <w:tcPr>
            <w:tcW w:w="1374" w:type="dxa"/>
            <w:noWrap/>
            <w:hideMark/>
          </w:tcPr>
          <w:p w14:paraId="152314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69.3%</w:t>
            </w:r>
          </w:p>
        </w:tc>
        <w:tc>
          <w:tcPr>
            <w:tcW w:w="1602" w:type="dxa"/>
            <w:noWrap/>
            <w:hideMark/>
          </w:tcPr>
          <w:p w14:paraId="7DC9DD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$62,972</w:t>
            </w:r>
          </w:p>
        </w:tc>
      </w:tr>
      <w:tr w:rsidR="008C6E34" w:rsidRPr="008C6E34" w14:paraId="343E6B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5B86B7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0144</w:t>
            </w:r>
          </w:p>
        </w:tc>
        <w:tc>
          <w:tcPr>
            <w:tcW w:w="2880" w:type="dxa"/>
            <w:noWrap/>
            <w:hideMark/>
          </w:tcPr>
          <w:p w14:paraId="5EFE5AA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Ipswich</w:t>
            </w:r>
          </w:p>
        </w:tc>
        <w:tc>
          <w:tcPr>
            <w:tcW w:w="1148" w:type="dxa"/>
            <w:noWrap/>
            <w:hideMark/>
          </w:tcPr>
          <w:p w14:paraId="5EE80C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7413D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$14,992,138 </w:t>
            </w:r>
          </w:p>
        </w:tc>
        <w:tc>
          <w:tcPr>
            <w:tcW w:w="1786" w:type="dxa"/>
            <w:noWrap/>
            <w:hideMark/>
          </w:tcPr>
          <w:p w14:paraId="6CE5A2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$2,232,902 </w:t>
            </w:r>
          </w:p>
        </w:tc>
        <w:tc>
          <w:tcPr>
            <w:tcW w:w="901" w:type="dxa"/>
            <w:noWrap/>
            <w:hideMark/>
          </w:tcPr>
          <w:p w14:paraId="4084BE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F895E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14.9%</w:t>
            </w:r>
          </w:p>
        </w:tc>
        <w:tc>
          <w:tcPr>
            <w:tcW w:w="1602" w:type="dxa"/>
            <w:noWrap/>
            <w:hideMark/>
          </w:tcPr>
          <w:p w14:paraId="13FCCE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$397,360</w:t>
            </w:r>
          </w:p>
        </w:tc>
        <w:tc>
          <w:tcPr>
            <w:tcW w:w="1264" w:type="dxa"/>
            <w:noWrap/>
            <w:hideMark/>
          </w:tcPr>
          <w:p w14:paraId="6481E36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5FD41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$18,376,694</w:t>
            </w:r>
          </w:p>
        </w:tc>
        <w:tc>
          <w:tcPr>
            <w:tcW w:w="1786" w:type="dxa"/>
            <w:noWrap/>
            <w:hideMark/>
          </w:tcPr>
          <w:p w14:paraId="3FBD30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$3,332,340</w:t>
            </w:r>
          </w:p>
        </w:tc>
        <w:tc>
          <w:tcPr>
            <w:tcW w:w="901" w:type="dxa"/>
            <w:noWrap/>
            <w:hideMark/>
          </w:tcPr>
          <w:p w14:paraId="58081E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A7485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w:t>
            </w:r>
          </w:p>
        </w:tc>
        <w:tc>
          <w:tcPr>
            <w:tcW w:w="1602" w:type="dxa"/>
            <w:noWrap/>
            <w:hideMark/>
          </w:tcPr>
          <w:p w14:paraId="7326D8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$116,418</w:t>
            </w:r>
          </w:p>
        </w:tc>
      </w:tr>
      <w:tr w:rsidR="008C6E34" w:rsidRPr="008C6E34" w14:paraId="737DC3D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9B628F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0145</w:t>
            </w:r>
          </w:p>
        </w:tc>
        <w:tc>
          <w:tcPr>
            <w:tcW w:w="2880" w:type="dxa"/>
            <w:noWrap/>
            <w:hideMark/>
          </w:tcPr>
          <w:p w14:paraId="3C4E400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Kingston</w:t>
            </w:r>
          </w:p>
        </w:tc>
        <w:tc>
          <w:tcPr>
            <w:tcW w:w="1148" w:type="dxa"/>
            <w:noWrap/>
            <w:hideMark/>
          </w:tcPr>
          <w:p w14:paraId="20FB448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27FDB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$8,273,057 </w:t>
            </w:r>
          </w:p>
        </w:tc>
        <w:tc>
          <w:tcPr>
            <w:tcW w:w="1786" w:type="dxa"/>
            <w:noWrap/>
            <w:hideMark/>
          </w:tcPr>
          <w:p w14:paraId="5E0C51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$3,382,518 </w:t>
            </w:r>
          </w:p>
        </w:tc>
        <w:tc>
          <w:tcPr>
            <w:tcW w:w="901" w:type="dxa"/>
            <w:noWrap/>
            <w:hideMark/>
          </w:tcPr>
          <w:p w14:paraId="19AD7D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33.2%</w:t>
            </w:r>
          </w:p>
        </w:tc>
        <w:tc>
          <w:tcPr>
            <w:tcW w:w="1374" w:type="dxa"/>
            <w:noWrap/>
            <w:hideMark/>
          </w:tcPr>
          <w:p w14:paraId="2FA245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40.9%</w:t>
            </w:r>
          </w:p>
        </w:tc>
        <w:tc>
          <w:tcPr>
            <w:tcW w:w="1602" w:type="dxa"/>
            <w:noWrap/>
            <w:hideMark/>
          </w:tcPr>
          <w:p w14:paraId="7F3F86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$158,089</w:t>
            </w:r>
          </w:p>
        </w:tc>
        <w:tc>
          <w:tcPr>
            <w:tcW w:w="1264" w:type="dxa"/>
            <w:noWrap/>
            <w:hideMark/>
          </w:tcPr>
          <w:p w14:paraId="430925E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1001C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$11,332,154</w:t>
            </w:r>
          </w:p>
        </w:tc>
        <w:tc>
          <w:tcPr>
            <w:tcW w:w="1786" w:type="dxa"/>
            <w:noWrap/>
            <w:hideMark/>
          </w:tcPr>
          <w:p w14:paraId="0C5652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$4,372,585</w:t>
            </w:r>
          </w:p>
        </w:tc>
        <w:tc>
          <w:tcPr>
            <w:tcW w:w="901" w:type="dxa"/>
            <w:noWrap/>
            <w:hideMark/>
          </w:tcPr>
          <w:p w14:paraId="66ADC3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32.5%</w:t>
            </w:r>
          </w:p>
        </w:tc>
        <w:tc>
          <w:tcPr>
            <w:tcW w:w="1374" w:type="dxa"/>
            <w:noWrap/>
            <w:hideMark/>
          </w:tcPr>
          <w:p w14:paraId="333323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w:t>
            </w:r>
          </w:p>
        </w:tc>
        <w:tc>
          <w:tcPr>
            <w:tcW w:w="1602" w:type="dxa"/>
            <w:noWrap/>
            <w:hideMark/>
          </w:tcPr>
          <w:p w14:paraId="4BED8E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$355,098</w:t>
            </w:r>
          </w:p>
        </w:tc>
      </w:tr>
      <w:tr w:rsidR="008C6E34" w:rsidRPr="008C6E34" w14:paraId="02D7C13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ACFCE1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0146</w:t>
            </w:r>
          </w:p>
        </w:tc>
        <w:tc>
          <w:tcPr>
            <w:tcW w:w="2880" w:type="dxa"/>
            <w:noWrap/>
            <w:hideMark/>
          </w:tcPr>
          <w:p w14:paraId="5121922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Lakeville</w:t>
            </w:r>
          </w:p>
        </w:tc>
        <w:tc>
          <w:tcPr>
            <w:tcW w:w="1148" w:type="dxa"/>
            <w:noWrap/>
            <w:hideMark/>
          </w:tcPr>
          <w:p w14:paraId="0FF1E26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D874E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$5,190,671 </w:t>
            </w:r>
          </w:p>
        </w:tc>
        <w:tc>
          <w:tcPr>
            <w:tcW w:w="1786" w:type="dxa"/>
            <w:noWrap/>
            <w:hideMark/>
          </w:tcPr>
          <w:p w14:paraId="5AD2D0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$2,301,087 </w:t>
            </w:r>
          </w:p>
        </w:tc>
        <w:tc>
          <w:tcPr>
            <w:tcW w:w="901" w:type="dxa"/>
            <w:noWrap/>
            <w:hideMark/>
          </w:tcPr>
          <w:p w14:paraId="64A364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38.4%</w:t>
            </w:r>
          </w:p>
        </w:tc>
        <w:tc>
          <w:tcPr>
            <w:tcW w:w="1374" w:type="dxa"/>
            <w:noWrap/>
            <w:hideMark/>
          </w:tcPr>
          <w:p w14:paraId="6B4C03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w:t>
            </w:r>
          </w:p>
        </w:tc>
        <w:tc>
          <w:tcPr>
            <w:tcW w:w="1602" w:type="dxa"/>
            <w:noWrap/>
            <w:hideMark/>
          </w:tcPr>
          <w:p w14:paraId="5E2056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99A236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94C0E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$242,744</w:t>
            </w:r>
          </w:p>
        </w:tc>
        <w:tc>
          <w:tcPr>
            <w:tcW w:w="1786" w:type="dxa"/>
            <w:noWrap/>
            <w:hideMark/>
          </w:tcPr>
          <w:p w14:paraId="05CDF7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$86,148</w:t>
            </w:r>
          </w:p>
        </w:tc>
        <w:tc>
          <w:tcPr>
            <w:tcW w:w="901" w:type="dxa"/>
            <w:noWrap/>
            <w:hideMark/>
          </w:tcPr>
          <w:p w14:paraId="4992D9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33.0%</w:t>
            </w:r>
          </w:p>
        </w:tc>
        <w:tc>
          <w:tcPr>
            <w:tcW w:w="1374" w:type="dxa"/>
            <w:noWrap/>
            <w:hideMark/>
          </w:tcPr>
          <w:p w14:paraId="21B82E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w:t>
            </w:r>
          </w:p>
        </w:tc>
        <w:tc>
          <w:tcPr>
            <w:tcW w:w="1602" w:type="dxa"/>
            <w:noWrap/>
            <w:hideMark/>
          </w:tcPr>
          <w:p w14:paraId="31CF90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w:t>
            </w:r>
          </w:p>
        </w:tc>
      </w:tr>
      <w:tr w:rsidR="008C6E34" w:rsidRPr="008C6E34" w14:paraId="196E9A9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1BFBF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0147</w:t>
            </w:r>
          </w:p>
        </w:tc>
        <w:tc>
          <w:tcPr>
            <w:tcW w:w="2880" w:type="dxa"/>
            <w:noWrap/>
            <w:hideMark/>
          </w:tcPr>
          <w:p w14:paraId="0E9D702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Lancaster</w:t>
            </w:r>
          </w:p>
        </w:tc>
        <w:tc>
          <w:tcPr>
            <w:tcW w:w="1148" w:type="dxa"/>
            <w:noWrap/>
            <w:hideMark/>
          </w:tcPr>
          <w:p w14:paraId="48E333B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F4502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56E5F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652E3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w:t>
            </w:r>
          </w:p>
        </w:tc>
        <w:tc>
          <w:tcPr>
            <w:tcW w:w="1374" w:type="dxa"/>
            <w:noWrap/>
            <w:hideMark/>
          </w:tcPr>
          <w:p w14:paraId="04F561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4B5DC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FD04B5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4E7F1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132FB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BDD49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30.2%</w:t>
            </w:r>
          </w:p>
        </w:tc>
        <w:tc>
          <w:tcPr>
            <w:tcW w:w="1374" w:type="dxa"/>
            <w:noWrap/>
            <w:hideMark/>
          </w:tcPr>
          <w:p w14:paraId="7366D8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B9B21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01D40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2E3A8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0148</w:t>
            </w:r>
          </w:p>
        </w:tc>
        <w:tc>
          <w:tcPr>
            <w:tcW w:w="2880" w:type="dxa"/>
            <w:noWrap/>
            <w:hideMark/>
          </w:tcPr>
          <w:p w14:paraId="5F87F71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Lanesborough</w:t>
            </w:r>
          </w:p>
        </w:tc>
        <w:tc>
          <w:tcPr>
            <w:tcW w:w="1148" w:type="dxa"/>
            <w:noWrap/>
            <w:hideMark/>
          </w:tcPr>
          <w:p w14:paraId="7E1E904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59208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$2,000,612 </w:t>
            </w:r>
          </w:p>
        </w:tc>
        <w:tc>
          <w:tcPr>
            <w:tcW w:w="1786" w:type="dxa"/>
            <w:noWrap/>
            <w:hideMark/>
          </w:tcPr>
          <w:p w14:paraId="7E4CAC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$598,920 </w:t>
            </w:r>
          </w:p>
        </w:tc>
        <w:tc>
          <w:tcPr>
            <w:tcW w:w="901" w:type="dxa"/>
            <w:noWrap/>
            <w:hideMark/>
          </w:tcPr>
          <w:p w14:paraId="5E8B1D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47.5%</w:t>
            </w:r>
          </w:p>
        </w:tc>
        <w:tc>
          <w:tcPr>
            <w:tcW w:w="1374" w:type="dxa"/>
            <w:noWrap/>
            <w:hideMark/>
          </w:tcPr>
          <w:p w14:paraId="1A0077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29.9%</w:t>
            </w:r>
          </w:p>
        </w:tc>
        <w:tc>
          <w:tcPr>
            <w:tcW w:w="1602" w:type="dxa"/>
            <w:noWrap/>
            <w:hideMark/>
          </w:tcPr>
          <w:p w14:paraId="1EFF2B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$234,636</w:t>
            </w:r>
          </w:p>
        </w:tc>
        <w:tc>
          <w:tcPr>
            <w:tcW w:w="1264" w:type="dxa"/>
            <w:noWrap/>
            <w:hideMark/>
          </w:tcPr>
          <w:p w14:paraId="3E3DB87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0DAA0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E39C4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926A1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41.8%</w:t>
            </w:r>
          </w:p>
        </w:tc>
        <w:tc>
          <w:tcPr>
            <w:tcW w:w="1374" w:type="dxa"/>
            <w:noWrap/>
            <w:hideMark/>
          </w:tcPr>
          <w:p w14:paraId="6A1242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98CF8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7EF35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D40CC7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0149</w:t>
            </w:r>
          </w:p>
        </w:tc>
        <w:tc>
          <w:tcPr>
            <w:tcW w:w="2880" w:type="dxa"/>
            <w:noWrap/>
            <w:hideMark/>
          </w:tcPr>
          <w:p w14:paraId="49EFBF4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Lawrence</w:t>
            </w:r>
          </w:p>
        </w:tc>
        <w:tc>
          <w:tcPr>
            <w:tcW w:w="1148" w:type="dxa"/>
            <w:noWrap/>
            <w:hideMark/>
          </w:tcPr>
          <w:p w14:paraId="0D89D16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B33F2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$127,369,323 </w:t>
            </w:r>
          </w:p>
        </w:tc>
        <w:tc>
          <w:tcPr>
            <w:tcW w:w="1786" w:type="dxa"/>
            <w:noWrap/>
            <w:hideMark/>
          </w:tcPr>
          <w:p w14:paraId="12F58E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$123,087,075 </w:t>
            </w:r>
          </w:p>
        </w:tc>
        <w:tc>
          <w:tcPr>
            <w:tcW w:w="901" w:type="dxa"/>
            <w:noWrap/>
            <w:hideMark/>
          </w:tcPr>
          <w:p w14:paraId="715F95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84.7%</w:t>
            </w:r>
          </w:p>
        </w:tc>
        <w:tc>
          <w:tcPr>
            <w:tcW w:w="1374" w:type="dxa"/>
            <w:noWrap/>
            <w:hideMark/>
          </w:tcPr>
          <w:p w14:paraId="7B00D8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96.6%</w:t>
            </w:r>
          </w:p>
        </w:tc>
        <w:tc>
          <w:tcPr>
            <w:tcW w:w="1602" w:type="dxa"/>
            <w:noWrap/>
            <w:hideMark/>
          </w:tcPr>
          <w:p w14:paraId="6A89A8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$304,904</w:t>
            </w:r>
          </w:p>
        </w:tc>
        <w:tc>
          <w:tcPr>
            <w:tcW w:w="1264" w:type="dxa"/>
            <w:noWrap/>
            <w:hideMark/>
          </w:tcPr>
          <w:p w14:paraId="3E2198E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9F4DB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$210,870,987</w:t>
            </w:r>
          </w:p>
        </w:tc>
        <w:tc>
          <w:tcPr>
            <w:tcW w:w="1786" w:type="dxa"/>
            <w:noWrap/>
            <w:hideMark/>
          </w:tcPr>
          <w:p w14:paraId="319D11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$199,995,369</w:t>
            </w:r>
          </w:p>
        </w:tc>
        <w:tc>
          <w:tcPr>
            <w:tcW w:w="901" w:type="dxa"/>
            <w:noWrap/>
            <w:hideMark/>
          </w:tcPr>
          <w:p w14:paraId="71B38E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85.9%</w:t>
            </w:r>
          </w:p>
        </w:tc>
        <w:tc>
          <w:tcPr>
            <w:tcW w:w="1374" w:type="dxa"/>
            <w:noWrap/>
            <w:hideMark/>
          </w:tcPr>
          <w:p w14:paraId="106F56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94.8%</w:t>
            </w:r>
          </w:p>
        </w:tc>
        <w:tc>
          <w:tcPr>
            <w:tcW w:w="1602" w:type="dxa"/>
            <w:noWrap/>
            <w:hideMark/>
          </w:tcPr>
          <w:p w14:paraId="1A4584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A5BC5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EF5E66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0150</w:t>
            </w:r>
          </w:p>
        </w:tc>
        <w:tc>
          <w:tcPr>
            <w:tcW w:w="2880" w:type="dxa"/>
            <w:noWrap/>
            <w:hideMark/>
          </w:tcPr>
          <w:p w14:paraId="2A93B9C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Lee</w:t>
            </w:r>
          </w:p>
        </w:tc>
        <w:tc>
          <w:tcPr>
            <w:tcW w:w="1148" w:type="dxa"/>
            <w:noWrap/>
            <w:hideMark/>
          </w:tcPr>
          <w:p w14:paraId="004AFD6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7E756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$6,350,292 </w:t>
            </w:r>
          </w:p>
        </w:tc>
        <w:tc>
          <w:tcPr>
            <w:tcW w:w="1786" w:type="dxa"/>
            <w:noWrap/>
            <w:hideMark/>
          </w:tcPr>
          <w:p w14:paraId="60E55B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$1,676,639 </w:t>
            </w:r>
          </w:p>
        </w:tc>
        <w:tc>
          <w:tcPr>
            <w:tcW w:w="901" w:type="dxa"/>
            <w:noWrap/>
            <w:hideMark/>
          </w:tcPr>
          <w:p w14:paraId="59EE5C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29.6%</w:t>
            </w:r>
          </w:p>
        </w:tc>
        <w:tc>
          <w:tcPr>
            <w:tcW w:w="1374" w:type="dxa"/>
            <w:noWrap/>
            <w:hideMark/>
          </w:tcPr>
          <w:p w14:paraId="284FDA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w:t>
            </w:r>
          </w:p>
        </w:tc>
        <w:tc>
          <w:tcPr>
            <w:tcW w:w="1602" w:type="dxa"/>
            <w:noWrap/>
            <w:hideMark/>
          </w:tcPr>
          <w:p w14:paraId="1A874C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$500,472</w:t>
            </w:r>
          </w:p>
        </w:tc>
        <w:tc>
          <w:tcPr>
            <w:tcW w:w="1264" w:type="dxa"/>
            <w:noWrap/>
            <w:hideMark/>
          </w:tcPr>
          <w:p w14:paraId="5383C5B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14552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$7,374,238</w:t>
            </w:r>
          </w:p>
        </w:tc>
        <w:tc>
          <w:tcPr>
            <w:tcW w:w="1786" w:type="dxa"/>
            <w:noWrap/>
            <w:hideMark/>
          </w:tcPr>
          <w:p w14:paraId="5B69A2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$2,085,069</w:t>
            </w:r>
          </w:p>
        </w:tc>
        <w:tc>
          <w:tcPr>
            <w:tcW w:w="901" w:type="dxa"/>
            <w:noWrap/>
            <w:hideMark/>
          </w:tcPr>
          <w:p w14:paraId="7E90AF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w:t>
            </w:r>
          </w:p>
        </w:tc>
        <w:tc>
          <w:tcPr>
            <w:tcW w:w="1374" w:type="dxa"/>
            <w:noWrap/>
            <w:hideMark/>
          </w:tcPr>
          <w:p w14:paraId="0F9CB7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28.3%</w:t>
            </w:r>
          </w:p>
        </w:tc>
        <w:tc>
          <w:tcPr>
            <w:tcW w:w="1602" w:type="dxa"/>
            <w:noWrap/>
            <w:hideMark/>
          </w:tcPr>
          <w:p w14:paraId="0A43E9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$569,721</w:t>
            </w:r>
          </w:p>
        </w:tc>
      </w:tr>
      <w:tr w:rsidR="008C6E34" w:rsidRPr="008C6E34" w14:paraId="4A5968D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DC0852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0151</w:t>
            </w:r>
          </w:p>
        </w:tc>
        <w:tc>
          <w:tcPr>
            <w:tcW w:w="2880" w:type="dxa"/>
            <w:noWrap/>
            <w:hideMark/>
          </w:tcPr>
          <w:p w14:paraId="3DC19CD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Leicester</w:t>
            </w:r>
          </w:p>
        </w:tc>
        <w:tc>
          <w:tcPr>
            <w:tcW w:w="1148" w:type="dxa"/>
            <w:noWrap/>
            <w:hideMark/>
          </w:tcPr>
          <w:p w14:paraId="47AA8BE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4C594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$14,951,710 </w:t>
            </w:r>
          </w:p>
        </w:tc>
        <w:tc>
          <w:tcPr>
            <w:tcW w:w="1786" w:type="dxa"/>
            <w:noWrap/>
            <w:hideMark/>
          </w:tcPr>
          <w:p w14:paraId="5AF10A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$9,273,246 </w:t>
            </w:r>
          </w:p>
        </w:tc>
        <w:tc>
          <w:tcPr>
            <w:tcW w:w="901" w:type="dxa"/>
            <w:noWrap/>
            <w:hideMark/>
          </w:tcPr>
          <w:p w14:paraId="6C3CB9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58.0%</w:t>
            </w:r>
          </w:p>
        </w:tc>
        <w:tc>
          <w:tcPr>
            <w:tcW w:w="1374" w:type="dxa"/>
            <w:noWrap/>
            <w:hideMark/>
          </w:tcPr>
          <w:p w14:paraId="70B6A4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62.0%</w:t>
            </w:r>
          </w:p>
        </w:tc>
        <w:tc>
          <w:tcPr>
            <w:tcW w:w="1602" w:type="dxa"/>
            <w:noWrap/>
            <w:hideMark/>
          </w:tcPr>
          <w:p w14:paraId="29D75A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$327,124</w:t>
            </w:r>
          </w:p>
        </w:tc>
        <w:tc>
          <w:tcPr>
            <w:tcW w:w="1264" w:type="dxa"/>
            <w:noWrap/>
            <w:hideMark/>
          </w:tcPr>
          <w:p w14:paraId="45B51DF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04BEE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$17,701,915</w:t>
            </w:r>
          </w:p>
        </w:tc>
        <w:tc>
          <w:tcPr>
            <w:tcW w:w="1786" w:type="dxa"/>
            <w:noWrap/>
            <w:hideMark/>
          </w:tcPr>
          <w:p w14:paraId="0C1775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$9,802,497</w:t>
            </w:r>
          </w:p>
        </w:tc>
        <w:tc>
          <w:tcPr>
            <w:tcW w:w="901" w:type="dxa"/>
            <w:noWrap/>
            <w:hideMark/>
          </w:tcPr>
          <w:p w14:paraId="7B0246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52.7%</w:t>
            </w:r>
          </w:p>
        </w:tc>
        <w:tc>
          <w:tcPr>
            <w:tcW w:w="1374" w:type="dxa"/>
            <w:noWrap/>
            <w:hideMark/>
          </w:tcPr>
          <w:p w14:paraId="215C2D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602" w:type="dxa"/>
            <w:noWrap/>
            <w:hideMark/>
          </w:tcPr>
          <w:p w14:paraId="684216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$470,050</w:t>
            </w:r>
          </w:p>
        </w:tc>
      </w:tr>
      <w:tr w:rsidR="008C6E34" w:rsidRPr="008C6E34" w14:paraId="70D581D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3186F5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0152</w:t>
            </w:r>
          </w:p>
        </w:tc>
        <w:tc>
          <w:tcPr>
            <w:tcW w:w="2880" w:type="dxa"/>
            <w:noWrap/>
            <w:hideMark/>
          </w:tcPr>
          <w:p w14:paraId="3B74A8B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Lenox</w:t>
            </w:r>
          </w:p>
        </w:tc>
        <w:tc>
          <w:tcPr>
            <w:tcW w:w="1148" w:type="dxa"/>
            <w:noWrap/>
            <w:hideMark/>
          </w:tcPr>
          <w:p w14:paraId="05791FD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2C841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$5,557,058 </w:t>
            </w:r>
          </w:p>
        </w:tc>
        <w:tc>
          <w:tcPr>
            <w:tcW w:w="1786" w:type="dxa"/>
            <w:noWrap/>
            <w:hideMark/>
          </w:tcPr>
          <w:p w14:paraId="278B21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$1,149,223 </w:t>
            </w:r>
          </w:p>
        </w:tc>
        <w:tc>
          <w:tcPr>
            <w:tcW w:w="901" w:type="dxa"/>
            <w:noWrap/>
            <w:hideMark/>
          </w:tcPr>
          <w:p w14:paraId="1F7F95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C96A4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602" w:type="dxa"/>
            <w:noWrap/>
            <w:hideMark/>
          </w:tcPr>
          <w:p w14:paraId="3A3FA4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$1,149,223</w:t>
            </w:r>
          </w:p>
        </w:tc>
        <w:tc>
          <w:tcPr>
            <w:tcW w:w="1264" w:type="dxa"/>
            <w:noWrap/>
            <w:hideMark/>
          </w:tcPr>
          <w:p w14:paraId="36A6EEA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D1DDB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$5,511,982</w:t>
            </w:r>
          </w:p>
        </w:tc>
        <w:tc>
          <w:tcPr>
            <w:tcW w:w="1786" w:type="dxa"/>
            <w:noWrap/>
            <w:hideMark/>
          </w:tcPr>
          <w:p w14:paraId="3D7C7F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$1,272,525</w:t>
            </w:r>
          </w:p>
        </w:tc>
        <w:tc>
          <w:tcPr>
            <w:tcW w:w="901" w:type="dxa"/>
            <w:noWrap/>
            <w:hideMark/>
          </w:tcPr>
          <w:p w14:paraId="6C25AC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C525F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23.1%</w:t>
            </w:r>
          </w:p>
        </w:tc>
        <w:tc>
          <w:tcPr>
            <w:tcW w:w="1602" w:type="dxa"/>
            <w:noWrap/>
            <w:hideMark/>
          </w:tcPr>
          <w:p w14:paraId="7F22B0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$307,928</w:t>
            </w:r>
          </w:p>
        </w:tc>
      </w:tr>
      <w:tr w:rsidR="008C6E34" w:rsidRPr="008C6E34" w14:paraId="3EAB99D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9E2A75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0153</w:t>
            </w:r>
          </w:p>
        </w:tc>
        <w:tc>
          <w:tcPr>
            <w:tcW w:w="2880" w:type="dxa"/>
            <w:noWrap/>
            <w:hideMark/>
          </w:tcPr>
          <w:p w14:paraId="1739874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Leominster</w:t>
            </w:r>
          </w:p>
        </w:tc>
        <w:tc>
          <w:tcPr>
            <w:tcW w:w="1148" w:type="dxa"/>
            <w:noWrap/>
            <w:hideMark/>
          </w:tcPr>
          <w:p w14:paraId="1508434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909DE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$52,403,637 </w:t>
            </w:r>
          </w:p>
        </w:tc>
        <w:tc>
          <w:tcPr>
            <w:tcW w:w="1786" w:type="dxa"/>
            <w:noWrap/>
            <w:hideMark/>
          </w:tcPr>
          <w:p w14:paraId="0AA4CB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$33,951,319 </w:t>
            </w:r>
          </w:p>
        </w:tc>
        <w:tc>
          <w:tcPr>
            <w:tcW w:w="901" w:type="dxa"/>
            <w:noWrap/>
            <w:hideMark/>
          </w:tcPr>
          <w:p w14:paraId="6F27DF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53.0%</w:t>
            </w:r>
          </w:p>
        </w:tc>
        <w:tc>
          <w:tcPr>
            <w:tcW w:w="1374" w:type="dxa"/>
            <w:noWrap/>
            <w:hideMark/>
          </w:tcPr>
          <w:p w14:paraId="67C3AD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64.8%</w:t>
            </w:r>
          </w:p>
        </w:tc>
        <w:tc>
          <w:tcPr>
            <w:tcW w:w="1602" w:type="dxa"/>
            <w:noWrap/>
            <w:hideMark/>
          </w:tcPr>
          <w:p w14:paraId="58D573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$18,421</w:t>
            </w:r>
          </w:p>
        </w:tc>
        <w:tc>
          <w:tcPr>
            <w:tcW w:w="1264" w:type="dxa"/>
            <w:noWrap/>
            <w:hideMark/>
          </w:tcPr>
          <w:p w14:paraId="0FAC809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7CCD3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$77,172,703</w:t>
            </w:r>
          </w:p>
        </w:tc>
        <w:tc>
          <w:tcPr>
            <w:tcW w:w="1786" w:type="dxa"/>
            <w:noWrap/>
            <w:hideMark/>
          </w:tcPr>
          <w:p w14:paraId="37EB0D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$47,045,537</w:t>
            </w:r>
          </w:p>
        </w:tc>
        <w:tc>
          <w:tcPr>
            <w:tcW w:w="901" w:type="dxa"/>
            <w:noWrap/>
            <w:hideMark/>
          </w:tcPr>
          <w:p w14:paraId="4F628E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60.3%</w:t>
            </w:r>
          </w:p>
        </w:tc>
        <w:tc>
          <w:tcPr>
            <w:tcW w:w="1374" w:type="dxa"/>
            <w:noWrap/>
            <w:hideMark/>
          </w:tcPr>
          <w:p w14:paraId="130BB3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61.0%</w:t>
            </w:r>
          </w:p>
        </w:tc>
        <w:tc>
          <w:tcPr>
            <w:tcW w:w="1602" w:type="dxa"/>
            <w:noWrap/>
            <w:hideMark/>
          </w:tcPr>
          <w:p w14:paraId="42EDFA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D2505B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83A43F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0154</w:t>
            </w:r>
          </w:p>
        </w:tc>
        <w:tc>
          <w:tcPr>
            <w:tcW w:w="2880" w:type="dxa"/>
            <w:noWrap/>
            <w:hideMark/>
          </w:tcPr>
          <w:p w14:paraId="4E4F548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Leverett</w:t>
            </w:r>
          </w:p>
        </w:tc>
        <w:tc>
          <w:tcPr>
            <w:tcW w:w="1148" w:type="dxa"/>
            <w:noWrap/>
            <w:hideMark/>
          </w:tcPr>
          <w:p w14:paraId="546A45B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C0137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$852,584 </w:t>
            </w:r>
          </w:p>
        </w:tc>
        <w:tc>
          <w:tcPr>
            <w:tcW w:w="1786" w:type="dxa"/>
            <w:noWrap/>
            <w:hideMark/>
          </w:tcPr>
          <w:p w14:paraId="25B44D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$239,065 </w:t>
            </w:r>
          </w:p>
        </w:tc>
        <w:tc>
          <w:tcPr>
            <w:tcW w:w="901" w:type="dxa"/>
            <w:noWrap/>
            <w:hideMark/>
          </w:tcPr>
          <w:p w14:paraId="111506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32.6%</w:t>
            </w:r>
          </w:p>
        </w:tc>
        <w:tc>
          <w:tcPr>
            <w:tcW w:w="1374" w:type="dxa"/>
            <w:noWrap/>
            <w:hideMark/>
          </w:tcPr>
          <w:p w14:paraId="6EB839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28.0%</w:t>
            </w:r>
          </w:p>
        </w:tc>
        <w:tc>
          <w:tcPr>
            <w:tcW w:w="1602" w:type="dxa"/>
            <w:noWrap/>
            <w:hideMark/>
          </w:tcPr>
          <w:p w14:paraId="2C875C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$213,749</w:t>
            </w:r>
          </w:p>
        </w:tc>
        <w:tc>
          <w:tcPr>
            <w:tcW w:w="1264" w:type="dxa"/>
            <w:noWrap/>
            <w:hideMark/>
          </w:tcPr>
          <w:p w14:paraId="5FE46AD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8E4AD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$1,166,005</w:t>
            </w:r>
          </w:p>
        </w:tc>
        <w:tc>
          <w:tcPr>
            <w:tcW w:w="1786" w:type="dxa"/>
            <w:noWrap/>
            <w:hideMark/>
          </w:tcPr>
          <w:p w14:paraId="57D936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$295,511</w:t>
            </w:r>
          </w:p>
        </w:tc>
        <w:tc>
          <w:tcPr>
            <w:tcW w:w="901" w:type="dxa"/>
            <w:noWrap/>
            <w:hideMark/>
          </w:tcPr>
          <w:p w14:paraId="431E93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70698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25.3%</w:t>
            </w:r>
          </w:p>
        </w:tc>
        <w:tc>
          <w:tcPr>
            <w:tcW w:w="1602" w:type="dxa"/>
            <w:noWrap/>
            <w:hideMark/>
          </w:tcPr>
          <w:p w14:paraId="231D7B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$14,676</w:t>
            </w:r>
          </w:p>
        </w:tc>
      </w:tr>
      <w:tr w:rsidR="008C6E34" w:rsidRPr="008C6E34" w14:paraId="2BE7FBF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0599ED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0155</w:t>
            </w:r>
          </w:p>
        </w:tc>
        <w:tc>
          <w:tcPr>
            <w:tcW w:w="2880" w:type="dxa"/>
            <w:noWrap/>
            <w:hideMark/>
          </w:tcPr>
          <w:p w14:paraId="19306C8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Lexington</w:t>
            </w:r>
          </w:p>
        </w:tc>
        <w:tc>
          <w:tcPr>
            <w:tcW w:w="1148" w:type="dxa"/>
            <w:noWrap/>
            <w:hideMark/>
          </w:tcPr>
          <w:p w14:paraId="71BFAA7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0FB7F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$48,149,485 </w:t>
            </w:r>
          </w:p>
        </w:tc>
        <w:tc>
          <w:tcPr>
            <w:tcW w:w="1786" w:type="dxa"/>
            <w:noWrap/>
            <w:hideMark/>
          </w:tcPr>
          <w:p w14:paraId="2B4439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$5,848,476 </w:t>
            </w:r>
          </w:p>
        </w:tc>
        <w:tc>
          <w:tcPr>
            <w:tcW w:w="901" w:type="dxa"/>
            <w:noWrap/>
            <w:hideMark/>
          </w:tcPr>
          <w:p w14:paraId="73546D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8FB30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12.1%</w:t>
            </w:r>
          </w:p>
        </w:tc>
        <w:tc>
          <w:tcPr>
            <w:tcW w:w="1602" w:type="dxa"/>
            <w:noWrap/>
            <w:hideMark/>
          </w:tcPr>
          <w:p w14:paraId="2782A7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$5,848,476</w:t>
            </w:r>
          </w:p>
        </w:tc>
        <w:tc>
          <w:tcPr>
            <w:tcW w:w="1264" w:type="dxa"/>
            <w:noWrap/>
            <w:hideMark/>
          </w:tcPr>
          <w:p w14:paraId="5A592E8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A59FC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$80,260,932</w:t>
            </w:r>
          </w:p>
        </w:tc>
        <w:tc>
          <w:tcPr>
            <w:tcW w:w="1786" w:type="dxa"/>
            <w:noWrap/>
            <w:hideMark/>
          </w:tcPr>
          <w:p w14:paraId="5939B5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$14,438,034</w:t>
            </w:r>
          </w:p>
        </w:tc>
        <w:tc>
          <w:tcPr>
            <w:tcW w:w="901" w:type="dxa"/>
            <w:noWrap/>
            <w:hideMark/>
          </w:tcPr>
          <w:p w14:paraId="16058B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DC2F3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18.0%</w:t>
            </w:r>
          </w:p>
        </w:tc>
        <w:tc>
          <w:tcPr>
            <w:tcW w:w="1602" w:type="dxa"/>
            <w:noWrap/>
            <w:hideMark/>
          </w:tcPr>
          <w:p w14:paraId="6B07F8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$265,879</w:t>
            </w:r>
          </w:p>
        </w:tc>
      </w:tr>
      <w:tr w:rsidR="008C6E34" w:rsidRPr="008C6E34" w14:paraId="44184C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DBA2EE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0156</w:t>
            </w:r>
          </w:p>
        </w:tc>
        <w:tc>
          <w:tcPr>
            <w:tcW w:w="2880" w:type="dxa"/>
            <w:noWrap/>
            <w:hideMark/>
          </w:tcPr>
          <w:p w14:paraId="6AA5937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Leyden</w:t>
            </w:r>
          </w:p>
        </w:tc>
        <w:tc>
          <w:tcPr>
            <w:tcW w:w="1148" w:type="dxa"/>
            <w:noWrap/>
            <w:hideMark/>
          </w:tcPr>
          <w:p w14:paraId="6D17A76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F7F07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07489F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080A43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40.3%</w:t>
            </w:r>
          </w:p>
        </w:tc>
        <w:tc>
          <w:tcPr>
            <w:tcW w:w="1374" w:type="dxa"/>
            <w:noWrap/>
            <w:hideMark/>
          </w:tcPr>
          <w:p w14:paraId="0CBB7D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FB842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ADEAA6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B3B7F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497C5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D8DAF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F96B9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4600E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A25829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33A4B8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0157</w:t>
            </w:r>
          </w:p>
        </w:tc>
        <w:tc>
          <w:tcPr>
            <w:tcW w:w="2880" w:type="dxa"/>
            <w:noWrap/>
            <w:hideMark/>
          </w:tcPr>
          <w:p w14:paraId="1E70027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Lincoln</w:t>
            </w:r>
          </w:p>
        </w:tc>
        <w:tc>
          <w:tcPr>
            <w:tcW w:w="1148" w:type="dxa"/>
            <w:noWrap/>
            <w:hideMark/>
          </w:tcPr>
          <w:p w14:paraId="4A1A435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C96A4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$5,151,112 </w:t>
            </w:r>
          </w:p>
        </w:tc>
        <w:tc>
          <w:tcPr>
            <w:tcW w:w="1786" w:type="dxa"/>
            <w:noWrap/>
            <w:hideMark/>
          </w:tcPr>
          <w:p w14:paraId="6A24E2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$575,119 </w:t>
            </w:r>
          </w:p>
        </w:tc>
        <w:tc>
          <w:tcPr>
            <w:tcW w:w="901" w:type="dxa"/>
            <w:noWrap/>
            <w:hideMark/>
          </w:tcPr>
          <w:p w14:paraId="24163E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45C5D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11.2%</w:t>
            </w:r>
          </w:p>
        </w:tc>
        <w:tc>
          <w:tcPr>
            <w:tcW w:w="1602" w:type="dxa"/>
            <w:noWrap/>
            <w:hideMark/>
          </w:tcPr>
          <w:p w14:paraId="66875B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$575,119</w:t>
            </w:r>
          </w:p>
        </w:tc>
        <w:tc>
          <w:tcPr>
            <w:tcW w:w="1264" w:type="dxa"/>
            <w:noWrap/>
            <w:hideMark/>
          </w:tcPr>
          <w:p w14:paraId="71C6DDB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5354E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$6,701,031</w:t>
            </w:r>
          </w:p>
        </w:tc>
        <w:tc>
          <w:tcPr>
            <w:tcW w:w="1786" w:type="dxa"/>
            <w:noWrap/>
            <w:hideMark/>
          </w:tcPr>
          <w:p w14:paraId="191884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$1,174,169</w:t>
            </w:r>
          </w:p>
        </w:tc>
        <w:tc>
          <w:tcPr>
            <w:tcW w:w="901" w:type="dxa"/>
            <w:noWrap/>
            <w:hideMark/>
          </w:tcPr>
          <w:p w14:paraId="5C95EA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E6387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4B5EAD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$1,489</w:t>
            </w:r>
          </w:p>
        </w:tc>
      </w:tr>
      <w:tr w:rsidR="008C6E34" w:rsidRPr="008C6E34" w14:paraId="655A1A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C10ABE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0158</w:t>
            </w:r>
          </w:p>
        </w:tc>
        <w:tc>
          <w:tcPr>
            <w:tcW w:w="2880" w:type="dxa"/>
            <w:noWrap/>
            <w:hideMark/>
          </w:tcPr>
          <w:p w14:paraId="069ED7B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Littleton</w:t>
            </w:r>
          </w:p>
        </w:tc>
        <w:tc>
          <w:tcPr>
            <w:tcW w:w="1148" w:type="dxa"/>
            <w:noWrap/>
            <w:hideMark/>
          </w:tcPr>
          <w:p w14:paraId="16C56BE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ECA60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$12,115,414 </w:t>
            </w:r>
          </w:p>
        </w:tc>
        <w:tc>
          <w:tcPr>
            <w:tcW w:w="1786" w:type="dxa"/>
            <w:noWrap/>
            <w:hideMark/>
          </w:tcPr>
          <w:p w14:paraId="24D1D8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$1,818,491 </w:t>
            </w:r>
          </w:p>
        </w:tc>
        <w:tc>
          <w:tcPr>
            <w:tcW w:w="901" w:type="dxa"/>
            <w:noWrap/>
            <w:hideMark/>
          </w:tcPr>
          <w:p w14:paraId="21652A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w:t>
            </w:r>
          </w:p>
        </w:tc>
        <w:tc>
          <w:tcPr>
            <w:tcW w:w="1374" w:type="dxa"/>
            <w:noWrap/>
            <w:hideMark/>
          </w:tcPr>
          <w:p w14:paraId="410E8B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w:t>
            </w:r>
          </w:p>
        </w:tc>
        <w:tc>
          <w:tcPr>
            <w:tcW w:w="1602" w:type="dxa"/>
            <w:noWrap/>
            <w:hideMark/>
          </w:tcPr>
          <w:p w14:paraId="65FE57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$155,906</w:t>
            </w:r>
          </w:p>
        </w:tc>
        <w:tc>
          <w:tcPr>
            <w:tcW w:w="1264" w:type="dxa"/>
            <w:noWrap/>
            <w:hideMark/>
          </w:tcPr>
          <w:p w14:paraId="6968EF6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9B543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$16,632,292</w:t>
            </w:r>
          </w:p>
        </w:tc>
        <w:tc>
          <w:tcPr>
            <w:tcW w:w="1786" w:type="dxa"/>
            <w:noWrap/>
            <w:hideMark/>
          </w:tcPr>
          <w:p w14:paraId="39FD5D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$4,039,908</w:t>
            </w:r>
          </w:p>
        </w:tc>
        <w:tc>
          <w:tcPr>
            <w:tcW w:w="901" w:type="dxa"/>
            <w:noWrap/>
            <w:hideMark/>
          </w:tcPr>
          <w:p w14:paraId="47E9B0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B2E64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w:t>
            </w:r>
          </w:p>
        </w:tc>
        <w:tc>
          <w:tcPr>
            <w:tcW w:w="1602" w:type="dxa"/>
            <w:noWrap/>
            <w:hideMark/>
          </w:tcPr>
          <w:p w14:paraId="6DCCD0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$856,598</w:t>
            </w:r>
          </w:p>
        </w:tc>
      </w:tr>
      <w:tr w:rsidR="008C6E34" w:rsidRPr="008C6E34" w14:paraId="1F591C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CBB1C8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0159</w:t>
            </w:r>
          </w:p>
        </w:tc>
        <w:tc>
          <w:tcPr>
            <w:tcW w:w="2880" w:type="dxa"/>
            <w:noWrap/>
            <w:hideMark/>
          </w:tcPr>
          <w:p w14:paraId="414127D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Longmeadow</w:t>
            </w:r>
          </w:p>
        </w:tc>
        <w:tc>
          <w:tcPr>
            <w:tcW w:w="1148" w:type="dxa"/>
            <w:noWrap/>
            <w:hideMark/>
          </w:tcPr>
          <w:p w14:paraId="7BA1B4D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5A4CC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$23,361,828 </w:t>
            </w:r>
          </w:p>
        </w:tc>
        <w:tc>
          <w:tcPr>
            <w:tcW w:w="1786" w:type="dxa"/>
            <w:noWrap/>
            <w:hideMark/>
          </w:tcPr>
          <w:p w14:paraId="1E43E7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$3,906,490 </w:t>
            </w:r>
          </w:p>
        </w:tc>
        <w:tc>
          <w:tcPr>
            <w:tcW w:w="901" w:type="dxa"/>
            <w:noWrap/>
            <w:hideMark/>
          </w:tcPr>
          <w:p w14:paraId="2E184B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w:t>
            </w:r>
          </w:p>
        </w:tc>
        <w:tc>
          <w:tcPr>
            <w:tcW w:w="1374" w:type="dxa"/>
            <w:noWrap/>
            <w:hideMark/>
          </w:tcPr>
          <w:p w14:paraId="75227B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16.7%</w:t>
            </w:r>
          </w:p>
        </w:tc>
        <w:tc>
          <w:tcPr>
            <w:tcW w:w="1602" w:type="dxa"/>
            <w:noWrap/>
            <w:hideMark/>
          </w:tcPr>
          <w:p w14:paraId="46FA1B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$1,592,941</w:t>
            </w:r>
          </w:p>
        </w:tc>
        <w:tc>
          <w:tcPr>
            <w:tcW w:w="1264" w:type="dxa"/>
            <w:noWrap/>
            <w:hideMark/>
          </w:tcPr>
          <w:p w14:paraId="03F8322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3A7B4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$29,113,308</w:t>
            </w:r>
          </w:p>
        </w:tc>
        <w:tc>
          <w:tcPr>
            <w:tcW w:w="1786" w:type="dxa"/>
            <w:noWrap/>
            <w:hideMark/>
          </w:tcPr>
          <w:p w14:paraId="33CCA8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$5,669,282</w:t>
            </w:r>
          </w:p>
        </w:tc>
        <w:tc>
          <w:tcPr>
            <w:tcW w:w="901" w:type="dxa"/>
            <w:noWrap/>
            <w:hideMark/>
          </w:tcPr>
          <w:p w14:paraId="4D58A1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C3268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w:t>
            </w:r>
          </w:p>
        </w:tc>
        <w:tc>
          <w:tcPr>
            <w:tcW w:w="1602" w:type="dxa"/>
            <w:noWrap/>
            <w:hideMark/>
          </w:tcPr>
          <w:p w14:paraId="14E139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$21,443</w:t>
            </w:r>
          </w:p>
        </w:tc>
      </w:tr>
      <w:tr w:rsidR="008C6E34" w:rsidRPr="008C6E34" w14:paraId="1BBAA5B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8AA03B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0160</w:t>
            </w:r>
          </w:p>
        </w:tc>
        <w:tc>
          <w:tcPr>
            <w:tcW w:w="2880" w:type="dxa"/>
            <w:noWrap/>
            <w:hideMark/>
          </w:tcPr>
          <w:p w14:paraId="6D5DC59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Lowell</w:t>
            </w:r>
          </w:p>
        </w:tc>
        <w:tc>
          <w:tcPr>
            <w:tcW w:w="1148" w:type="dxa"/>
            <w:noWrap/>
            <w:hideMark/>
          </w:tcPr>
          <w:p w14:paraId="4173307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B1624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$139,116,838 </w:t>
            </w:r>
          </w:p>
        </w:tc>
        <w:tc>
          <w:tcPr>
            <w:tcW w:w="1786" w:type="dxa"/>
            <w:noWrap/>
            <w:hideMark/>
          </w:tcPr>
          <w:p w14:paraId="1B77F8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$111,660,607 </w:t>
            </w:r>
          </w:p>
        </w:tc>
        <w:tc>
          <w:tcPr>
            <w:tcW w:w="901" w:type="dxa"/>
            <w:noWrap/>
            <w:hideMark/>
          </w:tcPr>
          <w:p w14:paraId="647962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71.8%</w:t>
            </w:r>
          </w:p>
        </w:tc>
        <w:tc>
          <w:tcPr>
            <w:tcW w:w="1374" w:type="dxa"/>
            <w:noWrap/>
            <w:hideMark/>
          </w:tcPr>
          <w:p w14:paraId="1FB9BF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80.3%</w:t>
            </w:r>
          </w:p>
        </w:tc>
        <w:tc>
          <w:tcPr>
            <w:tcW w:w="1602" w:type="dxa"/>
            <w:noWrap/>
            <w:hideMark/>
          </w:tcPr>
          <w:p w14:paraId="34011E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$3,706,426</w:t>
            </w:r>
          </w:p>
        </w:tc>
        <w:tc>
          <w:tcPr>
            <w:tcW w:w="1264" w:type="dxa"/>
            <w:noWrap/>
            <w:hideMark/>
          </w:tcPr>
          <w:p w14:paraId="2A068E5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88E5A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$212,748,264</w:t>
            </w:r>
          </w:p>
        </w:tc>
        <w:tc>
          <w:tcPr>
            <w:tcW w:w="1786" w:type="dxa"/>
            <w:noWrap/>
            <w:hideMark/>
          </w:tcPr>
          <w:p w14:paraId="68374B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$163,023,947</w:t>
            </w:r>
          </w:p>
        </w:tc>
        <w:tc>
          <w:tcPr>
            <w:tcW w:w="901" w:type="dxa"/>
            <w:noWrap/>
            <w:hideMark/>
          </w:tcPr>
          <w:p w14:paraId="2C4AAB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73.9%</w:t>
            </w:r>
          </w:p>
        </w:tc>
        <w:tc>
          <w:tcPr>
            <w:tcW w:w="1374" w:type="dxa"/>
            <w:noWrap/>
            <w:hideMark/>
          </w:tcPr>
          <w:p w14:paraId="47B262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76.6%</w:t>
            </w:r>
          </w:p>
        </w:tc>
        <w:tc>
          <w:tcPr>
            <w:tcW w:w="1602" w:type="dxa"/>
            <w:noWrap/>
            <w:hideMark/>
          </w:tcPr>
          <w:p w14:paraId="217EE2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875FAA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273351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0161</w:t>
            </w:r>
          </w:p>
        </w:tc>
        <w:tc>
          <w:tcPr>
            <w:tcW w:w="2880" w:type="dxa"/>
            <w:noWrap/>
            <w:hideMark/>
          </w:tcPr>
          <w:p w14:paraId="78C9941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Ludlow</w:t>
            </w:r>
          </w:p>
        </w:tc>
        <w:tc>
          <w:tcPr>
            <w:tcW w:w="1148" w:type="dxa"/>
            <w:noWrap/>
            <w:hideMark/>
          </w:tcPr>
          <w:p w14:paraId="6844230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900C5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$24,089,448 </w:t>
            </w:r>
          </w:p>
        </w:tc>
        <w:tc>
          <w:tcPr>
            <w:tcW w:w="1786" w:type="dxa"/>
            <w:noWrap/>
            <w:hideMark/>
          </w:tcPr>
          <w:p w14:paraId="4DA744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$10,575,871 </w:t>
            </w:r>
          </w:p>
        </w:tc>
        <w:tc>
          <w:tcPr>
            <w:tcW w:w="901" w:type="dxa"/>
            <w:noWrap/>
            <w:hideMark/>
          </w:tcPr>
          <w:p w14:paraId="250D2E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52.7%</w:t>
            </w:r>
          </w:p>
        </w:tc>
        <w:tc>
          <w:tcPr>
            <w:tcW w:w="1374" w:type="dxa"/>
            <w:noWrap/>
            <w:hideMark/>
          </w:tcPr>
          <w:p w14:paraId="05B2CB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43.9%</w:t>
            </w:r>
          </w:p>
        </w:tc>
        <w:tc>
          <w:tcPr>
            <w:tcW w:w="1602" w:type="dxa"/>
            <w:noWrap/>
            <w:hideMark/>
          </w:tcPr>
          <w:p w14:paraId="372A27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739B69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C1E59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$29,028,174</w:t>
            </w:r>
          </w:p>
        </w:tc>
        <w:tc>
          <w:tcPr>
            <w:tcW w:w="1786" w:type="dxa"/>
            <w:noWrap/>
            <w:hideMark/>
          </w:tcPr>
          <w:p w14:paraId="236063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$13,795,983</w:t>
            </w:r>
          </w:p>
        </w:tc>
        <w:tc>
          <w:tcPr>
            <w:tcW w:w="901" w:type="dxa"/>
            <w:noWrap/>
            <w:hideMark/>
          </w:tcPr>
          <w:p w14:paraId="43CB92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44.2%</w:t>
            </w:r>
          </w:p>
        </w:tc>
        <w:tc>
          <w:tcPr>
            <w:tcW w:w="1374" w:type="dxa"/>
            <w:noWrap/>
            <w:hideMark/>
          </w:tcPr>
          <w:p w14:paraId="73C77C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47.5%</w:t>
            </w:r>
          </w:p>
        </w:tc>
        <w:tc>
          <w:tcPr>
            <w:tcW w:w="1602" w:type="dxa"/>
            <w:noWrap/>
            <w:hideMark/>
          </w:tcPr>
          <w:p w14:paraId="46FA39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$961,093</w:t>
            </w:r>
          </w:p>
        </w:tc>
      </w:tr>
      <w:tr w:rsidR="008C6E34" w:rsidRPr="008C6E34" w14:paraId="5796852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11D6F7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0162</w:t>
            </w:r>
          </w:p>
        </w:tc>
        <w:tc>
          <w:tcPr>
            <w:tcW w:w="2880" w:type="dxa"/>
            <w:noWrap/>
            <w:hideMark/>
          </w:tcPr>
          <w:p w14:paraId="51494AA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Lunenburg</w:t>
            </w:r>
          </w:p>
        </w:tc>
        <w:tc>
          <w:tcPr>
            <w:tcW w:w="1148" w:type="dxa"/>
            <w:noWrap/>
            <w:hideMark/>
          </w:tcPr>
          <w:p w14:paraId="03C17AC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090E2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$12,276,374 </w:t>
            </w:r>
          </w:p>
        </w:tc>
        <w:tc>
          <w:tcPr>
            <w:tcW w:w="1786" w:type="dxa"/>
            <w:noWrap/>
            <w:hideMark/>
          </w:tcPr>
          <w:p w14:paraId="415465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$3,921,700 </w:t>
            </w:r>
          </w:p>
        </w:tc>
        <w:tc>
          <w:tcPr>
            <w:tcW w:w="901" w:type="dxa"/>
            <w:noWrap/>
            <w:hideMark/>
          </w:tcPr>
          <w:p w14:paraId="5DC9C6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38.0%</w:t>
            </w:r>
          </w:p>
        </w:tc>
        <w:tc>
          <w:tcPr>
            <w:tcW w:w="1374" w:type="dxa"/>
            <w:noWrap/>
            <w:hideMark/>
          </w:tcPr>
          <w:p w14:paraId="20C14C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31.9%</w:t>
            </w:r>
          </w:p>
        </w:tc>
        <w:tc>
          <w:tcPr>
            <w:tcW w:w="1602" w:type="dxa"/>
            <w:noWrap/>
            <w:hideMark/>
          </w:tcPr>
          <w:p w14:paraId="32A861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$516,951</w:t>
            </w:r>
          </w:p>
        </w:tc>
        <w:tc>
          <w:tcPr>
            <w:tcW w:w="1264" w:type="dxa"/>
            <w:noWrap/>
            <w:hideMark/>
          </w:tcPr>
          <w:p w14:paraId="00C0532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D41D0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$17,948,505</w:t>
            </w:r>
          </w:p>
        </w:tc>
        <w:tc>
          <w:tcPr>
            <w:tcW w:w="1786" w:type="dxa"/>
            <w:noWrap/>
            <w:hideMark/>
          </w:tcPr>
          <w:p w14:paraId="10EEBB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$7,771,740</w:t>
            </w:r>
          </w:p>
        </w:tc>
        <w:tc>
          <w:tcPr>
            <w:tcW w:w="901" w:type="dxa"/>
            <w:noWrap/>
            <w:hideMark/>
          </w:tcPr>
          <w:p w14:paraId="31A226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w:t>
            </w:r>
          </w:p>
        </w:tc>
        <w:tc>
          <w:tcPr>
            <w:tcW w:w="1374" w:type="dxa"/>
            <w:noWrap/>
            <w:hideMark/>
          </w:tcPr>
          <w:p w14:paraId="34B469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43.3%</w:t>
            </w:r>
          </w:p>
        </w:tc>
        <w:tc>
          <w:tcPr>
            <w:tcW w:w="1602" w:type="dxa"/>
            <w:noWrap/>
            <w:hideMark/>
          </w:tcPr>
          <w:p w14:paraId="083AEC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EAD709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47F475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0163</w:t>
            </w:r>
          </w:p>
        </w:tc>
        <w:tc>
          <w:tcPr>
            <w:tcW w:w="2880" w:type="dxa"/>
            <w:noWrap/>
            <w:hideMark/>
          </w:tcPr>
          <w:p w14:paraId="61E0BF7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Lynn</w:t>
            </w:r>
          </w:p>
        </w:tc>
        <w:tc>
          <w:tcPr>
            <w:tcW w:w="1148" w:type="dxa"/>
            <w:noWrap/>
            <w:hideMark/>
          </w:tcPr>
          <w:p w14:paraId="061D9FB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98593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$135,144,696 </w:t>
            </w:r>
          </w:p>
        </w:tc>
        <w:tc>
          <w:tcPr>
            <w:tcW w:w="1786" w:type="dxa"/>
            <w:noWrap/>
            <w:hideMark/>
          </w:tcPr>
          <w:p w14:paraId="547AD1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$103,751,349 </w:t>
            </w:r>
          </w:p>
        </w:tc>
        <w:tc>
          <w:tcPr>
            <w:tcW w:w="901" w:type="dxa"/>
            <w:noWrap/>
            <w:hideMark/>
          </w:tcPr>
          <w:p w14:paraId="06D190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69.2%</w:t>
            </w:r>
          </w:p>
        </w:tc>
        <w:tc>
          <w:tcPr>
            <w:tcW w:w="1374" w:type="dxa"/>
            <w:noWrap/>
            <w:hideMark/>
          </w:tcPr>
          <w:p w14:paraId="30A280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76.8%</w:t>
            </w:r>
          </w:p>
        </w:tc>
        <w:tc>
          <w:tcPr>
            <w:tcW w:w="1602" w:type="dxa"/>
            <w:noWrap/>
            <w:hideMark/>
          </w:tcPr>
          <w:p w14:paraId="652114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$259,942</w:t>
            </w:r>
          </w:p>
        </w:tc>
        <w:tc>
          <w:tcPr>
            <w:tcW w:w="1264" w:type="dxa"/>
            <w:noWrap/>
            <w:hideMark/>
          </w:tcPr>
          <w:p w14:paraId="411A004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D8A6E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$238,010,020</w:t>
            </w:r>
          </w:p>
        </w:tc>
        <w:tc>
          <w:tcPr>
            <w:tcW w:w="1786" w:type="dxa"/>
            <w:noWrap/>
            <w:hideMark/>
          </w:tcPr>
          <w:p w14:paraId="62B382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$185,845,059</w:t>
            </w:r>
          </w:p>
        </w:tc>
        <w:tc>
          <w:tcPr>
            <w:tcW w:w="901" w:type="dxa"/>
            <w:noWrap/>
            <w:hideMark/>
          </w:tcPr>
          <w:p w14:paraId="1B98F9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76.3%</w:t>
            </w:r>
          </w:p>
        </w:tc>
        <w:tc>
          <w:tcPr>
            <w:tcW w:w="1374" w:type="dxa"/>
            <w:noWrap/>
            <w:hideMark/>
          </w:tcPr>
          <w:p w14:paraId="56BB3A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78.1%</w:t>
            </w:r>
          </w:p>
        </w:tc>
        <w:tc>
          <w:tcPr>
            <w:tcW w:w="1602" w:type="dxa"/>
            <w:noWrap/>
            <w:hideMark/>
          </w:tcPr>
          <w:p w14:paraId="67CD6B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31456D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EC41D0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0164</w:t>
            </w:r>
          </w:p>
        </w:tc>
        <w:tc>
          <w:tcPr>
            <w:tcW w:w="2880" w:type="dxa"/>
            <w:noWrap/>
            <w:hideMark/>
          </w:tcPr>
          <w:p w14:paraId="749A71C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Lynnfield</w:t>
            </w:r>
          </w:p>
        </w:tc>
        <w:tc>
          <w:tcPr>
            <w:tcW w:w="1148" w:type="dxa"/>
            <w:noWrap/>
            <w:hideMark/>
          </w:tcPr>
          <w:p w14:paraId="640BD03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43F77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$15,771,023 </w:t>
            </w:r>
          </w:p>
        </w:tc>
        <w:tc>
          <w:tcPr>
            <w:tcW w:w="1786" w:type="dxa"/>
            <w:noWrap/>
            <w:hideMark/>
          </w:tcPr>
          <w:p w14:paraId="01CF48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$2,275,909 </w:t>
            </w:r>
          </w:p>
        </w:tc>
        <w:tc>
          <w:tcPr>
            <w:tcW w:w="901" w:type="dxa"/>
            <w:noWrap/>
            <w:hideMark/>
          </w:tcPr>
          <w:p w14:paraId="082751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7728F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14.4%</w:t>
            </w:r>
          </w:p>
        </w:tc>
        <w:tc>
          <w:tcPr>
            <w:tcW w:w="1602" w:type="dxa"/>
            <w:noWrap/>
            <w:hideMark/>
          </w:tcPr>
          <w:p w14:paraId="30F0BF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EDD4B5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A9FC2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$23,010,167</w:t>
            </w:r>
          </w:p>
        </w:tc>
        <w:tc>
          <w:tcPr>
            <w:tcW w:w="1786" w:type="dxa"/>
            <w:noWrap/>
            <w:hideMark/>
          </w:tcPr>
          <w:p w14:paraId="4E0545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$4,404,631</w:t>
            </w:r>
          </w:p>
        </w:tc>
        <w:tc>
          <w:tcPr>
            <w:tcW w:w="901" w:type="dxa"/>
            <w:noWrap/>
            <w:hideMark/>
          </w:tcPr>
          <w:p w14:paraId="3B5A5F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51985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19.1%</w:t>
            </w:r>
          </w:p>
        </w:tc>
        <w:tc>
          <w:tcPr>
            <w:tcW w:w="1602" w:type="dxa"/>
            <w:noWrap/>
            <w:hideMark/>
          </w:tcPr>
          <w:p w14:paraId="0F1BA8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$156,865</w:t>
            </w:r>
          </w:p>
        </w:tc>
      </w:tr>
      <w:tr w:rsidR="008C6E34" w:rsidRPr="008C6E34" w14:paraId="39D70E8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E54007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0165</w:t>
            </w:r>
          </w:p>
        </w:tc>
        <w:tc>
          <w:tcPr>
            <w:tcW w:w="2880" w:type="dxa"/>
            <w:noWrap/>
            <w:hideMark/>
          </w:tcPr>
          <w:p w14:paraId="67A1F1C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Malden</w:t>
            </w:r>
          </w:p>
        </w:tc>
        <w:tc>
          <w:tcPr>
            <w:tcW w:w="1148" w:type="dxa"/>
            <w:noWrap/>
            <w:hideMark/>
          </w:tcPr>
          <w:p w14:paraId="4AC61DE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D7574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$58,405,248 </w:t>
            </w:r>
          </w:p>
        </w:tc>
        <w:tc>
          <w:tcPr>
            <w:tcW w:w="1786" w:type="dxa"/>
            <w:noWrap/>
            <w:hideMark/>
          </w:tcPr>
          <w:p w14:paraId="0DF756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$34,874,624 </w:t>
            </w:r>
          </w:p>
        </w:tc>
        <w:tc>
          <w:tcPr>
            <w:tcW w:w="901" w:type="dxa"/>
            <w:noWrap/>
            <w:hideMark/>
          </w:tcPr>
          <w:p w14:paraId="64C864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44.8%</w:t>
            </w:r>
          </w:p>
        </w:tc>
        <w:tc>
          <w:tcPr>
            <w:tcW w:w="1374" w:type="dxa"/>
            <w:noWrap/>
            <w:hideMark/>
          </w:tcPr>
          <w:p w14:paraId="76BD12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59.7%</w:t>
            </w:r>
          </w:p>
        </w:tc>
        <w:tc>
          <w:tcPr>
            <w:tcW w:w="1602" w:type="dxa"/>
            <w:noWrap/>
            <w:hideMark/>
          </w:tcPr>
          <w:p w14:paraId="4E8EBA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4A2D43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5B379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$95,060,967</w:t>
            </w:r>
          </w:p>
        </w:tc>
        <w:tc>
          <w:tcPr>
            <w:tcW w:w="1786" w:type="dxa"/>
            <w:noWrap/>
            <w:hideMark/>
          </w:tcPr>
          <w:p w14:paraId="514151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$51,206,223</w:t>
            </w:r>
          </w:p>
        </w:tc>
        <w:tc>
          <w:tcPr>
            <w:tcW w:w="901" w:type="dxa"/>
            <w:noWrap/>
            <w:hideMark/>
          </w:tcPr>
          <w:p w14:paraId="51DF41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w:t>
            </w:r>
          </w:p>
        </w:tc>
        <w:tc>
          <w:tcPr>
            <w:tcW w:w="1374" w:type="dxa"/>
            <w:noWrap/>
            <w:hideMark/>
          </w:tcPr>
          <w:p w14:paraId="7CF04E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53.9%</w:t>
            </w:r>
          </w:p>
        </w:tc>
        <w:tc>
          <w:tcPr>
            <w:tcW w:w="1602" w:type="dxa"/>
            <w:noWrap/>
            <w:hideMark/>
          </w:tcPr>
          <w:p w14:paraId="2A0FC3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A8418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A54107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0166</w:t>
            </w:r>
          </w:p>
        </w:tc>
        <w:tc>
          <w:tcPr>
            <w:tcW w:w="2880" w:type="dxa"/>
            <w:noWrap/>
            <w:hideMark/>
          </w:tcPr>
          <w:p w14:paraId="5608F93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Manchester</w:t>
            </w:r>
          </w:p>
        </w:tc>
        <w:tc>
          <w:tcPr>
            <w:tcW w:w="1148" w:type="dxa"/>
            <w:noWrap/>
            <w:hideMark/>
          </w:tcPr>
          <w:p w14:paraId="314D14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514D5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B5A71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7BF96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BEA91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0EC60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740D0F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C9CB7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34985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687B7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F9903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C393A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B3E2B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89AC4F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0167</w:t>
            </w:r>
          </w:p>
        </w:tc>
        <w:tc>
          <w:tcPr>
            <w:tcW w:w="2880" w:type="dxa"/>
            <w:noWrap/>
            <w:hideMark/>
          </w:tcPr>
          <w:p w14:paraId="448344A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Mansfield</w:t>
            </w:r>
          </w:p>
        </w:tc>
        <w:tc>
          <w:tcPr>
            <w:tcW w:w="1148" w:type="dxa"/>
            <w:noWrap/>
            <w:hideMark/>
          </w:tcPr>
          <w:p w14:paraId="7AEE478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3A3B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$37,066,064 </w:t>
            </w:r>
          </w:p>
        </w:tc>
        <w:tc>
          <w:tcPr>
            <w:tcW w:w="1786" w:type="dxa"/>
            <w:noWrap/>
            <w:hideMark/>
          </w:tcPr>
          <w:p w14:paraId="2F1A4D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$13,879,268 </w:t>
            </w:r>
          </w:p>
        </w:tc>
        <w:tc>
          <w:tcPr>
            <w:tcW w:w="901" w:type="dxa"/>
            <w:noWrap/>
            <w:hideMark/>
          </w:tcPr>
          <w:p w14:paraId="1F2806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44.6%</w:t>
            </w:r>
          </w:p>
        </w:tc>
        <w:tc>
          <w:tcPr>
            <w:tcW w:w="1374" w:type="dxa"/>
            <w:noWrap/>
            <w:hideMark/>
          </w:tcPr>
          <w:p w14:paraId="5D8B19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37.4%</w:t>
            </w:r>
          </w:p>
        </w:tc>
        <w:tc>
          <w:tcPr>
            <w:tcW w:w="1602" w:type="dxa"/>
            <w:noWrap/>
            <w:hideMark/>
          </w:tcPr>
          <w:p w14:paraId="3C5499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480315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4F076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$42,363,213</w:t>
            </w:r>
          </w:p>
        </w:tc>
        <w:tc>
          <w:tcPr>
            <w:tcW w:w="1786" w:type="dxa"/>
            <w:noWrap/>
            <w:hideMark/>
          </w:tcPr>
          <w:p w14:paraId="67F615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$18,962,339</w:t>
            </w:r>
          </w:p>
        </w:tc>
        <w:tc>
          <w:tcPr>
            <w:tcW w:w="901" w:type="dxa"/>
            <w:noWrap/>
            <w:hideMark/>
          </w:tcPr>
          <w:p w14:paraId="669DE0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32.4%</w:t>
            </w:r>
          </w:p>
        </w:tc>
        <w:tc>
          <w:tcPr>
            <w:tcW w:w="1374" w:type="dxa"/>
            <w:noWrap/>
            <w:hideMark/>
          </w:tcPr>
          <w:p w14:paraId="51C71B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44.8%</w:t>
            </w:r>
          </w:p>
        </w:tc>
        <w:tc>
          <w:tcPr>
            <w:tcW w:w="1602" w:type="dxa"/>
            <w:noWrap/>
            <w:hideMark/>
          </w:tcPr>
          <w:p w14:paraId="5E7BB7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$5,258,814</w:t>
            </w:r>
          </w:p>
        </w:tc>
      </w:tr>
      <w:tr w:rsidR="008C6E34" w:rsidRPr="008C6E34" w14:paraId="29052F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B249BB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0168</w:t>
            </w:r>
          </w:p>
        </w:tc>
        <w:tc>
          <w:tcPr>
            <w:tcW w:w="2880" w:type="dxa"/>
            <w:noWrap/>
            <w:hideMark/>
          </w:tcPr>
          <w:p w14:paraId="36778A3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Marblehead</w:t>
            </w:r>
          </w:p>
        </w:tc>
        <w:tc>
          <w:tcPr>
            <w:tcW w:w="1148" w:type="dxa"/>
            <w:noWrap/>
            <w:hideMark/>
          </w:tcPr>
          <w:p w14:paraId="22FD15D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23B16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$23,820,223 </w:t>
            </w:r>
          </w:p>
        </w:tc>
        <w:tc>
          <w:tcPr>
            <w:tcW w:w="1786" w:type="dxa"/>
            <w:noWrap/>
            <w:hideMark/>
          </w:tcPr>
          <w:p w14:paraId="0FEC0C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$3,990,936 </w:t>
            </w:r>
          </w:p>
        </w:tc>
        <w:tc>
          <w:tcPr>
            <w:tcW w:w="901" w:type="dxa"/>
            <w:noWrap/>
            <w:hideMark/>
          </w:tcPr>
          <w:p w14:paraId="6DB586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7F684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16.8%</w:t>
            </w:r>
          </w:p>
        </w:tc>
        <w:tc>
          <w:tcPr>
            <w:tcW w:w="1602" w:type="dxa"/>
            <w:noWrap/>
            <w:hideMark/>
          </w:tcPr>
          <w:p w14:paraId="773936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8DFF39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29034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$32,505,639</w:t>
            </w:r>
          </w:p>
        </w:tc>
        <w:tc>
          <w:tcPr>
            <w:tcW w:w="1786" w:type="dxa"/>
            <w:noWrap/>
            <w:hideMark/>
          </w:tcPr>
          <w:p w14:paraId="21308F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$5,952,147</w:t>
            </w:r>
          </w:p>
        </w:tc>
        <w:tc>
          <w:tcPr>
            <w:tcW w:w="901" w:type="dxa"/>
            <w:noWrap/>
            <w:hideMark/>
          </w:tcPr>
          <w:p w14:paraId="5EFE1A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54054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w:t>
            </w:r>
          </w:p>
        </w:tc>
        <w:tc>
          <w:tcPr>
            <w:tcW w:w="1602" w:type="dxa"/>
            <w:noWrap/>
            <w:hideMark/>
          </w:tcPr>
          <w:p w14:paraId="20098A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$46,322</w:t>
            </w:r>
          </w:p>
        </w:tc>
      </w:tr>
      <w:tr w:rsidR="008C6E34" w:rsidRPr="008C6E34" w14:paraId="4D1BEED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7091DC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0169</w:t>
            </w:r>
          </w:p>
        </w:tc>
        <w:tc>
          <w:tcPr>
            <w:tcW w:w="2880" w:type="dxa"/>
            <w:noWrap/>
            <w:hideMark/>
          </w:tcPr>
          <w:p w14:paraId="43C7360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Marion</w:t>
            </w:r>
          </w:p>
        </w:tc>
        <w:tc>
          <w:tcPr>
            <w:tcW w:w="1148" w:type="dxa"/>
            <w:noWrap/>
            <w:hideMark/>
          </w:tcPr>
          <w:p w14:paraId="4C6F836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D0FF0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$2,997,167 </w:t>
            </w:r>
          </w:p>
        </w:tc>
        <w:tc>
          <w:tcPr>
            <w:tcW w:w="1786" w:type="dxa"/>
            <w:noWrap/>
            <w:hideMark/>
          </w:tcPr>
          <w:p w14:paraId="179812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$375,835 </w:t>
            </w:r>
          </w:p>
        </w:tc>
        <w:tc>
          <w:tcPr>
            <w:tcW w:w="901" w:type="dxa"/>
            <w:noWrap/>
            <w:hideMark/>
          </w:tcPr>
          <w:p w14:paraId="4017CA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BB114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12.5%</w:t>
            </w:r>
          </w:p>
        </w:tc>
        <w:tc>
          <w:tcPr>
            <w:tcW w:w="1602" w:type="dxa"/>
            <w:noWrap/>
            <w:hideMark/>
          </w:tcPr>
          <w:p w14:paraId="037C74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$290,044</w:t>
            </w:r>
          </w:p>
        </w:tc>
        <w:tc>
          <w:tcPr>
            <w:tcW w:w="1264" w:type="dxa"/>
            <w:noWrap/>
            <w:hideMark/>
          </w:tcPr>
          <w:p w14:paraId="588F544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DA218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$4,612,924</w:t>
            </w:r>
          </w:p>
        </w:tc>
        <w:tc>
          <w:tcPr>
            <w:tcW w:w="1786" w:type="dxa"/>
            <w:noWrap/>
            <w:hideMark/>
          </w:tcPr>
          <w:p w14:paraId="1E9074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$860,344</w:t>
            </w:r>
          </w:p>
        </w:tc>
        <w:tc>
          <w:tcPr>
            <w:tcW w:w="901" w:type="dxa"/>
            <w:noWrap/>
            <w:hideMark/>
          </w:tcPr>
          <w:p w14:paraId="26CA92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45896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18.7%</w:t>
            </w:r>
          </w:p>
        </w:tc>
        <w:tc>
          <w:tcPr>
            <w:tcW w:w="1602" w:type="dxa"/>
            <w:noWrap/>
            <w:hideMark/>
          </w:tcPr>
          <w:p w14:paraId="15893D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$47,060</w:t>
            </w:r>
          </w:p>
        </w:tc>
      </w:tr>
      <w:tr w:rsidR="008C6E34" w:rsidRPr="008C6E34" w14:paraId="2DEE14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A6CFC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0170</w:t>
            </w:r>
          </w:p>
        </w:tc>
        <w:tc>
          <w:tcPr>
            <w:tcW w:w="2880" w:type="dxa"/>
            <w:noWrap/>
            <w:hideMark/>
          </w:tcPr>
          <w:p w14:paraId="717EC48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Marlborough</w:t>
            </w:r>
          </w:p>
        </w:tc>
        <w:tc>
          <w:tcPr>
            <w:tcW w:w="1148" w:type="dxa"/>
            <w:noWrap/>
            <w:hideMark/>
          </w:tcPr>
          <w:p w14:paraId="2747A10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1F965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$39,489,889 </w:t>
            </w:r>
          </w:p>
        </w:tc>
        <w:tc>
          <w:tcPr>
            <w:tcW w:w="1786" w:type="dxa"/>
            <w:noWrap/>
            <w:hideMark/>
          </w:tcPr>
          <w:p w14:paraId="57C274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$7,207,775 </w:t>
            </w:r>
          </w:p>
        </w:tc>
        <w:tc>
          <w:tcPr>
            <w:tcW w:w="901" w:type="dxa"/>
            <w:noWrap/>
            <w:hideMark/>
          </w:tcPr>
          <w:p w14:paraId="59EE2B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w:t>
            </w:r>
          </w:p>
        </w:tc>
        <w:tc>
          <w:tcPr>
            <w:tcW w:w="1374" w:type="dxa"/>
            <w:noWrap/>
            <w:hideMark/>
          </w:tcPr>
          <w:p w14:paraId="2100DA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w:t>
            </w:r>
          </w:p>
        </w:tc>
        <w:tc>
          <w:tcPr>
            <w:tcW w:w="1602" w:type="dxa"/>
            <w:noWrap/>
            <w:hideMark/>
          </w:tcPr>
          <w:p w14:paraId="38B843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$1,105,304</w:t>
            </w:r>
          </w:p>
        </w:tc>
        <w:tc>
          <w:tcPr>
            <w:tcW w:w="1264" w:type="dxa"/>
            <w:noWrap/>
            <w:hideMark/>
          </w:tcPr>
          <w:p w14:paraId="100E482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EF390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$64,168,256</w:t>
            </w:r>
          </w:p>
        </w:tc>
        <w:tc>
          <w:tcPr>
            <w:tcW w:w="1786" w:type="dxa"/>
            <w:noWrap/>
            <w:hideMark/>
          </w:tcPr>
          <w:p w14:paraId="30E876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$28,530,409</w:t>
            </w:r>
          </w:p>
        </w:tc>
        <w:tc>
          <w:tcPr>
            <w:tcW w:w="901" w:type="dxa"/>
            <w:noWrap/>
            <w:hideMark/>
          </w:tcPr>
          <w:p w14:paraId="610DEA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42.0%</w:t>
            </w:r>
          </w:p>
        </w:tc>
        <w:tc>
          <w:tcPr>
            <w:tcW w:w="1374" w:type="dxa"/>
            <w:noWrap/>
            <w:hideMark/>
          </w:tcPr>
          <w:p w14:paraId="6DF80A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44.5%</w:t>
            </w:r>
          </w:p>
        </w:tc>
        <w:tc>
          <w:tcPr>
            <w:tcW w:w="1602" w:type="dxa"/>
            <w:noWrap/>
            <w:hideMark/>
          </w:tcPr>
          <w:p w14:paraId="5FAA93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B5144A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19929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0171</w:t>
            </w:r>
          </w:p>
        </w:tc>
        <w:tc>
          <w:tcPr>
            <w:tcW w:w="2880" w:type="dxa"/>
            <w:noWrap/>
            <w:hideMark/>
          </w:tcPr>
          <w:p w14:paraId="0BDE6BC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Marshfield</w:t>
            </w:r>
          </w:p>
        </w:tc>
        <w:tc>
          <w:tcPr>
            <w:tcW w:w="1148" w:type="dxa"/>
            <w:noWrap/>
            <w:hideMark/>
          </w:tcPr>
          <w:p w14:paraId="6ED9F29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A3D16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$34,872,556 </w:t>
            </w:r>
          </w:p>
        </w:tc>
        <w:tc>
          <w:tcPr>
            <w:tcW w:w="1786" w:type="dxa"/>
            <w:noWrap/>
            <w:hideMark/>
          </w:tcPr>
          <w:p w14:paraId="54921F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$13,627,416 </w:t>
            </w:r>
          </w:p>
        </w:tc>
        <w:tc>
          <w:tcPr>
            <w:tcW w:w="901" w:type="dxa"/>
            <w:noWrap/>
            <w:hideMark/>
          </w:tcPr>
          <w:p w14:paraId="04D50B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28.1%</w:t>
            </w:r>
          </w:p>
        </w:tc>
        <w:tc>
          <w:tcPr>
            <w:tcW w:w="1374" w:type="dxa"/>
            <w:noWrap/>
            <w:hideMark/>
          </w:tcPr>
          <w:p w14:paraId="7C19CD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w:t>
            </w:r>
          </w:p>
        </w:tc>
        <w:tc>
          <w:tcPr>
            <w:tcW w:w="1602" w:type="dxa"/>
            <w:noWrap/>
            <w:hideMark/>
          </w:tcPr>
          <w:p w14:paraId="04FDF9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E58AB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AAE2E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$43,523,658</w:t>
            </w:r>
          </w:p>
        </w:tc>
        <w:tc>
          <w:tcPr>
            <w:tcW w:w="1786" w:type="dxa"/>
            <w:noWrap/>
            <w:hideMark/>
          </w:tcPr>
          <w:p w14:paraId="174A5B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$14,664,853</w:t>
            </w:r>
          </w:p>
        </w:tc>
        <w:tc>
          <w:tcPr>
            <w:tcW w:w="901" w:type="dxa"/>
            <w:noWrap/>
            <w:hideMark/>
          </w:tcPr>
          <w:p w14:paraId="1AAF2D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18.2%</w:t>
            </w:r>
          </w:p>
        </w:tc>
        <w:tc>
          <w:tcPr>
            <w:tcW w:w="1374" w:type="dxa"/>
            <w:noWrap/>
            <w:hideMark/>
          </w:tcPr>
          <w:p w14:paraId="4D7AAD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33.7%</w:t>
            </w:r>
          </w:p>
        </w:tc>
        <w:tc>
          <w:tcPr>
            <w:tcW w:w="1602" w:type="dxa"/>
            <w:noWrap/>
            <w:hideMark/>
          </w:tcPr>
          <w:p w14:paraId="764E0C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$6,761,019</w:t>
            </w:r>
          </w:p>
        </w:tc>
      </w:tr>
      <w:tr w:rsidR="008C6E34" w:rsidRPr="008C6E34" w14:paraId="284EE3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7C3423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0172</w:t>
            </w:r>
          </w:p>
        </w:tc>
        <w:tc>
          <w:tcPr>
            <w:tcW w:w="2880" w:type="dxa"/>
            <w:noWrap/>
            <w:hideMark/>
          </w:tcPr>
          <w:p w14:paraId="48D0DEE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Mashpee</w:t>
            </w:r>
          </w:p>
        </w:tc>
        <w:tc>
          <w:tcPr>
            <w:tcW w:w="1148" w:type="dxa"/>
            <w:noWrap/>
            <w:hideMark/>
          </w:tcPr>
          <w:p w14:paraId="1003F5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2DAB3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$15,474,024 </w:t>
            </w:r>
          </w:p>
        </w:tc>
        <w:tc>
          <w:tcPr>
            <w:tcW w:w="1786" w:type="dxa"/>
            <w:noWrap/>
            <w:hideMark/>
          </w:tcPr>
          <w:p w14:paraId="1B251F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$4,145,104 </w:t>
            </w:r>
          </w:p>
        </w:tc>
        <w:tc>
          <w:tcPr>
            <w:tcW w:w="901" w:type="dxa"/>
            <w:noWrap/>
            <w:hideMark/>
          </w:tcPr>
          <w:p w14:paraId="7A3CF2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F2016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26.8%</w:t>
            </w:r>
          </w:p>
        </w:tc>
        <w:tc>
          <w:tcPr>
            <w:tcW w:w="1602" w:type="dxa"/>
            <w:noWrap/>
            <w:hideMark/>
          </w:tcPr>
          <w:p w14:paraId="5D0644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$1,553,084</w:t>
            </w:r>
          </w:p>
        </w:tc>
        <w:tc>
          <w:tcPr>
            <w:tcW w:w="1264" w:type="dxa"/>
            <w:noWrap/>
            <w:hideMark/>
          </w:tcPr>
          <w:p w14:paraId="548FF8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23708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$18,627,382</w:t>
            </w:r>
          </w:p>
        </w:tc>
        <w:tc>
          <w:tcPr>
            <w:tcW w:w="1786" w:type="dxa"/>
            <w:noWrap/>
            <w:hideMark/>
          </w:tcPr>
          <w:p w14:paraId="0441C0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$4,640,166</w:t>
            </w:r>
          </w:p>
        </w:tc>
        <w:tc>
          <w:tcPr>
            <w:tcW w:w="901" w:type="dxa"/>
            <w:noWrap/>
            <w:hideMark/>
          </w:tcPr>
          <w:p w14:paraId="697374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D5477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24.9%</w:t>
            </w:r>
          </w:p>
        </w:tc>
        <w:tc>
          <w:tcPr>
            <w:tcW w:w="1602" w:type="dxa"/>
            <w:noWrap/>
            <w:hideMark/>
          </w:tcPr>
          <w:p w14:paraId="7C7179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$1,137,454</w:t>
            </w:r>
          </w:p>
        </w:tc>
      </w:tr>
      <w:tr w:rsidR="008C6E34" w:rsidRPr="008C6E34" w14:paraId="3F7D2F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57FD0A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0173</w:t>
            </w:r>
          </w:p>
        </w:tc>
        <w:tc>
          <w:tcPr>
            <w:tcW w:w="2880" w:type="dxa"/>
            <w:noWrap/>
            <w:hideMark/>
          </w:tcPr>
          <w:p w14:paraId="4373D0A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Mattapoisett</w:t>
            </w:r>
          </w:p>
        </w:tc>
        <w:tc>
          <w:tcPr>
            <w:tcW w:w="1148" w:type="dxa"/>
            <w:noWrap/>
            <w:hideMark/>
          </w:tcPr>
          <w:p w14:paraId="4D19B0E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DA453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$3,387,985 </w:t>
            </w:r>
          </w:p>
        </w:tc>
        <w:tc>
          <w:tcPr>
            <w:tcW w:w="1786" w:type="dxa"/>
            <w:noWrap/>
            <w:hideMark/>
          </w:tcPr>
          <w:p w14:paraId="543391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$497,698 </w:t>
            </w:r>
          </w:p>
        </w:tc>
        <w:tc>
          <w:tcPr>
            <w:tcW w:w="901" w:type="dxa"/>
            <w:noWrap/>
            <w:hideMark/>
          </w:tcPr>
          <w:p w14:paraId="595EA1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E5CAC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14.7%</w:t>
            </w:r>
          </w:p>
        </w:tc>
        <w:tc>
          <w:tcPr>
            <w:tcW w:w="1602" w:type="dxa"/>
            <w:noWrap/>
            <w:hideMark/>
          </w:tcPr>
          <w:p w14:paraId="64538B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$418,099</w:t>
            </w:r>
          </w:p>
        </w:tc>
        <w:tc>
          <w:tcPr>
            <w:tcW w:w="1264" w:type="dxa"/>
            <w:noWrap/>
            <w:hideMark/>
          </w:tcPr>
          <w:p w14:paraId="740F899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31EB8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$4,426,547</w:t>
            </w:r>
          </w:p>
        </w:tc>
        <w:tc>
          <w:tcPr>
            <w:tcW w:w="1786" w:type="dxa"/>
            <w:noWrap/>
            <w:hideMark/>
          </w:tcPr>
          <w:p w14:paraId="1C9DD0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$839,485</w:t>
            </w:r>
          </w:p>
        </w:tc>
        <w:tc>
          <w:tcPr>
            <w:tcW w:w="901" w:type="dxa"/>
            <w:noWrap/>
            <w:hideMark/>
          </w:tcPr>
          <w:p w14:paraId="6D5B75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8A59B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w:t>
            </w:r>
          </w:p>
        </w:tc>
        <w:tc>
          <w:tcPr>
            <w:tcW w:w="1602" w:type="dxa"/>
            <w:noWrap/>
            <w:hideMark/>
          </w:tcPr>
          <w:p w14:paraId="344112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$64,839</w:t>
            </w:r>
          </w:p>
        </w:tc>
      </w:tr>
      <w:tr w:rsidR="008C6E34" w:rsidRPr="008C6E34" w14:paraId="1E94AD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08206B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0174</w:t>
            </w:r>
          </w:p>
        </w:tc>
        <w:tc>
          <w:tcPr>
            <w:tcW w:w="2880" w:type="dxa"/>
            <w:noWrap/>
            <w:hideMark/>
          </w:tcPr>
          <w:p w14:paraId="57489F4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Maynard</w:t>
            </w:r>
          </w:p>
        </w:tc>
        <w:tc>
          <w:tcPr>
            <w:tcW w:w="1148" w:type="dxa"/>
            <w:noWrap/>
            <w:hideMark/>
          </w:tcPr>
          <w:p w14:paraId="1812555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2616E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$10,644,015 </w:t>
            </w:r>
          </w:p>
        </w:tc>
        <w:tc>
          <w:tcPr>
            <w:tcW w:w="1786" w:type="dxa"/>
            <w:noWrap/>
            <w:hideMark/>
          </w:tcPr>
          <w:p w14:paraId="3EDD15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$2,382,686 </w:t>
            </w:r>
          </w:p>
        </w:tc>
        <w:tc>
          <w:tcPr>
            <w:tcW w:w="901" w:type="dxa"/>
            <w:noWrap/>
            <w:hideMark/>
          </w:tcPr>
          <w:p w14:paraId="428A52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28.6%</w:t>
            </w:r>
          </w:p>
        </w:tc>
        <w:tc>
          <w:tcPr>
            <w:tcW w:w="1374" w:type="dxa"/>
            <w:noWrap/>
            <w:hideMark/>
          </w:tcPr>
          <w:p w14:paraId="4F7B9E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22.4%</w:t>
            </w:r>
          </w:p>
        </w:tc>
        <w:tc>
          <w:tcPr>
            <w:tcW w:w="1602" w:type="dxa"/>
            <w:noWrap/>
            <w:hideMark/>
          </w:tcPr>
          <w:p w14:paraId="54751C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$308,160</w:t>
            </w:r>
          </w:p>
        </w:tc>
        <w:tc>
          <w:tcPr>
            <w:tcW w:w="1264" w:type="dxa"/>
            <w:noWrap/>
            <w:hideMark/>
          </w:tcPr>
          <w:p w14:paraId="2BDD131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B3176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$15,291,604</w:t>
            </w:r>
          </w:p>
        </w:tc>
        <w:tc>
          <w:tcPr>
            <w:tcW w:w="1786" w:type="dxa"/>
            <w:noWrap/>
            <w:hideMark/>
          </w:tcPr>
          <w:p w14:paraId="138E7D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$5,442,941</w:t>
            </w:r>
          </w:p>
        </w:tc>
        <w:tc>
          <w:tcPr>
            <w:tcW w:w="901" w:type="dxa"/>
            <w:noWrap/>
            <w:hideMark/>
          </w:tcPr>
          <w:p w14:paraId="5C630E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34.6%</w:t>
            </w:r>
          </w:p>
        </w:tc>
        <w:tc>
          <w:tcPr>
            <w:tcW w:w="1374" w:type="dxa"/>
            <w:noWrap/>
            <w:hideMark/>
          </w:tcPr>
          <w:p w14:paraId="5F42DB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35.6%</w:t>
            </w:r>
          </w:p>
        </w:tc>
        <w:tc>
          <w:tcPr>
            <w:tcW w:w="1602" w:type="dxa"/>
            <w:noWrap/>
            <w:hideMark/>
          </w:tcPr>
          <w:p w14:paraId="22FEA8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$156,494</w:t>
            </w:r>
          </w:p>
        </w:tc>
      </w:tr>
      <w:tr w:rsidR="008C6E34" w:rsidRPr="008C6E34" w14:paraId="25764DA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8CAE26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0175</w:t>
            </w:r>
          </w:p>
        </w:tc>
        <w:tc>
          <w:tcPr>
            <w:tcW w:w="2880" w:type="dxa"/>
            <w:noWrap/>
            <w:hideMark/>
          </w:tcPr>
          <w:p w14:paraId="2A5D918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Medfield</w:t>
            </w:r>
          </w:p>
        </w:tc>
        <w:tc>
          <w:tcPr>
            <w:tcW w:w="1148" w:type="dxa"/>
            <w:noWrap/>
            <w:hideMark/>
          </w:tcPr>
          <w:p w14:paraId="62A462F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774D0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$22,222,545 </w:t>
            </w:r>
          </w:p>
        </w:tc>
        <w:tc>
          <w:tcPr>
            <w:tcW w:w="1786" w:type="dxa"/>
            <w:noWrap/>
            <w:hideMark/>
          </w:tcPr>
          <w:p w14:paraId="37748D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$5,113,751 </w:t>
            </w:r>
          </w:p>
        </w:tc>
        <w:tc>
          <w:tcPr>
            <w:tcW w:w="901" w:type="dxa"/>
            <w:noWrap/>
            <w:hideMark/>
          </w:tcPr>
          <w:p w14:paraId="0D72A4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w:t>
            </w:r>
          </w:p>
        </w:tc>
        <w:tc>
          <w:tcPr>
            <w:tcW w:w="1374" w:type="dxa"/>
            <w:noWrap/>
            <w:hideMark/>
          </w:tcPr>
          <w:p w14:paraId="020E9D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23.0%</w:t>
            </w:r>
          </w:p>
        </w:tc>
        <w:tc>
          <w:tcPr>
            <w:tcW w:w="1602" w:type="dxa"/>
            <w:noWrap/>
            <w:hideMark/>
          </w:tcPr>
          <w:p w14:paraId="05C448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628939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DB414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$26,032,949</w:t>
            </w:r>
          </w:p>
        </w:tc>
        <w:tc>
          <w:tcPr>
            <w:tcW w:w="1786" w:type="dxa"/>
            <w:noWrap/>
            <w:hideMark/>
          </w:tcPr>
          <w:p w14:paraId="307E2D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$6,288,744</w:t>
            </w:r>
          </w:p>
        </w:tc>
        <w:tc>
          <w:tcPr>
            <w:tcW w:w="901" w:type="dxa"/>
            <w:noWrap/>
            <w:hideMark/>
          </w:tcPr>
          <w:p w14:paraId="73B74D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A11F0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24.2%</w:t>
            </w:r>
          </w:p>
        </w:tc>
        <w:tc>
          <w:tcPr>
            <w:tcW w:w="1602" w:type="dxa"/>
            <w:noWrap/>
            <w:hideMark/>
          </w:tcPr>
          <w:p w14:paraId="7D3641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$1,432,191</w:t>
            </w:r>
          </w:p>
        </w:tc>
      </w:tr>
      <w:tr w:rsidR="008C6E34" w:rsidRPr="008C6E34" w14:paraId="3D43DC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68EA50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0176</w:t>
            </w:r>
          </w:p>
        </w:tc>
        <w:tc>
          <w:tcPr>
            <w:tcW w:w="2880" w:type="dxa"/>
            <w:noWrap/>
            <w:hideMark/>
          </w:tcPr>
          <w:p w14:paraId="695D42A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Medford</w:t>
            </w:r>
          </w:p>
        </w:tc>
        <w:tc>
          <w:tcPr>
            <w:tcW w:w="1148" w:type="dxa"/>
            <w:noWrap/>
            <w:hideMark/>
          </w:tcPr>
          <w:p w14:paraId="39D2BCF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4A8F1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$43,002,390 </w:t>
            </w:r>
          </w:p>
        </w:tc>
        <w:tc>
          <w:tcPr>
            <w:tcW w:w="1786" w:type="dxa"/>
            <w:noWrap/>
            <w:hideMark/>
          </w:tcPr>
          <w:p w14:paraId="40531E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$10,733,287 </w:t>
            </w:r>
          </w:p>
        </w:tc>
        <w:tc>
          <w:tcPr>
            <w:tcW w:w="901" w:type="dxa"/>
            <w:noWrap/>
            <w:hideMark/>
          </w:tcPr>
          <w:p w14:paraId="4FB3A0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91789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25.0%</w:t>
            </w:r>
          </w:p>
        </w:tc>
        <w:tc>
          <w:tcPr>
            <w:tcW w:w="1602" w:type="dxa"/>
            <w:noWrap/>
            <w:hideMark/>
          </w:tcPr>
          <w:p w14:paraId="5700BE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$2,071,812</w:t>
            </w:r>
          </w:p>
        </w:tc>
        <w:tc>
          <w:tcPr>
            <w:tcW w:w="1264" w:type="dxa"/>
            <w:noWrap/>
            <w:hideMark/>
          </w:tcPr>
          <w:p w14:paraId="528E421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8A14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$58,384,770</w:t>
            </w:r>
          </w:p>
        </w:tc>
        <w:tc>
          <w:tcPr>
            <w:tcW w:w="1786" w:type="dxa"/>
            <w:noWrap/>
            <w:hideMark/>
          </w:tcPr>
          <w:p w14:paraId="6A3C33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$12,143,306</w:t>
            </w:r>
          </w:p>
        </w:tc>
        <w:tc>
          <w:tcPr>
            <w:tcW w:w="901" w:type="dxa"/>
            <w:noWrap/>
            <w:hideMark/>
          </w:tcPr>
          <w:p w14:paraId="229D82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FB153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20.8%</w:t>
            </w:r>
          </w:p>
        </w:tc>
        <w:tc>
          <w:tcPr>
            <w:tcW w:w="1602" w:type="dxa"/>
            <w:noWrap/>
            <w:hideMark/>
          </w:tcPr>
          <w:p w14:paraId="20E647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$1,835,373</w:t>
            </w:r>
          </w:p>
        </w:tc>
      </w:tr>
      <w:tr w:rsidR="008C6E34" w:rsidRPr="008C6E34" w14:paraId="26FF2B8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F6F5C6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0177</w:t>
            </w:r>
          </w:p>
        </w:tc>
        <w:tc>
          <w:tcPr>
            <w:tcW w:w="2880" w:type="dxa"/>
            <w:noWrap/>
            <w:hideMark/>
          </w:tcPr>
          <w:p w14:paraId="1E392BA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Medway</w:t>
            </w:r>
          </w:p>
        </w:tc>
        <w:tc>
          <w:tcPr>
            <w:tcW w:w="1148" w:type="dxa"/>
            <w:noWrap/>
            <w:hideMark/>
          </w:tcPr>
          <w:p w14:paraId="124C2A6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F0302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$20,747,660 </w:t>
            </w:r>
          </w:p>
        </w:tc>
        <w:tc>
          <w:tcPr>
            <w:tcW w:w="1786" w:type="dxa"/>
            <w:noWrap/>
            <w:hideMark/>
          </w:tcPr>
          <w:p w14:paraId="018FC0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$7,374,855 </w:t>
            </w:r>
          </w:p>
        </w:tc>
        <w:tc>
          <w:tcPr>
            <w:tcW w:w="901" w:type="dxa"/>
            <w:noWrap/>
            <w:hideMark/>
          </w:tcPr>
          <w:p w14:paraId="02CB62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45.4%</w:t>
            </w:r>
          </w:p>
        </w:tc>
        <w:tc>
          <w:tcPr>
            <w:tcW w:w="1374" w:type="dxa"/>
            <w:noWrap/>
            <w:hideMark/>
          </w:tcPr>
          <w:p w14:paraId="4F9A02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w:t>
            </w:r>
          </w:p>
        </w:tc>
        <w:tc>
          <w:tcPr>
            <w:tcW w:w="1602" w:type="dxa"/>
            <w:noWrap/>
            <w:hideMark/>
          </w:tcPr>
          <w:p w14:paraId="62649E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91391A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EC7DE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$23,515,724</w:t>
            </w:r>
          </w:p>
        </w:tc>
        <w:tc>
          <w:tcPr>
            <w:tcW w:w="1786" w:type="dxa"/>
            <w:noWrap/>
            <w:hideMark/>
          </w:tcPr>
          <w:p w14:paraId="24A73A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$10,501,419</w:t>
            </w:r>
          </w:p>
        </w:tc>
        <w:tc>
          <w:tcPr>
            <w:tcW w:w="901" w:type="dxa"/>
            <w:noWrap/>
            <w:hideMark/>
          </w:tcPr>
          <w:p w14:paraId="3E7B88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30.3%</w:t>
            </w:r>
          </w:p>
        </w:tc>
        <w:tc>
          <w:tcPr>
            <w:tcW w:w="1374" w:type="dxa"/>
            <w:noWrap/>
            <w:hideMark/>
          </w:tcPr>
          <w:p w14:paraId="242049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44.7%</w:t>
            </w:r>
          </w:p>
        </w:tc>
        <w:tc>
          <w:tcPr>
            <w:tcW w:w="1602" w:type="dxa"/>
            <w:noWrap/>
            <w:hideMark/>
          </w:tcPr>
          <w:p w14:paraId="05B90B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$3,181,172</w:t>
            </w:r>
          </w:p>
        </w:tc>
      </w:tr>
      <w:tr w:rsidR="008C6E34" w:rsidRPr="008C6E34" w14:paraId="3A38811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634A07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0178</w:t>
            </w:r>
          </w:p>
        </w:tc>
        <w:tc>
          <w:tcPr>
            <w:tcW w:w="2880" w:type="dxa"/>
            <w:noWrap/>
            <w:hideMark/>
          </w:tcPr>
          <w:p w14:paraId="4BFC122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Melrose</w:t>
            </w:r>
          </w:p>
        </w:tc>
        <w:tc>
          <w:tcPr>
            <w:tcW w:w="1148" w:type="dxa"/>
            <w:noWrap/>
            <w:hideMark/>
          </w:tcPr>
          <w:p w14:paraId="20521D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938A5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$26,011,916 </w:t>
            </w:r>
          </w:p>
        </w:tc>
        <w:tc>
          <w:tcPr>
            <w:tcW w:w="1786" w:type="dxa"/>
            <w:noWrap/>
            <w:hideMark/>
          </w:tcPr>
          <w:p w14:paraId="5D3787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$5,380,591 </w:t>
            </w:r>
          </w:p>
        </w:tc>
        <w:tc>
          <w:tcPr>
            <w:tcW w:w="901" w:type="dxa"/>
            <w:noWrap/>
            <w:hideMark/>
          </w:tcPr>
          <w:p w14:paraId="3660B9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7AC01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602" w:type="dxa"/>
            <w:noWrap/>
            <w:hideMark/>
          </w:tcPr>
          <w:p w14:paraId="5CC39B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$738,092</w:t>
            </w:r>
          </w:p>
        </w:tc>
        <w:tc>
          <w:tcPr>
            <w:tcW w:w="1264" w:type="dxa"/>
            <w:noWrap/>
            <w:hideMark/>
          </w:tcPr>
          <w:p w14:paraId="5735D4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72F36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$42,022,188</w:t>
            </w:r>
          </w:p>
        </w:tc>
        <w:tc>
          <w:tcPr>
            <w:tcW w:w="1786" w:type="dxa"/>
            <w:noWrap/>
            <w:hideMark/>
          </w:tcPr>
          <w:p w14:paraId="794785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$8,514,496</w:t>
            </w:r>
          </w:p>
        </w:tc>
        <w:tc>
          <w:tcPr>
            <w:tcW w:w="901" w:type="dxa"/>
            <w:noWrap/>
            <w:hideMark/>
          </w:tcPr>
          <w:p w14:paraId="47EACE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609EE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20.3%</w:t>
            </w:r>
          </w:p>
        </w:tc>
        <w:tc>
          <w:tcPr>
            <w:tcW w:w="1602" w:type="dxa"/>
            <w:noWrap/>
            <w:hideMark/>
          </w:tcPr>
          <w:p w14:paraId="1600DD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$178,335</w:t>
            </w:r>
          </w:p>
        </w:tc>
      </w:tr>
      <w:tr w:rsidR="008C6E34" w:rsidRPr="008C6E34" w14:paraId="274634B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4BE10F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0179</w:t>
            </w:r>
          </w:p>
        </w:tc>
        <w:tc>
          <w:tcPr>
            <w:tcW w:w="2880" w:type="dxa"/>
            <w:noWrap/>
            <w:hideMark/>
          </w:tcPr>
          <w:p w14:paraId="2A9D04D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Mendon</w:t>
            </w:r>
          </w:p>
        </w:tc>
        <w:tc>
          <w:tcPr>
            <w:tcW w:w="1148" w:type="dxa"/>
            <w:noWrap/>
            <w:hideMark/>
          </w:tcPr>
          <w:p w14:paraId="64CF2EF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B491C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$11,108 </w:t>
            </w:r>
          </w:p>
        </w:tc>
        <w:tc>
          <w:tcPr>
            <w:tcW w:w="1786" w:type="dxa"/>
            <w:noWrap/>
            <w:hideMark/>
          </w:tcPr>
          <w:p w14:paraId="3EE026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$6,425 </w:t>
            </w:r>
          </w:p>
        </w:tc>
        <w:tc>
          <w:tcPr>
            <w:tcW w:w="901" w:type="dxa"/>
            <w:noWrap/>
            <w:hideMark/>
          </w:tcPr>
          <w:p w14:paraId="383E2D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35.1%</w:t>
            </w:r>
          </w:p>
        </w:tc>
        <w:tc>
          <w:tcPr>
            <w:tcW w:w="1374" w:type="dxa"/>
            <w:noWrap/>
            <w:hideMark/>
          </w:tcPr>
          <w:p w14:paraId="44744B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57.8%</w:t>
            </w:r>
          </w:p>
        </w:tc>
        <w:tc>
          <w:tcPr>
            <w:tcW w:w="1602" w:type="dxa"/>
            <w:noWrap/>
            <w:hideMark/>
          </w:tcPr>
          <w:p w14:paraId="3C8F3F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E8A498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A349C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$114,974</w:t>
            </w:r>
          </w:p>
        </w:tc>
        <w:tc>
          <w:tcPr>
            <w:tcW w:w="1786" w:type="dxa"/>
            <w:noWrap/>
            <w:hideMark/>
          </w:tcPr>
          <w:p w14:paraId="4F6606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$35,836</w:t>
            </w:r>
          </w:p>
        </w:tc>
        <w:tc>
          <w:tcPr>
            <w:tcW w:w="901" w:type="dxa"/>
            <w:noWrap/>
            <w:hideMark/>
          </w:tcPr>
          <w:p w14:paraId="180E18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24.6%</w:t>
            </w:r>
          </w:p>
        </w:tc>
        <w:tc>
          <w:tcPr>
            <w:tcW w:w="1374" w:type="dxa"/>
            <w:noWrap/>
            <w:hideMark/>
          </w:tcPr>
          <w:p w14:paraId="6FBD08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31.2%</w:t>
            </w:r>
          </w:p>
        </w:tc>
        <w:tc>
          <w:tcPr>
            <w:tcW w:w="1602" w:type="dxa"/>
            <w:noWrap/>
            <w:hideMark/>
          </w:tcPr>
          <w:p w14:paraId="4203CF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$4,288</w:t>
            </w:r>
          </w:p>
        </w:tc>
      </w:tr>
      <w:tr w:rsidR="008C6E34" w:rsidRPr="008C6E34" w14:paraId="3BB7DF3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B62531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0180</w:t>
            </w:r>
          </w:p>
        </w:tc>
        <w:tc>
          <w:tcPr>
            <w:tcW w:w="2880" w:type="dxa"/>
            <w:noWrap/>
            <w:hideMark/>
          </w:tcPr>
          <w:p w14:paraId="161B3D3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Merrimac</w:t>
            </w:r>
          </w:p>
        </w:tc>
        <w:tc>
          <w:tcPr>
            <w:tcW w:w="1148" w:type="dxa"/>
            <w:noWrap/>
            <w:hideMark/>
          </w:tcPr>
          <w:p w14:paraId="2E07BA2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97E12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74932E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D6193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53.4%</w:t>
            </w:r>
          </w:p>
        </w:tc>
        <w:tc>
          <w:tcPr>
            <w:tcW w:w="1374" w:type="dxa"/>
            <w:noWrap/>
            <w:hideMark/>
          </w:tcPr>
          <w:p w14:paraId="335DEE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58568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A03911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5E1C6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$114,974</w:t>
            </w:r>
          </w:p>
        </w:tc>
        <w:tc>
          <w:tcPr>
            <w:tcW w:w="1786" w:type="dxa"/>
            <w:noWrap/>
            <w:hideMark/>
          </w:tcPr>
          <w:p w14:paraId="51767D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$41,368</w:t>
            </w:r>
          </w:p>
        </w:tc>
        <w:tc>
          <w:tcPr>
            <w:tcW w:w="901" w:type="dxa"/>
            <w:noWrap/>
            <w:hideMark/>
          </w:tcPr>
          <w:p w14:paraId="49AC9B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33.1%</w:t>
            </w:r>
          </w:p>
        </w:tc>
        <w:tc>
          <w:tcPr>
            <w:tcW w:w="1374" w:type="dxa"/>
            <w:noWrap/>
            <w:hideMark/>
          </w:tcPr>
          <w:p w14:paraId="7DE22F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36.0%</w:t>
            </w:r>
          </w:p>
        </w:tc>
        <w:tc>
          <w:tcPr>
            <w:tcW w:w="1602" w:type="dxa"/>
            <w:noWrap/>
            <w:hideMark/>
          </w:tcPr>
          <w:p w14:paraId="693545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w:t>
            </w:r>
          </w:p>
        </w:tc>
      </w:tr>
      <w:tr w:rsidR="008C6E34" w:rsidRPr="008C6E34" w14:paraId="3B5739E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7FA54A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0181</w:t>
            </w:r>
          </w:p>
        </w:tc>
        <w:tc>
          <w:tcPr>
            <w:tcW w:w="2880" w:type="dxa"/>
            <w:noWrap/>
            <w:hideMark/>
          </w:tcPr>
          <w:p w14:paraId="798DB20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Methuen</w:t>
            </w:r>
          </w:p>
        </w:tc>
        <w:tc>
          <w:tcPr>
            <w:tcW w:w="1148" w:type="dxa"/>
            <w:noWrap/>
            <w:hideMark/>
          </w:tcPr>
          <w:p w14:paraId="4BF394F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AA629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$60,543,616 </w:t>
            </w:r>
          </w:p>
        </w:tc>
        <w:tc>
          <w:tcPr>
            <w:tcW w:w="1786" w:type="dxa"/>
            <w:noWrap/>
            <w:hideMark/>
          </w:tcPr>
          <w:p w14:paraId="338E7F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$33,253,977 </w:t>
            </w:r>
          </w:p>
        </w:tc>
        <w:tc>
          <w:tcPr>
            <w:tcW w:w="901" w:type="dxa"/>
            <w:noWrap/>
            <w:hideMark/>
          </w:tcPr>
          <w:p w14:paraId="7CB0B9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53.5%</w:t>
            </w:r>
          </w:p>
        </w:tc>
        <w:tc>
          <w:tcPr>
            <w:tcW w:w="1374" w:type="dxa"/>
            <w:noWrap/>
            <w:hideMark/>
          </w:tcPr>
          <w:p w14:paraId="22D7EE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54.9%</w:t>
            </w:r>
          </w:p>
        </w:tc>
        <w:tc>
          <w:tcPr>
            <w:tcW w:w="1602" w:type="dxa"/>
            <w:noWrap/>
            <w:hideMark/>
          </w:tcPr>
          <w:p w14:paraId="50DA89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AC78B3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43577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$86,487,501</w:t>
            </w:r>
          </w:p>
        </w:tc>
        <w:tc>
          <w:tcPr>
            <w:tcW w:w="1786" w:type="dxa"/>
            <w:noWrap/>
            <w:hideMark/>
          </w:tcPr>
          <w:p w14:paraId="124003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$47,567,622</w:t>
            </w:r>
          </w:p>
        </w:tc>
        <w:tc>
          <w:tcPr>
            <w:tcW w:w="901" w:type="dxa"/>
            <w:noWrap/>
            <w:hideMark/>
          </w:tcPr>
          <w:p w14:paraId="3CDE9D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54.1%</w:t>
            </w:r>
          </w:p>
        </w:tc>
        <w:tc>
          <w:tcPr>
            <w:tcW w:w="1374" w:type="dxa"/>
            <w:noWrap/>
            <w:hideMark/>
          </w:tcPr>
          <w:p w14:paraId="434928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55.0%</w:t>
            </w:r>
          </w:p>
        </w:tc>
        <w:tc>
          <w:tcPr>
            <w:tcW w:w="1602" w:type="dxa"/>
            <w:noWrap/>
            <w:hideMark/>
          </w:tcPr>
          <w:p w14:paraId="689BC8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E6800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C55F55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0182</w:t>
            </w:r>
          </w:p>
        </w:tc>
        <w:tc>
          <w:tcPr>
            <w:tcW w:w="2880" w:type="dxa"/>
            <w:noWrap/>
            <w:hideMark/>
          </w:tcPr>
          <w:p w14:paraId="28B1E5F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Middleborough</w:t>
            </w:r>
          </w:p>
        </w:tc>
        <w:tc>
          <w:tcPr>
            <w:tcW w:w="1148" w:type="dxa"/>
            <w:noWrap/>
            <w:hideMark/>
          </w:tcPr>
          <w:p w14:paraId="4BCF388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B75A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$28,711,249 </w:t>
            </w:r>
          </w:p>
        </w:tc>
        <w:tc>
          <w:tcPr>
            <w:tcW w:w="1786" w:type="dxa"/>
            <w:noWrap/>
            <w:hideMark/>
          </w:tcPr>
          <w:p w14:paraId="000C05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$16,271,963 </w:t>
            </w:r>
          </w:p>
        </w:tc>
        <w:tc>
          <w:tcPr>
            <w:tcW w:w="901" w:type="dxa"/>
            <w:noWrap/>
            <w:hideMark/>
          </w:tcPr>
          <w:p w14:paraId="684A81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53.5%</w:t>
            </w:r>
          </w:p>
        </w:tc>
        <w:tc>
          <w:tcPr>
            <w:tcW w:w="1374" w:type="dxa"/>
            <w:noWrap/>
            <w:hideMark/>
          </w:tcPr>
          <w:p w14:paraId="0D4964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56.7%</w:t>
            </w:r>
          </w:p>
        </w:tc>
        <w:tc>
          <w:tcPr>
            <w:tcW w:w="1602" w:type="dxa"/>
            <w:noWrap/>
            <w:hideMark/>
          </w:tcPr>
          <w:p w14:paraId="53A808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$1,154,355</w:t>
            </w:r>
          </w:p>
        </w:tc>
        <w:tc>
          <w:tcPr>
            <w:tcW w:w="1264" w:type="dxa"/>
            <w:noWrap/>
            <w:hideMark/>
          </w:tcPr>
          <w:p w14:paraId="704BC3A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59EDC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$34,113,306</w:t>
            </w:r>
          </w:p>
        </w:tc>
        <w:tc>
          <w:tcPr>
            <w:tcW w:w="1786" w:type="dxa"/>
            <w:noWrap/>
            <w:hideMark/>
          </w:tcPr>
          <w:p w14:paraId="5A718E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$17,978,609</w:t>
            </w:r>
          </w:p>
        </w:tc>
        <w:tc>
          <w:tcPr>
            <w:tcW w:w="901" w:type="dxa"/>
            <w:noWrap/>
            <w:hideMark/>
          </w:tcPr>
          <w:p w14:paraId="518124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48.9%</w:t>
            </w:r>
          </w:p>
        </w:tc>
        <w:tc>
          <w:tcPr>
            <w:tcW w:w="1374" w:type="dxa"/>
            <w:noWrap/>
            <w:hideMark/>
          </w:tcPr>
          <w:p w14:paraId="626B83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52.7%</w:t>
            </w:r>
          </w:p>
        </w:tc>
        <w:tc>
          <w:tcPr>
            <w:tcW w:w="1602" w:type="dxa"/>
            <w:noWrap/>
            <w:hideMark/>
          </w:tcPr>
          <w:p w14:paraId="518ECD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$833,457</w:t>
            </w:r>
          </w:p>
        </w:tc>
      </w:tr>
      <w:tr w:rsidR="008C6E34" w:rsidRPr="008C6E34" w14:paraId="3C3ACD1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6DFB22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0183</w:t>
            </w:r>
          </w:p>
        </w:tc>
        <w:tc>
          <w:tcPr>
            <w:tcW w:w="2880" w:type="dxa"/>
            <w:noWrap/>
            <w:hideMark/>
          </w:tcPr>
          <w:p w14:paraId="6EC286D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Middlefield</w:t>
            </w:r>
          </w:p>
        </w:tc>
        <w:tc>
          <w:tcPr>
            <w:tcW w:w="1148" w:type="dxa"/>
            <w:noWrap/>
            <w:hideMark/>
          </w:tcPr>
          <w:p w14:paraId="37BCC06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F2EDE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4098B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D3445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64.1%</w:t>
            </w:r>
          </w:p>
        </w:tc>
        <w:tc>
          <w:tcPr>
            <w:tcW w:w="1374" w:type="dxa"/>
            <w:noWrap/>
            <w:hideMark/>
          </w:tcPr>
          <w:p w14:paraId="794EB9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C38AB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5193D7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45826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$43,115</w:t>
            </w:r>
          </w:p>
        </w:tc>
        <w:tc>
          <w:tcPr>
            <w:tcW w:w="1786" w:type="dxa"/>
            <w:noWrap/>
            <w:hideMark/>
          </w:tcPr>
          <w:p w14:paraId="34BF15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$13,200</w:t>
            </w:r>
          </w:p>
        </w:tc>
        <w:tc>
          <w:tcPr>
            <w:tcW w:w="901" w:type="dxa"/>
            <w:noWrap/>
            <w:hideMark/>
          </w:tcPr>
          <w:p w14:paraId="21A1E8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B7347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30.6%</w:t>
            </w:r>
          </w:p>
        </w:tc>
        <w:tc>
          <w:tcPr>
            <w:tcW w:w="1602" w:type="dxa"/>
            <w:noWrap/>
            <w:hideMark/>
          </w:tcPr>
          <w:p w14:paraId="708869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$4,352</w:t>
            </w:r>
          </w:p>
        </w:tc>
      </w:tr>
      <w:tr w:rsidR="008C6E34" w:rsidRPr="008C6E34" w14:paraId="5376E18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6DAA32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0184</w:t>
            </w:r>
          </w:p>
        </w:tc>
        <w:tc>
          <w:tcPr>
            <w:tcW w:w="2880" w:type="dxa"/>
            <w:noWrap/>
            <w:hideMark/>
          </w:tcPr>
          <w:p w14:paraId="7CB2DB8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Middleton</w:t>
            </w:r>
          </w:p>
        </w:tc>
        <w:tc>
          <w:tcPr>
            <w:tcW w:w="1148" w:type="dxa"/>
            <w:noWrap/>
            <w:hideMark/>
          </w:tcPr>
          <w:p w14:paraId="749D80C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961E9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$5,471,811 </w:t>
            </w:r>
          </w:p>
        </w:tc>
        <w:tc>
          <w:tcPr>
            <w:tcW w:w="1786" w:type="dxa"/>
            <w:noWrap/>
            <w:hideMark/>
          </w:tcPr>
          <w:p w14:paraId="1C4B58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$1,325,949 </w:t>
            </w:r>
          </w:p>
        </w:tc>
        <w:tc>
          <w:tcPr>
            <w:tcW w:w="901" w:type="dxa"/>
            <w:noWrap/>
            <w:hideMark/>
          </w:tcPr>
          <w:p w14:paraId="119FDE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21.7%</w:t>
            </w:r>
          </w:p>
        </w:tc>
        <w:tc>
          <w:tcPr>
            <w:tcW w:w="1374" w:type="dxa"/>
            <w:noWrap/>
            <w:hideMark/>
          </w:tcPr>
          <w:p w14:paraId="3D28DE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24.2%</w:t>
            </w:r>
          </w:p>
        </w:tc>
        <w:tc>
          <w:tcPr>
            <w:tcW w:w="1602" w:type="dxa"/>
            <w:noWrap/>
            <w:hideMark/>
          </w:tcPr>
          <w:p w14:paraId="63DD44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AAC8AE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85AB1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$6,689,182</w:t>
            </w:r>
          </w:p>
        </w:tc>
        <w:tc>
          <w:tcPr>
            <w:tcW w:w="1786" w:type="dxa"/>
            <w:noWrap/>
            <w:hideMark/>
          </w:tcPr>
          <w:p w14:paraId="1A5136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$1,666,151</w:t>
            </w:r>
          </w:p>
        </w:tc>
        <w:tc>
          <w:tcPr>
            <w:tcW w:w="901" w:type="dxa"/>
            <w:noWrap/>
            <w:hideMark/>
          </w:tcPr>
          <w:p w14:paraId="38A9C6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427B0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24.9%</w:t>
            </w:r>
          </w:p>
        </w:tc>
        <w:tc>
          <w:tcPr>
            <w:tcW w:w="1602" w:type="dxa"/>
            <w:noWrap/>
            <w:hideMark/>
          </w:tcPr>
          <w:p w14:paraId="61BAB9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$490,507</w:t>
            </w:r>
          </w:p>
        </w:tc>
      </w:tr>
      <w:tr w:rsidR="008C6E34" w:rsidRPr="008C6E34" w14:paraId="5DF892E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2B72C7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0185</w:t>
            </w:r>
          </w:p>
        </w:tc>
        <w:tc>
          <w:tcPr>
            <w:tcW w:w="2880" w:type="dxa"/>
            <w:noWrap/>
            <w:hideMark/>
          </w:tcPr>
          <w:p w14:paraId="1831E06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Milford</w:t>
            </w:r>
          </w:p>
        </w:tc>
        <w:tc>
          <w:tcPr>
            <w:tcW w:w="1148" w:type="dxa"/>
            <w:noWrap/>
            <w:hideMark/>
          </w:tcPr>
          <w:p w14:paraId="4C7B472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064AA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$33,490,001 </w:t>
            </w:r>
          </w:p>
        </w:tc>
        <w:tc>
          <w:tcPr>
            <w:tcW w:w="1786" w:type="dxa"/>
            <w:noWrap/>
            <w:hideMark/>
          </w:tcPr>
          <w:p w14:paraId="20E0B3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$10,882,700 </w:t>
            </w:r>
          </w:p>
        </w:tc>
        <w:tc>
          <w:tcPr>
            <w:tcW w:w="901" w:type="dxa"/>
            <w:noWrap/>
            <w:hideMark/>
          </w:tcPr>
          <w:p w14:paraId="674C35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41.8%</w:t>
            </w:r>
          </w:p>
        </w:tc>
        <w:tc>
          <w:tcPr>
            <w:tcW w:w="1374" w:type="dxa"/>
            <w:noWrap/>
            <w:hideMark/>
          </w:tcPr>
          <w:p w14:paraId="719EA2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32.5%</w:t>
            </w:r>
          </w:p>
        </w:tc>
        <w:tc>
          <w:tcPr>
            <w:tcW w:w="1602" w:type="dxa"/>
            <w:noWrap/>
            <w:hideMark/>
          </w:tcPr>
          <w:p w14:paraId="6DBBCA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$114,050</w:t>
            </w:r>
          </w:p>
        </w:tc>
        <w:tc>
          <w:tcPr>
            <w:tcW w:w="1264" w:type="dxa"/>
            <w:noWrap/>
            <w:hideMark/>
          </w:tcPr>
          <w:p w14:paraId="5866B53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7428A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$52,148,898</w:t>
            </w:r>
          </w:p>
        </w:tc>
        <w:tc>
          <w:tcPr>
            <w:tcW w:w="1786" w:type="dxa"/>
            <w:noWrap/>
            <w:hideMark/>
          </w:tcPr>
          <w:p w14:paraId="4ED188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$27,301,939</w:t>
            </w:r>
          </w:p>
        </w:tc>
        <w:tc>
          <w:tcPr>
            <w:tcW w:w="901" w:type="dxa"/>
            <w:noWrap/>
            <w:hideMark/>
          </w:tcPr>
          <w:p w14:paraId="5776D1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51.7%</w:t>
            </w:r>
          </w:p>
        </w:tc>
        <w:tc>
          <w:tcPr>
            <w:tcW w:w="1374" w:type="dxa"/>
            <w:noWrap/>
            <w:hideMark/>
          </w:tcPr>
          <w:p w14:paraId="045714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52.4%</w:t>
            </w:r>
          </w:p>
        </w:tc>
        <w:tc>
          <w:tcPr>
            <w:tcW w:w="1602" w:type="dxa"/>
            <w:noWrap/>
            <w:hideMark/>
          </w:tcPr>
          <w:p w14:paraId="1BB731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863AF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428B3D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0186</w:t>
            </w:r>
          </w:p>
        </w:tc>
        <w:tc>
          <w:tcPr>
            <w:tcW w:w="2880" w:type="dxa"/>
            <w:noWrap/>
            <w:hideMark/>
          </w:tcPr>
          <w:p w14:paraId="4886EAC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Millbury</w:t>
            </w:r>
          </w:p>
        </w:tc>
        <w:tc>
          <w:tcPr>
            <w:tcW w:w="1148" w:type="dxa"/>
            <w:noWrap/>
            <w:hideMark/>
          </w:tcPr>
          <w:p w14:paraId="7AE8F7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65E9B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$15,323,374 </w:t>
            </w:r>
          </w:p>
        </w:tc>
        <w:tc>
          <w:tcPr>
            <w:tcW w:w="1786" w:type="dxa"/>
            <w:noWrap/>
            <w:hideMark/>
          </w:tcPr>
          <w:p w14:paraId="068D46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$6,392,219 </w:t>
            </w:r>
          </w:p>
        </w:tc>
        <w:tc>
          <w:tcPr>
            <w:tcW w:w="901" w:type="dxa"/>
            <w:noWrap/>
            <w:hideMark/>
          </w:tcPr>
          <w:p w14:paraId="74D923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48.6%</w:t>
            </w:r>
          </w:p>
        </w:tc>
        <w:tc>
          <w:tcPr>
            <w:tcW w:w="1374" w:type="dxa"/>
            <w:noWrap/>
            <w:hideMark/>
          </w:tcPr>
          <w:p w14:paraId="4924BB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w:t>
            </w:r>
          </w:p>
        </w:tc>
        <w:tc>
          <w:tcPr>
            <w:tcW w:w="1602" w:type="dxa"/>
            <w:noWrap/>
            <w:hideMark/>
          </w:tcPr>
          <w:p w14:paraId="2134E9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$69,473</w:t>
            </w:r>
          </w:p>
        </w:tc>
        <w:tc>
          <w:tcPr>
            <w:tcW w:w="1264" w:type="dxa"/>
            <w:noWrap/>
            <w:hideMark/>
          </w:tcPr>
          <w:p w14:paraId="05DC904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996D7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$19,134,295</w:t>
            </w:r>
          </w:p>
        </w:tc>
        <w:tc>
          <w:tcPr>
            <w:tcW w:w="1786" w:type="dxa"/>
            <w:noWrap/>
            <w:hideMark/>
          </w:tcPr>
          <w:p w14:paraId="2AE439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$7,675,624</w:t>
            </w:r>
          </w:p>
        </w:tc>
        <w:tc>
          <w:tcPr>
            <w:tcW w:w="901" w:type="dxa"/>
            <w:noWrap/>
            <w:hideMark/>
          </w:tcPr>
          <w:p w14:paraId="1086E1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40.1%</w:t>
            </w:r>
          </w:p>
        </w:tc>
        <w:tc>
          <w:tcPr>
            <w:tcW w:w="1374" w:type="dxa"/>
            <w:noWrap/>
            <w:hideMark/>
          </w:tcPr>
          <w:p w14:paraId="2192F6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40.1%</w:t>
            </w:r>
          </w:p>
        </w:tc>
        <w:tc>
          <w:tcPr>
            <w:tcW w:w="1602" w:type="dxa"/>
            <w:noWrap/>
            <w:hideMark/>
          </w:tcPr>
          <w:p w14:paraId="1E04C7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F2243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347712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0187</w:t>
            </w:r>
          </w:p>
        </w:tc>
        <w:tc>
          <w:tcPr>
            <w:tcW w:w="2880" w:type="dxa"/>
            <w:noWrap/>
            <w:hideMark/>
          </w:tcPr>
          <w:p w14:paraId="46CDFBB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Millis</w:t>
            </w:r>
          </w:p>
        </w:tc>
        <w:tc>
          <w:tcPr>
            <w:tcW w:w="1148" w:type="dxa"/>
            <w:noWrap/>
            <w:hideMark/>
          </w:tcPr>
          <w:p w14:paraId="673EFEB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6BF6F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$9,483,892 </w:t>
            </w:r>
          </w:p>
        </w:tc>
        <w:tc>
          <w:tcPr>
            <w:tcW w:w="1786" w:type="dxa"/>
            <w:noWrap/>
            <w:hideMark/>
          </w:tcPr>
          <w:p w14:paraId="291CCF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$2,102,688 </w:t>
            </w:r>
          </w:p>
        </w:tc>
        <w:tc>
          <w:tcPr>
            <w:tcW w:w="901" w:type="dxa"/>
            <w:noWrap/>
            <w:hideMark/>
          </w:tcPr>
          <w:p w14:paraId="515A2A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w:t>
            </w:r>
          </w:p>
        </w:tc>
        <w:tc>
          <w:tcPr>
            <w:tcW w:w="1374" w:type="dxa"/>
            <w:noWrap/>
            <w:hideMark/>
          </w:tcPr>
          <w:p w14:paraId="0B0FDF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22.2%</w:t>
            </w:r>
          </w:p>
        </w:tc>
        <w:tc>
          <w:tcPr>
            <w:tcW w:w="1602" w:type="dxa"/>
            <w:noWrap/>
            <w:hideMark/>
          </w:tcPr>
          <w:p w14:paraId="7AF486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$45,268</w:t>
            </w:r>
          </w:p>
        </w:tc>
        <w:tc>
          <w:tcPr>
            <w:tcW w:w="1264" w:type="dxa"/>
            <w:noWrap/>
            <w:hideMark/>
          </w:tcPr>
          <w:p w14:paraId="11CE08B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831C7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$12,179,710</w:t>
            </w:r>
          </w:p>
        </w:tc>
        <w:tc>
          <w:tcPr>
            <w:tcW w:w="1786" w:type="dxa"/>
            <w:noWrap/>
            <w:hideMark/>
          </w:tcPr>
          <w:p w14:paraId="18BE49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$4,831,312</w:t>
            </w:r>
          </w:p>
        </w:tc>
        <w:tc>
          <w:tcPr>
            <w:tcW w:w="901" w:type="dxa"/>
            <w:noWrap/>
            <w:hideMark/>
          </w:tcPr>
          <w:p w14:paraId="5707ED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29.3%</w:t>
            </w:r>
          </w:p>
        </w:tc>
        <w:tc>
          <w:tcPr>
            <w:tcW w:w="1374" w:type="dxa"/>
            <w:noWrap/>
            <w:hideMark/>
          </w:tcPr>
          <w:p w14:paraId="663991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w:t>
            </w:r>
          </w:p>
        </w:tc>
        <w:tc>
          <w:tcPr>
            <w:tcW w:w="1602" w:type="dxa"/>
            <w:noWrap/>
            <w:hideMark/>
          </w:tcPr>
          <w:p w14:paraId="4995B3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$1,264,190</w:t>
            </w:r>
          </w:p>
        </w:tc>
      </w:tr>
      <w:tr w:rsidR="008C6E34" w:rsidRPr="008C6E34" w14:paraId="1473C5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08B69F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0188</w:t>
            </w:r>
          </w:p>
        </w:tc>
        <w:tc>
          <w:tcPr>
            <w:tcW w:w="2880" w:type="dxa"/>
            <w:noWrap/>
            <w:hideMark/>
          </w:tcPr>
          <w:p w14:paraId="6F6CF6F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Millville</w:t>
            </w:r>
          </w:p>
        </w:tc>
        <w:tc>
          <w:tcPr>
            <w:tcW w:w="1148" w:type="dxa"/>
            <w:noWrap/>
            <w:hideMark/>
          </w:tcPr>
          <w:p w14:paraId="424AE0C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D9D3E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$10,850 </w:t>
            </w:r>
          </w:p>
        </w:tc>
        <w:tc>
          <w:tcPr>
            <w:tcW w:w="1786" w:type="dxa"/>
            <w:noWrap/>
            <w:hideMark/>
          </w:tcPr>
          <w:p w14:paraId="2474A8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$7,636 </w:t>
            </w:r>
          </w:p>
        </w:tc>
        <w:tc>
          <w:tcPr>
            <w:tcW w:w="901" w:type="dxa"/>
            <w:noWrap/>
            <w:hideMark/>
          </w:tcPr>
          <w:p w14:paraId="2A8029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61.9%</w:t>
            </w:r>
          </w:p>
        </w:tc>
        <w:tc>
          <w:tcPr>
            <w:tcW w:w="1374" w:type="dxa"/>
            <w:noWrap/>
            <w:hideMark/>
          </w:tcPr>
          <w:p w14:paraId="11C85B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70.4%</w:t>
            </w:r>
          </w:p>
        </w:tc>
        <w:tc>
          <w:tcPr>
            <w:tcW w:w="1602" w:type="dxa"/>
            <w:noWrap/>
            <w:hideMark/>
          </w:tcPr>
          <w:p w14:paraId="4E7967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295013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95C2F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$114,974</w:t>
            </w:r>
          </w:p>
        </w:tc>
        <w:tc>
          <w:tcPr>
            <w:tcW w:w="1786" w:type="dxa"/>
            <w:noWrap/>
            <w:hideMark/>
          </w:tcPr>
          <w:p w14:paraId="70A025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$71,567</w:t>
            </w:r>
          </w:p>
        </w:tc>
        <w:tc>
          <w:tcPr>
            <w:tcW w:w="901" w:type="dxa"/>
            <w:noWrap/>
            <w:hideMark/>
          </w:tcPr>
          <w:p w14:paraId="4ABFF0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56.5%</w:t>
            </w:r>
          </w:p>
        </w:tc>
        <w:tc>
          <w:tcPr>
            <w:tcW w:w="1374" w:type="dxa"/>
            <w:noWrap/>
            <w:hideMark/>
          </w:tcPr>
          <w:p w14:paraId="407CB8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62.2%</w:t>
            </w:r>
          </w:p>
        </w:tc>
        <w:tc>
          <w:tcPr>
            <w:tcW w:w="1602" w:type="dxa"/>
            <w:noWrap/>
            <w:hideMark/>
          </w:tcPr>
          <w:p w14:paraId="0BCB61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$5,150</w:t>
            </w:r>
          </w:p>
        </w:tc>
      </w:tr>
      <w:tr w:rsidR="008C6E34" w:rsidRPr="008C6E34" w14:paraId="5D331B4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86F528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0189</w:t>
            </w:r>
          </w:p>
        </w:tc>
        <w:tc>
          <w:tcPr>
            <w:tcW w:w="2880" w:type="dxa"/>
            <w:noWrap/>
            <w:hideMark/>
          </w:tcPr>
          <w:p w14:paraId="21BE9CE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Milton</w:t>
            </w:r>
          </w:p>
        </w:tc>
        <w:tc>
          <w:tcPr>
            <w:tcW w:w="1148" w:type="dxa"/>
            <w:noWrap/>
            <w:hideMark/>
          </w:tcPr>
          <w:p w14:paraId="28960DC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F9C61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$27,293,509 </w:t>
            </w:r>
          </w:p>
        </w:tc>
        <w:tc>
          <w:tcPr>
            <w:tcW w:w="1786" w:type="dxa"/>
            <w:noWrap/>
            <w:hideMark/>
          </w:tcPr>
          <w:p w14:paraId="4D43A8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$3,770,098 </w:t>
            </w:r>
          </w:p>
        </w:tc>
        <w:tc>
          <w:tcPr>
            <w:tcW w:w="901" w:type="dxa"/>
            <w:noWrap/>
            <w:hideMark/>
          </w:tcPr>
          <w:p w14:paraId="3799B2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E740E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w:t>
            </w:r>
          </w:p>
        </w:tc>
        <w:tc>
          <w:tcPr>
            <w:tcW w:w="1602" w:type="dxa"/>
            <w:noWrap/>
            <w:hideMark/>
          </w:tcPr>
          <w:p w14:paraId="656EF4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$2,158,685</w:t>
            </w:r>
          </w:p>
        </w:tc>
        <w:tc>
          <w:tcPr>
            <w:tcW w:w="1264" w:type="dxa"/>
            <w:noWrap/>
            <w:hideMark/>
          </w:tcPr>
          <w:p w14:paraId="6C9438E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D590F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$44,445,618</w:t>
            </w:r>
          </w:p>
        </w:tc>
        <w:tc>
          <w:tcPr>
            <w:tcW w:w="1786" w:type="dxa"/>
            <w:noWrap/>
            <w:hideMark/>
          </w:tcPr>
          <w:p w14:paraId="2CC1EE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$9,033,561</w:t>
            </w:r>
          </w:p>
        </w:tc>
        <w:tc>
          <w:tcPr>
            <w:tcW w:w="901" w:type="dxa"/>
            <w:noWrap/>
            <w:hideMark/>
          </w:tcPr>
          <w:p w14:paraId="26F0D2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FDAA6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20.3%</w:t>
            </w:r>
          </w:p>
        </w:tc>
        <w:tc>
          <w:tcPr>
            <w:tcW w:w="1602" w:type="dxa"/>
            <w:noWrap/>
            <w:hideMark/>
          </w:tcPr>
          <w:p w14:paraId="023242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$34,308</w:t>
            </w:r>
          </w:p>
        </w:tc>
      </w:tr>
      <w:tr w:rsidR="008C6E34" w:rsidRPr="008C6E34" w14:paraId="2A5CE9A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CAAC8F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0190</w:t>
            </w:r>
          </w:p>
        </w:tc>
        <w:tc>
          <w:tcPr>
            <w:tcW w:w="2880" w:type="dxa"/>
            <w:noWrap/>
            <w:hideMark/>
          </w:tcPr>
          <w:p w14:paraId="0EEB94F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Monroe</w:t>
            </w:r>
          </w:p>
        </w:tc>
        <w:tc>
          <w:tcPr>
            <w:tcW w:w="1148" w:type="dxa"/>
            <w:noWrap/>
            <w:hideMark/>
          </w:tcPr>
          <w:p w14:paraId="7EBF02F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0E207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$67,150 </w:t>
            </w:r>
          </w:p>
        </w:tc>
        <w:tc>
          <w:tcPr>
            <w:tcW w:w="1786" w:type="dxa"/>
            <w:noWrap/>
            <w:hideMark/>
          </w:tcPr>
          <w:p w14:paraId="7A49EC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$67,150 </w:t>
            </w:r>
          </w:p>
        </w:tc>
        <w:tc>
          <w:tcPr>
            <w:tcW w:w="901" w:type="dxa"/>
            <w:noWrap/>
            <w:hideMark/>
          </w:tcPr>
          <w:p w14:paraId="01037A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w:t>
            </w:r>
          </w:p>
        </w:tc>
        <w:tc>
          <w:tcPr>
            <w:tcW w:w="1374" w:type="dxa"/>
            <w:noWrap/>
            <w:hideMark/>
          </w:tcPr>
          <w:p w14:paraId="7D8A7F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100.0%</w:t>
            </w:r>
          </w:p>
        </w:tc>
        <w:tc>
          <w:tcPr>
            <w:tcW w:w="1602" w:type="dxa"/>
            <w:noWrap/>
            <w:hideMark/>
          </w:tcPr>
          <w:p w14:paraId="4559D0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$67,150</w:t>
            </w:r>
          </w:p>
        </w:tc>
        <w:tc>
          <w:tcPr>
            <w:tcW w:w="1264" w:type="dxa"/>
            <w:noWrap/>
            <w:hideMark/>
          </w:tcPr>
          <w:p w14:paraId="218EA5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8790D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$101,470</w:t>
            </w:r>
          </w:p>
        </w:tc>
        <w:tc>
          <w:tcPr>
            <w:tcW w:w="1786" w:type="dxa"/>
            <w:noWrap/>
            <w:hideMark/>
          </w:tcPr>
          <w:p w14:paraId="570944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$49,377</w:t>
            </w:r>
          </w:p>
        </w:tc>
        <w:tc>
          <w:tcPr>
            <w:tcW w:w="901" w:type="dxa"/>
            <w:noWrap/>
            <w:hideMark/>
          </w:tcPr>
          <w:p w14:paraId="199E1B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w:t>
            </w:r>
          </w:p>
        </w:tc>
        <w:tc>
          <w:tcPr>
            <w:tcW w:w="1374" w:type="dxa"/>
            <w:noWrap/>
            <w:hideMark/>
          </w:tcPr>
          <w:p w14:paraId="619AF3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48.7%</w:t>
            </w:r>
          </w:p>
        </w:tc>
        <w:tc>
          <w:tcPr>
            <w:tcW w:w="1602" w:type="dxa"/>
            <w:noWrap/>
            <w:hideMark/>
          </w:tcPr>
          <w:p w14:paraId="10871C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$22,606</w:t>
            </w:r>
          </w:p>
        </w:tc>
      </w:tr>
      <w:tr w:rsidR="008C6E34" w:rsidRPr="008C6E34" w14:paraId="60D6D3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97BE03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0191</w:t>
            </w:r>
          </w:p>
        </w:tc>
        <w:tc>
          <w:tcPr>
            <w:tcW w:w="2880" w:type="dxa"/>
            <w:noWrap/>
            <w:hideMark/>
          </w:tcPr>
          <w:p w14:paraId="30557B3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Monson</w:t>
            </w:r>
          </w:p>
        </w:tc>
        <w:tc>
          <w:tcPr>
            <w:tcW w:w="1148" w:type="dxa"/>
            <w:noWrap/>
            <w:hideMark/>
          </w:tcPr>
          <w:p w14:paraId="5A63DF2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47447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$11,949,571 </w:t>
            </w:r>
          </w:p>
        </w:tc>
        <w:tc>
          <w:tcPr>
            <w:tcW w:w="1786" w:type="dxa"/>
            <w:noWrap/>
            <w:hideMark/>
          </w:tcPr>
          <w:p w14:paraId="3BF4BB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$7,111,941 </w:t>
            </w:r>
          </w:p>
        </w:tc>
        <w:tc>
          <w:tcPr>
            <w:tcW w:w="901" w:type="dxa"/>
            <w:noWrap/>
            <w:hideMark/>
          </w:tcPr>
          <w:p w14:paraId="36D67A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63.4%</w:t>
            </w:r>
          </w:p>
        </w:tc>
        <w:tc>
          <w:tcPr>
            <w:tcW w:w="1374" w:type="dxa"/>
            <w:noWrap/>
            <w:hideMark/>
          </w:tcPr>
          <w:p w14:paraId="5D2FDD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59.5%</w:t>
            </w:r>
          </w:p>
        </w:tc>
        <w:tc>
          <w:tcPr>
            <w:tcW w:w="1602" w:type="dxa"/>
            <w:noWrap/>
            <w:hideMark/>
          </w:tcPr>
          <w:p w14:paraId="104622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$1,329</w:t>
            </w:r>
          </w:p>
        </w:tc>
        <w:tc>
          <w:tcPr>
            <w:tcW w:w="1264" w:type="dxa"/>
            <w:noWrap/>
            <w:hideMark/>
          </w:tcPr>
          <w:p w14:paraId="6DAE352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F3AB4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$10,353,120</w:t>
            </w:r>
          </w:p>
        </w:tc>
        <w:tc>
          <w:tcPr>
            <w:tcW w:w="1786" w:type="dxa"/>
            <w:noWrap/>
            <w:hideMark/>
          </w:tcPr>
          <w:p w14:paraId="1A2777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$7,541,075</w:t>
            </w:r>
          </w:p>
        </w:tc>
        <w:tc>
          <w:tcPr>
            <w:tcW w:w="901" w:type="dxa"/>
            <w:noWrap/>
            <w:hideMark/>
          </w:tcPr>
          <w:p w14:paraId="77246B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44.5%</w:t>
            </w:r>
          </w:p>
        </w:tc>
        <w:tc>
          <w:tcPr>
            <w:tcW w:w="1374" w:type="dxa"/>
            <w:noWrap/>
            <w:hideMark/>
          </w:tcPr>
          <w:p w14:paraId="4B3325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72.8%</w:t>
            </w:r>
          </w:p>
        </w:tc>
        <w:tc>
          <w:tcPr>
            <w:tcW w:w="1602" w:type="dxa"/>
            <w:noWrap/>
            <w:hideMark/>
          </w:tcPr>
          <w:p w14:paraId="0444DC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$2,934,894</w:t>
            </w:r>
          </w:p>
        </w:tc>
      </w:tr>
      <w:tr w:rsidR="008C6E34" w:rsidRPr="008C6E34" w14:paraId="6D8CC97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C731BF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0192</w:t>
            </w:r>
          </w:p>
        </w:tc>
        <w:tc>
          <w:tcPr>
            <w:tcW w:w="2880" w:type="dxa"/>
            <w:noWrap/>
            <w:hideMark/>
          </w:tcPr>
          <w:p w14:paraId="5705754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Montague</w:t>
            </w:r>
          </w:p>
        </w:tc>
        <w:tc>
          <w:tcPr>
            <w:tcW w:w="1148" w:type="dxa"/>
            <w:noWrap/>
            <w:hideMark/>
          </w:tcPr>
          <w:p w14:paraId="0771F44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9B3F6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807F9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501BD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374" w:type="dxa"/>
            <w:noWrap/>
            <w:hideMark/>
          </w:tcPr>
          <w:p w14:paraId="5ECD1A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D7F60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AA0E04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8C7B2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01865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305EF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53.7%</w:t>
            </w:r>
          </w:p>
        </w:tc>
        <w:tc>
          <w:tcPr>
            <w:tcW w:w="1374" w:type="dxa"/>
            <w:noWrap/>
            <w:hideMark/>
          </w:tcPr>
          <w:p w14:paraId="65C376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69F04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8F050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D19E47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0193</w:t>
            </w:r>
          </w:p>
        </w:tc>
        <w:tc>
          <w:tcPr>
            <w:tcW w:w="2880" w:type="dxa"/>
            <w:noWrap/>
            <w:hideMark/>
          </w:tcPr>
          <w:p w14:paraId="755ED4B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Monterey</w:t>
            </w:r>
          </w:p>
        </w:tc>
        <w:tc>
          <w:tcPr>
            <w:tcW w:w="1148" w:type="dxa"/>
            <w:noWrap/>
            <w:hideMark/>
          </w:tcPr>
          <w:p w14:paraId="52144E3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00A9C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22F57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D4E8E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9C724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7CD71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F7A627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52081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B0628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64B9C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DB510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64B7C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4D6A0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6543E8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0194</w:t>
            </w:r>
          </w:p>
        </w:tc>
        <w:tc>
          <w:tcPr>
            <w:tcW w:w="2880" w:type="dxa"/>
            <w:noWrap/>
            <w:hideMark/>
          </w:tcPr>
          <w:p w14:paraId="78EFFC5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Montgomery</w:t>
            </w:r>
          </w:p>
        </w:tc>
        <w:tc>
          <w:tcPr>
            <w:tcW w:w="1148" w:type="dxa"/>
            <w:noWrap/>
            <w:hideMark/>
          </w:tcPr>
          <w:p w14:paraId="29B1598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3C426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$32,549 </w:t>
            </w:r>
          </w:p>
        </w:tc>
        <w:tc>
          <w:tcPr>
            <w:tcW w:w="1786" w:type="dxa"/>
            <w:noWrap/>
            <w:hideMark/>
          </w:tcPr>
          <w:p w14:paraId="66F849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$15,666 </w:t>
            </w:r>
          </w:p>
        </w:tc>
        <w:tc>
          <w:tcPr>
            <w:tcW w:w="901" w:type="dxa"/>
            <w:noWrap/>
            <w:hideMark/>
          </w:tcPr>
          <w:p w14:paraId="5E2F9C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30.6%</w:t>
            </w:r>
          </w:p>
        </w:tc>
        <w:tc>
          <w:tcPr>
            <w:tcW w:w="1374" w:type="dxa"/>
            <w:noWrap/>
            <w:hideMark/>
          </w:tcPr>
          <w:p w14:paraId="6386A5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48.1%</w:t>
            </w:r>
          </w:p>
        </w:tc>
        <w:tc>
          <w:tcPr>
            <w:tcW w:w="1602" w:type="dxa"/>
            <w:noWrap/>
            <w:hideMark/>
          </w:tcPr>
          <w:p w14:paraId="3F9028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$7,145</w:t>
            </w:r>
          </w:p>
        </w:tc>
        <w:tc>
          <w:tcPr>
            <w:tcW w:w="1264" w:type="dxa"/>
            <w:noWrap/>
            <w:hideMark/>
          </w:tcPr>
          <w:p w14:paraId="1873AFD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92C73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$114,974</w:t>
            </w:r>
          </w:p>
        </w:tc>
        <w:tc>
          <w:tcPr>
            <w:tcW w:w="1786" w:type="dxa"/>
            <w:noWrap/>
            <w:hideMark/>
          </w:tcPr>
          <w:p w14:paraId="295EF8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$21,042</w:t>
            </w:r>
          </w:p>
        </w:tc>
        <w:tc>
          <w:tcPr>
            <w:tcW w:w="901" w:type="dxa"/>
            <w:noWrap/>
            <w:hideMark/>
          </w:tcPr>
          <w:p w14:paraId="3B6E92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BF02A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w:t>
            </w:r>
          </w:p>
        </w:tc>
        <w:tc>
          <w:tcPr>
            <w:tcW w:w="1602" w:type="dxa"/>
            <w:noWrap/>
            <w:hideMark/>
          </w:tcPr>
          <w:p w14:paraId="6791F0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$922</w:t>
            </w:r>
          </w:p>
        </w:tc>
      </w:tr>
      <w:tr w:rsidR="008C6E34" w:rsidRPr="008C6E34" w14:paraId="2DE23D8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8CCCE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0195</w:t>
            </w:r>
          </w:p>
        </w:tc>
        <w:tc>
          <w:tcPr>
            <w:tcW w:w="2880" w:type="dxa"/>
            <w:noWrap/>
            <w:hideMark/>
          </w:tcPr>
          <w:p w14:paraId="041F7A8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Mount Washington</w:t>
            </w:r>
          </w:p>
        </w:tc>
        <w:tc>
          <w:tcPr>
            <w:tcW w:w="1148" w:type="dxa"/>
            <w:noWrap/>
            <w:hideMark/>
          </w:tcPr>
          <w:p w14:paraId="46ACAC4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95986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$144,190 </w:t>
            </w:r>
          </w:p>
        </w:tc>
        <w:tc>
          <w:tcPr>
            <w:tcW w:w="1786" w:type="dxa"/>
            <w:noWrap/>
            <w:hideMark/>
          </w:tcPr>
          <w:p w14:paraId="2A7735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$32,952 </w:t>
            </w:r>
          </w:p>
        </w:tc>
        <w:tc>
          <w:tcPr>
            <w:tcW w:w="901" w:type="dxa"/>
            <w:noWrap/>
            <w:hideMark/>
          </w:tcPr>
          <w:p w14:paraId="3A3BE9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78442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w:t>
            </w:r>
          </w:p>
        </w:tc>
        <w:tc>
          <w:tcPr>
            <w:tcW w:w="1602" w:type="dxa"/>
            <w:noWrap/>
            <w:hideMark/>
          </w:tcPr>
          <w:p w14:paraId="18072F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6B9C3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F87DA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$7,756</w:t>
            </w:r>
          </w:p>
        </w:tc>
        <w:tc>
          <w:tcPr>
            <w:tcW w:w="1786" w:type="dxa"/>
            <w:noWrap/>
            <w:hideMark/>
          </w:tcPr>
          <w:p w14:paraId="19DF61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$7,771</w:t>
            </w:r>
          </w:p>
        </w:tc>
        <w:tc>
          <w:tcPr>
            <w:tcW w:w="901" w:type="dxa"/>
            <w:noWrap/>
            <w:hideMark/>
          </w:tcPr>
          <w:p w14:paraId="29A661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EF0D7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100.2%</w:t>
            </w:r>
          </w:p>
        </w:tc>
        <w:tc>
          <w:tcPr>
            <w:tcW w:w="1602" w:type="dxa"/>
            <w:noWrap/>
            <w:hideMark/>
          </w:tcPr>
          <w:p w14:paraId="287865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$6,414</w:t>
            </w:r>
          </w:p>
        </w:tc>
      </w:tr>
      <w:tr w:rsidR="008C6E34" w:rsidRPr="008C6E34" w14:paraId="678BBDB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B5E173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0196</w:t>
            </w:r>
          </w:p>
        </w:tc>
        <w:tc>
          <w:tcPr>
            <w:tcW w:w="2880" w:type="dxa"/>
            <w:noWrap/>
            <w:hideMark/>
          </w:tcPr>
          <w:p w14:paraId="43AC756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Nahant</w:t>
            </w:r>
          </w:p>
        </w:tc>
        <w:tc>
          <w:tcPr>
            <w:tcW w:w="1148" w:type="dxa"/>
            <w:noWrap/>
            <w:hideMark/>
          </w:tcPr>
          <w:p w14:paraId="4A2129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53BD3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$2,885,509 </w:t>
            </w:r>
          </w:p>
        </w:tc>
        <w:tc>
          <w:tcPr>
            <w:tcW w:w="1786" w:type="dxa"/>
            <w:noWrap/>
            <w:hideMark/>
          </w:tcPr>
          <w:p w14:paraId="132EFB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$408,985 </w:t>
            </w:r>
          </w:p>
        </w:tc>
        <w:tc>
          <w:tcPr>
            <w:tcW w:w="901" w:type="dxa"/>
            <w:noWrap/>
            <w:hideMark/>
          </w:tcPr>
          <w:p w14:paraId="0C8450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B0B53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14.2%</w:t>
            </w:r>
          </w:p>
        </w:tc>
        <w:tc>
          <w:tcPr>
            <w:tcW w:w="1602" w:type="dxa"/>
            <w:noWrap/>
            <w:hideMark/>
          </w:tcPr>
          <w:p w14:paraId="0C9228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$400,367</w:t>
            </w:r>
          </w:p>
        </w:tc>
        <w:tc>
          <w:tcPr>
            <w:tcW w:w="1264" w:type="dxa"/>
            <w:noWrap/>
            <w:hideMark/>
          </w:tcPr>
          <w:p w14:paraId="5E1B8D1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20100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$2,602,347</w:t>
            </w:r>
          </w:p>
        </w:tc>
        <w:tc>
          <w:tcPr>
            <w:tcW w:w="1786" w:type="dxa"/>
            <w:noWrap/>
            <w:hideMark/>
          </w:tcPr>
          <w:p w14:paraId="5B8F4B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$523,513</w:t>
            </w:r>
          </w:p>
        </w:tc>
        <w:tc>
          <w:tcPr>
            <w:tcW w:w="901" w:type="dxa"/>
            <w:noWrap/>
            <w:hideMark/>
          </w:tcPr>
          <w:p w14:paraId="23445E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0EA74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20.1%</w:t>
            </w:r>
          </w:p>
        </w:tc>
        <w:tc>
          <w:tcPr>
            <w:tcW w:w="1602" w:type="dxa"/>
            <w:noWrap/>
            <w:hideMark/>
          </w:tcPr>
          <w:p w14:paraId="0D85F8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$68,102</w:t>
            </w:r>
          </w:p>
        </w:tc>
      </w:tr>
      <w:tr w:rsidR="008C6E34" w:rsidRPr="008C6E34" w14:paraId="74FAA68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6FAA94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0197</w:t>
            </w:r>
          </w:p>
        </w:tc>
        <w:tc>
          <w:tcPr>
            <w:tcW w:w="2880" w:type="dxa"/>
            <w:noWrap/>
            <w:hideMark/>
          </w:tcPr>
          <w:p w14:paraId="093D6D7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Nantucket</w:t>
            </w:r>
          </w:p>
        </w:tc>
        <w:tc>
          <w:tcPr>
            <w:tcW w:w="1148" w:type="dxa"/>
            <w:noWrap/>
            <w:hideMark/>
          </w:tcPr>
          <w:p w14:paraId="149DA2E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E7E8F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$9,230,081 </w:t>
            </w:r>
          </w:p>
        </w:tc>
        <w:tc>
          <w:tcPr>
            <w:tcW w:w="1786" w:type="dxa"/>
            <w:noWrap/>
            <w:hideMark/>
          </w:tcPr>
          <w:p w14:paraId="5852C0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$991,187 </w:t>
            </w:r>
          </w:p>
        </w:tc>
        <w:tc>
          <w:tcPr>
            <w:tcW w:w="901" w:type="dxa"/>
            <w:noWrap/>
            <w:hideMark/>
          </w:tcPr>
          <w:p w14:paraId="79AF69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979E6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10.7%</w:t>
            </w:r>
          </w:p>
        </w:tc>
        <w:tc>
          <w:tcPr>
            <w:tcW w:w="1602" w:type="dxa"/>
            <w:noWrap/>
            <w:hideMark/>
          </w:tcPr>
          <w:p w14:paraId="348C12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$991,187</w:t>
            </w:r>
          </w:p>
        </w:tc>
        <w:tc>
          <w:tcPr>
            <w:tcW w:w="1264" w:type="dxa"/>
            <w:noWrap/>
            <w:hideMark/>
          </w:tcPr>
          <w:p w14:paraId="7CA1BD6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3EC2B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$19,008,237</w:t>
            </w:r>
          </w:p>
        </w:tc>
        <w:tc>
          <w:tcPr>
            <w:tcW w:w="1786" w:type="dxa"/>
            <w:noWrap/>
            <w:hideMark/>
          </w:tcPr>
          <w:p w14:paraId="763C7D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$3,600,249</w:t>
            </w:r>
          </w:p>
        </w:tc>
        <w:tc>
          <w:tcPr>
            <w:tcW w:w="901" w:type="dxa"/>
            <w:noWrap/>
            <w:hideMark/>
          </w:tcPr>
          <w:p w14:paraId="09AEE5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5AE6A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18.9%</w:t>
            </w:r>
          </w:p>
        </w:tc>
        <w:tc>
          <w:tcPr>
            <w:tcW w:w="1602" w:type="dxa"/>
            <w:noWrap/>
            <w:hideMark/>
          </w:tcPr>
          <w:p w14:paraId="5F37A6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$273,807</w:t>
            </w:r>
          </w:p>
        </w:tc>
      </w:tr>
      <w:tr w:rsidR="008C6E34" w:rsidRPr="008C6E34" w14:paraId="2B0DD5C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ED488A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0198</w:t>
            </w:r>
          </w:p>
        </w:tc>
        <w:tc>
          <w:tcPr>
            <w:tcW w:w="2880" w:type="dxa"/>
            <w:noWrap/>
            <w:hideMark/>
          </w:tcPr>
          <w:p w14:paraId="4A8C2EB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Natick</w:t>
            </w:r>
          </w:p>
        </w:tc>
        <w:tc>
          <w:tcPr>
            <w:tcW w:w="1148" w:type="dxa"/>
            <w:noWrap/>
            <w:hideMark/>
          </w:tcPr>
          <w:p w14:paraId="7EE7E79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1AD25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$36,447,203 </w:t>
            </w:r>
          </w:p>
        </w:tc>
        <w:tc>
          <w:tcPr>
            <w:tcW w:w="1786" w:type="dxa"/>
            <w:noWrap/>
            <w:hideMark/>
          </w:tcPr>
          <w:p w14:paraId="0A73A5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$4,657,789 </w:t>
            </w:r>
          </w:p>
        </w:tc>
        <w:tc>
          <w:tcPr>
            <w:tcW w:w="901" w:type="dxa"/>
            <w:noWrap/>
            <w:hideMark/>
          </w:tcPr>
          <w:p w14:paraId="11921C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D52D7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12.8%</w:t>
            </w:r>
          </w:p>
        </w:tc>
        <w:tc>
          <w:tcPr>
            <w:tcW w:w="1602" w:type="dxa"/>
            <w:noWrap/>
            <w:hideMark/>
          </w:tcPr>
          <w:p w14:paraId="5E2EE7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$2,791,685</w:t>
            </w:r>
          </w:p>
        </w:tc>
        <w:tc>
          <w:tcPr>
            <w:tcW w:w="1264" w:type="dxa"/>
            <w:noWrap/>
            <w:hideMark/>
          </w:tcPr>
          <w:p w14:paraId="4879293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B2EE4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$57,774,437</w:t>
            </w:r>
          </w:p>
        </w:tc>
        <w:tc>
          <w:tcPr>
            <w:tcW w:w="1786" w:type="dxa"/>
            <w:noWrap/>
            <w:hideMark/>
          </w:tcPr>
          <w:p w14:paraId="00EE60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$10,120,767</w:t>
            </w:r>
          </w:p>
        </w:tc>
        <w:tc>
          <w:tcPr>
            <w:tcW w:w="901" w:type="dxa"/>
            <w:noWrap/>
            <w:hideMark/>
          </w:tcPr>
          <w:p w14:paraId="54032E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90968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18F932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$10,241</w:t>
            </w:r>
          </w:p>
        </w:tc>
      </w:tr>
      <w:tr w:rsidR="008C6E34" w:rsidRPr="008C6E34" w14:paraId="3169CE4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CD0064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0199</w:t>
            </w:r>
          </w:p>
        </w:tc>
        <w:tc>
          <w:tcPr>
            <w:tcW w:w="2880" w:type="dxa"/>
            <w:noWrap/>
            <w:hideMark/>
          </w:tcPr>
          <w:p w14:paraId="638D550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Needham</w:t>
            </w:r>
          </w:p>
        </w:tc>
        <w:tc>
          <w:tcPr>
            <w:tcW w:w="1148" w:type="dxa"/>
            <w:noWrap/>
            <w:hideMark/>
          </w:tcPr>
          <w:p w14:paraId="40034D0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9AEBF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$37,003,281 </w:t>
            </w:r>
          </w:p>
        </w:tc>
        <w:tc>
          <w:tcPr>
            <w:tcW w:w="1786" w:type="dxa"/>
            <w:noWrap/>
            <w:hideMark/>
          </w:tcPr>
          <w:p w14:paraId="1FF3FB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$4,366,273 </w:t>
            </w:r>
          </w:p>
        </w:tc>
        <w:tc>
          <w:tcPr>
            <w:tcW w:w="901" w:type="dxa"/>
            <w:noWrap/>
            <w:hideMark/>
          </w:tcPr>
          <w:p w14:paraId="6DFF15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DE4B2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11.8%</w:t>
            </w:r>
          </w:p>
        </w:tc>
        <w:tc>
          <w:tcPr>
            <w:tcW w:w="1602" w:type="dxa"/>
            <w:noWrap/>
            <w:hideMark/>
          </w:tcPr>
          <w:p w14:paraId="7992B8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$1,282,982</w:t>
            </w:r>
          </w:p>
        </w:tc>
        <w:tc>
          <w:tcPr>
            <w:tcW w:w="1264" w:type="dxa"/>
            <w:noWrap/>
            <w:hideMark/>
          </w:tcPr>
          <w:p w14:paraId="0CC3246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5586A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$59,693,732</w:t>
            </w:r>
          </w:p>
        </w:tc>
        <w:tc>
          <w:tcPr>
            <w:tcW w:w="1786" w:type="dxa"/>
            <w:noWrap/>
            <w:hideMark/>
          </w:tcPr>
          <w:p w14:paraId="1C03E7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$10,451,715</w:t>
            </w:r>
          </w:p>
        </w:tc>
        <w:tc>
          <w:tcPr>
            <w:tcW w:w="901" w:type="dxa"/>
            <w:noWrap/>
            <w:hideMark/>
          </w:tcPr>
          <w:p w14:paraId="5CCFF4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0D102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5D556E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$5,312</w:t>
            </w:r>
          </w:p>
        </w:tc>
      </w:tr>
      <w:tr w:rsidR="008C6E34" w:rsidRPr="008C6E34" w14:paraId="4849AEB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1ADF7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0200</w:t>
            </w:r>
          </w:p>
        </w:tc>
        <w:tc>
          <w:tcPr>
            <w:tcW w:w="2880" w:type="dxa"/>
            <w:noWrap/>
            <w:hideMark/>
          </w:tcPr>
          <w:p w14:paraId="78FCC7F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 Ashford</w:t>
            </w:r>
          </w:p>
        </w:tc>
        <w:tc>
          <w:tcPr>
            <w:tcW w:w="1148" w:type="dxa"/>
            <w:noWrap/>
            <w:hideMark/>
          </w:tcPr>
          <w:p w14:paraId="1490AE8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D84D3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$313,210 </w:t>
            </w:r>
          </w:p>
        </w:tc>
        <w:tc>
          <w:tcPr>
            <w:tcW w:w="1786" w:type="dxa"/>
            <w:noWrap/>
            <w:hideMark/>
          </w:tcPr>
          <w:p w14:paraId="3BB4A5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$154,825 </w:t>
            </w:r>
          </w:p>
        </w:tc>
        <w:tc>
          <w:tcPr>
            <w:tcW w:w="901" w:type="dxa"/>
            <w:noWrap/>
            <w:hideMark/>
          </w:tcPr>
          <w:p w14:paraId="1C4CAA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56.2%</w:t>
            </w:r>
          </w:p>
        </w:tc>
        <w:tc>
          <w:tcPr>
            <w:tcW w:w="1374" w:type="dxa"/>
            <w:noWrap/>
            <w:hideMark/>
          </w:tcPr>
          <w:p w14:paraId="4444B3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w:t>
            </w:r>
          </w:p>
        </w:tc>
        <w:tc>
          <w:tcPr>
            <w:tcW w:w="1602" w:type="dxa"/>
            <w:noWrap/>
            <w:hideMark/>
          </w:tcPr>
          <w:p w14:paraId="1AB4E0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$5,156</w:t>
            </w:r>
          </w:p>
        </w:tc>
        <w:tc>
          <w:tcPr>
            <w:tcW w:w="1264" w:type="dxa"/>
            <w:noWrap/>
            <w:hideMark/>
          </w:tcPr>
          <w:p w14:paraId="280BF59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DD912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$289,597</w:t>
            </w:r>
          </w:p>
        </w:tc>
        <w:tc>
          <w:tcPr>
            <w:tcW w:w="1786" w:type="dxa"/>
            <w:noWrap/>
            <w:hideMark/>
          </w:tcPr>
          <w:p w14:paraId="3B9623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$179,597</w:t>
            </w:r>
          </w:p>
        </w:tc>
        <w:tc>
          <w:tcPr>
            <w:tcW w:w="901" w:type="dxa"/>
            <w:noWrap/>
            <w:hideMark/>
          </w:tcPr>
          <w:p w14:paraId="09E3DB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19.1%</w:t>
            </w:r>
          </w:p>
        </w:tc>
        <w:tc>
          <w:tcPr>
            <w:tcW w:w="1374" w:type="dxa"/>
            <w:noWrap/>
            <w:hideMark/>
          </w:tcPr>
          <w:p w14:paraId="0573F8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62.0%</w:t>
            </w:r>
          </w:p>
        </w:tc>
        <w:tc>
          <w:tcPr>
            <w:tcW w:w="1602" w:type="dxa"/>
            <w:noWrap/>
            <w:hideMark/>
          </w:tcPr>
          <w:p w14:paraId="4D04B2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$110,898</w:t>
            </w:r>
          </w:p>
        </w:tc>
      </w:tr>
      <w:tr w:rsidR="008C6E34" w:rsidRPr="008C6E34" w14:paraId="775D3F3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DC062D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0201</w:t>
            </w:r>
          </w:p>
        </w:tc>
        <w:tc>
          <w:tcPr>
            <w:tcW w:w="2880" w:type="dxa"/>
            <w:noWrap/>
            <w:hideMark/>
          </w:tcPr>
          <w:p w14:paraId="689CD36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 Bedford</w:t>
            </w:r>
          </w:p>
        </w:tc>
        <w:tc>
          <w:tcPr>
            <w:tcW w:w="1148" w:type="dxa"/>
            <w:noWrap/>
            <w:hideMark/>
          </w:tcPr>
          <w:p w14:paraId="6368106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A4B34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$120,904,310 </w:t>
            </w:r>
          </w:p>
        </w:tc>
        <w:tc>
          <w:tcPr>
            <w:tcW w:w="1786" w:type="dxa"/>
            <w:noWrap/>
            <w:hideMark/>
          </w:tcPr>
          <w:p w14:paraId="2220C2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$104,762,165 </w:t>
            </w:r>
          </w:p>
        </w:tc>
        <w:tc>
          <w:tcPr>
            <w:tcW w:w="901" w:type="dxa"/>
            <w:noWrap/>
            <w:hideMark/>
          </w:tcPr>
          <w:p w14:paraId="5DC668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74.6%</w:t>
            </w:r>
          </w:p>
        </w:tc>
        <w:tc>
          <w:tcPr>
            <w:tcW w:w="1374" w:type="dxa"/>
            <w:noWrap/>
            <w:hideMark/>
          </w:tcPr>
          <w:p w14:paraId="1FAC97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86.6%</w:t>
            </w:r>
          </w:p>
        </w:tc>
        <w:tc>
          <w:tcPr>
            <w:tcW w:w="1602" w:type="dxa"/>
            <w:noWrap/>
            <w:hideMark/>
          </w:tcPr>
          <w:p w14:paraId="3B4604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$867,096</w:t>
            </w:r>
          </w:p>
        </w:tc>
        <w:tc>
          <w:tcPr>
            <w:tcW w:w="1264" w:type="dxa"/>
            <w:noWrap/>
            <w:hideMark/>
          </w:tcPr>
          <w:p w14:paraId="081EF0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60627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$189,742,060</w:t>
            </w:r>
          </w:p>
        </w:tc>
        <w:tc>
          <w:tcPr>
            <w:tcW w:w="1786" w:type="dxa"/>
            <w:noWrap/>
            <w:hideMark/>
          </w:tcPr>
          <w:p w14:paraId="5515E8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$159,830,964</w:t>
            </w:r>
          </w:p>
        </w:tc>
        <w:tc>
          <w:tcPr>
            <w:tcW w:w="901" w:type="dxa"/>
            <w:noWrap/>
            <w:hideMark/>
          </w:tcPr>
          <w:p w14:paraId="4480C1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79.2%</w:t>
            </w:r>
          </w:p>
        </w:tc>
        <w:tc>
          <w:tcPr>
            <w:tcW w:w="1374" w:type="dxa"/>
            <w:noWrap/>
            <w:hideMark/>
          </w:tcPr>
          <w:p w14:paraId="1A85A9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84.2%</w:t>
            </w:r>
          </w:p>
        </w:tc>
        <w:tc>
          <w:tcPr>
            <w:tcW w:w="1602" w:type="dxa"/>
            <w:noWrap/>
            <w:hideMark/>
          </w:tcPr>
          <w:p w14:paraId="14C57D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973A0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F4EE29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0202</w:t>
            </w:r>
          </w:p>
        </w:tc>
        <w:tc>
          <w:tcPr>
            <w:tcW w:w="2880" w:type="dxa"/>
            <w:noWrap/>
            <w:hideMark/>
          </w:tcPr>
          <w:p w14:paraId="2058A5B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 Braintree</w:t>
            </w:r>
          </w:p>
        </w:tc>
        <w:tc>
          <w:tcPr>
            <w:tcW w:w="1148" w:type="dxa"/>
            <w:noWrap/>
            <w:hideMark/>
          </w:tcPr>
          <w:p w14:paraId="03DAEB1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07900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D09D5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D61F6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53.3%</w:t>
            </w:r>
          </w:p>
        </w:tc>
        <w:tc>
          <w:tcPr>
            <w:tcW w:w="1374" w:type="dxa"/>
            <w:noWrap/>
            <w:hideMark/>
          </w:tcPr>
          <w:p w14:paraId="723FC0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2C22C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E390B3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D702E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$28,744</w:t>
            </w:r>
          </w:p>
        </w:tc>
        <w:tc>
          <w:tcPr>
            <w:tcW w:w="1786" w:type="dxa"/>
            <w:noWrap/>
            <w:hideMark/>
          </w:tcPr>
          <w:p w14:paraId="43B1BF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$12,778</w:t>
            </w:r>
          </w:p>
        </w:tc>
        <w:tc>
          <w:tcPr>
            <w:tcW w:w="901" w:type="dxa"/>
            <w:noWrap/>
            <w:hideMark/>
          </w:tcPr>
          <w:p w14:paraId="1501CD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43.8%</w:t>
            </w:r>
          </w:p>
        </w:tc>
        <w:tc>
          <w:tcPr>
            <w:tcW w:w="1374" w:type="dxa"/>
            <w:noWrap/>
            <w:hideMark/>
          </w:tcPr>
          <w:p w14:paraId="012E6D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44.5%</w:t>
            </w:r>
          </w:p>
        </w:tc>
        <w:tc>
          <w:tcPr>
            <w:tcW w:w="1602" w:type="dxa"/>
            <w:noWrap/>
            <w:hideMark/>
          </w:tcPr>
          <w:p w14:paraId="6D2E6F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w:t>
            </w:r>
          </w:p>
        </w:tc>
      </w:tr>
      <w:tr w:rsidR="008C6E34" w:rsidRPr="008C6E34" w14:paraId="645FD64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3F25F0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0203</w:t>
            </w:r>
          </w:p>
        </w:tc>
        <w:tc>
          <w:tcPr>
            <w:tcW w:w="2880" w:type="dxa"/>
            <w:noWrap/>
            <w:hideMark/>
          </w:tcPr>
          <w:p w14:paraId="14342D5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Newbury</w:t>
            </w:r>
          </w:p>
        </w:tc>
        <w:tc>
          <w:tcPr>
            <w:tcW w:w="1148" w:type="dxa"/>
            <w:noWrap/>
            <w:hideMark/>
          </w:tcPr>
          <w:p w14:paraId="30BD2D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49552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F86E8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0582E7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9EA24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68DB7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5B6010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252B7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$88,470</w:t>
            </w:r>
          </w:p>
        </w:tc>
        <w:tc>
          <w:tcPr>
            <w:tcW w:w="1786" w:type="dxa"/>
            <w:noWrap/>
            <w:hideMark/>
          </w:tcPr>
          <w:p w14:paraId="5A4610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$16,844</w:t>
            </w:r>
          </w:p>
        </w:tc>
        <w:tc>
          <w:tcPr>
            <w:tcW w:w="901" w:type="dxa"/>
            <w:noWrap/>
            <w:hideMark/>
          </w:tcPr>
          <w:p w14:paraId="4CF776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C76D5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w:t>
            </w:r>
          </w:p>
        </w:tc>
        <w:tc>
          <w:tcPr>
            <w:tcW w:w="1602" w:type="dxa"/>
            <w:noWrap/>
            <w:hideMark/>
          </w:tcPr>
          <w:p w14:paraId="05ECB1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$1,361</w:t>
            </w:r>
          </w:p>
        </w:tc>
      </w:tr>
      <w:tr w:rsidR="008C6E34" w:rsidRPr="008C6E34" w14:paraId="769DA3B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BAC2B4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0204</w:t>
            </w:r>
          </w:p>
        </w:tc>
        <w:tc>
          <w:tcPr>
            <w:tcW w:w="2880" w:type="dxa"/>
            <w:noWrap/>
            <w:hideMark/>
          </w:tcPr>
          <w:p w14:paraId="2705E3B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Newburyport</w:t>
            </w:r>
          </w:p>
        </w:tc>
        <w:tc>
          <w:tcPr>
            <w:tcW w:w="1148" w:type="dxa"/>
            <w:noWrap/>
            <w:hideMark/>
          </w:tcPr>
          <w:p w14:paraId="27FDCCE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EAAA9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$17,369,388 </w:t>
            </w:r>
          </w:p>
        </w:tc>
        <w:tc>
          <w:tcPr>
            <w:tcW w:w="1786" w:type="dxa"/>
            <w:noWrap/>
            <w:hideMark/>
          </w:tcPr>
          <w:p w14:paraId="0437C5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$3,094,664 </w:t>
            </w:r>
          </w:p>
        </w:tc>
        <w:tc>
          <w:tcPr>
            <w:tcW w:w="901" w:type="dxa"/>
            <w:noWrap/>
            <w:hideMark/>
          </w:tcPr>
          <w:p w14:paraId="6AA128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396D9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w:t>
            </w:r>
          </w:p>
        </w:tc>
        <w:tc>
          <w:tcPr>
            <w:tcW w:w="1602" w:type="dxa"/>
            <w:noWrap/>
            <w:hideMark/>
          </w:tcPr>
          <w:p w14:paraId="0D1ECE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$3,094,664</w:t>
            </w:r>
          </w:p>
        </w:tc>
        <w:tc>
          <w:tcPr>
            <w:tcW w:w="1264" w:type="dxa"/>
            <w:noWrap/>
            <w:hideMark/>
          </w:tcPr>
          <w:p w14:paraId="71E3456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E983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$23,879,061</w:t>
            </w:r>
          </w:p>
        </w:tc>
        <w:tc>
          <w:tcPr>
            <w:tcW w:w="1786" w:type="dxa"/>
            <w:noWrap/>
            <w:hideMark/>
          </w:tcPr>
          <w:p w14:paraId="3758BA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$4,182,944</w:t>
            </w:r>
          </w:p>
        </w:tc>
        <w:tc>
          <w:tcPr>
            <w:tcW w:w="901" w:type="dxa"/>
            <w:noWrap/>
            <w:hideMark/>
          </w:tcPr>
          <w:p w14:paraId="620898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ED318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036938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$4,109</w:t>
            </w:r>
          </w:p>
        </w:tc>
      </w:tr>
      <w:tr w:rsidR="008C6E34" w:rsidRPr="008C6E34" w14:paraId="72E2605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89E7D3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0205</w:t>
            </w:r>
          </w:p>
        </w:tc>
        <w:tc>
          <w:tcPr>
            <w:tcW w:w="2880" w:type="dxa"/>
            <w:noWrap/>
            <w:hideMark/>
          </w:tcPr>
          <w:p w14:paraId="1337A4B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 Marlborough</w:t>
            </w:r>
          </w:p>
        </w:tc>
        <w:tc>
          <w:tcPr>
            <w:tcW w:w="1148" w:type="dxa"/>
            <w:noWrap/>
            <w:hideMark/>
          </w:tcPr>
          <w:p w14:paraId="58B7D21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F0441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015C65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50B59D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271AA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DB6A1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271054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4E37E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669B6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088BE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8FB70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11663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94C8D1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197683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0206</w:t>
            </w:r>
          </w:p>
        </w:tc>
        <w:tc>
          <w:tcPr>
            <w:tcW w:w="2880" w:type="dxa"/>
            <w:noWrap/>
            <w:hideMark/>
          </w:tcPr>
          <w:p w14:paraId="5885C1D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 Salem</w:t>
            </w:r>
          </w:p>
        </w:tc>
        <w:tc>
          <w:tcPr>
            <w:tcW w:w="1148" w:type="dxa"/>
            <w:noWrap/>
            <w:hideMark/>
          </w:tcPr>
          <w:p w14:paraId="1E6A80C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6DABE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0C5C3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DE953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57.2%</w:t>
            </w:r>
          </w:p>
        </w:tc>
        <w:tc>
          <w:tcPr>
            <w:tcW w:w="1374" w:type="dxa"/>
            <w:noWrap/>
            <w:hideMark/>
          </w:tcPr>
          <w:p w14:paraId="7B418F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D1AF2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DE036D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DA40C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98162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3B238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w:t>
            </w:r>
          </w:p>
        </w:tc>
        <w:tc>
          <w:tcPr>
            <w:tcW w:w="1374" w:type="dxa"/>
            <w:noWrap/>
            <w:hideMark/>
          </w:tcPr>
          <w:p w14:paraId="072871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58779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03F5D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8CDC60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0207</w:t>
            </w:r>
          </w:p>
        </w:tc>
        <w:tc>
          <w:tcPr>
            <w:tcW w:w="2880" w:type="dxa"/>
            <w:noWrap/>
            <w:hideMark/>
          </w:tcPr>
          <w:p w14:paraId="093210F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Newton</w:t>
            </w:r>
          </w:p>
        </w:tc>
        <w:tc>
          <w:tcPr>
            <w:tcW w:w="1148" w:type="dxa"/>
            <w:noWrap/>
            <w:hideMark/>
          </w:tcPr>
          <w:p w14:paraId="60C1D6A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753C4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$91,783,005 </w:t>
            </w:r>
          </w:p>
        </w:tc>
        <w:tc>
          <w:tcPr>
            <w:tcW w:w="1786" w:type="dxa"/>
            <w:noWrap/>
            <w:hideMark/>
          </w:tcPr>
          <w:p w14:paraId="33B34A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$10,966,835 </w:t>
            </w:r>
          </w:p>
        </w:tc>
        <w:tc>
          <w:tcPr>
            <w:tcW w:w="901" w:type="dxa"/>
            <w:noWrap/>
            <w:hideMark/>
          </w:tcPr>
          <w:p w14:paraId="00415E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6D5C7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11.9%</w:t>
            </w:r>
          </w:p>
        </w:tc>
        <w:tc>
          <w:tcPr>
            <w:tcW w:w="1602" w:type="dxa"/>
            <w:noWrap/>
            <w:hideMark/>
          </w:tcPr>
          <w:p w14:paraId="324415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$10,966,835</w:t>
            </w:r>
          </w:p>
        </w:tc>
        <w:tc>
          <w:tcPr>
            <w:tcW w:w="1264" w:type="dxa"/>
            <w:noWrap/>
            <w:hideMark/>
          </w:tcPr>
          <w:p w14:paraId="7908FE8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91989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$141,578,979</w:t>
            </w:r>
          </w:p>
        </w:tc>
        <w:tc>
          <w:tcPr>
            <w:tcW w:w="1786" w:type="dxa"/>
            <w:noWrap/>
            <w:hideMark/>
          </w:tcPr>
          <w:p w14:paraId="13B971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$24,814,496</w:t>
            </w:r>
          </w:p>
        </w:tc>
        <w:tc>
          <w:tcPr>
            <w:tcW w:w="901" w:type="dxa"/>
            <w:noWrap/>
            <w:hideMark/>
          </w:tcPr>
          <w:p w14:paraId="4C42A0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3111F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3302DF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$38,175</w:t>
            </w:r>
          </w:p>
        </w:tc>
      </w:tr>
      <w:tr w:rsidR="008C6E34" w:rsidRPr="008C6E34" w14:paraId="02789D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9E4A83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0208</w:t>
            </w:r>
          </w:p>
        </w:tc>
        <w:tc>
          <w:tcPr>
            <w:tcW w:w="2880" w:type="dxa"/>
            <w:noWrap/>
            <w:hideMark/>
          </w:tcPr>
          <w:p w14:paraId="0416D93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Norfolk</w:t>
            </w:r>
          </w:p>
        </w:tc>
        <w:tc>
          <w:tcPr>
            <w:tcW w:w="1148" w:type="dxa"/>
            <w:noWrap/>
            <w:hideMark/>
          </w:tcPr>
          <w:p w14:paraId="7B970D0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CDAE8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$7,514,190 </w:t>
            </w:r>
          </w:p>
        </w:tc>
        <w:tc>
          <w:tcPr>
            <w:tcW w:w="1786" w:type="dxa"/>
            <w:noWrap/>
            <w:hideMark/>
          </w:tcPr>
          <w:p w14:paraId="250D00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$3,342,421 </w:t>
            </w:r>
          </w:p>
        </w:tc>
        <w:tc>
          <w:tcPr>
            <w:tcW w:w="901" w:type="dxa"/>
            <w:noWrap/>
            <w:hideMark/>
          </w:tcPr>
          <w:p w14:paraId="7ED5FD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27.1%</w:t>
            </w:r>
          </w:p>
        </w:tc>
        <w:tc>
          <w:tcPr>
            <w:tcW w:w="1374" w:type="dxa"/>
            <w:noWrap/>
            <w:hideMark/>
          </w:tcPr>
          <w:p w14:paraId="727D82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44.5%</w:t>
            </w:r>
          </w:p>
        </w:tc>
        <w:tc>
          <w:tcPr>
            <w:tcW w:w="1602" w:type="dxa"/>
            <w:noWrap/>
            <w:hideMark/>
          </w:tcPr>
          <w:p w14:paraId="540C7C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$524,762</w:t>
            </w:r>
          </w:p>
        </w:tc>
        <w:tc>
          <w:tcPr>
            <w:tcW w:w="1264" w:type="dxa"/>
            <w:noWrap/>
            <w:hideMark/>
          </w:tcPr>
          <w:p w14:paraId="7E02A2C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62B8D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$9,114,958</w:t>
            </w:r>
          </w:p>
        </w:tc>
        <w:tc>
          <w:tcPr>
            <w:tcW w:w="1786" w:type="dxa"/>
            <w:noWrap/>
            <w:hideMark/>
          </w:tcPr>
          <w:p w14:paraId="0FD6AB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$3,461,385</w:t>
            </w:r>
          </w:p>
        </w:tc>
        <w:tc>
          <w:tcPr>
            <w:tcW w:w="901" w:type="dxa"/>
            <w:noWrap/>
            <w:hideMark/>
          </w:tcPr>
          <w:p w14:paraId="398D02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1B601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38.0%</w:t>
            </w:r>
          </w:p>
        </w:tc>
        <w:tc>
          <w:tcPr>
            <w:tcW w:w="1602" w:type="dxa"/>
            <w:noWrap/>
            <w:hideMark/>
          </w:tcPr>
          <w:p w14:paraId="6E5D0A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$1,866,267</w:t>
            </w:r>
          </w:p>
        </w:tc>
      </w:tr>
      <w:tr w:rsidR="008C6E34" w:rsidRPr="008C6E34" w14:paraId="29504A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838962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0209</w:t>
            </w:r>
          </w:p>
        </w:tc>
        <w:tc>
          <w:tcPr>
            <w:tcW w:w="2880" w:type="dxa"/>
            <w:noWrap/>
            <w:hideMark/>
          </w:tcPr>
          <w:p w14:paraId="5DE4381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 Adams</w:t>
            </w:r>
          </w:p>
        </w:tc>
        <w:tc>
          <w:tcPr>
            <w:tcW w:w="1148" w:type="dxa"/>
            <w:noWrap/>
            <w:hideMark/>
          </w:tcPr>
          <w:p w14:paraId="1747F15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E0278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$15,487,886 </w:t>
            </w:r>
          </w:p>
        </w:tc>
        <w:tc>
          <w:tcPr>
            <w:tcW w:w="1786" w:type="dxa"/>
            <w:noWrap/>
            <w:hideMark/>
          </w:tcPr>
          <w:p w14:paraId="7FD709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$13,921,926 </w:t>
            </w:r>
          </w:p>
        </w:tc>
        <w:tc>
          <w:tcPr>
            <w:tcW w:w="901" w:type="dxa"/>
            <w:noWrap/>
            <w:hideMark/>
          </w:tcPr>
          <w:p w14:paraId="7785AC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73.9%</w:t>
            </w:r>
          </w:p>
        </w:tc>
        <w:tc>
          <w:tcPr>
            <w:tcW w:w="1374" w:type="dxa"/>
            <w:noWrap/>
            <w:hideMark/>
          </w:tcPr>
          <w:p w14:paraId="5E3A53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89.9%</w:t>
            </w:r>
          </w:p>
        </w:tc>
        <w:tc>
          <w:tcPr>
            <w:tcW w:w="1602" w:type="dxa"/>
            <w:noWrap/>
            <w:hideMark/>
          </w:tcPr>
          <w:p w14:paraId="7EADB5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$1,416,772</w:t>
            </w:r>
          </w:p>
        </w:tc>
        <w:tc>
          <w:tcPr>
            <w:tcW w:w="1264" w:type="dxa"/>
            <w:noWrap/>
            <w:hideMark/>
          </w:tcPr>
          <w:p w14:paraId="691B4A3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6FA6E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$17,859,475</w:t>
            </w:r>
          </w:p>
        </w:tc>
        <w:tc>
          <w:tcPr>
            <w:tcW w:w="1786" w:type="dxa"/>
            <w:noWrap/>
            <w:hideMark/>
          </w:tcPr>
          <w:p w14:paraId="6060B0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$13,809,703</w:t>
            </w:r>
          </w:p>
        </w:tc>
        <w:tc>
          <w:tcPr>
            <w:tcW w:w="901" w:type="dxa"/>
            <w:noWrap/>
            <w:hideMark/>
          </w:tcPr>
          <w:p w14:paraId="784DB8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71.7%</w:t>
            </w:r>
          </w:p>
        </w:tc>
        <w:tc>
          <w:tcPr>
            <w:tcW w:w="1374" w:type="dxa"/>
            <w:noWrap/>
            <w:hideMark/>
          </w:tcPr>
          <w:p w14:paraId="58AE32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77.3%</w:t>
            </w:r>
          </w:p>
        </w:tc>
        <w:tc>
          <w:tcPr>
            <w:tcW w:w="1602" w:type="dxa"/>
            <w:noWrap/>
            <w:hideMark/>
          </w:tcPr>
          <w:p w14:paraId="2DDD99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$1,003,546</w:t>
            </w:r>
          </w:p>
        </w:tc>
      </w:tr>
      <w:tr w:rsidR="008C6E34" w:rsidRPr="008C6E34" w14:paraId="072AC6F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852EDD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0210</w:t>
            </w:r>
          </w:p>
        </w:tc>
        <w:tc>
          <w:tcPr>
            <w:tcW w:w="2880" w:type="dxa"/>
            <w:noWrap/>
            <w:hideMark/>
          </w:tcPr>
          <w:p w14:paraId="707B60F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Northampton</w:t>
            </w:r>
          </w:p>
        </w:tc>
        <w:tc>
          <w:tcPr>
            <w:tcW w:w="1148" w:type="dxa"/>
            <w:noWrap/>
            <w:hideMark/>
          </w:tcPr>
          <w:p w14:paraId="4843DA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E1C2A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$23,515,503 </w:t>
            </w:r>
          </w:p>
        </w:tc>
        <w:tc>
          <w:tcPr>
            <w:tcW w:w="1786" w:type="dxa"/>
            <w:noWrap/>
            <w:hideMark/>
          </w:tcPr>
          <w:p w14:paraId="4988E4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$6,925,716 </w:t>
            </w:r>
          </w:p>
        </w:tc>
        <w:tc>
          <w:tcPr>
            <w:tcW w:w="901" w:type="dxa"/>
            <w:noWrap/>
            <w:hideMark/>
          </w:tcPr>
          <w:p w14:paraId="23AEB7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29.9%</w:t>
            </w:r>
          </w:p>
        </w:tc>
        <w:tc>
          <w:tcPr>
            <w:tcW w:w="1374" w:type="dxa"/>
            <w:noWrap/>
            <w:hideMark/>
          </w:tcPr>
          <w:p w14:paraId="00BCEE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w:t>
            </w:r>
          </w:p>
        </w:tc>
        <w:tc>
          <w:tcPr>
            <w:tcW w:w="1602" w:type="dxa"/>
            <w:noWrap/>
            <w:hideMark/>
          </w:tcPr>
          <w:p w14:paraId="6B17B4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$948,034</w:t>
            </w:r>
          </w:p>
        </w:tc>
        <w:tc>
          <w:tcPr>
            <w:tcW w:w="1264" w:type="dxa"/>
            <w:noWrap/>
            <w:hideMark/>
          </w:tcPr>
          <w:p w14:paraId="07704A2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9D8A5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$30,030,364</w:t>
            </w:r>
          </w:p>
        </w:tc>
        <w:tc>
          <w:tcPr>
            <w:tcW w:w="1786" w:type="dxa"/>
            <w:noWrap/>
            <w:hideMark/>
          </w:tcPr>
          <w:p w14:paraId="0749BE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$7,558,369</w:t>
            </w:r>
          </w:p>
        </w:tc>
        <w:tc>
          <w:tcPr>
            <w:tcW w:w="901" w:type="dxa"/>
            <w:noWrap/>
            <w:hideMark/>
          </w:tcPr>
          <w:p w14:paraId="331B64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CF689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25.2%</w:t>
            </w:r>
          </w:p>
        </w:tc>
        <w:tc>
          <w:tcPr>
            <w:tcW w:w="1602" w:type="dxa"/>
            <w:noWrap/>
            <w:hideMark/>
          </w:tcPr>
          <w:p w14:paraId="590A9C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$2,075,033</w:t>
            </w:r>
          </w:p>
        </w:tc>
      </w:tr>
      <w:tr w:rsidR="008C6E34" w:rsidRPr="008C6E34" w14:paraId="52C6A6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1EB05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0211</w:t>
            </w:r>
          </w:p>
        </w:tc>
        <w:tc>
          <w:tcPr>
            <w:tcW w:w="2880" w:type="dxa"/>
            <w:noWrap/>
            <w:hideMark/>
          </w:tcPr>
          <w:p w14:paraId="275FDA9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 Andover</w:t>
            </w:r>
          </w:p>
        </w:tc>
        <w:tc>
          <w:tcPr>
            <w:tcW w:w="1148" w:type="dxa"/>
            <w:noWrap/>
            <w:hideMark/>
          </w:tcPr>
          <w:p w14:paraId="2350A1C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5C06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$33,510,013 </w:t>
            </w:r>
          </w:p>
        </w:tc>
        <w:tc>
          <w:tcPr>
            <w:tcW w:w="1786" w:type="dxa"/>
            <w:noWrap/>
            <w:hideMark/>
          </w:tcPr>
          <w:p w14:paraId="508530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$4,649,317 </w:t>
            </w:r>
          </w:p>
        </w:tc>
        <w:tc>
          <w:tcPr>
            <w:tcW w:w="901" w:type="dxa"/>
            <w:noWrap/>
            <w:hideMark/>
          </w:tcPr>
          <w:p w14:paraId="2092B8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7C941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13.9%</w:t>
            </w:r>
          </w:p>
        </w:tc>
        <w:tc>
          <w:tcPr>
            <w:tcW w:w="1602" w:type="dxa"/>
            <w:noWrap/>
            <w:hideMark/>
          </w:tcPr>
          <w:p w14:paraId="3EE89D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$985,525</w:t>
            </w:r>
          </w:p>
        </w:tc>
        <w:tc>
          <w:tcPr>
            <w:tcW w:w="1264" w:type="dxa"/>
            <w:noWrap/>
            <w:hideMark/>
          </w:tcPr>
          <w:p w14:paraId="7CDDDF7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6D235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$50,326,384</w:t>
            </w:r>
          </w:p>
        </w:tc>
        <w:tc>
          <w:tcPr>
            <w:tcW w:w="1786" w:type="dxa"/>
            <w:noWrap/>
            <w:hideMark/>
          </w:tcPr>
          <w:p w14:paraId="296B24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$9,160,097</w:t>
            </w:r>
          </w:p>
        </w:tc>
        <w:tc>
          <w:tcPr>
            <w:tcW w:w="901" w:type="dxa"/>
            <w:noWrap/>
            <w:hideMark/>
          </w:tcPr>
          <w:p w14:paraId="0E6A01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3D879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18.2%</w:t>
            </w:r>
          </w:p>
        </w:tc>
        <w:tc>
          <w:tcPr>
            <w:tcW w:w="1602" w:type="dxa"/>
            <w:noWrap/>
            <w:hideMark/>
          </w:tcPr>
          <w:p w14:paraId="72C38B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$96,092</w:t>
            </w:r>
          </w:p>
        </w:tc>
      </w:tr>
      <w:tr w:rsidR="008C6E34" w:rsidRPr="008C6E34" w14:paraId="72760B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9EBD1F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0212</w:t>
            </w:r>
          </w:p>
        </w:tc>
        <w:tc>
          <w:tcPr>
            <w:tcW w:w="2880" w:type="dxa"/>
            <w:noWrap/>
            <w:hideMark/>
          </w:tcPr>
          <w:p w14:paraId="56E2717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 Attleborough</w:t>
            </w:r>
          </w:p>
        </w:tc>
        <w:tc>
          <w:tcPr>
            <w:tcW w:w="1148" w:type="dxa"/>
            <w:noWrap/>
            <w:hideMark/>
          </w:tcPr>
          <w:p w14:paraId="48284E7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D5793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$34,913,727 </w:t>
            </w:r>
          </w:p>
        </w:tc>
        <w:tc>
          <w:tcPr>
            <w:tcW w:w="1786" w:type="dxa"/>
            <w:noWrap/>
            <w:hideMark/>
          </w:tcPr>
          <w:p w14:paraId="33C2BF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$19,319,443 </w:t>
            </w:r>
          </w:p>
        </w:tc>
        <w:tc>
          <w:tcPr>
            <w:tcW w:w="901" w:type="dxa"/>
            <w:noWrap/>
            <w:hideMark/>
          </w:tcPr>
          <w:p w14:paraId="513424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41.8%</w:t>
            </w:r>
          </w:p>
        </w:tc>
        <w:tc>
          <w:tcPr>
            <w:tcW w:w="1374" w:type="dxa"/>
            <w:noWrap/>
            <w:hideMark/>
          </w:tcPr>
          <w:p w14:paraId="585BF6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55.3%</w:t>
            </w:r>
          </w:p>
        </w:tc>
        <w:tc>
          <w:tcPr>
            <w:tcW w:w="1602" w:type="dxa"/>
            <w:noWrap/>
            <w:hideMark/>
          </w:tcPr>
          <w:p w14:paraId="5B08F8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23FB3D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0E20C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$44,126,489</w:t>
            </w:r>
          </w:p>
        </w:tc>
        <w:tc>
          <w:tcPr>
            <w:tcW w:w="1786" w:type="dxa"/>
            <w:noWrap/>
            <w:hideMark/>
          </w:tcPr>
          <w:p w14:paraId="5B0B3C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$20,682,041</w:t>
            </w:r>
          </w:p>
        </w:tc>
        <w:tc>
          <w:tcPr>
            <w:tcW w:w="901" w:type="dxa"/>
            <w:noWrap/>
            <w:hideMark/>
          </w:tcPr>
          <w:p w14:paraId="5924A9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38.9%</w:t>
            </w:r>
          </w:p>
        </w:tc>
        <w:tc>
          <w:tcPr>
            <w:tcW w:w="1374" w:type="dxa"/>
            <w:noWrap/>
            <w:hideMark/>
          </w:tcPr>
          <w:p w14:paraId="6E845A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46.9%</w:t>
            </w:r>
          </w:p>
        </w:tc>
        <w:tc>
          <w:tcPr>
            <w:tcW w:w="1602" w:type="dxa"/>
            <w:noWrap/>
            <w:hideMark/>
          </w:tcPr>
          <w:p w14:paraId="669162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$3,527,553</w:t>
            </w:r>
          </w:p>
        </w:tc>
      </w:tr>
      <w:tr w:rsidR="008C6E34" w:rsidRPr="008C6E34" w14:paraId="34F558F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5A054E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0213</w:t>
            </w:r>
          </w:p>
        </w:tc>
        <w:tc>
          <w:tcPr>
            <w:tcW w:w="2880" w:type="dxa"/>
            <w:noWrap/>
            <w:hideMark/>
          </w:tcPr>
          <w:p w14:paraId="62E6A7C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Northborough</w:t>
            </w:r>
          </w:p>
        </w:tc>
        <w:tc>
          <w:tcPr>
            <w:tcW w:w="1148" w:type="dxa"/>
            <w:noWrap/>
            <w:hideMark/>
          </w:tcPr>
          <w:p w14:paraId="45BFEA3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E8927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$13,031,020 </w:t>
            </w:r>
          </w:p>
        </w:tc>
        <w:tc>
          <w:tcPr>
            <w:tcW w:w="1786" w:type="dxa"/>
            <w:noWrap/>
            <w:hideMark/>
          </w:tcPr>
          <w:p w14:paraId="1EB007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$2,763,949 </w:t>
            </w:r>
          </w:p>
        </w:tc>
        <w:tc>
          <w:tcPr>
            <w:tcW w:w="901" w:type="dxa"/>
            <w:noWrap/>
            <w:hideMark/>
          </w:tcPr>
          <w:p w14:paraId="622D7D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w:t>
            </w:r>
          </w:p>
        </w:tc>
        <w:tc>
          <w:tcPr>
            <w:tcW w:w="1374" w:type="dxa"/>
            <w:noWrap/>
            <w:hideMark/>
          </w:tcPr>
          <w:p w14:paraId="062C90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w:t>
            </w:r>
          </w:p>
        </w:tc>
        <w:tc>
          <w:tcPr>
            <w:tcW w:w="1602" w:type="dxa"/>
            <w:noWrap/>
            <w:hideMark/>
          </w:tcPr>
          <w:p w14:paraId="76BBA0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$631,108</w:t>
            </w:r>
          </w:p>
        </w:tc>
        <w:tc>
          <w:tcPr>
            <w:tcW w:w="1264" w:type="dxa"/>
            <w:noWrap/>
            <w:hideMark/>
          </w:tcPr>
          <w:p w14:paraId="171599C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2B8C9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$15,348,450</w:t>
            </w:r>
          </w:p>
        </w:tc>
        <w:tc>
          <w:tcPr>
            <w:tcW w:w="1786" w:type="dxa"/>
            <w:noWrap/>
            <w:hideMark/>
          </w:tcPr>
          <w:p w14:paraId="760D55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$3,993,500</w:t>
            </w:r>
          </w:p>
        </w:tc>
        <w:tc>
          <w:tcPr>
            <w:tcW w:w="901" w:type="dxa"/>
            <w:noWrap/>
            <w:hideMark/>
          </w:tcPr>
          <w:p w14:paraId="78A6F9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8BECC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w:t>
            </w:r>
          </w:p>
        </w:tc>
        <w:tc>
          <w:tcPr>
            <w:tcW w:w="1602" w:type="dxa"/>
            <w:noWrap/>
            <w:hideMark/>
          </w:tcPr>
          <w:p w14:paraId="0AC7FB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$1,307,522</w:t>
            </w:r>
          </w:p>
        </w:tc>
      </w:tr>
      <w:tr w:rsidR="008C6E34" w:rsidRPr="008C6E34" w14:paraId="759499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61C78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0214</w:t>
            </w:r>
          </w:p>
        </w:tc>
        <w:tc>
          <w:tcPr>
            <w:tcW w:w="2880" w:type="dxa"/>
            <w:noWrap/>
            <w:hideMark/>
          </w:tcPr>
          <w:p w14:paraId="193065C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Northbridge</w:t>
            </w:r>
          </w:p>
        </w:tc>
        <w:tc>
          <w:tcPr>
            <w:tcW w:w="1148" w:type="dxa"/>
            <w:noWrap/>
            <w:hideMark/>
          </w:tcPr>
          <w:p w14:paraId="70BE488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EF25C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$19,859,815 </w:t>
            </w:r>
          </w:p>
        </w:tc>
        <w:tc>
          <w:tcPr>
            <w:tcW w:w="1786" w:type="dxa"/>
            <w:noWrap/>
            <w:hideMark/>
          </w:tcPr>
          <w:p w14:paraId="42DA6B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$13,322,608 </w:t>
            </w:r>
          </w:p>
        </w:tc>
        <w:tc>
          <w:tcPr>
            <w:tcW w:w="901" w:type="dxa"/>
            <w:noWrap/>
            <w:hideMark/>
          </w:tcPr>
          <w:p w14:paraId="5048FA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374" w:type="dxa"/>
            <w:noWrap/>
            <w:hideMark/>
          </w:tcPr>
          <w:p w14:paraId="1AB956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67.1%</w:t>
            </w:r>
          </w:p>
        </w:tc>
        <w:tc>
          <w:tcPr>
            <w:tcW w:w="1602" w:type="dxa"/>
            <w:noWrap/>
            <w:hideMark/>
          </w:tcPr>
          <w:p w14:paraId="534551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$450,621</w:t>
            </w:r>
          </w:p>
        </w:tc>
        <w:tc>
          <w:tcPr>
            <w:tcW w:w="1264" w:type="dxa"/>
            <w:noWrap/>
            <w:hideMark/>
          </w:tcPr>
          <w:p w14:paraId="255525D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E9AAB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$23,912,162</w:t>
            </w:r>
          </w:p>
        </w:tc>
        <w:tc>
          <w:tcPr>
            <w:tcW w:w="1786" w:type="dxa"/>
            <w:noWrap/>
            <w:hideMark/>
          </w:tcPr>
          <w:p w14:paraId="1EB56F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$15,603,931</w:t>
            </w:r>
          </w:p>
        </w:tc>
        <w:tc>
          <w:tcPr>
            <w:tcW w:w="901" w:type="dxa"/>
            <w:noWrap/>
            <w:hideMark/>
          </w:tcPr>
          <w:p w14:paraId="31869C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46.8%</w:t>
            </w:r>
          </w:p>
        </w:tc>
        <w:tc>
          <w:tcPr>
            <w:tcW w:w="1374" w:type="dxa"/>
            <w:noWrap/>
            <w:hideMark/>
          </w:tcPr>
          <w:p w14:paraId="141C2D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65.3%</w:t>
            </w:r>
          </w:p>
        </w:tc>
        <w:tc>
          <w:tcPr>
            <w:tcW w:w="1602" w:type="dxa"/>
            <w:noWrap/>
            <w:hideMark/>
          </w:tcPr>
          <w:p w14:paraId="17FA3A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$3,812,141</w:t>
            </w:r>
          </w:p>
        </w:tc>
      </w:tr>
      <w:tr w:rsidR="008C6E34" w:rsidRPr="008C6E34" w14:paraId="370A8E5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0D7155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0215</w:t>
            </w:r>
          </w:p>
        </w:tc>
        <w:tc>
          <w:tcPr>
            <w:tcW w:w="2880" w:type="dxa"/>
            <w:noWrap/>
            <w:hideMark/>
          </w:tcPr>
          <w:p w14:paraId="365BD3D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 Brookfield</w:t>
            </w:r>
          </w:p>
        </w:tc>
        <w:tc>
          <w:tcPr>
            <w:tcW w:w="1148" w:type="dxa"/>
            <w:noWrap/>
            <w:hideMark/>
          </w:tcPr>
          <w:p w14:paraId="7BDA183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8E022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$6,571,911 </w:t>
            </w:r>
          </w:p>
        </w:tc>
        <w:tc>
          <w:tcPr>
            <w:tcW w:w="1786" w:type="dxa"/>
            <w:noWrap/>
            <w:hideMark/>
          </w:tcPr>
          <w:p w14:paraId="49AB2D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$4,326,993 </w:t>
            </w:r>
          </w:p>
        </w:tc>
        <w:tc>
          <w:tcPr>
            <w:tcW w:w="901" w:type="dxa"/>
            <w:noWrap/>
            <w:hideMark/>
          </w:tcPr>
          <w:p w14:paraId="46FCC5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62.9%</w:t>
            </w:r>
          </w:p>
        </w:tc>
        <w:tc>
          <w:tcPr>
            <w:tcW w:w="1374" w:type="dxa"/>
            <w:noWrap/>
            <w:hideMark/>
          </w:tcPr>
          <w:p w14:paraId="6A2B65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65.8%</w:t>
            </w:r>
          </w:p>
        </w:tc>
        <w:tc>
          <w:tcPr>
            <w:tcW w:w="1602" w:type="dxa"/>
            <w:noWrap/>
            <w:hideMark/>
          </w:tcPr>
          <w:p w14:paraId="1DE304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$71,668</w:t>
            </w:r>
          </w:p>
        </w:tc>
        <w:tc>
          <w:tcPr>
            <w:tcW w:w="1264" w:type="dxa"/>
            <w:noWrap/>
            <w:hideMark/>
          </w:tcPr>
          <w:p w14:paraId="293CD42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DA339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$6,861,155</w:t>
            </w:r>
          </w:p>
        </w:tc>
        <w:tc>
          <w:tcPr>
            <w:tcW w:w="1786" w:type="dxa"/>
            <w:noWrap/>
            <w:hideMark/>
          </w:tcPr>
          <w:p w14:paraId="19E0D3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$4,290,838</w:t>
            </w:r>
          </w:p>
        </w:tc>
        <w:tc>
          <w:tcPr>
            <w:tcW w:w="901" w:type="dxa"/>
            <w:noWrap/>
            <w:hideMark/>
          </w:tcPr>
          <w:p w14:paraId="611878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57.7%</w:t>
            </w:r>
          </w:p>
        </w:tc>
        <w:tc>
          <w:tcPr>
            <w:tcW w:w="1374" w:type="dxa"/>
            <w:noWrap/>
            <w:hideMark/>
          </w:tcPr>
          <w:p w14:paraId="02C6A8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62.5%</w:t>
            </w:r>
          </w:p>
        </w:tc>
        <w:tc>
          <w:tcPr>
            <w:tcW w:w="1602" w:type="dxa"/>
            <w:noWrap/>
            <w:hideMark/>
          </w:tcPr>
          <w:p w14:paraId="1A407D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$333,694</w:t>
            </w:r>
          </w:p>
        </w:tc>
      </w:tr>
      <w:tr w:rsidR="008C6E34" w:rsidRPr="008C6E34" w14:paraId="342559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B0404B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0216</w:t>
            </w:r>
          </w:p>
        </w:tc>
        <w:tc>
          <w:tcPr>
            <w:tcW w:w="2880" w:type="dxa"/>
            <w:noWrap/>
            <w:hideMark/>
          </w:tcPr>
          <w:p w14:paraId="54368BA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Northfield</w:t>
            </w:r>
          </w:p>
        </w:tc>
        <w:tc>
          <w:tcPr>
            <w:tcW w:w="1148" w:type="dxa"/>
            <w:noWrap/>
            <w:hideMark/>
          </w:tcPr>
          <w:p w14:paraId="4B99042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84013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D4345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8D6F6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w:t>
            </w:r>
          </w:p>
        </w:tc>
        <w:tc>
          <w:tcPr>
            <w:tcW w:w="1374" w:type="dxa"/>
            <w:noWrap/>
            <w:hideMark/>
          </w:tcPr>
          <w:p w14:paraId="69BFE3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18809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AED0F4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37029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0E6B2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D59C3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30.1%</w:t>
            </w:r>
          </w:p>
        </w:tc>
        <w:tc>
          <w:tcPr>
            <w:tcW w:w="1374" w:type="dxa"/>
            <w:noWrap/>
            <w:hideMark/>
          </w:tcPr>
          <w:p w14:paraId="77BB00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C1F34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86215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7F462F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0217</w:t>
            </w:r>
          </w:p>
        </w:tc>
        <w:tc>
          <w:tcPr>
            <w:tcW w:w="2880" w:type="dxa"/>
            <w:noWrap/>
            <w:hideMark/>
          </w:tcPr>
          <w:p w14:paraId="1585CA7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 Reading</w:t>
            </w:r>
          </w:p>
        </w:tc>
        <w:tc>
          <w:tcPr>
            <w:tcW w:w="1148" w:type="dxa"/>
            <w:noWrap/>
            <w:hideMark/>
          </w:tcPr>
          <w:p w14:paraId="48B41EA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109B3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$20,183,618 </w:t>
            </w:r>
          </w:p>
        </w:tc>
        <w:tc>
          <w:tcPr>
            <w:tcW w:w="1786" w:type="dxa"/>
            <w:noWrap/>
            <w:hideMark/>
          </w:tcPr>
          <w:p w14:paraId="2C3B21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$4,917,126 </w:t>
            </w:r>
          </w:p>
        </w:tc>
        <w:tc>
          <w:tcPr>
            <w:tcW w:w="901" w:type="dxa"/>
            <w:noWrap/>
            <w:hideMark/>
          </w:tcPr>
          <w:p w14:paraId="738921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w:t>
            </w:r>
          </w:p>
        </w:tc>
        <w:tc>
          <w:tcPr>
            <w:tcW w:w="1374" w:type="dxa"/>
            <w:noWrap/>
            <w:hideMark/>
          </w:tcPr>
          <w:p w14:paraId="6EC3ED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w:t>
            </w:r>
          </w:p>
        </w:tc>
        <w:tc>
          <w:tcPr>
            <w:tcW w:w="1602" w:type="dxa"/>
            <w:noWrap/>
            <w:hideMark/>
          </w:tcPr>
          <w:p w14:paraId="6D8280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2821F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4FBD3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$25,154,643</w:t>
            </w:r>
          </w:p>
        </w:tc>
        <w:tc>
          <w:tcPr>
            <w:tcW w:w="1786" w:type="dxa"/>
            <w:noWrap/>
            <w:hideMark/>
          </w:tcPr>
          <w:p w14:paraId="1BF116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$7,153,937</w:t>
            </w:r>
          </w:p>
        </w:tc>
        <w:tc>
          <w:tcPr>
            <w:tcW w:w="901" w:type="dxa"/>
            <w:noWrap/>
            <w:hideMark/>
          </w:tcPr>
          <w:p w14:paraId="0AFA2E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ADAC9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w:t>
            </w:r>
          </w:p>
        </w:tc>
        <w:tc>
          <w:tcPr>
            <w:tcW w:w="1602" w:type="dxa"/>
            <w:noWrap/>
            <w:hideMark/>
          </w:tcPr>
          <w:p w14:paraId="768145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$2,751,874</w:t>
            </w:r>
          </w:p>
        </w:tc>
      </w:tr>
      <w:tr w:rsidR="008C6E34" w:rsidRPr="008C6E34" w14:paraId="480D6C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5CDEDE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0218</w:t>
            </w:r>
          </w:p>
        </w:tc>
        <w:tc>
          <w:tcPr>
            <w:tcW w:w="2880" w:type="dxa"/>
            <w:noWrap/>
            <w:hideMark/>
          </w:tcPr>
          <w:p w14:paraId="082BDB5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Norton</w:t>
            </w:r>
          </w:p>
        </w:tc>
        <w:tc>
          <w:tcPr>
            <w:tcW w:w="1148" w:type="dxa"/>
            <w:noWrap/>
            <w:hideMark/>
          </w:tcPr>
          <w:p w14:paraId="158B0D4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28805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$23,419,989 </w:t>
            </w:r>
          </w:p>
        </w:tc>
        <w:tc>
          <w:tcPr>
            <w:tcW w:w="1786" w:type="dxa"/>
            <w:noWrap/>
            <w:hideMark/>
          </w:tcPr>
          <w:p w14:paraId="075724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$12,175,056 </w:t>
            </w:r>
          </w:p>
        </w:tc>
        <w:tc>
          <w:tcPr>
            <w:tcW w:w="901" w:type="dxa"/>
            <w:noWrap/>
            <w:hideMark/>
          </w:tcPr>
          <w:p w14:paraId="351FCA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46.0%</w:t>
            </w:r>
          </w:p>
        </w:tc>
        <w:tc>
          <w:tcPr>
            <w:tcW w:w="1374" w:type="dxa"/>
            <w:noWrap/>
            <w:hideMark/>
          </w:tcPr>
          <w:p w14:paraId="1FB1B4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52.0%</w:t>
            </w:r>
          </w:p>
        </w:tc>
        <w:tc>
          <w:tcPr>
            <w:tcW w:w="1602" w:type="dxa"/>
            <w:noWrap/>
            <w:hideMark/>
          </w:tcPr>
          <w:p w14:paraId="7F5795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$408,464</w:t>
            </w:r>
          </w:p>
        </w:tc>
        <w:tc>
          <w:tcPr>
            <w:tcW w:w="1264" w:type="dxa"/>
            <w:noWrap/>
            <w:hideMark/>
          </w:tcPr>
          <w:p w14:paraId="5E0594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71E49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$25,977,851</w:t>
            </w:r>
          </w:p>
        </w:tc>
        <w:tc>
          <w:tcPr>
            <w:tcW w:w="1786" w:type="dxa"/>
            <w:noWrap/>
            <w:hideMark/>
          </w:tcPr>
          <w:p w14:paraId="000858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$12,827,390</w:t>
            </w:r>
          </w:p>
        </w:tc>
        <w:tc>
          <w:tcPr>
            <w:tcW w:w="901" w:type="dxa"/>
            <w:noWrap/>
            <w:hideMark/>
          </w:tcPr>
          <w:p w14:paraId="5B307E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w:t>
            </w:r>
          </w:p>
        </w:tc>
        <w:tc>
          <w:tcPr>
            <w:tcW w:w="1374" w:type="dxa"/>
            <w:noWrap/>
            <w:hideMark/>
          </w:tcPr>
          <w:p w14:paraId="6E6F10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w:t>
            </w:r>
          </w:p>
        </w:tc>
        <w:tc>
          <w:tcPr>
            <w:tcW w:w="1602" w:type="dxa"/>
            <w:noWrap/>
            <w:hideMark/>
          </w:tcPr>
          <w:p w14:paraId="35D85A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$4,249,069</w:t>
            </w:r>
          </w:p>
        </w:tc>
      </w:tr>
      <w:tr w:rsidR="008C6E34" w:rsidRPr="008C6E34" w14:paraId="6343EC5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616C7F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0219</w:t>
            </w:r>
          </w:p>
        </w:tc>
        <w:tc>
          <w:tcPr>
            <w:tcW w:w="2880" w:type="dxa"/>
            <w:noWrap/>
            <w:hideMark/>
          </w:tcPr>
          <w:p w14:paraId="7301E22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Norwell</w:t>
            </w:r>
          </w:p>
        </w:tc>
        <w:tc>
          <w:tcPr>
            <w:tcW w:w="1148" w:type="dxa"/>
            <w:noWrap/>
            <w:hideMark/>
          </w:tcPr>
          <w:p w14:paraId="2A4D344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EDB60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$16,098,435 </w:t>
            </w:r>
          </w:p>
        </w:tc>
        <w:tc>
          <w:tcPr>
            <w:tcW w:w="1786" w:type="dxa"/>
            <w:noWrap/>
            <w:hideMark/>
          </w:tcPr>
          <w:p w14:paraId="710F57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$2,207,571 </w:t>
            </w:r>
          </w:p>
        </w:tc>
        <w:tc>
          <w:tcPr>
            <w:tcW w:w="901" w:type="dxa"/>
            <w:noWrap/>
            <w:hideMark/>
          </w:tcPr>
          <w:p w14:paraId="74A030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08370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w:t>
            </w:r>
          </w:p>
        </w:tc>
        <w:tc>
          <w:tcPr>
            <w:tcW w:w="1602" w:type="dxa"/>
            <w:noWrap/>
            <w:hideMark/>
          </w:tcPr>
          <w:p w14:paraId="0D796F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$1,025,937</w:t>
            </w:r>
          </w:p>
        </w:tc>
        <w:tc>
          <w:tcPr>
            <w:tcW w:w="1264" w:type="dxa"/>
            <w:noWrap/>
            <w:hideMark/>
          </w:tcPr>
          <w:p w14:paraId="06C20BA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D4597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$22,329,816</w:t>
            </w:r>
          </w:p>
        </w:tc>
        <w:tc>
          <w:tcPr>
            <w:tcW w:w="1786" w:type="dxa"/>
            <w:noWrap/>
            <w:hideMark/>
          </w:tcPr>
          <w:p w14:paraId="51CF0C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$4,011,711</w:t>
            </w:r>
          </w:p>
        </w:tc>
        <w:tc>
          <w:tcPr>
            <w:tcW w:w="901" w:type="dxa"/>
            <w:noWrap/>
            <w:hideMark/>
          </w:tcPr>
          <w:p w14:paraId="0F1819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A88C6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18.0%</w:t>
            </w:r>
          </w:p>
        </w:tc>
        <w:tc>
          <w:tcPr>
            <w:tcW w:w="1602" w:type="dxa"/>
            <w:noWrap/>
            <w:hideMark/>
          </w:tcPr>
          <w:p w14:paraId="5C23C4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$32,754</w:t>
            </w:r>
          </w:p>
        </w:tc>
      </w:tr>
      <w:tr w:rsidR="008C6E34" w:rsidRPr="008C6E34" w14:paraId="11B42C0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FCF675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0220</w:t>
            </w:r>
          </w:p>
        </w:tc>
        <w:tc>
          <w:tcPr>
            <w:tcW w:w="2880" w:type="dxa"/>
            <w:noWrap/>
            <w:hideMark/>
          </w:tcPr>
          <w:p w14:paraId="12BCD10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Norwood</w:t>
            </w:r>
          </w:p>
        </w:tc>
        <w:tc>
          <w:tcPr>
            <w:tcW w:w="1148" w:type="dxa"/>
            <w:noWrap/>
            <w:hideMark/>
          </w:tcPr>
          <w:p w14:paraId="70AC7BA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41145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$29,886,710 </w:t>
            </w:r>
          </w:p>
        </w:tc>
        <w:tc>
          <w:tcPr>
            <w:tcW w:w="1786" w:type="dxa"/>
            <w:noWrap/>
            <w:hideMark/>
          </w:tcPr>
          <w:p w14:paraId="45AFE5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$3,933,871 </w:t>
            </w:r>
          </w:p>
        </w:tc>
        <w:tc>
          <w:tcPr>
            <w:tcW w:w="901" w:type="dxa"/>
            <w:noWrap/>
            <w:hideMark/>
          </w:tcPr>
          <w:p w14:paraId="07FA93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w:t>
            </w:r>
          </w:p>
        </w:tc>
        <w:tc>
          <w:tcPr>
            <w:tcW w:w="1374" w:type="dxa"/>
            <w:noWrap/>
            <w:hideMark/>
          </w:tcPr>
          <w:p w14:paraId="3309D6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w:t>
            </w:r>
          </w:p>
        </w:tc>
        <w:tc>
          <w:tcPr>
            <w:tcW w:w="1602" w:type="dxa"/>
            <w:noWrap/>
            <w:hideMark/>
          </w:tcPr>
          <w:p w14:paraId="1B759E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$1,747,673</w:t>
            </w:r>
          </w:p>
        </w:tc>
        <w:tc>
          <w:tcPr>
            <w:tcW w:w="1264" w:type="dxa"/>
            <w:noWrap/>
            <w:hideMark/>
          </w:tcPr>
          <w:p w14:paraId="0A5227B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CCAE3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$40,452,845</w:t>
            </w:r>
          </w:p>
        </w:tc>
        <w:tc>
          <w:tcPr>
            <w:tcW w:w="1786" w:type="dxa"/>
            <w:noWrap/>
            <w:hideMark/>
          </w:tcPr>
          <w:p w14:paraId="5E8F82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$8,052,711</w:t>
            </w:r>
          </w:p>
        </w:tc>
        <w:tc>
          <w:tcPr>
            <w:tcW w:w="901" w:type="dxa"/>
            <w:noWrap/>
            <w:hideMark/>
          </w:tcPr>
          <w:p w14:paraId="42A0AF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971E7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19.9%</w:t>
            </w:r>
          </w:p>
        </w:tc>
        <w:tc>
          <w:tcPr>
            <w:tcW w:w="1602" w:type="dxa"/>
            <w:noWrap/>
            <w:hideMark/>
          </w:tcPr>
          <w:p w14:paraId="11D775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2AD28F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80AE51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0221</w:t>
            </w:r>
          </w:p>
        </w:tc>
        <w:tc>
          <w:tcPr>
            <w:tcW w:w="2880" w:type="dxa"/>
            <w:noWrap/>
            <w:hideMark/>
          </w:tcPr>
          <w:p w14:paraId="65043CB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Oak Bluffs</w:t>
            </w:r>
          </w:p>
        </w:tc>
        <w:tc>
          <w:tcPr>
            <w:tcW w:w="1148" w:type="dxa"/>
            <w:noWrap/>
            <w:hideMark/>
          </w:tcPr>
          <w:p w14:paraId="6E99EE4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5703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$3,068,927 </w:t>
            </w:r>
          </w:p>
        </w:tc>
        <w:tc>
          <w:tcPr>
            <w:tcW w:w="1786" w:type="dxa"/>
            <w:noWrap/>
            <w:hideMark/>
          </w:tcPr>
          <w:p w14:paraId="7F3483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$567,385 </w:t>
            </w:r>
          </w:p>
        </w:tc>
        <w:tc>
          <w:tcPr>
            <w:tcW w:w="901" w:type="dxa"/>
            <w:noWrap/>
            <w:hideMark/>
          </w:tcPr>
          <w:p w14:paraId="1CB5D58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6CE03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w:t>
            </w:r>
          </w:p>
        </w:tc>
        <w:tc>
          <w:tcPr>
            <w:tcW w:w="1602" w:type="dxa"/>
            <w:noWrap/>
            <w:hideMark/>
          </w:tcPr>
          <w:p w14:paraId="2857BD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$223,315</w:t>
            </w:r>
          </w:p>
        </w:tc>
        <w:tc>
          <w:tcPr>
            <w:tcW w:w="1264" w:type="dxa"/>
            <w:noWrap/>
            <w:hideMark/>
          </w:tcPr>
          <w:p w14:paraId="48FF3F5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32D57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$4,939,843</w:t>
            </w:r>
          </w:p>
        </w:tc>
        <w:tc>
          <w:tcPr>
            <w:tcW w:w="1786" w:type="dxa"/>
            <w:noWrap/>
            <w:hideMark/>
          </w:tcPr>
          <w:p w14:paraId="7D7075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$988,466</w:t>
            </w:r>
          </w:p>
        </w:tc>
        <w:tc>
          <w:tcPr>
            <w:tcW w:w="901" w:type="dxa"/>
            <w:noWrap/>
            <w:hideMark/>
          </w:tcPr>
          <w:p w14:paraId="5E5472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8CB65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20.0%</w:t>
            </w:r>
          </w:p>
        </w:tc>
        <w:tc>
          <w:tcPr>
            <w:tcW w:w="1602" w:type="dxa"/>
            <w:noWrap/>
            <w:hideMark/>
          </w:tcPr>
          <w:p w14:paraId="5DFD8A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E44E26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80A622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0222</w:t>
            </w:r>
          </w:p>
        </w:tc>
        <w:tc>
          <w:tcPr>
            <w:tcW w:w="2880" w:type="dxa"/>
            <w:noWrap/>
            <w:hideMark/>
          </w:tcPr>
          <w:p w14:paraId="31644FC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Oakham</w:t>
            </w:r>
          </w:p>
        </w:tc>
        <w:tc>
          <w:tcPr>
            <w:tcW w:w="1148" w:type="dxa"/>
            <w:noWrap/>
            <w:hideMark/>
          </w:tcPr>
          <w:p w14:paraId="705473E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2F062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$97,647 </w:t>
            </w:r>
          </w:p>
        </w:tc>
        <w:tc>
          <w:tcPr>
            <w:tcW w:w="1786" w:type="dxa"/>
            <w:noWrap/>
            <w:hideMark/>
          </w:tcPr>
          <w:p w14:paraId="0B11F1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$73,893 </w:t>
            </w:r>
          </w:p>
        </w:tc>
        <w:tc>
          <w:tcPr>
            <w:tcW w:w="901" w:type="dxa"/>
            <w:noWrap/>
            <w:hideMark/>
          </w:tcPr>
          <w:p w14:paraId="4A781A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59.2%</w:t>
            </w:r>
          </w:p>
        </w:tc>
        <w:tc>
          <w:tcPr>
            <w:tcW w:w="1374" w:type="dxa"/>
            <w:noWrap/>
            <w:hideMark/>
          </w:tcPr>
          <w:p w14:paraId="7CA625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75.7%</w:t>
            </w:r>
          </w:p>
        </w:tc>
        <w:tc>
          <w:tcPr>
            <w:tcW w:w="1602" w:type="dxa"/>
            <w:noWrap/>
            <w:hideMark/>
          </w:tcPr>
          <w:p w14:paraId="0D0A56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09BF55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A211D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$14,372</w:t>
            </w:r>
          </w:p>
        </w:tc>
        <w:tc>
          <w:tcPr>
            <w:tcW w:w="1786" w:type="dxa"/>
            <w:noWrap/>
            <w:hideMark/>
          </w:tcPr>
          <w:p w14:paraId="437DFE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$5,900</w:t>
            </w:r>
          </w:p>
        </w:tc>
        <w:tc>
          <w:tcPr>
            <w:tcW w:w="901" w:type="dxa"/>
            <w:noWrap/>
            <w:hideMark/>
          </w:tcPr>
          <w:p w14:paraId="53947D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40.7%</w:t>
            </w:r>
          </w:p>
        </w:tc>
        <w:tc>
          <w:tcPr>
            <w:tcW w:w="1374" w:type="dxa"/>
            <w:noWrap/>
            <w:hideMark/>
          </w:tcPr>
          <w:p w14:paraId="0295A1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w:t>
            </w:r>
          </w:p>
        </w:tc>
        <w:tc>
          <w:tcPr>
            <w:tcW w:w="1602" w:type="dxa"/>
            <w:noWrap/>
            <w:hideMark/>
          </w:tcPr>
          <w:p w14:paraId="416517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w:t>
            </w:r>
          </w:p>
        </w:tc>
      </w:tr>
      <w:tr w:rsidR="008C6E34" w:rsidRPr="008C6E34" w14:paraId="2749645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AD542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0223</w:t>
            </w:r>
          </w:p>
        </w:tc>
        <w:tc>
          <w:tcPr>
            <w:tcW w:w="2880" w:type="dxa"/>
            <w:noWrap/>
            <w:hideMark/>
          </w:tcPr>
          <w:p w14:paraId="7B82C08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Orange</w:t>
            </w:r>
          </w:p>
        </w:tc>
        <w:tc>
          <w:tcPr>
            <w:tcW w:w="1148" w:type="dxa"/>
            <w:noWrap/>
            <w:hideMark/>
          </w:tcPr>
          <w:p w14:paraId="6221AD4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1013E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$5,794,416 </w:t>
            </w:r>
          </w:p>
        </w:tc>
        <w:tc>
          <w:tcPr>
            <w:tcW w:w="1786" w:type="dxa"/>
            <w:noWrap/>
            <w:hideMark/>
          </w:tcPr>
          <w:p w14:paraId="67C200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$4,961,898 </w:t>
            </w:r>
          </w:p>
        </w:tc>
        <w:tc>
          <w:tcPr>
            <w:tcW w:w="901" w:type="dxa"/>
            <w:noWrap/>
            <w:hideMark/>
          </w:tcPr>
          <w:p w14:paraId="189727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74.2%</w:t>
            </w:r>
          </w:p>
        </w:tc>
        <w:tc>
          <w:tcPr>
            <w:tcW w:w="1374" w:type="dxa"/>
            <w:noWrap/>
            <w:hideMark/>
          </w:tcPr>
          <w:p w14:paraId="79D2FB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85.6%</w:t>
            </w:r>
          </w:p>
        </w:tc>
        <w:tc>
          <w:tcPr>
            <w:tcW w:w="1602" w:type="dxa"/>
            <w:noWrap/>
            <w:hideMark/>
          </w:tcPr>
          <w:p w14:paraId="2DF6A3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$532,605</w:t>
            </w:r>
          </w:p>
        </w:tc>
        <w:tc>
          <w:tcPr>
            <w:tcW w:w="1264" w:type="dxa"/>
            <w:noWrap/>
            <w:hideMark/>
          </w:tcPr>
          <w:p w14:paraId="69E7735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F41CB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$7,421,674</w:t>
            </w:r>
          </w:p>
        </w:tc>
        <w:tc>
          <w:tcPr>
            <w:tcW w:w="1786" w:type="dxa"/>
            <w:noWrap/>
            <w:hideMark/>
          </w:tcPr>
          <w:p w14:paraId="4A37D5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$5,432,046</w:t>
            </w:r>
          </w:p>
        </w:tc>
        <w:tc>
          <w:tcPr>
            <w:tcW w:w="901" w:type="dxa"/>
            <w:noWrap/>
            <w:hideMark/>
          </w:tcPr>
          <w:p w14:paraId="5B066A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72.4%</w:t>
            </w:r>
          </w:p>
        </w:tc>
        <w:tc>
          <w:tcPr>
            <w:tcW w:w="1374" w:type="dxa"/>
            <w:noWrap/>
            <w:hideMark/>
          </w:tcPr>
          <w:p w14:paraId="2020BE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73.2%</w:t>
            </w:r>
          </w:p>
        </w:tc>
        <w:tc>
          <w:tcPr>
            <w:tcW w:w="1602" w:type="dxa"/>
            <w:noWrap/>
            <w:hideMark/>
          </w:tcPr>
          <w:p w14:paraId="234BA0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1FBE0B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59AB96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0224</w:t>
            </w:r>
          </w:p>
        </w:tc>
        <w:tc>
          <w:tcPr>
            <w:tcW w:w="2880" w:type="dxa"/>
            <w:noWrap/>
            <w:hideMark/>
          </w:tcPr>
          <w:p w14:paraId="5BC7FB9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Orleans</w:t>
            </w:r>
          </w:p>
        </w:tc>
        <w:tc>
          <w:tcPr>
            <w:tcW w:w="1148" w:type="dxa"/>
            <w:noWrap/>
            <w:hideMark/>
          </w:tcPr>
          <w:p w14:paraId="220C834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5156B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$1,599,992 </w:t>
            </w:r>
          </w:p>
        </w:tc>
        <w:tc>
          <w:tcPr>
            <w:tcW w:w="1786" w:type="dxa"/>
            <w:noWrap/>
            <w:hideMark/>
          </w:tcPr>
          <w:p w14:paraId="31D466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$236,862 </w:t>
            </w:r>
          </w:p>
        </w:tc>
        <w:tc>
          <w:tcPr>
            <w:tcW w:w="901" w:type="dxa"/>
            <w:noWrap/>
            <w:hideMark/>
          </w:tcPr>
          <w:p w14:paraId="3C5E68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CEB8E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w:t>
            </w:r>
          </w:p>
        </w:tc>
        <w:tc>
          <w:tcPr>
            <w:tcW w:w="1602" w:type="dxa"/>
            <w:noWrap/>
            <w:hideMark/>
          </w:tcPr>
          <w:p w14:paraId="43C9BF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$236,862</w:t>
            </w:r>
          </w:p>
        </w:tc>
        <w:tc>
          <w:tcPr>
            <w:tcW w:w="1264" w:type="dxa"/>
            <w:noWrap/>
            <w:hideMark/>
          </w:tcPr>
          <w:p w14:paraId="2DB4FB2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3149F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$2,457,052</w:t>
            </w:r>
          </w:p>
        </w:tc>
        <w:tc>
          <w:tcPr>
            <w:tcW w:w="1786" w:type="dxa"/>
            <w:noWrap/>
            <w:hideMark/>
          </w:tcPr>
          <w:p w14:paraId="193F72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$429,984</w:t>
            </w:r>
          </w:p>
        </w:tc>
        <w:tc>
          <w:tcPr>
            <w:tcW w:w="901" w:type="dxa"/>
            <w:noWrap/>
            <w:hideMark/>
          </w:tcPr>
          <w:p w14:paraId="320F65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3A984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6953E1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D6AF6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6E9EA8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0225</w:t>
            </w:r>
          </w:p>
        </w:tc>
        <w:tc>
          <w:tcPr>
            <w:tcW w:w="2880" w:type="dxa"/>
            <w:noWrap/>
            <w:hideMark/>
          </w:tcPr>
          <w:p w14:paraId="16D759D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Otis</w:t>
            </w:r>
          </w:p>
        </w:tc>
        <w:tc>
          <w:tcPr>
            <w:tcW w:w="1148" w:type="dxa"/>
            <w:noWrap/>
            <w:hideMark/>
          </w:tcPr>
          <w:p w14:paraId="5E9F7A2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71E28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B0753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31307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C03C2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74CEE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D62AD3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D9B57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B8A81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BA1DA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B53E2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C142F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7A9222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B76F1C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0226</w:t>
            </w:r>
          </w:p>
        </w:tc>
        <w:tc>
          <w:tcPr>
            <w:tcW w:w="2880" w:type="dxa"/>
            <w:noWrap/>
            <w:hideMark/>
          </w:tcPr>
          <w:p w14:paraId="1D27813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Oxford</w:t>
            </w:r>
          </w:p>
        </w:tc>
        <w:tc>
          <w:tcPr>
            <w:tcW w:w="1148" w:type="dxa"/>
            <w:noWrap/>
            <w:hideMark/>
          </w:tcPr>
          <w:p w14:paraId="0F9608D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9DE91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$16,425,479 </w:t>
            </w:r>
          </w:p>
        </w:tc>
        <w:tc>
          <w:tcPr>
            <w:tcW w:w="1786" w:type="dxa"/>
            <w:noWrap/>
            <w:hideMark/>
          </w:tcPr>
          <w:p w14:paraId="3A81A4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$8,877,524 </w:t>
            </w:r>
          </w:p>
        </w:tc>
        <w:tc>
          <w:tcPr>
            <w:tcW w:w="901" w:type="dxa"/>
            <w:noWrap/>
            <w:hideMark/>
          </w:tcPr>
          <w:p w14:paraId="1AA23E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53.6%</w:t>
            </w:r>
          </w:p>
        </w:tc>
        <w:tc>
          <w:tcPr>
            <w:tcW w:w="1374" w:type="dxa"/>
            <w:noWrap/>
            <w:hideMark/>
          </w:tcPr>
          <w:p w14:paraId="5D4BF7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54.0%</w:t>
            </w:r>
          </w:p>
        </w:tc>
        <w:tc>
          <w:tcPr>
            <w:tcW w:w="1602" w:type="dxa"/>
            <w:noWrap/>
            <w:hideMark/>
          </w:tcPr>
          <w:p w14:paraId="4663A6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$98,935</w:t>
            </w:r>
          </w:p>
        </w:tc>
        <w:tc>
          <w:tcPr>
            <w:tcW w:w="1264" w:type="dxa"/>
            <w:noWrap/>
            <w:hideMark/>
          </w:tcPr>
          <w:p w14:paraId="7800C9C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14989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$19,698,237</w:t>
            </w:r>
          </w:p>
        </w:tc>
        <w:tc>
          <w:tcPr>
            <w:tcW w:w="1786" w:type="dxa"/>
            <w:noWrap/>
            <w:hideMark/>
          </w:tcPr>
          <w:p w14:paraId="0D26DB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$10,566,894</w:t>
            </w:r>
          </w:p>
        </w:tc>
        <w:tc>
          <w:tcPr>
            <w:tcW w:w="901" w:type="dxa"/>
            <w:noWrap/>
            <w:hideMark/>
          </w:tcPr>
          <w:p w14:paraId="26C716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51.2%</w:t>
            </w:r>
          </w:p>
        </w:tc>
        <w:tc>
          <w:tcPr>
            <w:tcW w:w="1374" w:type="dxa"/>
            <w:noWrap/>
            <w:hideMark/>
          </w:tcPr>
          <w:p w14:paraId="3EBBE5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53.6%</w:t>
            </w:r>
          </w:p>
        </w:tc>
        <w:tc>
          <w:tcPr>
            <w:tcW w:w="1602" w:type="dxa"/>
            <w:noWrap/>
            <w:hideMark/>
          </w:tcPr>
          <w:p w14:paraId="4963E0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$491,210</w:t>
            </w:r>
          </w:p>
        </w:tc>
      </w:tr>
      <w:tr w:rsidR="008C6E34" w:rsidRPr="008C6E34" w14:paraId="7B72FCB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E90628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0227</w:t>
            </w:r>
          </w:p>
        </w:tc>
        <w:tc>
          <w:tcPr>
            <w:tcW w:w="2880" w:type="dxa"/>
            <w:noWrap/>
            <w:hideMark/>
          </w:tcPr>
          <w:p w14:paraId="1421850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Palmer</w:t>
            </w:r>
          </w:p>
        </w:tc>
        <w:tc>
          <w:tcPr>
            <w:tcW w:w="1148" w:type="dxa"/>
            <w:noWrap/>
            <w:hideMark/>
          </w:tcPr>
          <w:p w14:paraId="64F9342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752E1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$16,293,473 </w:t>
            </w:r>
          </w:p>
        </w:tc>
        <w:tc>
          <w:tcPr>
            <w:tcW w:w="1786" w:type="dxa"/>
            <w:noWrap/>
            <w:hideMark/>
          </w:tcPr>
          <w:p w14:paraId="51AE99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$10,828,140 </w:t>
            </w:r>
          </w:p>
        </w:tc>
        <w:tc>
          <w:tcPr>
            <w:tcW w:w="901" w:type="dxa"/>
            <w:noWrap/>
            <w:hideMark/>
          </w:tcPr>
          <w:p w14:paraId="324467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65.4%</w:t>
            </w:r>
          </w:p>
        </w:tc>
        <w:tc>
          <w:tcPr>
            <w:tcW w:w="1374" w:type="dxa"/>
            <w:noWrap/>
            <w:hideMark/>
          </w:tcPr>
          <w:p w14:paraId="054EC6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66.5%</w:t>
            </w:r>
          </w:p>
        </w:tc>
        <w:tc>
          <w:tcPr>
            <w:tcW w:w="1602" w:type="dxa"/>
            <w:noWrap/>
            <w:hideMark/>
          </w:tcPr>
          <w:p w14:paraId="3A2EF5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$26,266</w:t>
            </w:r>
          </w:p>
        </w:tc>
        <w:tc>
          <w:tcPr>
            <w:tcW w:w="1264" w:type="dxa"/>
            <w:noWrap/>
            <w:hideMark/>
          </w:tcPr>
          <w:p w14:paraId="3696CA2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1D6EA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$16,594,240</w:t>
            </w:r>
          </w:p>
        </w:tc>
        <w:tc>
          <w:tcPr>
            <w:tcW w:w="1786" w:type="dxa"/>
            <w:noWrap/>
            <w:hideMark/>
          </w:tcPr>
          <w:p w14:paraId="3CF8AF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$10,915,640</w:t>
            </w:r>
          </w:p>
        </w:tc>
        <w:tc>
          <w:tcPr>
            <w:tcW w:w="901" w:type="dxa"/>
            <w:noWrap/>
            <w:hideMark/>
          </w:tcPr>
          <w:p w14:paraId="2B7B37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58.9%</w:t>
            </w:r>
          </w:p>
        </w:tc>
        <w:tc>
          <w:tcPr>
            <w:tcW w:w="1374" w:type="dxa"/>
            <w:noWrap/>
            <w:hideMark/>
          </w:tcPr>
          <w:p w14:paraId="30FD14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65.8%</w:t>
            </w:r>
          </w:p>
        </w:tc>
        <w:tc>
          <w:tcPr>
            <w:tcW w:w="1602" w:type="dxa"/>
            <w:noWrap/>
            <w:hideMark/>
          </w:tcPr>
          <w:p w14:paraId="781291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$1,147,233</w:t>
            </w:r>
          </w:p>
        </w:tc>
      </w:tr>
      <w:tr w:rsidR="008C6E34" w:rsidRPr="008C6E34" w14:paraId="5B88CD5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555D71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0228</w:t>
            </w:r>
          </w:p>
        </w:tc>
        <w:tc>
          <w:tcPr>
            <w:tcW w:w="2880" w:type="dxa"/>
            <w:noWrap/>
            <w:hideMark/>
          </w:tcPr>
          <w:p w14:paraId="492A5D4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Paxton</w:t>
            </w:r>
          </w:p>
        </w:tc>
        <w:tc>
          <w:tcPr>
            <w:tcW w:w="1148" w:type="dxa"/>
            <w:noWrap/>
            <w:hideMark/>
          </w:tcPr>
          <w:p w14:paraId="7948922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01ADE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1C629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A3454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28.1%</w:t>
            </w:r>
          </w:p>
        </w:tc>
        <w:tc>
          <w:tcPr>
            <w:tcW w:w="1374" w:type="dxa"/>
            <w:noWrap/>
            <w:hideMark/>
          </w:tcPr>
          <w:p w14:paraId="0490C8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17471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B31818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543D5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$14,372</w:t>
            </w:r>
          </w:p>
        </w:tc>
        <w:tc>
          <w:tcPr>
            <w:tcW w:w="1786" w:type="dxa"/>
            <w:noWrap/>
            <w:hideMark/>
          </w:tcPr>
          <w:p w14:paraId="365774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$5,026</w:t>
            </w:r>
          </w:p>
        </w:tc>
        <w:tc>
          <w:tcPr>
            <w:tcW w:w="901" w:type="dxa"/>
            <w:noWrap/>
            <w:hideMark/>
          </w:tcPr>
          <w:p w14:paraId="541949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33.3%</w:t>
            </w:r>
          </w:p>
        </w:tc>
        <w:tc>
          <w:tcPr>
            <w:tcW w:w="1374" w:type="dxa"/>
            <w:noWrap/>
            <w:hideMark/>
          </w:tcPr>
          <w:p w14:paraId="69290C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35.0%</w:t>
            </w:r>
          </w:p>
        </w:tc>
        <w:tc>
          <w:tcPr>
            <w:tcW w:w="1602" w:type="dxa"/>
            <w:noWrap/>
            <w:hideMark/>
          </w:tcPr>
          <w:p w14:paraId="66C62B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$115</w:t>
            </w:r>
          </w:p>
        </w:tc>
      </w:tr>
      <w:tr w:rsidR="008C6E34" w:rsidRPr="008C6E34" w14:paraId="55C673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3B9BF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0229</w:t>
            </w:r>
          </w:p>
        </w:tc>
        <w:tc>
          <w:tcPr>
            <w:tcW w:w="2880" w:type="dxa"/>
            <w:noWrap/>
            <w:hideMark/>
          </w:tcPr>
          <w:p w14:paraId="4BDA2BA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Peabody</w:t>
            </w:r>
          </w:p>
        </w:tc>
        <w:tc>
          <w:tcPr>
            <w:tcW w:w="1148" w:type="dxa"/>
            <w:noWrap/>
            <w:hideMark/>
          </w:tcPr>
          <w:p w14:paraId="0BC90A2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A97FA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$54,951,902 </w:t>
            </w:r>
          </w:p>
        </w:tc>
        <w:tc>
          <w:tcPr>
            <w:tcW w:w="1786" w:type="dxa"/>
            <w:noWrap/>
            <w:hideMark/>
          </w:tcPr>
          <w:p w14:paraId="736EE3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$19,286,644 </w:t>
            </w:r>
          </w:p>
        </w:tc>
        <w:tc>
          <w:tcPr>
            <w:tcW w:w="901" w:type="dxa"/>
            <w:noWrap/>
            <w:hideMark/>
          </w:tcPr>
          <w:p w14:paraId="000DAB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27.2%</w:t>
            </w:r>
          </w:p>
        </w:tc>
        <w:tc>
          <w:tcPr>
            <w:tcW w:w="1374" w:type="dxa"/>
            <w:noWrap/>
            <w:hideMark/>
          </w:tcPr>
          <w:p w14:paraId="277D42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35.1%</w:t>
            </w:r>
          </w:p>
        </w:tc>
        <w:tc>
          <w:tcPr>
            <w:tcW w:w="1602" w:type="dxa"/>
            <w:noWrap/>
            <w:hideMark/>
          </w:tcPr>
          <w:p w14:paraId="0B5EF0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$410,573</w:t>
            </w:r>
          </w:p>
        </w:tc>
        <w:tc>
          <w:tcPr>
            <w:tcW w:w="1264" w:type="dxa"/>
            <w:noWrap/>
            <w:hideMark/>
          </w:tcPr>
          <w:p w14:paraId="54418B7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190BC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$69,609,817</w:t>
            </w:r>
          </w:p>
        </w:tc>
        <w:tc>
          <w:tcPr>
            <w:tcW w:w="1786" w:type="dxa"/>
            <w:noWrap/>
            <w:hideMark/>
          </w:tcPr>
          <w:p w14:paraId="5896E4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$21,156,654</w:t>
            </w:r>
          </w:p>
        </w:tc>
        <w:tc>
          <w:tcPr>
            <w:tcW w:w="901" w:type="dxa"/>
            <w:noWrap/>
            <w:hideMark/>
          </w:tcPr>
          <w:p w14:paraId="2FCD81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w:t>
            </w:r>
          </w:p>
        </w:tc>
        <w:tc>
          <w:tcPr>
            <w:tcW w:w="1374" w:type="dxa"/>
            <w:noWrap/>
            <w:hideMark/>
          </w:tcPr>
          <w:p w14:paraId="79EC02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30.4%</w:t>
            </w:r>
          </w:p>
        </w:tc>
        <w:tc>
          <w:tcPr>
            <w:tcW w:w="1602" w:type="dxa"/>
            <w:noWrap/>
            <w:hideMark/>
          </w:tcPr>
          <w:p w14:paraId="6E372D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F56C87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94144A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0230</w:t>
            </w:r>
          </w:p>
        </w:tc>
        <w:tc>
          <w:tcPr>
            <w:tcW w:w="2880" w:type="dxa"/>
            <w:noWrap/>
            <w:hideMark/>
          </w:tcPr>
          <w:p w14:paraId="17F2CC8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Pelham</w:t>
            </w:r>
          </w:p>
        </w:tc>
        <w:tc>
          <w:tcPr>
            <w:tcW w:w="1148" w:type="dxa"/>
            <w:noWrap/>
            <w:hideMark/>
          </w:tcPr>
          <w:p w14:paraId="589D0A1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B9822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$749,940 </w:t>
            </w:r>
          </w:p>
        </w:tc>
        <w:tc>
          <w:tcPr>
            <w:tcW w:w="1786" w:type="dxa"/>
            <w:noWrap/>
            <w:hideMark/>
          </w:tcPr>
          <w:p w14:paraId="367A84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$164,607 </w:t>
            </w:r>
          </w:p>
        </w:tc>
        <w:tc>
          <w:tcPr>
            <w:tcW w:w="901" w:type="dxa"/>
            <w:noWrap/>
            <w:hideMark/>
          </w:tcPr>
          <w:p w14:paraId="154B76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46.8%</w:t>
            </w:r>
          </w:p>
        </w:tc>
        <w:tc>
          <w:tcPr>
            <w:tcW w:w="1374" w:type="dxa"/>
            <w:noWrap/>
            <w:hideMark/>
          </w:tcPr>
          <w:p w14:paraId="0B205C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21.9%</w:t>
            </w:r>
          </w:p>
        </w:tc>
        <w:tc>
          <w:tcPr>
            <w:tcW w:w="1602" w:type="dxa"/>
            <w:noWrap/>
            <w:hideMark/>
          </w:tcPr>
          <w:p w14:paraId="7378CC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$58,476</w:t>
            </w:r>
          </w:p>
        </w:tc>
        <w:tc>
          <w:tcPr>
            <w:tcW w:w="1264" w:type="dxa"/>
            <w:noWrap/>
            <w:hideMark/>
          </w:tcPr>
          <w:p w14:paraId="7C519E4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23307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$905,330</w:t>
            </w:r>
          </w:p>
        </w:tc>
        <w:tc>
          <w:tcPr>
            <w:tcW w:w="1786" w:type="dxa"/>
            <w:noWrap/>
            <w:hideMark/>
          </w:tcPr>
          <w:p w14:paraId="5AC117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$235,531</w:t>
            </w:r>
          </w:p>
        </w:tc>
        <w:tc>
          <w:tcPr>
            <w:tcW w:w="901" w:type="dxa"/>
            <w:noWrap/>
            <w:hideMark/>
          </w:tcPr>
          <w:p w14:paraId="3CA4EE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17.6%</w:t>
            </w:r>
          </w:p>
        </w:tc>
        <w:tc>
          <w:tcPr>
            <w:tcW w:w="1374" w:type="dxa"/>
            <w:noWrap/>
            <w:hideMark/>
          </w:tcPr>
          <w:p w14:paraId="1E5F7E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w:t>
            </w:r>
          </w:p>
        </w:tc>
        <w:tc>
          <w:tcPr>
            <w:tcW w:w="1602" w:type="dxa"/>
            <w:noWrap/>
            <w:hideMark/>
          </w:tcPr>
          <w:p w14:paraId="5082A7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$17,733</w:t>
            </w:r>
          </w:p>
        </w:tc>
      </w:tr>
      <w:tr w:rsidR="008C6E34" w:rsidRPr="008C6E34" w14:paraId="2A4A1AA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F55805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0231</w:t>
            </w:r>
          </w:p>
        </w:tc>
        <w:tc>
          <w:tcPr>
            <w:tcW w:w="2880" w:type="dxa"/>
            <w:noWrap/>
            <w:hideMark/>
          </w:tcPr>
          <w:p w14:paraId="0E29F7F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Pembroke</w:t>
            </w:r>
          </w:p>
        </w:tc>
        <w:tc>
          <w:tcPr>
            <w:tcW w:w="1148" w:type="dxa"/>
            <w:noWrap/>
            <w:hideMark/>
          </w:tcPr>
          <w:p w14:paraId="7B1A1D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3F77E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$24,815,140 </w:t>
            </w:r>
          </w:p>
        </w:tc>
        <w:tc>
          <w:tcPr>
            <w:tcW w:w="1786" w:type="dxa"/>
            <w:noWrap/>
            <w:hideMark/>
          </w:tcPr>
          <w:p w14:paraId="38BE98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$10,072,452 </w:t>
            </w:r>
          </w:p>
        </w:tc>
        <w:tc>
          <w:tcPr>
            <w:tcW w:w="901" w:type="dxa"/>
            <w:noWrap/>
            <w:hideMark/>
          </w:tcPr>
          <w:p w14:paraId="02F11A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41.3%</w:t>
            </w:r>
          </w:p>
        </w:tc>
        <w:tc>
          <w:tcPr>
            <w:tcW w:w="1374" w:type="dxa"/>
            <w:noWrap/>
            <w:hideMark/>
          </w:tcPr>
          <w:p w14:paraId="768B95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40.6%</w:t>
            </w:r>
          </w:p>
        </w:tc>
        <w:tc>
          <w:tcPr>
            <w:tcW w:w="1602" w:type="dxa"/>
            <w:noWrap/>
            <w:hideMark/>
          </w:tcPr>
          <w:p w14:paraId="63F253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277289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05CA7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$31,408,204</w:t>
            </w:r>
          </w:p>
        </w:tc>
        <w:tc>
          <w:tcPr>
            <w:tcW w:w="1786" w:type="dxa"/>
            <w:noWrap/>
            <w:hideMark/>
          </w:tcPr>
          <w:p w14:paraId="4D92F5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$13,608,752</w:t>
            </w:r>
          </w:p>
        </w:tc>
        <w:tc>
          <w:tcPr>
            <w:tcW w:w="901" w:type="dxa"/>
            <w:noWrap/>
            <w:hideMark/>
          </w:tcPr>
          <w:p w14:paraId="19E9AF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33.5%</w:t>
            </w:r>
          </w:p>
        </w:tc>
        <w:tc>
          <w:tcPr>
            <w:tcW w:w="1374" w:type="dxa"/>
            <w:noWrap/>
            <w:hideMark/>
          </w:tcPr>
          <w:p w14:paraId="350612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43.3%</w:t>
            </w:r>
          </w:p>
        </w:tc>
        <w:tc>
          <w:tcPr>
            <w:tcW w:w="1602" w:type="dxa"/>
            <w:noWrap/>
            <w:hideMark/>
          </w:tcPr>
          <w:p w14:paraId="44F947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$2,923,017</w:t>
            </w:r>
          </w:p>
        </w:tc>
      </w:tr>
      <w:tr w:rsidR="008C6E34" w:rsidRPr="008C6E34" w14:paraId="191EE39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7ED6FA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0232</w:t>
            </w:r>
          </w:p>
        </w:tc>
        <w:tc>
          <w:tcPr>
            <w:tcW w:w="2880" w:type="dxa"/>
            <w:noWrap/>
            <w:hideMark/>
          </w:tcPr>
          <w:p w14:paraId="6AE1449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Pepperell</w:t>
            </w:r>
          </w:p>
        </w:tc>
        <w:tc>
          <w:tcPr>
            <w:tcW w:w="1148" w:type="dxa"/>
            <w:noWrap/>
            <w:hideMark/>
          </w:tcPr>
          <w:p w14:paraId="5F1136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26426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$10,850 </w:t>
            </w:r>
          </w:p>
        </w:tc>
        <w:tc>
          <w:tcPr>
            <w:tcW w:w="1786" w:type="dxa"/>
            <w:noWrap/>
            <w:hideMark/>
          </w:tcPr>
          <w:p w14:paraId="473785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$8,308 </w:t>
            </w:r>
          </w:p>
        </w:tc>
        <w:tc>
          <w:tcPr>
            <w:tcW w:w="901" w:type="dxa"/>
            <w:noWrap/>
            <w:hideMark/>
          </w:tcPr>
          <w:p w14:paraId="37FB34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51.8%</w:t>
            </w:r>
          </w:p>
        </w:tc>
        <w:tc>
          <w:tcPr>
            <w:tcW w:w="1374" w:type="dxa"/>
            <w:noWrap/>
            <w:hideMark/>
          </w:tcPr>
          <w:p w14:paraId="3B08DA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76.6%</w:t>
            </w:r>
          </w:p>
        </w:tc>
        <w:tc>
          <w:tcPr>
            <w:tcW w:w="1602" w:type="dxa"/>
            <w:noWrap/>
            <w:hideMark/>
          </w:tcPr>
          <w:p w14:paraId="5DB6ED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$1,512</w:t>
            </w:r>
          </w:p>
        </w:tc>
        <w:tc>
          <w:tcPr>
            <w:tcW w:w="1264" w:type="dxa"/>
            <w:noWrap/>
            <w:hideMark/>
          </w:tcPr>
          <w:p w14:paraId="4DBF8A9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834F0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1EE5A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009C8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40.1%</w:t>
            </w:r>
          </w:p>
        </w:tc>
        <w:tc>
          <w:tcPr>
            <w:tcW w:w="1374" w:type="dxa"/>
            <w:noWrap/>
            <w:hideMark/>
          </w:tcPr>
          <w:p w14:paraId="326A5C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57D0B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D81C39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10D21B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0233</w:t>
            </w:r>
          </w:p>
        </w:tc>
        <w:tc>
          <w:tcPr>
            <w:tcW w:w="2880" w:type="dxa"/>
            <w:noWrap/>
            <w:hideMark/>
          </w:tcPr>
          <w:p w14:paraId="7FD2725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Peru</w:t>
            </w:r>
          </w:p>
        </w:tc>
        <w:tc>
          <w:tcPr>
            <w:tcW w:w="1148" w:type="dxa"/>
            <w:noWrap/>
            <w:hideMark/>
          </w:tcPr>
          <w:p w14:paraId="47797B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A7651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$97,647 </w:t>
            </w:r>
          </w:p>
        </w:tc>
        <w:tc>
          <w:tcPr>
            <w:tcW w:w="1786" w:type="dxa"/>
            <w:noWrap/>
            <w:hideMark/>
          </w:tcPr>
          <w:p w14:paraId="4818B6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$71,992 </w:t>
            </w:r>
          </w:p>
        </w:tc>
        <w:tc>
          <w:tcPr>
            <w:tcW w:w="901" w:type="dxa"/>
            <w:noWrap/>
            <w:hideMark/>
          </w:tcPr>
          <w:p w14:paraId="772054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71.9%</w:t>
            </w:r>
          </w:p>
        </w:tc>
        <w:tc>
          <w:tcPr>
            <w:tcW w:w="1374" w:type="dxa"/>
            <w:noWrap/>
            <w:hideMark/>
          </w:tcPr>
          <w:p w14:paraId="2E52E6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73.7%</w:t>
            </w:r>
          </w:p>
        </w:tc>
        <w:tc>
          <w:tcPr>
            <w:tcW w:w="1602" w:type="dxa"/>
            <w:noWrap/>
            <w:hideMark/>
          </w:tcPr>
          <w:p w14:paraId="3D50A3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$3,938</w:t>
            </w:r>
          </w:p>
        </w:tc>
        <w:tc>
          <w:tcPr>
            <w:tcW w:w="1264" w:type="dxa"/>
            <w:noWrap/>
            <w:hideMark/>
          </w:tcPr>
          <w:p w14:paraId="59B019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3C554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$114,974</w:t>
            </w:r>
          </w:p>
        </w:tc>
        <w:tc>
          <w:tcPr>
            <w:tcW w:w="1786" w:type="dxa"/>
            <w:noWrap/>
            <w:hideMark/>
          </w:tcPr>
          <w:p w14:paraId="545287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$89,842</w:t>
            </w:r>
          </w:p>
        </w:tc>
        <w:tc>
          <w:tcPr>
            <w:tcW w:w="901" w:type="dxa"/>
            <w:noWrap/>
            <w:hideMark/>
          </w:tcPr>
          <w:p w14:paraId="7D16A3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52.2%</w:t>
            </w:r>
          </w:p>
        </w:tc>
        <w:tc>
          <w:tcPr>
            <w:tcW w:w="1374" w:type="dxa"/>
            <w:noWrap/>
            <w:hideMark/>
          </w:tcPr>
          <w:p w14:paraId="6899AC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78.1%</w:t>
            </w:r>
          </w:p>
        </w:tc>
        <w:tc>
          <w:tcPr>
            <w:tcW w:w="1602" w:type="dxa"/>
            <w:noWrap/>
            <w:hideMark/>
          </w:tcPr>
          <w:p w14:paraId="6A8077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$27,577</w:t>
            </w:r>
          </w:p>
        </w:tc>
      </w:tr>
      <w:tr w:rsidR="008C6E34" w:rsidRPr="008C6E34" w14:paraId="425D21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639BEA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0234</w:t>
            </w:r>
          </w:p>
        </w:tc>
        <w:tc>
          <w:tcPr>
            <w:tcW w:w="2880" w:type="dxa"/>
            <w:noWrap/>
            <w:hideMark/>
          </w:tcPr>
          <w:p w14:paraId="00536F4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Petersham</w:t>
            </w:r>
          </w:p>
        </w:tc>
        <w:tc>
          <w:tcPr>
            <w:tcW w:w="1148" w:type="dxa"/>
            <w:noWrap/>
            <w:hideMark/>
          </w:tcPr>
          <w:p w14:paraId="1BE188A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6446A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$887,914 </w:t>
            </w:r>
          </w:p>
        </w:tc>
        <w:tc>
          <w:tcPr>
            <w:tcW w:w="1786" w:type="dxa"/>
            <w:noWrap/>
            <w:hideMark/>
          </w:tcPr>
          <w:p w14:paraId="79C5E7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$403,805 </w:t>
            </w:r>
          </w:p>
        </w:tc>
        <w:tc>
          <w:tcPr>
            <w:tcW w:w="901" w:type="dxa"/>
            <w:noWrap/>
            <w:hideMark/>
          </w:tcPr>
          <w:p w14:paraId="385F37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48.4%</w:t>
            </w:r>
          </w:p>
        </w:tc>
        <w:tc>
          <w:tcPr>
            <w:tcW w:w="1374" w:type="dxa"/>
            <w:noWrap/>
            <w:hideMark/>
          </w:tcPr>
          <w:p w14:paraId="37F16E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45.5%</w:t>
            </w:r>
          </w:p>
        </w:tc>
        <w:tc>
          <w:tcPr>
            <w:tcW w:w="1602" w:type="dxa"/>
            <w:noWrap/>
            <w:hideMark/>
          </w:tcPr>
          <w:p w14:paraId="441E1C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22A0A4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1D871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$825,450</w:t>
            </w:r>
          </w:p>
        </w:tc>
        <w:tc>
          <w:tcPr>
            <w:tcW w:w="1786" w:type="dxa"/>
            <w:noWrap/>
            <w:hideMark/>
          </w:tcPr>
          <w:p w14:paraId="579567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$435,523</w:t>
            </w:r>
          </w:p>
        </w:tc>
        <w:tc>
          <w:tcPr>
            <w:tcW w:w="901" w:type="dxa"/>
            <w:noWrap/>
            <w:hideMark/>
          </w:tcPr>
          <w:p w14:paraId="19ADC4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w:t>
            </w:r>
          </w:p>
        </w:tc>
        <w:tc>
          <w:tcPr>
            <w:tcW w:w="1374" w:type="dxa"/>
            <w:noWrap/>
            <w:hideMark/>
          </w:tcPr>
          <w:p w14:paraId="3A5CE3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52.8%</w:t>
            </w:r>
          </w:p>
        </w:tc>
        <w:tc>
          <w:tcPr>
            <w:tcW w:w="1602" w:type="dxa"/>
            <w:noWrap/>
            <w:hideMark/>
          </w:tcPr>
          <w:p w14:paraId="18925F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$181,433</w:t>
            </w:r>
          </w:p>
        </w:tc>
      </w:tr>
      <w:tr w:rsidR="008C6E34" w:rsidRPr="008C6E34" w14:paraId="4BE457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9EC18E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0235</w:t>
            </w:r>
          </w:p>
        </w:tc>
        <w:tc>
          <w:tcPr>
            <w:tcW w:w="2880" w:type="dxa"/>
            <w:noWrap/>
            <w:hideMark/>
          </w:tcPr>
          <w:p w14:paraId="4183530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Phillipston</w:t>
            </w:r>
          </w:p>
        </w:tc>
        <w:tc>
          <w:tcPr>
            <w:tcW w:w="1148" w:type="dxa"/>
            <w:noWrap/>
            <w:hideMark/>
          </w:tcPr>
          <w:p w14:paraId="6614B42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34FB4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3C4C5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0EC7ED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61.6%</w:t>
            </w:r>
          </w:p>
        </w:tc>
        <w:tc>
          <w:tcPr>
            <w:tcW w:w="1374" w:type="dxa"/>
            <w:noWrap/>
            <w:hideMark/>
          </w:tcPr>
          <w:p w14:paraId="26DCB1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B880B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D20FED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5DE05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17985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E0697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w:t>
            </w:r>
          </w:p>
        </w:tc>
        <w:tc>
          <w:tcPr>
            <w:tcW w:w="1374" w:type="dxa"/>
            <w:noWrap/>
            <w:hideMark/>
          </w:tcPr>
          <w:p w14:paraId="5DDF58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C4486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7AC8E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206A3F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0236</w:t>
            </w:r>
          </w:p>
        </w:tc>
        <w:tc>
          <w:tcPr>
            <w:tcW w:w="2880" w:type="dxa"/>
            <w:noWrap/>
            <w:hideMark/>
          </w:tcPr>
          <w:p w14:paraId="23CDC87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Pittsfield</w:t>
            </w:r>
          </w:p>
        </w:tc>
        <w:tc>
          <w:tcPr>
            <w:tcW w:w="1148" w:type="dxa"/>
            <w:noWrap/>
            <w:hideMark/>
          </w:tcPr>
          <w:p w14:paraId="2890A03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F5EA0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$57,082,753 </w:t>
            </w:r>
          </w:p>
        </w:tc>
        <w:tc>
          <w:tcPr>
            <w:tcW w:w="1786" w:type="dxa"/>
            <w:noWrap/>
            <w:hideMark/>
          </w:tcPr>
          <w:p w14:paraId="7C52E9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$31,597,473 </w:t>
            </w:r>
          </w:p>
        </w:tc>
        <w:tc>
          <w:tcPr>
            <w:tcW w:w="901" w:type="dxa"/>
            <w:noWrap/>
            <w:hideMark/>
          </w:tcPr>
          <w:p w14:paraId="13CCC4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60.9%</w:t>
            </w:r>
          </w:p>
        </w:tc>
        <w:tc>
          <w:tcPr>
            <w:tcW w:w="1374" w:type="dxa"/>
            <w:noWrap/>
            <w:hideMark/>
          </w:tcPr>
          <w:p w14:paraId="31A8BA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602" w:type="dxa"/>
            <w:noWrap/>
            <w:hideMark/>
          </w:tcPr>
          <w:p w14:paraId="3108DD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C20BFC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F6924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$75,857,281</w:t>
            </w:r>
          </w:p>
        </w:tc>
        <w:tc>
          <w:tcPr>
            <w:tcW w:w="1786" w:type="dxa"/>
            <w:noWrap/>
            <w:hideMark/>
          </w:tcPr>
          <w:p w14:paraId="0FB6D1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$47,686,062</w:t>
            </w:r>
          </w:p>
        </w:tc>
        <w:tc>
          <w:tcPr>
            <w:tcW w:w="901" w:type="dxa"/>
            <w:noWrap/>
            <w:hideMark/>
          </w:tcPr>
          <w:p w14:paraId="738D18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61.2%</w:t>
            </w:r>
          </w:p>
        </w:tc>
        <w:tc>
          <w:tcPr>
            <w:tcW w:w="1374" w:type="dxa"/>
            <w:noWrap/>
            <w:hideMark/>
          </w:tcPr>
          <w:p w14:paraId="06F06D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62.9%</w:t>
            </w:r>
          </w:p>
        </w:tc>
        <w:tc>
          <w:tcPr>
            <w:tcW w:w="1602" w:type="dxa"/>
            <w:noWrap/>
            <w:hideMark/>
          </w:tcPr>
          <w:p w14:paraId="509AA4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BA4DC2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1F3697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0237</w:t>
            </w:r>
          </w:p>
        </w:tc>
        <w:tc>
          <w:tcPr>
            <w:tcW w:w="2880" w:type="dxa"/>
            <w:noWrap/>
            <w:hideMark/>
          </w:tcPr>
          <w:p w14:paraId="4221FED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Plainfield</w:t>
            </w:r>
          </w:p>
        </w:tc>
        <w:tc>
          <w:tcPr>
            <w:tcW w:w="1148" w:type="dxa"/>
            <w:noWrap/>
            <w:hideMark/>
          </w:tcPr>
          <w:p w14:paraId="2D3ADE5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67188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$43,399 </w:t>
            </w:r>
          </w:p>
        </w:tc>
        <w:tc>
          <w:tcPr>
            <w:tcW w:w="1786" w:type="dxa"/>
            <w:noWrap/>
            <w:hideMark/>
          </w:tcPr>
          <w:p w14:paraId="0C9153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$30,740 </w:t>
            </w:r>
          </w:p>
        </w:tc>
        <w:tc>
          <w:tcPr>
            <w:tcW w:w="901" w:type="dxa"/>
            <w:noWrap/>
            <w:hideMark/>
          </w:tcPr>
          <w:p w14:paraId="3E460F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w:t>
            </w:r>
          </w:p>
        </w:tc>
        <w:tc>
          <w:tcPr>
            <w:tcW w:w="1374" w:type="dxa"/>
            <w:noWrap/>
            <w:hideMark/>
          </w:tcPr>
          <w:p w14:paraId="20BDBD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70.8%</w:t>
            </w:r>
          </w:p>
        </w:tc>
        <w:tc>
          <w:tcPr>
            <w:tcW w:w="1602" w:type="dxa"/>
            <w:noWrap/>
            <w:hideMark/>
          </w:tcPr>
          <w:p w14:paraId="2A11F6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$10,220</w:t>
            </w:r>
          </w:p>
        </w:tc>
        <w:tc>
          <w:tcPr>
            <w:tcW w:w="1264" w:type="dxa"/>
            <w:noWrap/>
            <w:hideMark/>
          </w:tcPr>
          <w:p w14:paraId="0E1ED3F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FB6E2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$28,744</w:t>
            </w:r>
          </w:p>
        </w:tc>
        <w:tc>
          <w:tcPr>
            <w:tcW w:w="1786" w:type="dxa"/>
            <w:noWrap/>
            <w:hideMark/>
          </w:tcPr>
          <w:p w14:paraId="3614A4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$27,674</w:t>
            </w:r>
          </w:p>
        </w:tc>
        <w:tc>
          <w:tcPr>
            <w:tcW w:w="901" w:type="dxa"/>
            <w:noWrap/>
            <w:hideMark/>
          </w:tcPr>
          <w:p w14:paraId="5107E2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32.8%</w:t>
            </w:r>
          </w:p>
        </w:tc>
        <w:tc>
          <w:tcPr>
            <w:tcW w:w="1374" w:type="dxa"/>
            <w:noWrap/>
            <w:hideMark/>
          </w:tcPr>
          <w:p w14:paraId="3691D0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96.3%</w:t>
            </w:r>
          </w:p>
        </w:tc>
        <w:tc>
          <w:tcPr>
            <w:tcW w:w="1602" w:type="dxa"/>
            <w:noWrap/>
            <w:hideMark/>
          </w:tcPr>
          <w:p w14:paraId="12E9BA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$18,031</w:t>
            </w:r>
          </w:p>
        </w:tc>
      </w:tr>
      <w:tr w:rsidR="008C6E34" w:rsidRPr="008C6E34" w14:paraId="5F9D6B1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E9D9BB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0238</w:t>
            </w:r>
          </w:p>
        </w:tc>
        <w:tc>
          <w:tcPr>
            <w:tcW w:w="2880" w:type="dxa"/>
            <w:noWrap/>
            <w:hideMark/>
          </w:tcPr>
          <w:p w14:paraId="2F6C223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Plainville</w:t>
            </w:r>
          </w:p>
        </w:tc>
        <w:tc>
          <w:tcPr>
            <w:tcW w:w="1148" w:type="dxa"/>
            <w:noWrap/>
            <w:hideMark/>
          </w:tcPr>
          <w:p w14:paraId="6268496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5D4D6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$6,041,438 </w:t>
            </w:r>
          </w:p>
        </w:tc>
        <w:tc>
          <w:tcPr>
            <w:tcW w:w="1786" w:type="dxa"/>
            <w:noWrap/>
            <w:hideMark/>
          </w:tcPr>
          <w:p w14:paraId="61389D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$2,553,848 </w:t>
            </w:r>
          </w:p>
        </w:tc>
        <w:tc>
          <w:tcPr>
            <w:tcW w:w="901" w:type="dxa"/>
            <w:noWrap/>
            <w:hideMark/>
          </w:tcPr>
          <w:p w14:paraId="53F722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44.0%</w:t>
            </w:r>
          </w:p>
        </w:tc>
        <w:tc>
          <w:tcPr>
            <w:tcW w:w="1374" w:type="dxa"/>
            <w:noWrap/>
            <w:hideMark/>
          </w:tcPr>
          <w:p w14:paraId="4AF599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w:t>
            </w:r>
          </w:p>
        </w:tc>
        <w:tc>
          <w:tcPr>
            <w:tcW w:w="1602" w:type="dxa"/>
            <w:noWrap/>
            <w:hideMark/>
          </w:tcPr>
          <w:p w14:paraId="4B0AA2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20A62B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37A1D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$7,272,816</w:t>
            </w:r>
          </w:p>
        </w:tc>
        <w:tc>
          <w:tcPr>
            <w:tcW w:w="1786" w:type="dxa"/>
            <w:noWrap/>
            <w:hideMark/>
          </w:tcPr>
          <w:p w14:paraId="4ED771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$2,927,801</w:t>
            </w:r>
          </w:p>
        </w:tc>
        <w:tc>
          <w:tcPr>
            <w:tcW w:w="901" w:type="dxa"/>
            <w:noWrap/>
            <w:hideMark/>
          </w:tcPr>
          <w:p w14:paraId="3A21CF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w:t>
            </w:r>
          </w:p>
        </w:tc>
        <w:tc>
          <w:tcPr>
            <w:tcW w:w="1374" w:type="dxa"/>
            <w:noWrap/>
            <w:hideMark/>
          </w:tcPr>
          <w:p w14:paraId="3E21E3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40.3%</w:t>
            </w:r>
          </w:p>
        </w:tc>
        <w:tc>
          <w:tcPr>
            <w:tcW w:w="1602" w:type="dxa"/>
            <w:noWrap/>
            <w:hideMark/>
          </w:tcPr>
          <w:p w14:paraId="352821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$782,693</w:t>
            </w:r>
          </w:p>
        </w:tc>
      </w:tr>
      <w:tr w:rsidR="008C6E34" w:rsidRPr="008C6E34" w14:paraId="3F9AA0A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522CF1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0239</w:t>
            </w:r>
          </w:p>
        </w:tc>
        <w:tc>
          <w:tcPr>
            <w:tcW w:w="2880" w:type="dxa"/>
            <w:noWrap/>
            <w:hideMark/>
          </w:tcPr>
          <w:p w14:paraId="136E740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Plymouth</w:t>
            </w:r>
          </w:p>
        </w:tc>
        <w:tc>
          <w:tcPr>
            <w:tcW w:w="1148" w:type="dxa"/>
            <w:noWrap/>
            <w:hideMark/>
          </w:tcPr>
          <w:p w14:paraId="0F65000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0BE4F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$70,785,948 </w:t>
            </w:r>
          </w:p>
        </w:tc>
        <w:tc>
          <w:tcPr>
            <w:tcW w:w="1786" w:type="dxa"/>
            <w:noWrap/>
            <w:hideMark/>
          </w:tcPr>
          <w:p w14:paraId="0FEA94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$18,464,636 </w:t>
            </w:r>
          </w:p>
        </w:tc>
        <w:tc>
          <w:tcPr>
            <w:tcW w:w="901" w:type="dxa"/>
            <w:noWrap/>
            <w:hideMark/>
          </w:tcPr>
          <w:p w14:paraId="35503E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34.5%</w:t>
            </w:r>
          </w:p>
        </w:tc>
        <w:tc>
          <w:tcPr>
            <w:tcW w:w="1374" w:type="dxa"/>
            <w:noWrap/>
            <w:hideMark/>
          </w:tcPr>
          <w:p w14:paraId="628171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26.1%</w:t>
            </w:r>
          </w:p>
        </w:tc>
        <w:tc>
          <w:tcPr>
            <w:tcW w:w="1602" w:type="dxa"/>
            <w:noWrap/>
            <w:hideMark/>
          </w:tcPr>
          <w:p w14:paraId="1AFC6D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$274,977</w:t>
            </w:r>
          </w:p>
        </w:tc>
        <w:tc>
          <w:tcPr>
            <w:tcW w:w="1264" w:type="dxa"/>
            <w:noWrap/>
            <w:hideMark/>
          </w:tcPr>
          <w:p w14:paraId="60FB46B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2D4EF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$93,345,303</w:t>
            </w:r>
          </w:p>
        </w:tc>
        <w:tc>
          <w:tcPr>
            <w:tcW w:w="1786" w:type="dxa"/>
            <w:noWrap/>
            <w:hideMark/>
          </w:tcPr>
          <w:p w14:paraId="5E00D8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$26,369,547</w:t>
            </w:r>
          </w:p>
        </w:tc>
        <w:tc>
          <w:tcPr>
            <w:tcW w:w="901" w:type="dxa"/>
            <w:noWrap/>
            <w:hideMark/>
          </w:tcPr>
          <w:p w14:paraId="618918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24.1%</w:t>
            </w:r>
          </w:p>
        </w:tc>
        <w:tc>
          <w:tcPr>
            <w:tcW w:w="1374" w:type="dxa"/>
            <w:noWrap/>
            <w:hideMark/>
          </w:tcPr>
          <w:p w14:paraId="637B92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28.2%</w:t>
            </w:r>
          </w:p>
        </w:tc>
        <w:tc>
          <w:tcPr>
            <w:tcW w:w="1602" w:type="dxa"/>
            <w:noWrap/>
            <w:hideMark/>
          </w:tcPr>
          <w:p w14:paraId="16A47E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$1,708,173</w:t>
            </w:r>
          </w:p>
        </w:tc>
      </w:tr>
      <w:tr w:rsidR="008C6E34" w:rsidRPr="008C6E34" w14:paraId="55601F2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113EE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0240</w:t>
            </w:r>
          </w:p>
        </w:tc>
        <w:tc>
          <w:tcPr>
            <w:tcW w:w="2880" w:type="dxa"/>
            <w:noWrap/>
            <w:hideMark/>
          </w:tcPr>
          <w:p w14:paraId="72A69B1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Plympton</w:t>
            </w:r>
          </w:p>
        </w:tc>
        <w:tc>
          <w:tcPr>
            <w:tcW w:w="1148" w:type="dxa"/>
            <w:noWrap/>
            <w:hideMark/>
          </w:tcPr>
          <w:p w14:paraId="7C98177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1C942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$1,606,595 </w:t>
            </w:r>
          </w:p>
        </w:tc>
        <w:tc>
          <w:tcPr>
            <w:tcW w:w="1786" w:type="dxa"/>
            <w:noWrap/>
            <w:hideMark/>
          </w:tcPr>
          <w:p w14:paraId="510005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$506,035 </w:t>
            </w:r>
          </w:p>
        </w:tc>
        <w:tc>
          <w:tcPr>
            <w:tcW w:w="901" w:type="dxa"/>
            <w:noWrap/>
            <w:hideMark/>
          </w:tcPr>
          <w:p w14:paraId="08D7D8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w:t>
            </w:r>
          </w:p>
        </w:tc>
        <w:tc>
          <w:tcPr>
            <w:tcW w:w="1374" w:type="dxa"/>
            <w:noWrap/>
            <w:hideMark/>
          </w:tcPr>
          <w:p w14:paraId="5BAABF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w:t>
            </w:r>
          </w:p>
        </w:tc>
        <w:tc>
          <w:tcPr>
            <w:tcW w:w="1602" w:type="dxa"/>
            <w:noWrap/>
            <w:hideMark/>
          </w:tcPr>
          <w:p w14:paraId="408C76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$178,773</w:t>
            </w:r>
          </w:p>
        </w:tc>
        <w:tc>
          <w:tcPr>
            <w:tcW w:w="1264" w:type="dxa"/>
            <w:noWrap/>
            <w:hideMark/>
          </w:tcPr>
          <w:p w14:paraId="67A0AB1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9CFB2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$2,239,539</w:t>
            </w:r>
          </w:p>
        </w:tc>
        <w:tc>
          <w:tcPr>
            <w:tcW w:w="1786" w:type="dxa"/>
            <w:noWrap/>
            <w:hideMark/>
          </w:tcPr>
          <w:p w14:paraId="4FF12E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$740,470</w:t>
            </w:r>
          </w:p>
        </w:tc>
        <w:tc>
          <w:tcPr>
            <w:tcW w:w="901" w:type="dxa"/>
            <w:noWrap/>
            <w:hideMark/>
          </w:tcPr>
          <w:p w14:paraId="7288F3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w:t>
            </w:r>
          </w:p>
        </w:tc>
        <w:tc>
          <w:tcPr>
            <w:tcW w:w="1374" w:type="dxa"/>
            <w:noWrap/>
            <w:hideMark/>
          </w:tcPr>
          <w:p w14:paraId="0AE68E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33.1%</w:t>
            </w:r>
          </w:p>
        </w:tc>
        <w:tc>
          <w:tcPr>
            <w:tcW w:w="1602" w:type="dxa"/>
            <w:noWrap/>
            <w:hideMark/>
          </w:tcPr>
          <w:p w14:paraId="49FEF7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$166,097</w:t>
            </w:r>
          </w:p>
        </w:tc>
      </w:tr>
      <w:tr w:rsidR="008C6E34" w:rsidRPr="008C6E34" w14:paraId="7850DB3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396F66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0241</w:t>
            </w:r>
          </w:p>
        </w:tc>
        <w:tc>
          <w:tcPr>
            <w:tcW w:w="2880" w:type="dxa"/>
            <w:noWrap/>
            <w:hideMark/>
          </w:tcPr>
          <w:p w14:paraId="317796D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Princeton</w:t>
            </w:r>
          </w:p>
        </w:tc>
        <w:tc>
          <w:tcPr>
            <w:tcW w:w="1148" w:type="dxa"/>
            <w:noWrap/>
            <w:hideMark/>
          </w:tcPr>
          <w:p w14:paraId="53E2DCF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14403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94C73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4F72B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374" w:type="dxa"/>
            <w:noWrap/>
            <w:hideMark/>
          </w:tcPr>
          <w:p w14:paraId="095708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AF19B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1F555A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BE40F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72B23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D03D0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660C5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989D8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FF6117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0F7AE4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0242</w:t>
            </w:r>
          </w:p>
        </w:tc>
        <w:tc>
          <w:tcPr>
            <w:tcW w:w="2880" w:type="dxa"/>
            <w:noWrap/>
            <w:hideMark/>
          </w:tcPr>
          <w:p w14:paraId="48E5515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Provincetown</w:t>
            </w:r>
          </w:p>
        </w:tc>
        <w:tc>
          <w:tcPr>
            <w:tcW w:w="1148" w:type="dxa"/>
            <w:noWrap/>
            <w:hideMark/>
          </w:tcPr>
          <w:p w14:paraId="206DC93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ECC80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$1,285,827 </w:t>
            </w:r>
          </w:p>
        </w:tc>
        <w:tc>
          <w:tcPr>
            <w:tcW w:w="1786" w:type="dxa"/>
            <w:noWrap/>
            <w:hideMark/>
          </w:tcPr>
          <w:p w14:paraId="766B43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$263,551 </w:t>
            </w:r>
          </w:p>
        </w:tc>
        <w:tc>
          <w:tcPr>
            <w:tcW w:w="901" w:type="dxa"/>
            <w:noWrap/>
            <w:hideMark/>
          </w:tcPr>
          <w:p w14:paraId="0C125F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7F354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20.5%</w:t>
            </w:r>
          </w:p>
        </w:tc>
        <w:tc>
          <w:tcPr>
            <w:tcW w:w="1602" w:type="dxa"/>
            <w:noWrap/>
            <w:hideMark/>
          </w:tcPr>
          <w:p w14:paraId="0D0948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$263,551</w:t>
            </w:r>
          </w:p>
        </w:tc>
        <w:tc>
          <w:tcPr>
            <w:tcW w:w="1264" w:type="dxa"/>
            <w:noWrap/>
            <w:hideMark/>
          </w:tcPr>
          <w:p w14:paraId="3827167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E9606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$1,386,868</w:t>
            </w:r>
          </w:p>
        </w:tc>
        <w:tc>
          <w:tcPr>
            <w:tcW w:w="1786" w:type="dxa"/>
            <w:noWrap/>
            <w:hideMark/>
          </w:tcPr>
          <w:p w14:paraId="6C8E22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$290,781</w:t>
            </w:r>
          </w:p>
        </w:tc>
        <w:tc>
          <w:tcPr>
            <w:tcW w:w="901" w:type="dxa"/>
            <w:noWrap/>
            <w:hideMark/>
          </w:tcPr>
          <w:p w14:paraId="23CAD9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7F8AF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21.0%</w:t>
            </w:r>
          </w:p>
        </w:tc>
        <w:tc>
          <w:tcPr>
            <w:tcW w:w="1602" w:type="dxa"/>
            <w:noWrap/>
            <w:hideMark/>
          </w:tcPr>
          <w:p w14:paraId="5A7D9C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$48,079</w:t>
            </w:r>
          </w:p>
        </w:tc>
      </w:tr>
      <w:tr w:rsidR="008C6E34" w:rsidRPr="008C6E34" w14:paraId="177A23C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E08A84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0243</w:t>
            </w:r>
          </w:p>
        </w:tc>
        <w:tc>
          <w:tcPr>
            <w:tcW w:w="2880" w:type="dxa"/>
            <w:noWrap/>
            <w:hideMark/>
          </w:tcPr>
          <w:p w14:paraId="6D2D299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Quincy</w:t>
            </w:r>
          </w:p>
        </w:tc>
        <w:tc>
          <w:tcPr>
            <w:tcW w:w="1148" w:type="dxa"/>
            <w:noWrap/>
            <w:hideMark/>
          </w:tcPr>
          <w:p w14:paraId="78A0CE8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C211B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$77,782,534 </w:t>
            </w:r>
          </w:p>
        </w:tc>
        <w:tc>
          <w:tcPr>
            <w:tcW w:w="1786" w:type="dxa"/>
            <w:noWrap/>
            <w:hideMark/>
          </w:tcPr>
          <w:p w14:paraId="2D3BA3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$13,380,709 </w:t>
            </w:r>
          </w:p>
        </w:tc>
        <w:tc>
          <w:tcPr>
            <w:tcW w:w="901" w:type="dxa"/>
            <w:noWrap/>
            <w:hideMark/>
          </w:tcPr>
          <w:p w14:paraId="63F204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6B585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17.2%</w:t>
            </w:r>
          </w:p>
        </w:tc>
        <w:tc>
          <w:tcPr>
            <w:tcW w:w="1602" w:type="dxa"/>
            <w:noWrap/>
            <w:hideMark/>
          </w:tcPr>
          <w:p w14:paraId="0CD205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$3,307,432</w:t>
            </w:r>
          </w:p>
        </w:tc>
        <w:tc>
          <w:tcPr>
            <w:tcW w:w="1264" w:type="dxa"/>
            <w:noWrap/>
            <w:hideMark/>
          </w:tcPr>
          <w:p w14:paraId="703B72A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3A950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$123,682,608</w:t>
            </w:r>
          </w:p>
        </w:tc>
        <w:tc>
          <w:tcPr>
            <w:tcW w:w="1786" w:type="dxa"/>
            <w:noWrap/>
            <w:hideMark/>
          </w:tcPr>
          <w:p w14:paraId="01757F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$28,647,763</w:t>
            </w:r>
          </w:p>
        </w:tc>
        <w:tc>
          <w:tcPr>
            <w:tcW w:w="901" w:type="dxa"/>
            <w:noWrap/>
            <w:hideMark/>
          </w:tcPr>
          <w:p w14:paraId="139AD1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5765E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23.2%</w:t>
            </w:r>
          </w:p>
        </w:tc>
        <w:tc>
          <w:tcPr>
            <w:tcW w:w="1602" w:type="dxa"/>
            <w:noWrap/>
            <w:hideMark/>
          </w:tcPr>
          <w:p w14:paraId="191360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$691,306</w:t>
            </w:r>
          </w:p>
        </w:tc>
      </w:tr>
      <w:tr w:rsidR="008C6E34" w:rsidRPr="008C6E34" w14:paraId="7465FDE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3BBBE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0244</w:t>
            </w:r>
          </w:p>
        </w:tc>
        <w:tc>
          <w:tcPr>
            <w:tcW w:w="2880" w:type="dxa"/>
            <w:noWrap/>
            <w:hideMark/>
          </w:tcPr>
          <w:p w14:paraId="149B027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Randolph</w:t>
            </w:r>
          </w:p>
        </w:tc>
        <w:tc>
          <w:tcPr>
            <w:tcW w:w="1148" w:type="dxa"/>
            <w:noWrap/>
            <w:hideMark/>
          </w:tcPr>
          <w:p w14:paraId="19BA9A8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6C6D3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$30,652,226 </w:t>
            </w:r>
          </w:p>
        </w:tc>
        <w:tc>
          <w:tcPr>
            <w:tcW w:w="1786" w:type="dxa"/>
            <w:noWrap/>
            <w:hideMark/>
          </w:tcPr>
          <w:p w14:paraId="34BA55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$11,313,976 </w:t>
            </w:r>
          </w:p>
        </w:tc>
        <w:tc>
          <w:tcPr>
            <w:tcW w:w="901" w:type="dxa"/>
            <w:noWrap/>
            <w:hideMark/>
          </w:tcPr>
          <w:p w14:paraId="6B7C1E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40.0%</w:t>
            </w:r>
          </w:p>
        </w:tc>
        <w:tc>
          <w:tcPr>
            <w:tcW w:w="1374" w:type="dxa"/>
            <w:noWrap/>
            <w:hideMark/>
          </w:tcPr>
          <w:p w14:paraId="13B593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36.9%</w:t>
            </w:r>
          </w:p>
        </w:tc>
        <w:tc>
          <w:tcPr>
            <w:tcW w:w="1602" w:type="dxa"/>
            <w:noWrap/>
            <w:hideMark/>
          </w:tcPr>
          <w:p w14:paraId="37F8F0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$1,505,751</w:t>
            </w:r>
          </w:p>
        </w:tc>
        <w:tc>
          <w:tcPr>
            <w:tcW w:w="1264" w:type="dxa"/>
            <w:noWrap/>
            <w:hideMark/>
          </w:tcPr>
          <w:p w14:paraId="644230D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A5795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$41,045,166</w:t>
            </w:r>
          </w:p>
        </w:tc>
        <w:tc>
          <w:tcPr>
            <w:tcW w:w="1786" w:type="dxa"/>
            <w:noWrap/>
            <w:hideMark/>
          </w:tcPr>
          <w:p w14:paraId="6CFCCB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$18,487,416</w:t>
            </w:r>
          </w:p>
        </w:tc>
        <w:tc>
          <w:tcPr>
            <w:tcW w:w="901" w:type="dxa"/>
            <w:noWrap/>
            <w:hideMark/>
          </w:tcPr>
          <w:p w14:paraId="391853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w:t>
            </w:r>
          </w:p>
        </w:tc>
        <w:tc>
          <w:tcPr>
            <w:tcW w:w="1374" w:type="dxa"/>
            <w:noWrap/>
            <w:hideMark/>
          </w:tcPr>
          <w:p w14:paraId="754C34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45.0%</w:t>
            </w:r>
          </w:p>
        </w:tc>
        <w:tc>
          <w:tcPr>
            <w:tcW w:w="1602" w:type="dxa"/>
            <w:noWrap/>
            <w:hideMark/>
          </w:tcPr>
          <w:p w14:paraId="077D7E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413A08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7CB006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0245</w:t>
            </w:r>
          </w:p>
        </w:tc>
        <w:tc>
          <w:tcPr>
            <w:tcW w:w="2880" w:type="dxa"/>
            <w:noWrap/>
            <w:hideMark/>
          </w:tcPr>
          <w:p w14:paraId="11DC50B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Raynham</w:t>
            </w:r>
          </w:p>
        </w:tc>
        <w:tc>
          <w:tcPr>
            <w:tcW w:w="1148" w:type="dxa"/>
            <w:noWrap/>
            <w:hideMark/>
          </w:tcPr>
          <w:p w14:paraId="4C10F3F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16B23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634C2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122A0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w:t>
            </w:r>
          </w:p>
        </w:tc>
        <w:tc>
          <w:tcPr>
            <w:tcW w:w="1374" w:type="dxa"/>
            <w:noWrap/>
            <w:hideMark/>
          </w:tcPr>
          <w:p w14:paraId="58862A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E0BEE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AD94B3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D267B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86B41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5CA1D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39.2%</w:t>
            </w:r>
          </w:p>
        </w:tc>
        <w:tc>
          <w:tcPr>
            <w:tcW w:w="1374" w:type="dxa"/>
            <w:noWrap/>
            <w:hideMark/>
          </w:tcPr>
          <w:p w14:paraId="65D08D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CC672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EC1731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002B33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0246</w:t>
            </w:r>
          </w:p>
        </w:tc>
        <w:tc>
          <w:tcPr>
            <w:tcW w:w="2880" w:type="dxa"/>
            <w:noWrap/>
            <w:hideMark/>
          </w:tcPr>
          <w:p w14:paraId="32A1F9B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Reading</w:t>
            </w:r>
          </w:p>
        </w:tc>
        <w:tc>
          <w:tcPr>
            <w:tcW w:w="1148" w:type="dxa"/>
            <w:noWrap/>
            <w:hideMark/>
          </w:tcPr>
          <w:p w14:paraId="0AF64FF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66709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$31,463,026 </w:t>
            </w:r>
          </w:p>
        </w:tc>
        <w:tc>
          <w:tcPr>
            <w:tcW w:w="1786" w:type="dxa"/>
            <w:noWrap/>
            <w:hideMark/>
          </w:tcPr>
          <w:p w14:paraId="59F2D1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$7,119,890 </w:t>
            </w:r>
          </w:p>
        </w:tc>
        <w:tc>
          <w:tcPr>
            <w:tcW w:w="901" w:type="dxa"/>
            <w:noWrap/>
            <w:hideMark/>
          </w:tcPr>
          <w:p w14:paraId="535586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23.4%</w:t>
            </w:r>
          </w:p>
        </w:tc>
        <w:tc>
          <w:tcPr>
            <w:tcW w:w="1374" w:type="dxa"/>
            <w:noWrap/>
            <w:hideMark/>
          </w:tcPr>
          <w:p w14:paraId="131556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w:t>
            </w:r>
          </w:p>
        </w:tc>
        <w:tc>
          <w:tcPr>
            <w:tcW w:w="1602" w:type="dxa"/>
            <w:noWrap/>
            <w:hideMark/>
          </w:tcPr>
          <w:p w14:paraId="34AD1E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07025B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96300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$42,311,533</w:t>
            </w:r>
          </w:p>
        </w:tc>
        <w:tc>
          <w:tcPr>
            <w:tcW w:w="1786" w:type="dxa"/>
            <w:noWrap/>
            <w:hideMark/>
          </w:tcPr>
          <w:p w14:paraId="0619B1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$10,834,809</w:t>
            </w:r>
          </w:p>
        </w:tc>
        <w:tc>
          <w:tcPr>
            <w:tcW w:w="901" w:type="dxa"/>
            <w:noWrap/>
            <w:hideMark/>
          </w:tcPr>
          <w:p w14:paraId="22CA2A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0DDC1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w:t>
            </w:r>
          </w:p>
        </w:tc>
        <w:tc>
          <w:tcPr>
            <w:tcW w:w="1602" w:type="dxa"/>
            <w:noWrap/>
            <w:hideMark/>
          </w:tcPr>
          <w:p w14:paraId="165B11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$3,430,291</w:t>
            </w:r>
          </w:p>
        </w:tc>
      </w:tr>
      <w:tr w:rsidR="008C6E34" w:rsidRPr="008C6E34" w14:paraId="4B2197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E69D68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0247</w:t>
            </w:r>
          </w:p>
        </w:tc>
        <w:tc>
          <w:tcPr>
            <w:tcW w:w="2880" w:type="dxa"/>
            <w:noWrap/>
            <w:hideMark/>
          </w:tcPr>
          <w:p w14:paraId="5D5805A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Rehoboth</w:t>
            </w:r>
          </w:p>
        </w:tc>
        <w:tc>
          <w:tcPr>
            <w:tcW w:w="1148" w:type="dxa"/>
            <w:noWrap/>
            <w:hideMark/>
          </w:tcPr>
          <w:p w14:paraId="14DEE21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5946C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A0753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61ACB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36.7%</w:t>
            </w:r>
          </w:p>
        </w:tc>
        <w:tc>
          <w:tcPr>
            <w:tcW w:w="1374" w:type="dxa"/>
            <w:noWrap/>
            <w:hideMark/>
          </w:tcPr>
          <w:p w14:paraId="3CF95A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51D29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ABC31D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0CFAF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A8C07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90309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25.9%</w:t>
            </w:r>
          </w:p>
        </w:tc>
        <w:tc>
          <w:tcPr>
            <w:tcW w:w="1374" w:type="dxa"/>
            <w:noWrap/>
            <w:hideMark/>
          </w:tcPr>
          <w:p w14:paraId="2497D1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F3E7B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C6C7F5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2CF7C5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0248</w:t>
            </w:r>
          </w:p>
        </w:tc>
        <w:tc>
          <w:tcPr>
            <w:tcW w:w="2880" w:type="dxa"/>
            <w:noWrap/>
            <w:hideMark/>
          </w:tcPr>
          <w:p w14:paraId="4CE172B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Revere</w:t>
            </w:r>
          </w:p>
        </w:tc>
        <w:tc>
          <w:tcPr>
            <w:tcW w:w="1148" w:type="dxa"/>
            <w:noWrap/>
            <w:hideMark/>
          </w:tcPr>
          <w:p w14:paraId="7FF9B1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91803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$51,922,905 </w:t>
            </w:r>
          </w:p>
        </w:tc>
        <w:tc>
          <w:tcPr>
            <w:tcW w:w="1786" w:type="dxa"/>
            <w:noWrap/>
            <w:hideMark/>
          </w:tcPr>
          <w:p w14:paraId="194857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$27,787,967 </w:t>
            </w:r>
          </w:p>
        </w:tc>
        <w:tc>
          <w:tcPr>
            <w:tcW w:w="901" w:type="dxa"/>
            <w:noWrap/>
            <w:hideMark/>
          </w:tcPr>
          <w:p w14:paraId="0746EB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52.1%</w:t>
            </w:r>
          </w:p>
        </w:tc>
        <w:tc>
          <w:tcPr>
            <w:tcW w:w="1374" w:type="dxa"/>
            <w:noWrap/>
            <w:hideMark/>
          </w:tcPr>
          <w:p w14:paraId="46C132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53.5%</w:t>
            </w:r>
          </w:p>
        </w:tc>
        <w:tc>
          <w:tcPr>
            <w:tcW w:w="1602" w:type="dxa"/>
            <w:noWrap/>
            <w:hideMark/>
          </w:tcPr>
          <w:p w14:paraId="7CB449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B6952C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299F5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$104,529,856</w:t>
            </w:r>
          </w:p>
        </w:tc>
        <w:tc>
          <w:tcPr>
            <w:tcW w:w="1786" w:type="dxa"/>
            <w:noWrap/>
            <w:hideMark/>
          </w:tcPr>
          <w:p w14:paraId="6777EB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$69,669,229</w:t>
            </w:r>
          </w:p>
        </w:tc>
        <w:tc>
          <w:tcPr>
            <w:tcW w:w="901" w:type="dxa"/>
            <w:noWrap/>
            <w:hideMark/>
          </w:tcPr>
          <w:p w14:paraId="7E983D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63.3%</w:t>
            </w:r>
          </w:p>
        </w:tc>
        <w:tc>
          <w:tcPr>
            <w:tcW w:w="1374" w:type="dxa"/>
            <w:noWrap/>
            <w:hideMark/>
          </w:tcPr>
          <w:p w14:paraId="31730A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66.7%</w:t>
            </w:r>
          </w:p>
        </w:tc>
        <w:tc>
          <w:tcPr>
            <w:tcW w:w="1602" w:type="dxa"/>
            <w:noWrap/>
            <w:hideMark/>
          </w:tcPr>
          <w:p w14:paraId="257173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73FC2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95ED0E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0249</w:t>
            </w:r>
          </w:p>
        </w:tc>
        <w:tc>
          <w:tcPr>
            <w:tcW w:w="2880" w:type="dxa"/>
            <w:noWrap/>
            <w:hideMark/>
          </w:tcPr>
          <w:p w14:paraId="0580F7A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Richmond</w:t>
            </w:r>
          </w:p>
        </w:tc>
        <w:tc>
          <w:tcPr>
            <w:tcW w:w="1148" w:type="dxa"/>
            <w:noWrap/>
            <w:hideMark/>
          </w:tcPr>
          <w:p w14:paraId="3FA96AF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178EF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$1,791,555 </w:t>
            </w:r>
          </w:p>
        </w:tc>
        <w:tc>
          <w:tcPr>
            <w:tcW w:w="1786" w:type="dxa"/>
            <w:noWrap/>
            <w:hideMark/>
          </w:tcPr>
          <w:p w14:paraId="779096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$333,845 </w:t>
            </w:r>
          </w:p>
        </w:tc>
        <w:tc>
          <w:tcPr>
            <w:tcW w:w="901" w:type="dxa"/>
            <w:noWrap/>
            <w:hideMark/>
          </w:tcPr>
          <w:p w14:paraId="00F5D1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17C6A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w:t>
            </w:r>
          </w:p>
        </w:tc>
        <w:tc>
          <w:tcPr>
            <w:tcW w:w="1602" w:type="dxa"/>
            <w:noWrap/>
            <w:hideMark/>
          </w:tcPr>
          <w:p w14:paraId="4D1708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$333,845</w:t>
            </w:r>
          </w:p>
        </w:tc>
        <w:tc>
          <w:tcPr>
            <w:tcW w:w="1264" w:type="dxa"/>
            <w:noWrap/>
            <w:hideMark/>
          </w:tcPr>
          <w:p w14:paraId="07C07F6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EE402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$1,333,384</w:t>
            </w:r>
          </w:p>
        </w:tc>
        <w:tc>
          <w:tcPr>
            <w:tcW w:w="1786" w:type="dxa"/>
            <w:noWrap/>
            <w:hideMark/>
          </w:tcPr>
          <w:p w14:paraId="0C5347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$364,649</w:t>
            </w:r>
          </w:p>
        </w:tc>
        <w:tc>
          <w:tcPr>
            <w:tcW w:w="901" w:type="dxa"/>
            <w:noWrap/>
            <w:hideMark/>
          </w:tcPr>
          <w:p w14:paraId="71E51E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DCB9B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27.3%</w:t>
            </w:r>
          </w:p>
        </w:tc>
        <w:tc>
          <w:tcPr>
            <w:tcW w:w="1602" w:type="dxa"/>
            <w:noWrap/>
            <w:hideMark/>
          </w:tcPr>
          <w:p w14:paraId="0727A7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$131,307</w:t>
            </w:r>
          </w:p>
        </w:tc>
      </w:tr>
      <w:tr w:rsidR="008C6E34" w:rsidRPr="008C6E34" w14:paraId="4A8E561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42258E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0250</w:t>
            </w:r>
          </w:p>
        </w:tc>
        <w:tc>
          <w:tcPr>
            <w:tcW w:w="2880" w:type="dxa"/>
            <w:noWrap/>
            <w:hideMark/>
          </w:tcPr>
          <w:p w14:paraId="34BA0CA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Rochester</w:t>
            </w:r>
          </w:p>
        </w:tc>
        <w:tc>
          <w:tcPr>
            <w:tcW w:w="1148" w:type="dxa"/>
            <w:noWrap/>
            <w:hideMark/>
          </w:tcPr>
          <w:p w14:paraId="608468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2A3AD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$3,824,253 </w:t>
            </w:r>
          </w:p>
        </w:tc>
        <w:tc>
          <w:tcPr>
            <w:tcW w:w="1786" w:type="dxa"/>
            <w:noWrap/>
            <w:hideMark/>
          </w:tcPr>
          <w:p w14:paraId="6C3A02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$1,395,317 </w:t>
            </w:r>
          </w:p>
        </w:tc>
        <w:tc>
          <w:tcPr>
            <w:tcW w:w="901" w:type="dxa"/>
            <w:noWrap/>
            <w:hideMark/>
          </w:tcPr>
          <w:p w14:paraId="089140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43.3%</w:t>
            </w:r>
          </w:p>
        </w:tc>
        <w:tc>
          <w:tcPr>
            <w:tcW w:w="1374" w:type="dxa"/>
            <w:noWrap/>
            <w:hideMark/>
          </w:tcPr>
          <w:p w14:paraId="476E29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36.5%</w:t>
            </w:r>
          </w:p>
        </w:tc>
        <w:tc>
          <w:tcPr>
            <w:tcW w:w="1602" w:type="dxa"/>
            <w:noWrap/>
            <w:hideMark/>
          </w:tcPr>
          <w:p w14:paraId="684535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$49,352</w:t>
            </w:r>
          </w:p>
        </w:tc>
        <w:tc>
          <w:tcPr>
            <w:tcW w:w="1264" w:type="dxa"/>
            <w:noWrap/>
            <w:hideMark/>
          </w:tcPr>
          <w:p w14:paraId="4222153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093BA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$5,204,047</w:t>
            </w:r>
          </w:p>
        </w:tc>
        <w:tc>
          <w:tcPr>
            <w:tcW w:w="1786" w:type="dxa"/>
            <w:noWrap/>
            <w:hideMark/>
          </w:tcPr>
          <w:p w14:paraId="2E5E79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$2,057,549</w:t>
            </w:r>
          </w:p>
        </w:tc>
        <w:tc>
          <w:tcPr>
            <w:tcW w:w="901" w:type="dxa"/>
            <w:noWrap/>
            <w:hideMark/>
          </w:tcPr>
          <w:p w14:paraId="795F95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37.2%</w:t>
            </w:r>
          </w:p>
        </w:tc>
        <w:tc>
          <w:tcPr>
            <w:tcW w:w="1374" w:type="dxa"/>
            <w:noWrap/>
            <w:hideMark/>
          </w:tcPr>
          <w:p w14:paraId="62EAA6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39.5%</w:t>
            </w:r>
          </w:p>
        </w:tc>
        <w:tc>
          <w:tcPr>
            <w:tcW w:w="1602" w:type="dxa"/>
            <w:noWrap/>
            <w:hideMark/>
          </w:tcPr>
          <w:p w14:paraId="5F11D7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082E49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18A51F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0251</w:t>
            </w:r>
          </w:p>
        </w:tc>
        <w:tc>
          <w:tcPr>
            <w:tcW w:w="2880" w:type="dxa"/>
            <w:noWrap/>
            <w:hideMark/>
          </w:tcPr>
          <w:p w14:paraId="4276D90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Rockland</w:t>
            </w:r>
          </w:p>
        </w:tc>
        <w:tc>
          <w:tcPr>
            <w:tcW w:w="1148" w:type="dxa"/>
            <w:noWrap/>
            <w:hideMark/>
          </w:tcPr>
          <w:p w14:paraId="6471B8A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9C53B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$20,522,023 </w:t>
            </w:r>
          </w:p>
        </w:tc>
        <w:tc>
          <w:tcPr>
            <w:tcW w:w="1786" w:type="dxa"/>
            <w:noWrap/>
            <w:hideMark/>
          </w:tcPr>
          <w:p w14:paraId="1E7B1D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$9,430,825 </w:t>
            </w:r>
          </w:p>
        </w:tc>
        <w:tc>
          <w:tcPr>
            <w:tcW w:w="901" w:type="dxa"/>
            <w:noWrap/>
            <w:hideMark/>
          </w:tcPr>
          <w:p w14:paraId="741E61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47.4%</w:t>
            </w:r>
          </w:p>
        </w:tc>
        <w:tc>
          <w:tcPr>
            <w:tcW w:w="1374" w:type="dxa"/>
            <w:noWrap/>
            <w:hideMark/>
          </w:tcPr>
          <w:p w14:paraId="4CA022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46.0%</w:t>
            </w:r>
          </w:p>
        </w:tc>
        <w:tc>
          <w:tcPr>
            <w:tcW w:w="1602" w:type="dxa"/>
            <w:noWrap/>
            <w:hideMark/>
          </w:tcPr>
          <w:p w14:paraId="366330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$330,039</w:t>
            </w:r>
          </w:p>
        </w:tc>
        <w:tc>
          <w:tcPr>
            <w:tcW w:w="1264" w:type="dxa"/>
            <w:noWrap/>
            <w:hideMark/>
          </w:tcPr>
          <w:p w14:paraId="16444F1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59AC1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$27,535,664</w:t>
            </w:r>
          </w:p>
        </w:tc>
        <w:tc>
          <w:tcPr>
            <w:tcW w:w="1786" w:type="dxa"/>
            <w:noWrap/>
            <w:hideMark/>
          </w:tcPr>
          <w:p w14:paraId="2D0D9C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$13,843,235</w:t>
            </w:r>
          </w:p>
        </w:tc>
        <w:tc>
          <w:tcPr>
            <w:tcW w:w="901" w:type="dxa"/>
            <w:noWrap/>
            <w:hideMark/>
          </w:tcPr>
          <w:p w14:paraId="7E3E7A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49.9%</w:t>
            </w:r>
          </w:p>
        </w:tc>
        <w:tc>
          <w:tcPr>
            <w:tcW w:w="1374" w:type="dxa"/>
            <w:noWrap/>
            <w:hideMark/>
          </w:tcPr>
          <w:p w14:paraId="3DF101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50.3%</w:t>
            </w:r>
          </w:p>
        </w:tc>
        <w:tc>
          <w:tcPr>
            <w:tcW w:w="1602" w:type="dxa"/>
            <w:noWrap/>
            <w:hideMark/>
          </w:tcPr>
          <w:p w14:paraId="61DB98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$101,412</w:t>
            </w:r>
          </w:p>
        </w:tc>
      </w:tr>
      <w:tr w:rsidR="008C6E34" w:rsidRPr="008C6E34" w14:paraId="70D6B75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887699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0252</w:t>
            </w:r>
          </w:p>
        </w:tc>
        <w:tc>
          <w:tcPr>
            <w:tcW w:w="2880" w:type="dxa"/>
            <w:noWrap/>
            <w:hideMark/>
          </w:tcPr>
          <w:p w14:paraId="7DE99FD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Rockport</w:t>
            </w:r>
          </w:p>
        </w:tc>
        <w:tc>
          <w:tcPr>
            <w:tcW w:w="1148" w:type="dxa"/>
            <w:noWrap/>
            <w:hideMark/>
          </w:tcPr>
          <w:p w14:paraId="06A4DAF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D71C9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$7,628,241 </w:t>
            </w:r>
          </w:p>
        </w:tc>
        <w:tc>
          <w:tcPr>
            <w:tcW w:w="1786" w:type="dxa"/>
            <w:noWrap/>
            <w:hideMark/>
          </w:tcPr>
          <w:p w14:paraId="113C65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$1,244,121 </w:t>
            </w:r>
          </w:p>
        </w:tc>
        <w:tc>
          <w:tcPr>
            <w:tcW w:w="901" w:type="dxa"/>
            <w:noWrap/>
            <w:hideMark/>
          </w:tcPr>
          <w:p w14:paraId="550EB9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1000F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16.3%</w:t>
            </w:r>
          </w:p>
        </w:tc>
        <w:tc>
          <w:tcPr>
            <w:tcW w:w="1602" w:type="dxa"/>
            <w:noWrap/>
            <w:hideMark/>
          </w:tcPr>
          <w:p w14:paraId="6A559C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$1,086,954</w:t>
            </w:r>
          </w:p>
        </w:tc>
        <w:tc>
          <w:tcPr>
            <w:tcW w:w="1264" w:type="dxa"/>
            <w:noWrap/>
            <w:hideMark/>
          </w:tcPr>
          <w:p w14:paraId="715A53E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1525A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$7,685,700</w:t>
            </w:r>
          </w:p>
        </w:tc>
        <w:tc>
          <w:tcPr>
            <w:tcW w:w="1786" w:type="dxa"/>
            <w:noWrap/>
            <w:hideMark/>
          </w:tcPr>
          <w:p w14:paraId="3F6D85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$1,502,126</w:t>
            </w:r>
          </w:p>
        </w:tc>
        <w:tc>
          <w:tcPr>
            <w:tcW w:w="901" w:type="dxa"/>
            <w:noWrap/>
            <w:hideMark/>
          </w:tcPr>
          <w:p w14:paraId="67B5B2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09B0B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w:t>
            </w:r>
          </w:p>
        </w:tc>
        <w:tc>
          <w:tcPr>
            <w:tcW w:w="1602" w:type="dxa"/>
            <w:noWrap/>
            <w:hideMark/>
          </w:tcPr>
          <w:p w14:paraId="17213A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$40,820</w:t>
            </w:r>
          </w:p>
        </w:tc>
      </w:tr>
      <w:tr w:rsidR="008C6E34" w:rsidRPr="008C6E34" w14:paraId="20A6F23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843EF7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0253</w:t>
            </w:r>
          </w:p>
        </w:tc>
        <w:tc>
          <w:tcPr>
            <w:tcW w:w="2880" w:type="dxa"/>
            <w:noWrap/>
            <w:hideMark/>
          </w:tcPr>
          <w:p w14:paraId="6146ECC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Rowe</w:t>
            </w:r>
          </w:p>
        </w:tc>
        <w:tc>
          <w:tcPr>
            <w:tcW w:w="1148" w:type="dxa"/>
            <w:noWrap/>
            <w:hideMark/>
          </w:tcPr>
          <w:p w14:paraId="78F6061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155DB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$409,882 </w:t>
            </w:r>
          </w:p>
        </w:tc>
        <w:tc>
          <w:tcPr>
            <w:tcW w:w="1786" w:type="dxa"/>
            <w:noWrap/>
            <w:hideMark/>
          </w:tcPr>
          <w:p w14:paraId="25C660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$50,582 </w:t>
            </w:r>
          </w:p>
        </w:tc>
        <w:tc>
          <w:tcPr>
            <w:tcW w:w="901" w:type="dxa"/>
            <w:noWrap/>
            <w:hideMark/>
          </w:tcPr>
          <w:p w14:paraId="4679CA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9656D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12.3%</w:t>
            </w:r>
          </w:p>
        </w:tc>
        <w:tc>
          <w:tcPr>
            <w:tcW w:w="1602" w:type="dxa"/>
            <w:noWrap/>
            <w:hideMark/>
          </w:tcPr>
          <w:p w14:paraId="532A1B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$50,582</w:t>
            </w:r>
          </w:p>
        </w:tc>
        <w:tc>
          <w:tcPr>
            <w:tcW w:w="1264" w:type="dxa"/>
            <w:noWrap/>
            <w:hideMark/>
          </w:tcPr>
          <w:p w14:paraId="1164B84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FFE34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$582,531</w:t>
            </w:r>
          </w:p>
        </w:tc>
        <w:tc>
          <w:tcPr>
            <w:tcW w:w="1786" w:type="dxa"/>
            <w:noWrap/>
            <w:hideMark/>
          </w:tcPr>
          <w:p w14:paraId="363452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$139,775</w:t>
            </w:r>
          </w:p>
        </w:tc>
        <w:tc>
          <w:tcPr>
            <w:tcW w:w="901" w:type="dxa"/>
            <w:noWrap/>
            <w:hideMark/>
          </w:tcPr>
          <w:p w14:paraId="104FF9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71B4E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24.0%</w:t>
            </w:r>
          </w:p>
        </w:tc>
        <w:tc>
          <w:tcPr>
            <w:tcW w:w="1602" w:type="dxa"/>
            <w:noWrap/>
            <w:hideMark/>
          </w:tcPr>
          <w:p w14:paraId="1D9964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$37,832</w:t>
            </w:r>
          </w:p>
        </w:tc>
      </w:tr>
      <w:tr w:rsidR="008C6E34" w:rsidRPr="008C6E34" w14:paraId="0B8BFFB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FA800F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0254</w:t>
            </w:r>
          </w:p>
        </w:tc>
        <w:tc>
          <w:tcPr>
            <w:tcW w:w="2880" w:type="dxa"/>
            <w:noWrap/>
            <w:hideMark/>
          </w:tcPr>
          <w:p w14:paraId="2B394E9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Rowley</w:t>
            </w:r>
          </w:p>
        </w:tc>
        <w:tc>
          <w:tcPr>
            <w:tcW w:w="1148" w:type="dxa"/>
            <w:noWrap/>
            <w:hideMark/>
          </w:tcPr>
          <w:p w14:paraId="5089727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3F917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5F8DC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732C4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33.3%</w:t>
            </w:r>
          </w:p>
        </w:tc>
        <w:tc>
          <w:tcPr>
            <w:tcW w:w="1374" w:type="dxa"/>
            <w:noWrap/>
            <w:hideMark/>
          </w:tcPr>
          <w:p w14:paraId="71B6A3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6B224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B4056E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E534A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$103,786</w:t>
            </w:r>
          </w:p>
        </w:tc>
        <w:tc>
          <w:tcPr>
            <w:tcW w:w="1786" w:type="dxa"/>
            <w:noWrap/>
            <w:hideMark/>
          </w:tcPr>
          <w:p w14:paraId="0C6344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$25,266</w:t>
            </w:r>
          </w:p>
        </w:tc>
        <w:tc>
          <w:tcPr>
            <w:tcW w:w="901" w:type="dxa"/>
            <w:noWrap/>
            <w:hideMark/>
          </w:tcPr>
          <w:p w14:paraId="574120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8928E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w:t>
            </w:r>
          </w:p>
        </w:tc>
        <w:tc>
          <w:tcPr>
            <w:tcW w:w="1602" w:type="dxa"/>
            <w:noWrap/>
            <w:hideMark/>
          </w:tcPr>
          <w:p w14:paraId="29826C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$7,103</w:t>
            </w:r>
          </w:p>
        </w:tc>
      </w:tr>
      <w:tr w:rsidR="008C6E34" w:rsidRPr="008C6E34" w14:paraId="3061048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4DE182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0255</w:t>
            </w:r>
          </w:p>
        </w:tc>
        <w:tc>
          <w:tcPr>
            <w:tcW w:w="2880" w:type="dxa"/>
            <w:noWrap/>
            <w:hideMark/>
          </w:tcPr>
          <w:p w14:paraId="27514FA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Royalston</w:t>
            </w:r>
          </w:p>
        </w:tc>
        <w:tc>
          <w:tcPr>
            <w:tcW w:w="1148" w:type="dxa"/>
            <w:noWrap/>
            <w:hideMark/>
          </w:tcPr>
          <w:p w14:paraId="7568CDE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0B0A8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44D96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F8D66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69.2%</w:t>
            </w:r>
          </w:p>
        </w:tc>
        <w:tc>
          <w:tcPr>
            <w:tcW w:w="1374" w:type="dxa"/>
            <w:noWrap/>
            <w:hideMark/>
          </w:tcPr>
          <w:p w14:paraId="7E9AFB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AB61C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767902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B1229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2CEB4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0EE596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w:t>
            </w:r>
          </w:p>
        </w:tc>
        <w:tc>
          <w:tcPr>
            <w:tcW w:w="1374" w:type="dxa"/>
            <w:noWrap/>
            <w:hideMark/>
          </w:tcPr>
          <w:p w14:paraId="18D7F0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F321B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DD90B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4F86BD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0256</w:t>
            </w:r>
          </w:p>
        </w:tc>
        <w:tc>
          <w:tcPr>
            <w:tcW w:w="2880" w:type="dxa"/>
            <w:noWrap/>
            <w:hideMark/>
          </w:tcPr>
          <w:p w14:paraId="194DF00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Russell</w:t>
            </w:r>
          </w:p>
        </w:tc>
        <w:tc>
          <w:tcPr>
            <w:tcW w:w="1148" w:type="dxa"/>
            <w:noWrap/>
            <w:hideMark/>
          </w:tcPr>
          <w:p w14:paraId="5DFEC72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22A6E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$183,567 </w:t>
            </w:r>
          </w:p>
        </w:tc>
        <w:tc>
          <w:tcPr>
            <w:tcW w:w="1786" w:type="dxa"/>
            <w:noWrap/>
            <w:hideMark/>
          </w:tcPr>
          <w:p w14:paraId="00D23D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$151,228 </w:t>
            </w:r>
          </w:p>
        </w:tc>
        <w:tc>
          <w:tcPr>
            <w:tcW w:w="901" w:type="dxa"/>
            <w:noWrap/>
            <w:hideMark/>
          </w:tcPr>
          <w:p w14:paraId="1C9D49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62.5%</w:t>
            </w:r>
          </w:p>
        </w:tc>
        <w:tc>
          <w:tcPr>
            <w:tcW w:w="1374" w:type="dxa"/>
            <w:noWrap/>
            <w:hideMark/>
          </w:tcPr>
          <w:p w14:paraId="59269A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82.4%</w:t>
            </w:r>
          </w:p>
        </w:tc>
        <w:tc>
          <w:tcPr>
            <w:tcW w:w="1602" w:type="dxa"/>
            <w:noWrap/>
            <w:hideMark/>
          </w:tcPr>
          <w:p w14:paraId="38F539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$45,337</w:t>
            </w:r>
          </w:p>
        </w:tc>
        <w:tc>
          <w:tcPr>
            <w:tcW w:w="1264" w:type="dxa"/>
            <w:noWrap/>
            <w:hideMark/>
          </w:tcPr>
          <w:p w14:paraId="32ACC05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85CA5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$314,603</w:t>
            </w:r>
          </w:p>
        </w:tc>
        <w:tc>
          <w:tcPr>
            <w:tcW w:w="1786" w:type="dxa"/>
            <w:noWrap/>
            <w:hideMark/>
          </w:tcPr>
          <w:p w14:paraId="053A61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$198,625</w:t>
            </w:r>
          </w:p>
        </w:tc>
        <w:tc>
          <w:tcPr>
            <w:tcW w:w="901" w:type="dxa"/>
            <w:noWrap/>
            <w:hideMark/>
          </w:tcPr>
          <w:p w14:paraId="2BAFF3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62.1%</w:t>
            </w:r>
          </w:p>
        </w:tc>
        <w:tc>
          <w:tcPr>
            <w:tcW w:w="1374" w:type="dxa"/>
            <w:noWrap/>
            <w:hideMark/>
          </w:tcPr>
          <w:p w14:paraId="181436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63.1%</w:t>
            </w:r>
          </w:p>
        </w:tc>
        <w:tc>
          <w:tcPr>
            <w:tcW w:w="1602" w:type="dxa"/>
            <w:noWrap/>
            <w:hideMark/>
          </w:tcPr>
          <w:p w14:paraId="5A75A2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94CFD3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AA2B1B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0257</w:t>
            </w:r>
          </w:p>
        </w:tc>
        <w:tc>
          <w:tcPr>
            <w:tcW w:w="2880" w:type="dxa"/>
            <w:noWrap/>
            <w:hideMark/>
          </w:tcPr>
          <w:p w14:paraId="0E886B5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Rutland</w:t>
            </w:r>
          </w:p>
        </w:tc>
        <w:tc>
          <w:tcPr>
            <w:tcW w:w="1148" w:type="dxa"/>
            <w:noWrap/>
            <w:hideMark/>
          </w:tcPr>
          <w:p w14:paraId="2289878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120E0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$10,850 </w:t>
            </w:r>
          </w:p>
        </w:tc>
        <w:tc>
          <w:tcPr>
            <w:tcW w:w="1786" w:type="dxa"/>
            <w:noWrap/>
            <w:hideMark/>
          </w:tcPr>
          <w:p w14:paraId="3556DF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$9,555 </w:t>
            </w:r>
          </w:p>
        </w:tc>
        <w:tc>
          <w:tcPr>
            <w:tcW w:w="901" w:type="dxa"/>
            <w:noWrap/>
            <w:hideMark/>
          </w:tcPr>
          <w:p w14:paraId="60D953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57.9%</w:t>
            </w:r>
          </w:p>
        </w:tc>
        <w:tc>
          <w:tcPr>
            <w:tcW w:w="1374" w:type="dxa"/>
            <w:noWrap/>
            <w:hideMark/>
          </w:tcPr>
          <w:p w14:paraId="0C68FF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88.1%</w:t>
            </w:r>
          </w:p>
        </w:tc>
        <w:tc>
          <w:tcPr>
            <w:tcW w:w="1602" w:type="dxa"/>
            <w:noWrap/>
            <w:hideMark/>
          </w:tcPr>
          <w:p w14:paraId="332D38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$3,270</w:t>
            </w:r>
          </w:p>
        </w:tc>
        <w:tc>
          <w:tcPr>
            <w:tcW w:w="1264" w:type="dxa"/>
            <w:noWrap/>
            <w:hideMark/>
          </w:tcPr>
          <w:p w14:paraId="68E7DC3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1F742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25D06D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812E4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54.6%</w:t>
            </w:r>
          </w:p>
        </w:tc>
        <w:tc>
          <w:tcPr>
            <w:tcW w:w="1374" w:type="dxa"/>
            <w:noWrap/>
            <w:hideMark/>
          </w:tcPr>
          <w:p w14:paraId="17C8F4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36373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094675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99BFA2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0258</w:t>
            </w:r>
          </w:p>
        </w:tc>
        <w:tc>
          <w:tcPr>
            <w:tcW w:w="2880" w:type="dxa"/>
            <w:noWrap/>
            <w:hideMark/>
          </w:tcPr>
          <w:p w14:paraId="7FD99B9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Salem</w:t>
            </w:r>
          </w:p>
        </w:tc>
        <w:tc>
          <w:tcPr>
            <w:tcW w:w="1148" w:type="dxa"/>
            <w:noWrap/>
            <w:hideMark/>
          </w:tcPr>
          <w:p w14:paraId="5A31CFE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400F2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$42,136,155 </w:t>
            </w:r>
          </w:p>
        </w:tc>
        <w:tc>
          <w:tcPr>
            <w:tcW w:w="1786" w:type="dxa"/>
            <w:noWrap/>
            <w:hideMark/>
          </w:tcPr>
          <w:p w14:paraId="736724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$11,648,162 </w:t>
            </w:r>
          </w:p>
        </w:tc>
        <w:tc>
          <w:tcPr>
            <w:tcW w:w="901" w:type="dxa"/>
            <w:noWrap/>
            <w:hideMark/>
          </w:tcPr>
          <w:p w14:paraId="56DE21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36.1%</w:t>
            </w:r>
          </w:p>
        </w:tc>
        <w:tc>
          <w:tcPr>
            <w:tcW w:w="1374" w:type="dxa"/>
            <w:noWrap/>
            <w:hideMark/>
          </w:tcPr>
          <w:p w14:paraId="22C90F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27.6%</w:t>
            </w:r>
          </w:p>
        </w:tc>
        <w:tc>
          <w:tcPr>
            <w:tcW w:w="1602" w:type="dxa"/>
            <w:noWrap/>
            <w:hideMark/>
          </w:tcPr>
          <w:p w14:paraId="1653C3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691847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793A9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$59,983,631</w:t>
            </w:r>
          </w:p>
        </w:tc>
        <w:tc>
          <w:tcPr>
            <w:tcW w:w="1786" w:type="dxa"/>
            <w:noWrap/>
            <w:hideMark/>
          </w:tcPr>
          <w:p w14:paraId="36E38F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$25,807,152</w:t>
            </w:r>
          </w:p>
        </w:tc>
        <w:tc>
          <w:tcPr>
            <w:tcW w:w="901" w:type="dxa"/>
            <w:noWrap/>
            <w:hideMark/>
          </w:tcPr>
          <w:p w14:paraId="530CB0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40.0%</w:t>
            </w:r>
          </w:p>
        </w:tc>
        <w:tc>
          <w:tcPr>
            <w:tcW w:w="1374" w:type="dxa"/>
            <w:noWrap/>
            <w:hideMark/>
          </w:tcPr>
          <w:p w14:paraId="28D35D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43.0%</w:t>
            </w:r>
          </w:p>
        </w:tc>
        <w:tc>
          <w:tcPr>
            <w:tcW w:w="1602" w:type="dxa"/>
            <w:noWrap/>
            <w:hideMark/>
          </w:tcPr>
          <w:p w14:paraId="4FA38E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06197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84D62B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0259</w:t>
            </w:r>
          </w:p>
        </w:tc>
        <w:tc>
          <w:tcPr>
            <w:tcW w:w="2880" w:type="dxa"/>
            <w:noWrap/>
            <w:hideMark/>
          </w:tcPr>
          <w:p w14:paraId="7BD23A0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Salisbury</w:t>
            </w:r>
          </w:p>
        </w:tc>
        <w:tc>
          <w:tcPr>
            <w:tcW w:w="1148" w:type="dxa"/>
            <w:noWrap/>
            <w:hideMark/>
          </w:tcPr>
          <w:p w14:paraId="4B0966C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2B7BA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D8534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A4620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39.4%</w:t>
            </w:r>
          </w:p>
        </w:tc>
        <w:tc>
          <w:tcPr>
            <w:tcW w:w="1374" w:type="dxa"/>
            <w:noWrap/>
            <w:hideMark/>
          </w:tcPr>
          <w:p w14:paraId="0F4DBB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414D8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ED28D5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E84C7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$14,372</w:t>
            </w:r>
          </w:p>
        </w:tc>
        <w:tc>
          <w:tcPr>
            <w:tcW w:w="1786" w:type="dxa"/>
            <w:noWrap/>
            <w:hideMark/>
          </w:tcPr>
          <w:p w14:paraId="16D9E6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$14,383</w:t>
            </w:r>
          </w:p>
        </w:tc>
        <w:tc>
          <w:tcPr>
            <w:tcW w:w="901" w:type="dxa"/>
            <w:noWrap/>
            <w:hideMark/>
          </w:tcPr>
          <w:p w14:paraId="406354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DB953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100.1%</w:t>
            </w:r>
          </w:p>
        </w:tc>
        <w:tc>
          <w:tcPr>
            <w:tcW w:w="1602" w:type="dxa"/>
            <w:noWrap/>
            <w:hideMark/>
          </w:tcPr>
          <w:p w14:paraId="09B503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$11,868</w:t>
            </w:r>
          </w:p>
        </w:tc>
      </w:tr>
      <w:tr w:rsidR="008C6E34" w:rsidRPr="008C6E34" w14:paraId="72B3EB4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AEB3F9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0260</w:t>
            </w:r>
          </w:p>
        </w:tc>
        <w:tc>
          <w:tcPr>
            <w:tcW w:w="2880" w:type="dxa"/>
            <w:noWrap/>
            <w:hideMark/>
          </w:tcPr>
          <w:p w14:paraId="6DF3FE4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Sandisfield</w:t>
            </w:r>
          </w:p>
        </w:tc>
        <w:tc>
          <w:tcPr>
            <w:tcW w:w="1148" w:type="dxa"/>
            <w:noWrap/>
            <w:hideMark/>
          </w:tcPr>
          <w:p w14:paraId="446E609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97BDA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7F7CCD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1E3DB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D6C56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03C3E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249038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619B5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358A1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A281E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0217B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F9358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15430B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B559B9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0261</w:t>
            </w:r>
          </w:p>
        </w:tc>
        <w:tc>
          <w:tcPr>
            <w:tcW w:w="2880" w:type="dxa"/>
            <w:noWrap/>
            <w:hideMark/>
          </w:tcPr>
          <w:p w14:paraId="1E3EF4D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Sandwich</w:t>
            </w:r>
          </w:p>
        </w:tc>
        <w:tc>
          <w:tcPr>
            <w:tcW w:w="1148" w:type="dxa"/>
            <w:noWrap/>
            <w:hideMark/>
          </w:tcPr>
          <w:p w14:paraId="704438E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44874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$28,541,824 </w:t>
            </w:r>
          </w:p>
        </w:tc>
        <w:tc>
          <w:tcPr>
            <w:tcW w:w="1786" w:type="dxa"/>
            <w:noWrap/>
            <w:hideMark/>
          </w:tcPr>
          <w:p w14:paraId="6AAB1A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$6,229,598 </w:t>
            </w:r>
          </w:p>
        </w:tc>
        <w:tc>
          <w:tcPr>
            <w:tcW w:w="901" w:type="dxa"/>
            <w:noWrap/>
            <w:hideMark/>
          </w:tcPr>
          <w:p w14:paraId="41343B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29.9%</w:t>
            </w:r>
          </w:p>
        </w:tc>
        <w:tc>
          <w:tcPr>
            <w:tcW w:w="1374" w:type="dxa"/>
            <w:noWrap/>
            <w:hideMark/>
          </w:tcPr>
          <w:p w14:paraId="0BDB9C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w:t>
            </w:r>
          </w:p>
        </w:tc>
        <w:tc>
          <w:tcPr>
            <w:tcW w:w="1602" w:type="dxa"/>
            <w:noWrap/>
            <w:hideMark/>
          </w:tcPr>
          <w:p w14:paraId="02FE96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$1,225,901</w:t>
            </w:r>
          </w:p>
        </w:tc>
        <w:tc>
          <w:tcPr>
            <w:tcW w:w="1264" w:type="dxa"/>
            <w:noWrap/>
            <w:hideMark/>
          </w:tcPr>
          <w:p w14:paraId="7BF0299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7790B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$28,195,096</w:t>
            </w:r>
          </w:p>
        </w:tc>
        <w:tc>
          <w:tcPr>
            <w:tcW w:w="1786" w:type="dxa"/>
            <w:noWrap/>
            <w:hideMark/>
          </w:tcPr>
          <w:p w14:paraId="09C10F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$7,151,788</w:t>
            </w:r>
          </w:p>
        </w:tc>
        <w:tc>
          <w:tcPr>
            <w:tcW w:w="901" w:type="dxa"/>
            <w:noWrap/>
            <w:hideMark/>
          </w:tcPr>
          <w:p w14:paraId="4E80BC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BDA91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25.4%</w:t>
            </w:r>
          </w:p>
        </w:tc>
        <w:tc>
          <w:tcPr>
            <w:tcW w:w="1602" w:type="dxa"/>
            <w:noWrap/>
            <w:hideMark/>
          </w:tcPr>
          <w:p w14:paraId="4B164B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$2,217,647</w:t>
            </w:r>
          </w:p>
        </w:tc>
      </w:tr>
      <w:tr w:rsidR="008C6E34" w:rsidRPr="008C6E34" w14:paraId="34FBA27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5DE224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0262</w:t>
            </w:r>
          </w:p>
        </w:tc>
        <w:tc>
          <w:tcPr>
            <w:tcW w:w="2880" w:type="dxa"/>
            <w:noWrap/>
            <w:hideMark/>
          </w:tcPr>
          <w:p w14:paraId="35D65F1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Saugus</w:t>
            </w:r>
          </w:p>
        </w:tc>
        <w:tc>
          <w:tcPr>
            <w:tcW w:w="1148" w:type="dxa"/>
            <w:noWrap/>
            <w:hideMark/>
          </w:tcPr>
          <w:p w14:paraId="7C0B49B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8174F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$24,160,470 </w:t>
            </w:r>
          </w:p>
        </w:tc>
        <w:tc>
          <w:tcPr>
            <w:tcW w:w="1786" w:type="dxa"/>
            <w:noWrap/>
            <w:hideMark/>
          </w:tcPr>
          <w:p w14:paraId="114D70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$3,844,289 </w:t>
            </w:r>
          </w:p>
        </w:tc>
        <w:tc>
          <w:tcPr>
            <w:tcW w:w="901" w:type="dxa"/>
            <w:noWrap/>
            <w:hideMark/>
          </w:tcPr>
          <w:p w14:paraId="62DF72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14A7E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15.9%</w:t>
            </w:r>
          </w:p>
        </w:tc>
        <w:tc>
          <w:tcPr>
            <w:tcW w:w="1602" w:type="dxa"/>
            <w:noWrap/>
            <w:hideMark/>
          </w:tcPr>
          <w:p w14:paraId="11EC1E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$2,262,742</w:t>
            </w:r>
          </w:p>
        </w:tc>
        <w:tc>
          <w:tcPr>
            <w:tcW w:w="1264" w:type="dxa"/>
            <w:noWrap/>
            <w:hideMark/>
          </w:tcPr>
          <w:p w14:paraId="2A5BF80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54746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$31,417,987</w:t>
            </w:r>
          </w:p>
        </w:tc>
        <w:tc>
          <w:tcPr>
            <w:tcW w:w="1786" w:type="dxa"/>
            <w:noWrap/>
            <w:hideMark/>
          </w:tcPr>
          <w:p w14:paraId="3A6FAA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$6,136,490</w:t>
            </w:r>
          </w:p>
        </w:tc>
        <w:tc>
          <w:tcPr>
            <w:tcW w:w="901" w:type="dxa"/>
            <w:noWrap/>
            <w:hideMark/>
          </w:tcPr>
          <w:p w14:paraId="68EBCA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8BD17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w:t>
            </w:r>
          </w:p>
        </w:tc>
        <w:tc>
          <w:tcPr>
            <w:tcW w:w="1602" w:type="dxa"/>
            <w:noWrap/>
            <w:hideMark/>
          </w:tcPr>
          <w:p w14:paraId="492F41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$62,055</w:t>
            </w:r>
          </w:p>
        </w:tc>
      </w:tr>
      <w:tr w:rsidR="008C6E34" w:rsidRPr="008C6E34" w14:paraId="41E5455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493D4D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0263</w:t>
            </w:r>
          </w:p>
        </w:tc>
        <w:tc>
          <w:tcPr>
            <w:tcW w:w="2880" w:type="dxa"/>
            <w:noWrap/>
            <w:hideMark/>
          </w:tcPr>
          <w:p w14:paraId="265A203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Savoy</w:t>
            </w:r>
          </w:p>
        </w:tc>
        <w:tc>
          <w:tcPr>
            <w:tcW w:w="1148" w:type="dxa"/>
            <w:noWrap/>
            <w:hideMark/>
          </w:tcPr>
          <w:p w14:paraId="6A93AAF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E1281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$819,788 </w:t>
            </w:r>
          </w:p>
        </w:tc>
        <w:tc>
          <w:tcPr>
            <w:tcW w:w="1786" w:type="dxa"/>
            <w:noWrap/>
            <w:hideMark/>
          </w:tcPr>
          <w:p w14:paraId="66F729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$499,459 </w:t>
            </w:r>
          </w:p>
        </w:tc>
        <w:tc>
          <w:tcPr>
            <w:tcW w:w="901" w:type="dxa"/>
            <w:noWrap/>
            <w:hideMark/>
          </w:tcPr>
          <w:p w14:paraId="331184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63.2%</w:t>
            </w:r>
          </w:p>
        </w:tc>
        <w:tc>
          <w:tcPr>
            <w:tcW w:w="1374" w:type="dxa"/>
            <w:noWrap/>
            <w:hideMark/>
          </w:tcPr>
          <w:p w14:paraId="421BD7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60.9%</w:t>
            </w:r>
          </w:p>
        </w:tc>
        <w:tc>
          <w:tcPr>
            <w:tcW w:w="1602" w:type="dxa"/>
            <w:noWrap/>
            <w:hideMark/>
          </w:tcPr>
          <w:p w14:paraId="412871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$2,381</w:t>
            </w:r>
          </w:p>
        </w:tc>
        <w:tc>
          <w:tcPr>
            <w:tcW w:w="1264" w:type="dxa"/>
            <w:noWrap/>
            <w:hideMark/>
          </w:tcPr>
          <w:p w14:paraId="47A350F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F65FF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$751,434</w:t>
            </w:r>
          </w:p>
        </w:tc>
        <w:tc>
          <w:tcPr>
            <w:tcW w:w="1786" w:type="dxa"/>
            <w:noWrap/>
            <w:hideMark/>
          </w:tcPr>
          <w:p w14:paraId="66F86D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$515,849</w:t>
            </w:r>
          </w:p>
        </w:tc>
        <w:tc>
          <w:tcPr>
            <w:tcW w:w="901" w:type="dxa"/>
            <w:noWrap/>
            <w:hideMark/>
          </w:tcPr>
          <w:p w14:paraId="638BA8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51.8%</w:t>
            </w:r>
          </w:p>
        </w:tc>
        <w:tc>
          <w:tcPr>
            <w:tcW w:w="1374" w:type="dxa"/>
            <w:noWrap/>
            <w:hideMark/>
          </w:tcPr>
          <w:p w14:paraId="7FDC3E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68.6%</w:t>
            </w:r>
          </w:p>
        </w:tc>
        <w:tc>
          <w:tcPr>
            <w:tcW w:w="1602" w:type="dxa"/>
            <w:noWrap/>
            <w:hideMark/>
          </w:tcPr>
          <w:p w14:paraId="3F65DD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$126,538</w:t>
            </w:r>
          </w:p>
        </w:tc>
      </w:tr>
      <w:tr w:rsidR="008C6E34" w:rsidRPr="008C6E34" w14:paraId="09EBA1A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A25F8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0264</w:t>
            </w:r>
          </w:p>
        </w:tc>
        <w:tc>
          <w:tcPr>
            <w:tcW w:w="2880" w:type="dxa"/>
            <w:noWrap/>
            <w:hideMark/>
          </w:tcPr>
          <w:p w14:paraId="5737324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Scituate</w:t>
            </w:r>
          </w:p>
        </w:tc>
        <w:tc>
          <w:tcPr>
            <w:tcW w:w="1148" w:type="dxa"/>
            <w:noWrap/>
            <w:hideMark/>
          </w:tcPr>
          <w:p w14:paraId="7B90BA2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A41C3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$23,195,984 </w:t>
            </w:r>
          </w:p>
        </w:tc>
        <w:tc>
          <w:tcPr>
            <w:tcW w:w="1786" w:type="dxa"/>
            <w:noWrap/>
            <w:hideMark/>
          </w:tcPr>
          <w:p w14:paraId="47F8F0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$3,965,346 </w:t>
            </w:r>
          </w:p>
        </w:tc>
        <w:tc>
          <w:tcPr>
            <w:tcW w:w="901" w:type="dxa"/>
            <w:noWrap/>
            <w:hideMark/>
          </w:tcPr>
          <w:p w14:paraId="342153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D986D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17.1%</w:t>
            </w:r>
          </w:p>
        </w:tc>
        <w:tc>
          <w:tcPr>
            <w:tcW w:w="1602" w:type="dxa"/>
            <w:noWrap/>
            <w:hideMark/>
          </w:tcPr>
          <w:p w14:paraId="5BBB65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F4394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EB2BD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$30,755,856</w:t>
            </w:r>
          </w:p>
        </w:tc>
        <w:tc>
          <w:tcPr>
            <w:tcW w:w="1786" w:type="dxa"/>
            <w:noWrap/>
            <w:hideMark/>
          </w:tcPr>
          <w:p w14:paraId="4A2A06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$5,863,240</w:t>
            </w:r>
          </w:p>
        </w:tc>
        <w:tc>
          <w:tcPr>
            <w:tcW w:w="901" w:type="dxa"/>
            <w:noWrap/>
            <w:hideMark/>
          </w:tcPr>
          <w:p w14:paraId="494165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CDF1C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19.1%</w:t>
            </w:r>
          </w:p>
        </w:tc>
        <w:tc>
          <w:tcPr>
            <w:tcW w:w="1602" w:type="dxa"/>
            <w:noWrap/>
            <w:hideMark/>
          </w:tcPr>
          <w:p w14:paraId="46641E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$13,742</w:t>
            </w:r>
          </w:p>
        </w:tc>
      </w:tr>
      <w:tr w:rsidR="008C6E34" w:rsidRPr="008C6E34" w14:paraId="09A56C3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FA46AA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0265</w:t>
            </w:r>
          </w:p>
        </w:tc>
        <w:tc>
          <w:tcPr>
            <w:tcW w:w="2880" w:type="dxa"/>
            <w:noWrap/>
            <w:hideMark/>
          </w:tcPr>
          <w:p w14:paraId="519CD90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Seekonk</w:t>
            </w:r>
          </w:p>
        </w:tc>
        <w:tc>
          <w:tcPr>
            <w:tcW w:w="1148" w:type="dxa"/>
            <w:noWrap/>
            <w:hideMark/>
          </w:tcPr>
          <w:p w14:paraId="093F5A4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E783D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$16,695,155 </w:t>
            </w:r>
          </w:p>
        </w:tc>
        <w:tc>
          <w:tcPr>
            <w:tcW w:w="1786" w:type="dxa"/>
            <w:noWrap/>
            <w:hideMark/>
          </w:tcPr>
          <w:p w14:paraId="45EE58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$3,620,014 </w:t>
            </w:r>
          </w:p>
        </w:tc>
        <w:tc>
          <w:tcPr>
            <w:tcW w:w="901" w:type="dxa"/>
            <w:noWrap/>
            <w:hideMark/>
          </w:tcPr>
          <w:p w14:paraId="63D5F2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w:t>
            </w:r>
          </w:p>
        </w:tc>
        <w:tc>
          <w:tcPr>
            <w:tcW w:w="1374" w:type="dxa"/>
            <w:noWrap/>
            <w:hideMark/>
          </w:tcPr>
          <w:p w14:paraId="21C815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21.7%</w:t>
            </w:r>
          </w:p>
        </w:tc>
        <w:tc>
          <w:tcPr>
            <w:tcW w:w="1602" w:type="dxa"/>
            <w:noWrap/>
            <w:hideMark/>
          </w:tcPr>
          <w:p w14:paraId="13E7BB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$1,478,388</w:t>
            </w:r>
          </w:p>
        </w:tc>
        <w:tc>
          <w:tcPr>
            <w:tcW w:w="1264" w:type="dxa"/>
            <w:noWrap/>
            <w:hideMark/>
          </w:tcPr>
          <w:p w14:paraId="3C08FC6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FC87C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$21,995,792</w:t>
            </w:r>
          </w:p>
        </w:tc>
        <w:tc>
          <w:tcPr>
            <w:tcW w:w="1786" w:type="dxa"/>
            <w:noWrap/>
            <w:hideMark/>
          </w:tcPr>
          <w:p w14:paraId="095736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$6,705,263</w:t>
            </w:r>
          </w:p>
        </w:tc>
        <w:tc>
          <w:tcPr>
            <w:tcW w:w="901" w:type="dxa"/>
            <w:noWrap/>
            <w:hideMark/>
          </w:tcPr>
          <w:p w14:paraId="71C91F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29.3%</w:t>
            </w:r>
          </w:p>
        </w:tc>
        <w:tc>
          <w:tcPr>
            <w:tcW w:w="1374" w:type="dxa"/>
            <w:noWrap/>
            <w:hideMark/>
          </w:tcPr>
          <w:p w14:paraId="4BD89A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30.5%</w:t>
            </w:r>
          </w:p>
        </w:tc>
        <w:tc>
          <w:tcPr>
            <w:tcW w:w="1602" w:type="dxa"/>
            <w:noWrap/>
            <w:hideMark/>
          </w:tcPr>
          <w:p w14:paraId="4F9B08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$3,722</w:t>
            </w:r>
          </w:p>
        </w:tc>
      </w:tr>
      <w:tr w:rsidR="008C6E34" w:rsidRPr="008C6E34" w14:paraId="600687A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A3527E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0266</w:t>
            </w:r>
          </w:p>
        </w:tc>
        <w:tc>
          <w:tcPr>
            <w:tcW w:w="2880" w:type="dxa"/>
            <w:noWrap/>
            <w:hideMark/>
          </w:tcPr>
          <w:p w14:paraId="5448FCB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Sharon</w:t>
            </w:r>
          </w:p>
        </w:tc>
        <w:tc>
          <w:tcPr>
            <w:tcW w:w="1148" w:type="dxa"/>
            <w:noWrap/>
            <w:hideMark/>
          </w:tcPr>
          <w:p w14:paraId="0F1502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41A57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$26,202,037 </w:t>
            </w:r>
          </w:p>
        </w:tc>
        <w:tc>
          <w:tcPr>
            <w:tcW w:w="1786" w:type="dxa"/>
            <w:noWrap/>
            <w:hideMark/>
          </w:tcPr>
          <w:p w14:paraId="71AA3C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$6,615,618 </w:t>
            </w:r>
          </w:p>
        </w:tc>
        <w:tc>
          <w:tcPr>
            <w:tcW w:w="901" w:type="dxa"/>
            <w:noWrap/>
            <w:hideMark/>
          </w:tcPr>
          <w:p w14:paraId="2AEF9F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w:t>
            </w:r>
          </w:p>
        </w:tc>
        <w:tc>
          <w:tcPr>
            <w:tcW w:w="1374" w:type="dxa"/>
            <w:noWrap/>
            <w:hideMark/>
          </w:tcPr>
          <w:p w14:paraId="45BCFD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25.2%</w:t>
            </w:r>
          </w:p>
        </w:tc>
        <w:tc>
          <w:tcPr>
            <w:tcW w:w="1602" w:type="dxa"/>
            <w:noWrap/>
            <w:hideMark/>
          </w:tcPr>
          <w:p w14:paraId="7E4C06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5A9A5F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850E3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$37,027,112</w:t>
            </w:r>
          </w:p>
        </w:tc>
        <w:tc>
          <w:tcPr>
            <w:tcW w:w="1786" w:type="dxa"/>
            <w:noWrap/>
            <w:hideMark/>
          </w:tcPr>
          <w:p w14:paraId="723C24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$7,449,437</w:t>
            </w:r>
          </w:p>
        </w:tc>
        <w:tc>
          <w:tcPr>
            <w:tcW w:w="901" w:type="dxa"/>
            <w:noWrap/>
            <w:hideMark/>
          </w:tcPr>
          <w:p w14:paraId="08472C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D89AD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20.1%</w:t>
            </w:r>
          </w:p>
        </w:tc>
        <w:tc>
          <w:tcPr>
            <w:tcW w:w="1602" w:type="dxa"/>
            <w:noWrap/>
            <w:hideMark/>
          </w:tcPr>
          <w:p w14:paraId="15D9CF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$141,714</w:t>
            </w:r>
          </w:p>
        </w:tc>
      </w:tr>
      <w:tr w:rsidR="008C6E34" w:rsidRPr="008C6E34" w14:paraId="1AEB9FE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58FD04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0267</w:t>
            </w:r>
          </w:p>
        </w:tc>
        <w:tc>
          <w:tcPr>
            <w:tcW w:w="2880" w:type="dxa"/>
            <w:noWrap/>
            <w:hideMark/>
          </w:tcPr>
          <w:p w14:paraId="2935811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Sheffield</w:t>
            </w:r>
          </w:p>
        </w:tc>
        <w:tc>
          <w:tcPr>
            <w:tcW w:w="1148" w:type="dxa"/>
            <w:noWrap/>
            <w:hideMark/>
          </w:tcPr>
          <w:p w14:paraId="04A5443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336C0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$43,399 </w:t>
            </w:r>
          </w:p>
        </w:tc>
        <w:tc>
          <w:tcPr>
            <w:tcW w:w="1786" w:type="dxa"/>
            <w:noWrap/>
            <w:hideMark/>
          </w:tcPr>
          <w:p w14:paraId="7672BD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$14,036 </w:t>
            </w:r>
          </w:p>
        </w:tc>
        <w:tc>
          <w:tcPr>
            <w:tcW w:w="901" w:type="dxa"/>
            <w:noWrap/>
            <w:hideMark/>
          </w:tcPr>
          <w:p w14:paraId="2AD3AD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19.6%</w:t>
            </w:r>
          </w:p>
        </w:tc>
        <w:tc>
          <w:tcPr>
            <w:tcW w:w="1374" w:type="dxa"/>
            <w:noWrap/>
            <w:hideMark/>
          </w:tcPr>
          <w:p w14:paraId="15C416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w:t>
            </w:r>
          </w:p>
        </w:tc>
        <w:tc>
          <w:tcPr>
            <w:tcW w:w="1602" w:type="dxa"/>
            <w:noWrap/>
            <w:hideMark/>
          </w:tcPr>
          <w:p w14:paraId="1EAE1E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$3,557</w:t>
            </w:r>
          </w:p>
        </w:tc>
        <w:tc>
          <w:tcPr>
            <w:tcW w:w="1264" w:type="dxa"/>
            <w:noWrap/>
            <w:hideMark/>
          </w:tcPr>
          <w:p w14:paraId="18C9D61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227B7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8B7A6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88335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C9E23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9C7A4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702469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C61CC6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0268</w:t>
            </w:r>
          </w:p>
        </w:tc>
        <w:tc>
          <w:tcPr>
            <w:tcW w:w="2880" w:type="dxa"/>
            <w:noWrap/>
            <w:hideMark/>
          </w:tcPr>
          <w:p w14:paraId="2EEAD4A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Shelburne</w:t>
            </w:r>
          </w:p>
        </w:tc>
        <w:tc>
          <w:tcPr>
            <w:tcW w:w="1148" w:type="dxa"/>
            <w:noWrap/>
            <w:hideMark/>
          </w:tcPr>
          <w:p w14:paraId="01ECA04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DCC76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7F31E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24E7F0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w:t>
            </w:r>
          </w:p>
        </w:tc>
        <w:tc>
          <w:tcPr>
            <w:tcW w:w="1374" w:type="dxa"/>
            <w:noWrap/>
            <w:hideMark/>
          </w:tcPr>
          <w:p w14:paraId="710219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8A647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E21AAC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CA0AA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$14,372</w:t>
            </w:r>
          </w:p>
        </w:tc>
        <w:tc>
          <w:tcPr>
            <w:tcW w:w="1786" w:type="dxa"/>
            <w:noWrap/>
            <w:hideMark/>
          </w:tcPr>
          <w:p w14:paraId="0AC231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$4,177</w:t>
            </w:r>
          </w:p>
        </w:tc>
        <w:tc>
          <w:tcPr>
            <w:tcW w:w="901" w:type="dxa"/>
            <w:noWrap/>
            <w:hideMark/>
          </w:tcPr>
          <w:p w14:paraId="56EA5C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29.1%</w:t>
            </w:r>
          </w:p>
        </w:tc>
        <w:tc>
          <w:tcPr>
            <w:tcW w:w="1374" w:type="dxa"/>
            <w:noWrap/>
            <w:hideMark/>
          </w:tcPr>
          <w:p w14:paraId="77F3E1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29.1%</w:t>
            </w:r>
          </w:p>
        </w:tc>
        <w:tc>
          <w:tcPr>
            <w:tcW w:w="1602" w:type="dxa"/>
            <w:noWrap/>
            <w:hideMark/>
          </w:tcPr>
          <w:p w14:paraId="621CD4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46CC42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D59B69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0269</w:t>
            </w:r>
          </w:p>
        </w:tc>
        <w:tc>
          <w:tcPr>
            <w:tcW w:w="2880" w:type="dxa"/>
            <w:noWrap/>
            <w:hideMark/>
          </w:tcPr>
          <w:p w14:paraId="75BF76A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Sherborn</w:t>
            </w:r>
          </w:p>
        </w:tc>
        <w:tc>
          <w:tcPr>
            <w:tcW w:w="1148" w:type="dxa"/>
            <w:noWrap/>
            <w:hideMark/>
          </w:tcPr>
          <w:p w14:paraId="4D36F75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0BBEA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$3,421,487 </w:t>
            </w:r>
          </w:p>
        </w:tc>
        <w:tc>
          <w:tcPr>
            <w:tcW w:w="1786" w:type="dxa"/>
            <w:noWrap/>
            <w:hideMark/>
          </w:tcPr>
          <w:p w14:paraId="542889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$392,337 </w:t>
            </w:r>
          </w:p>
        </w:tc>
        <w:tc>
          <w:tcPr>
            <w:tcW w:w="901" w:type="dxa"/>
            <w:noWrap/>
            <w:hideMark/>
          </w:tcPr>
          <w:p w14:paraId="322D33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B0D52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11.5%</w:t>
            </w:r>
          </w:p>
        </w:tc>
        <w:tc>
          <w:tcPr>
            <w:tcW w:w="1602" w:type="dxa"/>
            <w:noWrap/>
            <w:hideMark/>
          </w:tcPr>
          <w:p w14:paraId="1918F5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$315,862</w:t>
            </w:r>
          </w:p>
        </w:tc>
        <w:tc>
          <w:tcPr>
            <w:tcW w:w="1264" w:type="dxa"/>
            <w:noWrap/>
            <w:hideMark/>
          </w:tcPr>
          <w:p w14:paraId="6D8B6B4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8A03E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$3,922,730</w:t>
            </w:r>
          </w:p>
        </w:tc>
        <w:tc>
          <w:tcPr>
            <w:tcW w:w="1786" w:type="dxa"/>
            <w:noWrap/>
            <w:hideMark/>
          </w:tcPr>
          <w:p w14:paraId="568EFE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$693,583</w:t>
            </w:r>
          </w:p>
        </w:tc>
        <w:tc>
          <w:tcPr>
            <w:tcW w:w="901" w:type="dxa"/>
            <w:noWrap/>
            <w:hideMark/>
          </w:tcPr>
          <w:p w14:paraId="46C848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C85E8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w:t>
            </w:r>
          </w:p>
        </w:tc>
        <w:tc>
          <w:tcPr>
            <w:tcW w:w="1602" w:type="dxa"/>
            <w:noWrap/>
            <w:hideMark/>
          </w:tcPr>
          <w:p w14:paraId="0829BE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$7,105</w:t>
            </w:r>
          </w:p>
        </w:tc>
      </w:tr>
      <w:tr w:rsidR="008C6E34" w:rsidRPr="008C6E34" w14:paraId="75124EF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BAEC8D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0270</w:t>
            </w:r>
          </w:p>
        </w:tc>
        <w:tc>
          <w:tcPr>
            <w:tcW w:w="2880" w:type="dxa"/>
            <w:noWrap/>
            <w:hideMark/>
          </w:tcPr>
          <w:p w14:paraId="1B5AC4E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Shirley</w:t>
            </w:r>
          </w:p>
        </w:tc>
        <w:tc>
          <w:tcPr>
            <w:tcW w:w="1148" w:type="dxa"/>
            <w:noWrap/>
            <w:hideMark/>
          </w:tcPr>
          <w:p w14:paraId="0441B1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429F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$7,141,365 </w:t>
            </w:r>
          </w:p>
        </w:tc>
        <w:tc>
          <w:tcPr>
            <w:tcW w:w="1786" w:type="dxa"/>
            <w:noWrap/>
            <w:hideMark/>
          </w:tcPr>
          <w:p w14:paraId="01EA76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$4,154,632 </w:t>
            </w:r>
          </w:p>
        </w:tc>
        <w:tc>
          <w:tcPr>
            <w:tcW w:w="901" w:type="dxa"/>
            <w:noWrap/>
            <w:hideMark/>
          </w:tcPr>
          <w:p w14:paraId="1AC87A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49.5%</w:t>
            </w:r>
          </w:p>
        </w:tc>
        <w:tc>
          <w:tcPr>
            <w:tcW w:w="1374" w:type="dxa"/>
            <w:noWrap/>
            <w:hideMark/>
          </w:tcPr>
          <w:p w14:paraId="181631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58.2%</w:t>
            </w:r>
          </w:p>
        </w:tc>
        <w:tc>
          <w:tcPr>
            <w:tcW w:w="1602" w:type="dxa"/>
            <w:noWrap/>
            <w:hideMark/>
          </w:tcPr>
          <w:p w14:paraId="26886E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$152,073</w:t>
            </w:r>
          </w:p>
        </w:tc>
        <w:tc>
          <w:tcPr>
            <w:tcW w:w="1264" w:type="dxa"/>
            <w:noWrap/>
            <w:hideMark/>
          </w:tcPr>
          <w:p w14:paraId="5B0FC20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69293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402423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572A1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41.2%</w:t>
            </w:r>
          </w:p>
        </w:tc>
        <w:tc>
          <w:tcPr>
            <w:tcW w:w="1374" w:type="dxa"/>
            <w:noWrap/>
            <w:hideMark/>
          </w:tcPr>
          <w:p w14:paraId="59A292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CCD25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9E358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A6D2AC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0271</w:t>
            </w:r>
          </w:p>
        </w:tc>
        <w:tc>
          <w:tcPr>
            <w:tcW w:w="2880" w:type="dxa"/>
            <w:noWrap/>
            <w:hideMark/>
          </w:tcPr>
          <w:p w14:paraId="290E2F3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Shrewsbury</w:t>
            </w:r>
          </w:p>
        </w:tc>
        <w:tc>
          <w:tcPr>
            <w:tcW w:w="1148" w:type="dxa"/>
            <w:noWrap/>
            <w:hideMark/>
          </w:tcPr>
          <w:p w14:paraId="2036298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8E4AE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$43,006,922 </w:t>
            </w:r>
          </w:p>
        </w:tc>
        <w:tc>
          <w:tcPr>
            <w:tcW w:w="1786" w:type="dxa"/>
            <w:noWrap/>
            <w:hideMark/>
          </w:tcPr>
          <w:p w14:paraId="57FA2D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$15,898,949 </w:t>
            </w:r>
          </w:p>
        </w:tc>
        <w:tc>
          <w:tcPr>
            <w:tcW w:w="901" w:type="dxa"/>
            <w:noWrap/>
            <w:hideMark/>
          </w:tcPr>
          <w:p w14:paraId="33B4CE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26.2%</w:t>
            </w:r>
          </w:p>
        </w:tc>
        <w:tc>
          <w:tcPr>
            <w:tcW w:w="1374" w:type="dxa"/>
            <w:noWrap/>
            <w:hideMark/>
          </w:tcPr>
          <w:p w14:paraId="3A5974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37.0%</w:t>
            </w:r>
          </w:p>
        </w:tc>
        <w:tc>
          <w:tcPr>
            <w:tcW w:w="1602" w:type="dxa"/>
            <w:noWrap/>
            <w:hideMark/>
          </w:tcPr>
          <w:p w14:paraId="14E560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EA1142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48E02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$63,259,404</w:t>
            </w:r>
          </w:p>
        </w:tc>
        <w:tc>
          <w:tcPr>
            <w:tcW w:w="1786" w:type="dxa"/>
            <w:noWrap/>
            <w:hideMark/>
          </w:tcPr>
          <w:p w14:paraId="17139F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$20,068,648</w:t>
            </w:r>
          </w:p>
        </w:tc>
        <w:tc>
          <w:tcPr>
            <w:tcW w:w="901" w:type="dxa"/>
            <w:noWrap/>
            <w:hideMark/>
          </w:tcPr>
          <w:p w14:paraId="66EB59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18.7%</w:t>
            </w:r>
          </w:p>
        </w:tc>
        <w:tc>
          <w:tcPr>
            <w:tcW w:w="1374" w:type="dxa"/>
            <w:noWrap/>
            <w:hideMark/>
          </w:tcPr>
          <w:p w14:paraId="6DC747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31.7%</w:t>
            </w:r>
          </w:p>
        </w:tc>
        <w:tc>
          <w:tcPr>
            <w:tcW w:w="1602" w:type="dxa"/>
            <w:noWrap/>
            <w:hideMark/>
          </w:tcPr>
          <w:p w14:paraId="111CD3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$6,558,546</w:t>
            </w:r>
          </w:p>
        </w:tc>
      </w:tr>
      <w:tr w:rsidR="008C6E34" w:rsidRPr="008C6E34" w14:paraId="50B913D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1C4994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0272</w:t>
            </w:r>
          </w:p>
        </w:tc>
        <w:tc>
          <w:tcPr>
            <w:tcW w:w="2880" w:type="dxa"/>
            <w:noWrap/>
            <w:hideMark/>
          </w:tcPr>
          <w:p w14:paraId="2E3820E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Shutesbury</w:t>
            </w:r>
          </w:p>
        </w:tc>
        <w:tc>
          <w:tcPr>
            <w:tcW w:w="1148" w:type="dxa"/>
            <w:noWrap/>
            <w:hideMark/>
          </w:tcPr>
          <w:p w14:paraId="3A5383B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0F164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$1,097,675 </w:t>
            </w:r>
          </w:p>
        </w:tc>
        <w:tc>
          <w:tcPr>
            <w:tcW w:w="1786" w:type="dxa"/>
            <w:noWrap/>
            <w:hideMark/>
          </w:tcPr>
          <w:p w14:paraId="37B47A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$532,129 </w:t>
            </w:r>
          </w:p>
        </w:tc>
        <w:tc>
          <w:tcPr>
            <w:tcW w:w="901" w:type="dxa"/>
            <w:noWrap/>
            <w:hideMark/>
          </w:tcPr>
          <w:p w14:paraId="21D1B6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57.0%</w:t>
            </w:r>
          </w:p>
        </w:tc>
        <w:tc>
          <w:tcPr>
            <w:tcW w:w="1374" w:type="dxa"/>
            <w:noWrap/>
            <w:hideMark/>
          </w:tcPr>
          <w:p w14:paraId="05560C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48.5%</w:t>
            </w:r>
          </w:p>
        </w:tc>
        <w:tc>
          <w:tcPr>
            <w:tcW w:w="1602" w:type="dxa"/>
            <w:noWrap/>
            <w:hideMark/>
          </w:tcPr>
          <w:p w14:paraId="513607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$128,312</w:t>
            </w:r>
          </w:p>
        </w:tc>
        <w:tc>
          <w:tcPr>
            <w:tcW w:w="1264" w:type="dxa"/>
            <w:noWrap/>
            <w:hideMark/>
          </w:tcPr>
          <w:p w14:paraId="20D598C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D525C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$1,321,151</w:t>
            </w:r>
          </w:p>
        </w:tc>
        <w:tc>
          <w:tcPr>
            <w:tcW w:w="1786" w:type="dxa"/>
            <w:noWrap/>
            <w:hideMark/>
          </w:tcPr>
          <w:p w14:paraId="1BB3E8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$630,386</w:t>
            </w:r>
          </w:p>
        </w:tc>
        <w:tc>
          <w:tcPr>
            <w:tcW w:w="901" w:type="dxa"/>
            <w:noWrap/>
            <w:hideMark/>
          </w:tcPr>
          <w:p w14:paraId="5FDC17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44.7%</w:t>
            </w:r>
          </w:p>
        </w:tc>
        <w:tc>
          <w:tcPr>
            <w:tcW w:w="1374" w:type="dxa"/>
            <w:noWrap/>
            <w:hideMark/>
          </w:tcPr>
          <w:p w14:paraId="197D31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47.7%</w:t>
            </w:r>
          </w:p>
        </w:tc>
        <w:tc>
          <w:tcPr>
            <w:tcW w:w="1602" w:type="dxa"/>
            <w:noWrap/>
            <w:hideMark/>
          </w:tcPr>
          <w:p w14:paraId="72D782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$39,726</w:t>
            </w:r>
          </w:p>
        </w:tc>
      </w:tr>
      <w:tr w:rsidR="008C6E34" w:rsidRPr="008C6E34" w14:paraId="5872976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73A57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0273</w:t>
            </w:r>
          </w:p>
        </w:tc>
        <w:tc>
          <w:tcPr>
            <w:tcW w:w="2880" w:type="dxa"/>
            <w:noWrap/>
            <w:hideMark/>
          </w:tcPr>
          <w:p w14:paraId="444EC36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Somerset</w:t>
            </w:r>
          </w:p>
        </w:tc>
        <w:tc>
          <w:tcPr>
            <w:tcW w:w="1148" w:type="dxa"/>
            <w:noWrap/>
            <w:hideMark/>
          </w:tcPr>
          <w:p w14:paraId="1CAA2F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7F634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$19,720,958 </w:t>
            </w:r>
          </w:p>
        </w:tc>
        <w:tc>
          <w:tcPr>
            <w:tcW w:w="1786" w:type="dxa"/>
            <w:noWrap/>
            <w:hideMark/>
          </w:tcPr>
          <w:p w14:paraId="4B53D5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$3,559,416 </w:t>
            </w:r>
          </w:p>
        </w:tc>
        <w:tc>
          <w:tcPr>
            <w:tcW w:w="901" w:type="dxa"/>
            <w:noWrap/>
            <w:hideMark/>
          </w:tcPr>
          <w:p w14:paraId="6A38C2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35.8%</w:t>
            </w:r>
          </w:p>
        </w:tc>
        <w:tc>
          <w:tcPr>
            <w:tcW w:w="1374" w:type="dxa"/>
            <w:noWrap/>
            <w:hideMark/>
          </w:tcPr>
          <w:p w14:paraId="1E77AC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18.0%</w:t>
            </w:r>
          </w:p>
        </w:tc>
        <w:tc>
          <w:tcPr>
            <w:tcW w:w="1602" w:type="dxa"/>
            <w:noWrap/>
            <w:hideMark/>
          </w:tcPr>
          <w:p w14:paraId="701258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$1,353,844</w:t>
            </w:r>
          </w:p>
        </w:tc>
        <w:tc>
          <w:tcPr>
            <w:tcW w:w="1264" w:type="dxa"/>
            <w:noWrap/>
            <w:hideMark/>
          </w:tcPr>
          <w:p w14:paraId="0AD75EE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35FE5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$18,329,520</w:t>
            </w:r>
          </w:p>
        </w:tc>
        <w:tc>
          <w:tcPr>
            <w:tcW w:w="1786" w:type="dxa"/>
            <w:noWrap/>
            <w:hideMark/>
          </w:tcPr>
          <w:p w14:paraId="10FD2A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$8,920,409</w:t>
            </w:r>
          </w:p>
        </w:tc>
        <w:tc>
          <w:tcPr>
            <w:tcW w:w="901" w:type="dxa"/>
            <w:noWrap/>
            <w:hideMark/>
          </w:tcPr>
          <w:p w14:paraId="5B5EC0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46.3%</w:t>
            </w:r>
          </w:p>
        </w:tc>
        <w:tc>
          <w:tcPr>
            <w:tcW w:w="1374" w:type="dxa"/>
            <w:noWrap/>
            <w:hideMark/>
          </w:tcPr>
          <w:p w14:paraId="5D146E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48.7%</w:t>
            </w:r>
          </w:p>
        </w:tc>
        <w:tc>
          <w:tcPr>
            <w:tcW w:w="1602" w:type="dxa"/>
            <w:noWrap/>
            <w:hideMark/>
          </w:tcPr>
          <w:p w14:paraId="73DBF5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$14,679</w:t>
            </w:r>
          </w:p>
        </w:tc>
      </w:tr>
      <w:tr w:rsidR="008C6E34" w:rsidRPr="008C6E34" w14:paraId="4150A3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F2694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0274</w:t>
            </w:r>
          </w:p>
        </w:tc>
        <w:tc>
          <w:tcPr>
            <w:tcW w:w="2880" w:type="dxa"/>
            <w:noWrap/>
            <w:hideMark/>
          </w:tcPr>
          <w:p w14:paraId="462EC0E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Somerville</w:t>
            </w:r>
          </w:p>
        </w:tc>
        <w:tc>
          <w:tcPr>
            <w:tcW w:w="1148" w:type="dxa"/>
            <w:noWrap/>
            <w:hideMark/>
          </w:tcPr>
          <w:p w14:paraId="0AABDFC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EB37D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$52,325,941 </w:t>
            </w:r>
          </w:p>
        </w:tc>
        <w:tc>
          <w:tcPr>
            <w:tcW w:w="1786" w:type="dxa"/>
            <w:noWrap/>
            <w:hideMark/>
          </w:tcPr>
          <w:p w14:paraId="46D6ED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$19,994,839 </w:t>
            </w:r>
          </w:p>
        </w:tc>
        <w:tc>
          <w:tcPr>
            <w:tcW w:w="901" w:type="dxa"/>
            <w:noWrap/>
            <w:hideMark/>
          </w:tcPr>
          <w:p w14:paraId="3E5149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F6CEB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38.2%</w:t>
            </w:r>
          </w:p>
        </w:tc>
        <w:tc>
          <w:tcPr>
            <w:tcW w:w="1602" w:type="dxa"/>
            <w:noWrap/>
            <w:hideMark/>
          </w:tcPr>
          <w:p w14:paraId="208969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$5,734,142</w:t>
            </w:r>
          </w:p>
        </w:tc>
        <w:tc>
          <w:tcPr>
            <w:tcW w:w="1264" w:type="dxa"/>
            <w:noWrap/>
            <w:hideMark/>
          </w:tcPr>
          <w:p w14:paraId="52AA44B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919E3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$68,863,033</w:t>
            </w:r>
          </w:p>
        </w:tc>
        <w:tc>
          <w:tcPr>
            <w:tcW w:w="1786" w:type="dxa"/>
            <w:noWrap/>
            <w:hideMark/>
          </w:tcPr>
          <w:p w14:paraId="21314F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$20,486,918</w:t>
            </w:r>
          </w:p>
        </w:tc>
        <w:tc>
          <w:tcPr>
            <w:tcW w:w="901" w:type="dxa"/>
            <w:noWrap/>
            <w:hideMark/>
          </w:tcPr>
          <w:p w14:paraId="7BB340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6BB7C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29.8%</w:t>
            </w:r>
          </w:p>
        </w:tc>
        <w:tc>
          <w:tcPr>
            <w:tcW w:w="1602" w:type="dxa"/>
            <w:noWrap/>
            <w:hideMark/>
          </w:tcPr>
          <w:p w14:paraId="0194B7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$8,435,888</w:t>
            </w:r>
          </w:p>
        </w:tc>
      </w:tr>
      <w:tr w:rsidR="008C6E34" w:rsidRPr="008C6E34" w14:paraId="26C776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D96DB0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0275</w:t>
            </w:r>
          </w:p>
        </w:tc>
        <w:tc>
          <w:tcPr>
            <w:tcW w:w="2880" w:type="dxa"/>
            <w:noWrap/>
            <w:hideMark/>
          </w:tcPr>
          <w:p w14:paraId="2F5E91F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Southampton</w:t>
            </w:r>
          </w:p>
        </w:tc>
        <w:tc>
          <w:tcPr>
            <w:tcW w:w="1148" w:type="dxa"/>
            <w:noWrap/>
            <w:hideMark/>
          </w:tcPr>
          <w:p w14:paraId="5A12571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CA40D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$4,033,880 </w:t>
            </w:r>
          </w:p>
        </w:tc>
        <w:tc>
          <w:tcPr>
            <w:tcW w:w="1786" w:type="dxa"/>
            <w:noWrap/>
            <w:hideMark/>
          </w:tcPr>
          <w:p w14:paraId="0CA8F8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$2,404,074 </w:t>
            </w:r>
          </w:p>
        </w:tc>
        <w:tc>
          <w:tcPr>
            <w:tcW w:w="901" w:type="dxa"/>
            <w:noWrap/>
            <w:hideMark/>
          </w:tcPr>
          <w:p w14:paraId="4956C5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50.6%</w:t>
            </w:r>
          </w:p>
        </w:tc>
        <w:tc>
          <w:tcPr>
            <w:tcW w:w="1374" w:type="dxa"/>
            <w:noWrap/>
            <w:hideMark/>
          </w:tcPr>
          <w:p w14:paraId="20D63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59.6%</w:t>
            </w:r>
          </w:p>
        </w:tc>
        <w:tc>
          <w:tcPr>
            <w:tcW w:w="1602" w:type="dxa"/>
            <w:noWrap/>
            <w:hideMark/>
          </w:tcPr>
          <w:p w14:paraId="5517E9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$487,472</w:t>
            </w:r>
          </w:p>
        </w:tc>
        <w:tc>
          <w:tcPr>
            <w:tcW w:w="1264" w:type="dxa"/>
            <w:noWrap/>
            <w:hideMark/>
          </w:tcPr>
          <w:p w14:paraId="1163866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2278B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$5,018,160</w:t>
            </w:r>
          </w:p>
        </w:tc>
        <w:tc>
          <w:tcPr>
            <w:tcW w:w="1786" w:type="dxa"/>
            <w:noWrap/>
            <w:hideMark/>
          </w:tcPr>
          <w:p w14:paraId="32146B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$2,551,486</w:t>
            </w:r>
          </w:p>
        </w:tc>
        <w:tc>
          <w:tcPr>
            <w:tcW w:w="901" w:type="dxa"/>
            <w:noWrap/>
            <w:hideMark/>
          </w:tcPr>
          <w:p w14:paraId="545EF3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29.6%</w:t>
            </w:r>
          </w:p>
        </w:tc>
        <w:tc>
          <w:tcPr>
            <w:tcW w:w="1374" w:type="dxa"/>
            <w:noWrap/>
            <w:hideMark/>
          </w:tcPr>
          <w:p w14:paraId="59AADB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50.8%</w:t>
            </w:r>
          </w:p>
        </w:tc>
        <w:tc>
          <w:tcPr>
            <w:tcW w:w="1602" w:type="dxa"/>
            <w:noWrap/>
            <w:hideMark/>
          </w:tcPr>
          <w:p w14:paraId="0AB397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$1,010,214</w:t>
            </w:r>
          </w:p>
        </w:tc>
      </w:tr>
      <w:tr w:rsidR="008C6E34" w:rsidRPr="008C6E34" w14:paraId="28478D5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D076EF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0276</w:t>
            </w:r>
          </w:p>
        </w:tc>
        <w:tc>
          <w:tcPr>
            <w:tcW w:w="2880" w:type="dxa"/>
            <w:noWrap/>
            <w:hideMark/>
          </w:tcPr>
          <w:p w14:paraId="3138C8B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Southborough</w:t>
            </w:r>
          </w:p>
        </w:tc>
        <w:tc>
          <w:tcPr>
            <w:tcW w:w="1148" w:type="dxa"/>
            <w:noWrap/>
            <w:hideMark/>
          </w:tcPr>
          <w:p w14:paraId="6A788C7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DB17A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$11,112,364 </w:t>
            </w:r>
          </w:p>
        </w:tc>
        <w:tc>
          <w:tcPr>
            <w:tcW w:w="1786" w:type="dxa"/>
            <w:noWrap/>
            <w:hideMark/>
          </w:tcPr>
          <w:p w14:paraId="0CB000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$2,657,427 </w:t>
            </w:r>
          </w:p>
        </w:tc>
        <w:tc>
          <w:tcPr>
            <w:tcW w:w="901" w:type="dxa"/>
            <w:noWrap/>
            <w:hideMark/>
          </w:tcPr>
          <w:p w14:paraId="56FECA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7A725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23.9%</w:t>
            </w:r>
          </w:p>
        </w:tc>
        <w:tc>
          <w:tcPr>
            <w:tcW w:w="1602" w:type="dxa"/>
            <w:noWrap/>
            <w:hideMark/>
          </w:tcPr>
          <w:p w14:paraId="325F7B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$372,849</w:t>
            </w:r>
          </w:p>
        </w:tc>
        <w:tc>
          <w:tcPr>
            <w:tcW w:w="1264" w:type="dxa"/>
            <w:noWrap/>
            <w:hideMark/>
          </w:tcPr>
          <w:p w14:paraId="1402A48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46EDA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$11,760,311</w:t>
            </w:r>
          </w:p>
        </w:tc>
        <w:tc>
          <w:tcPr>
            <w:tcW w:w="1786" w:type="dxa"/>
            <w:noWrap/>
            <w:hideMark/>
          </w:tcPr>
          <w:p w14:paraId="6BC382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$2,986,051</w:t>
            </w:r>
          </w:p>
        </w:tc>
        <w:tc>
          <w:tcPr>
            <w:tcW w:w="901" w:type="dxa"/>
            <w:noWrap/>
            <w:hideMark/>
          </w:tcPr>
          <w:p w14:paraId="46603D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530CE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25.4%</w:t>
            </w:r>
          </w:p>
        </w:tc>
        <w:tc>
          <w:tcPr>
            <w:tcW w:w="1602" w:type="dxa"/>
            <w:noWrap/>
            <w:hideMark/>
          </w:tcPr>
          <w:p w14:paraId="6C6CE2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$927,997</w:t>
            </w:r>
          </w:p>
        </w:tc>
      </w:tr>
      <w:tr w:rsidR="008C6E34" w:rsidRPr="008C6E34" w14:paraId="3DD6B1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C068C8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0277</w:t>
            </w:r>
          </w:p>
        </w:tc>
        <w:tc>
          <w:tcPr>
            <w:tcW w:w="2880" w:type="dxa"/>
            <w:noWrap/>
            <w:hideMark/>
          </w:tcPr>
          <w:p w14:paraId="024A519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Southbridge</w:t>
            </w:r>
          </w:p>
        </w:tc>
        <w:tc>
          <w:tcPr>
            <w:tcW w:w="1148" w:type="dxa"/>
            <w:noWrap/>
            <w:hideMark/>
          </w:tcPr>
          <w:p w14:paraId="7829D8D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86F89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$20,103,131 </w:t>
            </w:r>
          </w:p>
        </w:tc>
        <w:tc>
          <w:tcPr>
            <w:tcW w:w="1786" w:type="dxa"/>
            <w:noWrap/>
            <w:hideMark/>
          </w:tcPr>
          <w:p w14:paraId="69EE0C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$14,851,612 </w:t>
            </w:r>
          </w:p>
        </w:tc>
        <w:tc>
          <w:tcPr>
            <w:tcW w:w="901" w:type="dxa"/>
            <w:noWrap/>
            <w:hideMark/>
          </w:tcPr>
          <w:p w14:paraId="6C7056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68.1%</w:t>
            </w:r>
          </w:p>
        </w:tc>
        <w:tc>
          <w:tcPr>
            <w:tcW w:w="1374" w:type="dxa"/>
            <w:noWrap/>
            <w:hideMark/>
          </w:tcPr>
          <w:p w14:paraId="2CBF9C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73.9%</w:t>
            </w:r>
          </w:p>
        </w:tc>
        <w:tc>
          <w:tcPr>
            <w:tcW w:w="1602" w:type="dxa"/>
            <w:noWrap/>
            <w:hideMark/>
          </w:tcPr>
          <w:p w14:paraId="4DE91E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$614,642</w:t>
            </w:r>
          </w:p>
        </w:tc>
        <w:tc>
          <w:tcPr>
            <w:tcW w:w="1264" w:type="dxa"/>
            <w:noWrap/>
            <w:hideMark/>
          </w:tcPr>
          <w:p w14:paraId="0338E74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90CF9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$30,836,389</w:t>
            </w:r>
          </w:p>
        </w:tc>
        <w:tc>
          <w:tcPr>
            <w:tcW w:w="1786" w:type="dxa"/>
            <w:noWrap/>
            <w:hideMark/>
          </w:tcPr>
          <w:p w14:paraId="41DB5F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$22,989,832</w:t>
            </w:r>
          </w:p>
        </w:tc>
        <w:tc>
          <w:tcPr>
            <w:tcW w:w="901" w:type="dxa"/>
            <w:noWrap/>
            <w:hideMark/>
          </w:tcPr>
          <w:p w14:paraId="17F20A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74.1%</w:t>
            </w:r>
          </w:p>
        </w:tc>
        <w:tc>
          <w:tcPr>
            <w:tcW w:w="1374" w:type="dxa"/>
            <w:noWrap/>
            <w:hideMark/>
          </w:tcPr>
          <w:p w14:paraId="3B9043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74.6%</w:t>
            </w:r>
          </w:p>
        </w:tc>
        <w:tc>
          <w:tcPr>
            <w:tcW w:w="1602" w:type="dxa"/>
            <w:noWrap/>
            <w:hideMark/>
          </w:tcPr>
          <w:p w14:paraId="28757A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BAF5A1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064C20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0278</w:t>
            </w:r>
          </w:p>
        </w:tc>
        <w:tc>
          <w:tcPr>
            <w:tcW w:w="2880" w:type="dxa"/>
            <w:noWrap/>
            <w:hideMark/>
          </w:tcPr>
          <w:p w14:paraId="6475A0A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 Hadley</w:t>
            </w:r>
          </w:p>
        </w:tc>
        <w:tc>
          <w:tcPr>
            <w:tcW w:w="1148" w:type="dxa"/>
            <w:noWrap/>
            <w:hideMark/>
          </w:tcPr>
          <w:p w14:paraId="0F9FF89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71154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$17,331,910 </w:t>
            </w:r>
          </w:p>
        </w:tc>
        <w:tc>
          <w:tcPr>
            <w:tcW w:w="1786" w:type="dxa"/>
            <w:noWrap/>
            <w:hideMark/>
          </w:tcPr>
          <w:p w14:paraId="3EDF1A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$5,867,471 </w:t>
            </w:r>
          </w:p>
        </w:tc>
        <w:tc>
          <w:tcPr>
            <w:tcW w:w="901" w:type="dxa"/>
            <w:noWrap/>
            <w:hideMark/>
          </w:tcPr>
          <w:p w14:paraId="0FF664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41.6%</w:t>
            </w:r>
          </w:p>
        </w:tc>
        <w:tc>
          <w:tcPr>
            <w:tcW w:w="1374" w:type="dxa"/>
            <w:noWrap/>
            <w:hideMark/>
          </w:tcPr>
          <w:p w14:paraId="7A6705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33.9%</w:t>
            </w:r>
          </w:p>
        </w:tc>
        <w:tc>
          <w:tcPr>
            <w:tcW w:w="1602" w:type="dxa"/>
            <w:noWrap/>
            <w:hideMark/>
          </w:tcPr>
          <w:p w14:paraId="5D4068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$149,274</w:t>
            </w:r>
          </w:p>
        </w:tc>
        <w:tc>
          <w:tcPr>
            <w:tcW w:w="1264" w:type="dxa"/>
            <w:noWrap/>
            <w:hideMark/>
          </w:tcPr>
          <w:p w14:paraId="0B0414F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A44A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$22,011,472</w:t>
            </w:r>
          </w:p>
        </w:tc>
        <w:tc>
          <w:tcPr>
            <w:tcW w:w="1786" w:type="dxa"/>
            <w:noWrap/>
            <w:hideMark/>
          </w:tcPr>
          <w:p w14:paraId="57DA42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$8,248,287</w:t>
            </w:r>
          </w:p>
        </w:tc>
        <w:tc>
          <w:tcPr>
            <w:tcW w:w="901" w:type="dxa"/>
            <w:noWrap/>
            <w:hideMark/>
          </w:tcPr>
          <w:p w14:paraId="6B2BA1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w:t>
            </w:r>
          </w:p>
        </w:tc>
        <w:tc>
          <w:tcPr>
            <w:tcW w:w="1374" w:type="dxa"/>
            <w:noWrap/>
            <w:hideMark/>
          </w:tcPr>
          <w:p w14:paraId="03E95E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37.5%</w:t>
            </w:r>
          </w:p>
        </w:tc>
        <w:tc>
          <w:tcPr>
            <w:tcW w:w="1602" w:type="dxa"/>
            <w:noWrap/>
            <w:hideMark/>
          </w:tcPr>
          <w:p w14:paraId="2ADC2C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977703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11FDED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0279</w:t>
            </w:r>
          </w:p>
        </w:tc>
        <w:tc>
          <w:tcPr>
            <w:tcW w:w="2880" w:type="dxa"/>
            <w:noWrap/>
            <w:hideMark/>
          </w:tcPr>
          <w:p w14:paraId="6EB60BE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Southwick</w:t>
            </w:r>
          </w:p>
        </w:tc>
        <w:tc>
          <w:tcPr>
            <w:tcW w:w="1148" w:type="dxa"/>
            <w:noWrap/>
            <w:hideMark/>
          </w:tcPr>
          <w:p w14:paraId="58F325D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2FF4D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75C2B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5F02C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53.8%</w:t>
            </w:r>
          </w:p>
        </w:tc>
        <w:tc>
          <w:tcPr>
            <w:tcW w:w="1374" w:type="dxa"/>
            <w:noWrap/>
            <w:hideMark/>
          </w:tcPr>
          <w:p w14:paraId="29E021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67C6B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E2DD9B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00632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8D6A1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D1102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33.4%</w:t>
            </w:r>
          </w:p>
        </w:tc>
        <w:tc>
          <w:tcPr>
            <w:tcW w:w="1374" w:type="dxa"/>
            <w:noWrap/>
            <w:hideMark/>
          </w:tcPr>
          <w:p w14:paraId="0087F1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A41CD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54140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619CD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0280</w:t>
            </w:r>
          </w:p>
        </w:tc>
        <w:tc>
          <w:tcPr>
            <w:tcW w:w="2880" w:type="dxa"/>
            <w:noWrap/>
            <w:hideMark/>
          </w:tcPr>
          <w:p w14:paraId="26F2111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Spencer</w:t>
            </w:r>
          </w:p>
        </w:tc>
        <w:tc>
          <w:tcPr>
            <w:tcW w:w="1148" w:type="dxa"/>
            <w:noWrap/>
            <w:hideMark/>
          </w:tcPr>
          <w:p w14:paraId="2F86B8B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E69D7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$54,248 </w:t>
            </w:r>
          </w:p>
        </w:tc>
        <w:tc>
          <w:tcPr>
            <w:tcW w:w="1786" w:type="dxa"/>
            <w:noWrap/>
            <w:hideMark/>
          </w:tcPr>
          <w:p w14:paraId="1D7062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$41,437 </w:t>
            </w:r>
          </w:p>
        </w:tc>
        <w:tc>
          <w:tcPr>
            <w:tcW w:w="901" w:type="dxa"/>
            <w:noWrap/>
            <w:hideMark/>
          </w:tcPr>
          <w:p w14:paraId="7B7C55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55.9%</w:t>
            </w:r>
          </w:p>
        </w:tc>
        <w:tc>
          <w:tcPr>
            <w:tcW w:w="1374" w:type="dxa"/>
            <w:noWrap/>
            <w:hideMark/>
          </w:tcPr>
          <w:p w14:paraId="6BE9C7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76.4%</w:t>
            </w:r>
          </w:p>
        </w:tc>
        <w:tc>
          <w:tcPr>
            <w:tcW w:w="1602" w:type="dxa"/>
            <w:noWrap/>
            <w:hideMark/>
          </w:tcPr>
          <w:p w14:paraId="029481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626E10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C94A5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$43,115</w:t>
            </w:r>
          </w:p>
        </w:tc>
        <w:tc>
          <w:tcPr>
            <w:tcW w:w="1786" w:type="dxa"/>
            <w:noWrap/>
            <w:hideMark/>
          </w:tcPr>
          <w:p w14:paraId="1D8D32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$41,511</w:t>
            </w:r>
          </w:p>
        </w:tc>
        <w:tc>
          <w:tcPr>
            <w:tcW w:w="901" w:type="dxa"/>
            <w:noWrap/>
            <w:hideMark/>
          </w:tcPr>
          <w:p w14:paraId="4CD825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51.7%</w:t>
            </w:r>
          </w:p>
        </w:tc>
        <w:tc>
          <w:tcPr>
            <w:tcW w:w="1374" w:type="dxa"/>
            <w:noWrap/>
            <w:hideMark/>
          </w:tcPr>
          <w:p w14:paraId="1B1462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96.3%</w:t>
            </w:r>
          </w:p>
        </w:tc>
        <w:tc>
          <w:tcPr>
            <w:tcW w:w="1602" w:type="dxa"/>
            <w:noWrap/>
            <w:hideMark/>
          </w:tcPr>
          <w:p w14:paraId="780A7B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$17,863</w:t>
            </w:r>
          </w:p>
        </w:tc>
      </w:tr>
      <w:tr w:rsidR="008C6E34" w:rsidRPr="008C6E34" w14:paraId="5655C88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34B2C4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0281</w:t>
            </w:r>
          </w:p>
        </w:tc>
        <w:tc>
          <w:tcPr>
            <w:tcW w:w="2880" w:type="dxa"/>
            <w:noWrap/>
            <w:hideMark/>
          </w:tcPr>
          <w:p w14:paraId="25EE3C6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Springfield</w:t>
            </w:r>
          </w:p>
        </w:tc>
        <w:tc>
          <w:tcPr>
            <w:tcW w:w="1148" w:type="dxa"/>
            <w:noWrap/>
            <w:hideMark/>
          </w:tcPr>
          <w:p w14:paraId="3F90975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90A76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$262,628,553 </w:t>
            </w:r>
          </w:p>
        </w:tc>
        <w:tc>
          <w:tcPr>
            <w:tcW w:w="1786" w:type="dxa"/>
            <w:noWrap/>
            <w:hideMark/>
          </w:tcPr>
          <w:p w14:paraId="116309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$232,799,829 </w:t>
            </w:r>
          </w:p>
        </w:tc>
        <w:tc>
          <w:tcPr>
            <w:tcW w:w="901" w:type="dxa"/>
            <w:noWrap/>
            <w:hideMark/>
          </w:tcPr>
          <w:p w14:paraId="1F7F15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81.1%</w:t>
            </w:r>
          </w:p>
        </w:tc>
        <w:tc>
          <w:tcPr>
            <w:tcW w:w="1374" w:type="dxa"/>
            <w:noWrap/>
            <w:hideMark/>
          </w:tcPr>
          <w:p w14:paraId="6977B0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88.6%</w:t>
            </w:r>
          </w:p>
        </w:tc>
        <w:tc>
          <w:tcPr>
            <w:tcW w:w="1602" w:type="dxa"/>
            <w:noWrap/>
            <w:hideMark/>
          </w:tcPr>
          <w:p w14:paraId="2FADD0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$455,036</w:t>
            </w:r>
          </w:p>
        </w:tc>
        <w:tc>
          <w:tcPr>
            <w:tcW w:w="1264" w:type="dxa"/>
            <w:noWrap/>
            <w:hideMark/>
          </w:tcPr>
          <w:p w14:paraId="3A2BC7D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C9DEC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$411,555,996</w:t>
            </w:r>
          </w:p>
        </w:tc>
        <w:tc>
          <w:tcPr>
            <w:tcW w:w="1786" w:type="dxa"/>
            <w:noWrap/>
            <w:hideMark/>
          </w:tcPr>
          <w:p w14:paraId="118023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$370,723,826</w:t>
            </w:r>
          </w:p>
        </w:tc>
        <w:tc>
          <w:tcPr>
            <w:tcW w:w="901" w:type="dxa"/>
            <w:noWrap/>
            <w:hideMark/>
          </w:tcPr>
          <w:p w14:paraId="7BF07F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84.8%</w:t>
            </w:r>
          </w:p>
        </w:tc>
        <w:tc>
          <w:tcPr>
            <w:tcW w:w="1374" w:type="dxa"/>
            <w:noWrap/>
            <w:hideMark/>
          </w:tcPr>
          <w:p w14:paraId="544D3B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90.1%</w:t>
            </w:r>
          </w:p>
        </w:tc>
        <w:tc>
          <w:tcPr>
            <w:tcW w:w="1602" w:type="dxa"/>
            <w:noWrap/>
            <w:hideMark/>
          </w:tcPr>
          <w:p w14:paraId="31F31A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14BB2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3FAFD9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0282</w:t>
            </w:r>
          </w:p>
        </w:tc>
        <w:tc>
          <w:tcPr>
            <w:tcW w:w="2880" w:type="dxa"/>
            <w:noWrap/>
            <w:hideMark/>
          </w:tcPr>
          <w:p w14:paraId="3EE08C0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Sterling</w:t>
            </w:r>
          </w:p>
        </w:tc>
        <w:tc>
          <w:tcPr>
            <w:tcW w:w="1148" w:type="dxa"/>
            <w:noWrap/>
            <w:hideMark/>
          </w:tcPr>
          <w:p w14:paraId="476915D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5782B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0E1E50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3BF099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30.6%</w:t>
            </w:r>
          </w:p>
        </w:tc>
        <w:tc>
          <w:tcPr>
            <w:tcW w:w="1374" w:type="dxa"/>
            <w:noWrap/>
            <w:hideMark/>
          </w:tcPr>
          <w:p w14:paraId="18399F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5B307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033CFE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EBAD9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1448E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E2681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23.3%</w:t>
            </w:r>
          </w:p>
        </w:tc>
        <w:tc>
          <w:tcPr>
            <w:tcW w:w="1374" w:type="dxa"/>
            <w:noWrap/>
            <w:hideMark/>
          </w:tcPr>
          <w:p w14:paraId="165215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62194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36CF68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017E97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0283</w:t>
            </w:r>
          </w:p>
        </w:tc>
        <w:tc>
          <w:tcPr>
            <w:tcW w:w="2880" w:type="dxa"/>
            <w:noWrap/>
            <w:hideMark/>
          </w:tcPr>
          <w:p w14:paraId="70648FD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Stockbridge</w:t>
            </w:r>
          </w:p>
        </w:tc>
        <w:tc>
          <w:tcPr>
            <w:tcW w:w="1148" w:type="dxa"/>
            <w:noWrap/>
            <w:hideMark/>
          </w:tcPr>
          <w:p w14:paraId="5CEFE10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997ED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488F1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24AF88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D0150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683AD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49249F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B2DB5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38664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5CC1F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2E65C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A719B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B18F0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63BC24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0284</w:t>
            </w:r>
          </w:p>
        </w:tc>
        <w:tc>
          <w:tcPr>
            <w:tcW w:w="2880" w:type="dxa"/>
            <w:noWrap/>
            <w:hideMark/>
          </w:tcPr>
          <w:p w14:paraId="2D9856F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Stoneham</w:t>
            </w:r>
          </w:p>
        </w:tc>
        <w:tc>
          <w:tcPr>
            <w:tcW w:w="1148" w:type="dxa"/>
            <w:noWrap/>
            <w:hideMark/>
          </w:tcPr>
          <w:p w14:paraId="484DE8C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FE8BF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$21,921,970 </w:t>
            </w:r>
          </w:p>
        </w:tc>
        <w:tc>
          <w:tcPr>
            <w:tcW w:w="1786" w:type="dxa"/>
            <w:noWrap/>
            <w:hideMark/>
          </w:tcPr>
          <w:p w14:paraId="4F06EF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$3,032,206 </w:t>
            </w:r>
          </w:p>
        </w:tc>
        <w:tc>
          <w:tcPr>
            <w:tcW w:w="901" w:type="dxa"/>
            <w:noWrap/>
            <w:hideMark/>
          </w:tcPr>
          <w:p w14:paraId="580CF0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37FD6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w:t>
            </w:r>
          </w:p>
        </w:tc>
        <w:tc>
          <w:tcPr>
            <w:tcW w:w="1602" w:type="dxa"/>
            <w:noWrap/>
            <w:hideMark/>
          </w:tcPr>
          <w:p w14:paraId="5A578B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$632,312</w:t>
            </w:r>
          </w:p>
        </w:tc>
        <w:tc>
          <w:tcPr>
            <w:tcW w:w="1264" w:type="dxa"/>
            <w:noWrap/>
            <w:hideMark/>
          </w:tcPr>
          <w:p w14:paraId="6B9F408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77CA2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$26,898,863</w:t>
            </w:r>
          </w:p>
        </w:tc>
        <w:tc>
          <w:tcPr>
            <w:tcW w:w="1786" w:type="dxa"/>
            <w:noWrap/>
            <w:hideMark/>
          </w:tcPr>
          <w:p w14:paraId="637CF3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$5,266,351</w:t>
            </w:r>
          </w:p>
        </w:tc>
        <w:tc>
          <w:tcPr>
            <w:tcW w:w="901" w:type="dxa"/>
            <w:noWrap/>
            <w:hideMark/>
          </w:tcPr>
          <w:p w14:paraId="4B9914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AC6E5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19.6%</w:t>
            </w:r>
          </w:p>
        </w:tc>
        <w:tc>
          <w:tcPr>
            <w:tcW w:w="1602" w:type="dxa"/>
            <w:noWrap/>
            <w:hideMark/>
          </w:tcPr>
          <w:p w14:paraId="4B5C9D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$22,131</w:t>
            </w:r>
          </w:p>
        </w:tc>
      </w:tr>
      <w:tr w:rsidR="008C6E34" w:rsidRPr="008C6E34" w14:paraId="0FE567C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6D6E57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0285</w:t>
            </w:r>
          </w:p>
        </w:tc>
        <w:tc>
          <w:tcPr>
            <w:tcW w:w="2880" w:type="dxa"/>
            <w:noWrap/>
            <w:hideMark/>
          </w:tcPr>
          <w:p w14:paraId="3D2E937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Stoughton</w:t>
            </w:r>
          </w:p>
        </w:tc>
        <w:tc>
          <w:tcPr>
            <w:tcW w:w="1148" w:type="dxa"/>
            <w:noWrap/>
            <w:hideMark/>
          </w:tcPr>
          <w:p w14:paraId="3EDB6E9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32F03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$31,850,504 </w:t>
            </w:r>
          </w:p>
        </w:tc>
        <w:tc>
          <w:tcPr>
            <w:tcW w:w="1786" w:type="dxa"/>
            <w:noWrap/>
            <w:hideMark/>
          </w:tcPr>
          <w:p w14:paraId="3D9CB1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$9,954,565 </w:t>
            </w:r>
          </w:p>
        </w:tc>
        <w:tc>
          <w:tcPr>
            <w:tcW w:w="901" w:type="dxa"/>
            <w:noWrap/>
            <w:hideMark/>
          </w:tcPr>
          <w:p w14:paraId="3F4D84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w:t>
            </w:r>
          </w:p>
        </w:tc>
        <w:tc>
          <w:tcPr>
            <w:tcW w:w="1374" w:type="dxa"/>
            <w:noWrap/>
            <w:hideMark/>
          </w:tcPr>
          <w:p w14:paraId="1BEB62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31.3%</w:t>
            </w:r>
          </w:p>
        </w:tc>
        <w:tc>
          <w:tcPr>
            <w:tcW w:w="1602" w:type="dxa"/>
            <w:noWrap/>
            <w:hideMark/>
          </w:tcPr>
          <w:p w14:paraId="3035F4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0E1333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A7705F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$42,580,952</w:t>
            </w:r>
          </w:p>
        </w:tc>
        <w:tc>
          <w:tcPr>
            <w:tcW w:w="1786" w:type="dxa"/>
            <w:noWrap/>
            <w:hideMark/>
          </w:tcPr>
          <w:p w14:paraId="432DDD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$16,210,627</w:t>
            </w:r>
          </w:p>
        </w:tc>
        <w:tc>
          <w:tcPr>
            <w:tcW w:w="901" w:type="dxa"/>
            <w:noWrap/>
            <w:hideMark/>
          </w:tcPr>
          <w:p w14:paraId="51A5DD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w:t>
            </w:r>
          </w:p>
        </w:tc>
        <w:tc>
          <w:tcPr>
            <w:tcW w:w="1374" w:type="dxa"/>
            <w:noWrap/>
            <w:hideMark/>
          </w:tcPr>
          <w:p w14:paraId="6326AC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38.1%</w:t>
            </w:r>
          </w:p>
        </w:tc>
        <w:tc>
          <w:tcPr>
            <w:tcW w:w="1602" w:type="dxa"/>
            <w:noWrap/>
            <w:hideMark/>
          </w:tcPr>
          <w:p w14:paraId="5DBF53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858416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ECB96C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0286</w:t>
            </w:r>
          </w:p>
        </w:tc>
        <w:tc>
          <w:tcPr>
            <w:tcW w:w="2880" w:type="dxa"/>
            <w:noWrap/>
            <w:hideMark/>
          </w:tcPr>
          <w:p w14:paraId="136568A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Stow</w:t>
            </w:r>
          </w:p>
        </w:tc>
        <w:tc>
          <w:tcPr>
            <w:tcW w:w="1148" w:type="dxa"/>
            <w:noWrap/>
            <w:hideMark/>
          </w:tcPr>
          <w:p w14:paraId="346CA6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738D8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6AD740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5EBF50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18.2%</w:t>
            </w:r>
          </w:p>
        </w:tc>
        <w:tc>
          <w:tcPr>
            <w:tcW w:w="1374" w:type="dxa"/>
            <w:noWrap/>
            <w:hideMark/>
          </w:tcPr>
          <w:p w14:paraId="6C7EA0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0E01B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09E18C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C28F3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1A241F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6DE0F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FFBC0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81D55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2C7F54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CD2323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0287</w:t>
            </w:r>
          </w:p>
        </w:tc>
        <w:tc>
          <w:tcPr>
            <w:tcW w:w="2880" w:type="dxa"/>
            <w:noWrap/>
            <w:hideMark/>
          </w:tcPr>
          <w:p w14:paraId="36DE008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Sturbridge</w:t>
            </w:r>
          </w:p>
        </w:tc>
        <w:tc>
          <w:tcPr>
            <w:tcW w:w="1148" w:type="dxa"/>
            <w:noWrap/>
            <w:hideMark/>
          </w:tcPr>
          <w:p w14:paraId="7DC67DD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2D5F8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$5,516,983 </w:t>
            </w:r>
          </w:p>
        </w:tc>
        <w:tc>
          <w:tcPr>
            <w:tcW w:w="1786" w:type="dxa"/>
            <w:noWrap/>
            <w:hideMark/>
          </w:tcPr>
          <w:p w14:paraId="25AAE8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$1,296,467 </w:t>
            </w:r>
          </w:p>
        </w:tc>
        <w:tc>
          <w:tcPr>
            <w:tcW w:w="901" w:type="dxa"/>
            <w:noWrap/>
            <w:hideMark/>
          </w:tcPr>
          <w:p w14:paraId="28B55A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38.4%</w:t>
            </w:r>
          </w:p>
        </w:tc>
        <w:tc>
          <w:tcPr>
            <w:tcW w:w="1374" w:type="dxa"/>
            <w:noWrap/>
            <w:hideMark/>
          </w:tcPr>
          <w:p w14:paraId="507015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23.5%</w:t>
            </w:r>
          </w:p>
        </w:tc>
        <w:tc>
          <w:tcPr>
            <w:tcW w:w="1602" w:type="dxa"/>
            <w:noWrap/>
            <w:hideMark/>
          </w:tcPr>
          <w:p w14:paraId="76E5FF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07E29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31162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$8,568,656</w:t>
            </w:r>
          </w:p>
        </w:tc>
        <w:tc>
          <w:tcPr>
            <w:tcW w:w="1786" w:type="dxa"/>
            <w:noWrap/>
            <w:hideMark/>
          </w:tcPr>
          <w:p w14:paraId="3D0A4E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$3,846,634</w:t>
            </w:r>
          </w:p>
        </w:tc>
        <w:tc>
          <w:tcPr>
            <w:tcW w:w="901" w:type="dxa"/>
            <w:noWrap/>
            <w:hideMark/>
          </w:tcPr>
          <w:p w14:paraId="4F6E1C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42.1%</w:t>
            </w:r>
          </w:p>
        </w:tc>
        <w:tc>
          <w:tcPr>
            <w:tcW w:w="1374" w:type="dxa"/>
            <w:noWrap/>
            <w:hideMark/>
          </w:tcPr>
          <w:p w14:paraId="4E3CFA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44.9%</w:t>
            </w:r>
          </w:p>
        </w:tc>
        <w:tc>
          <w:tcPr>
            <w:tcW w:w="1602" w:type="dxa"/>
            <w:noWrap/>
            <w:hideMark/>
          </w:tcPr>
          <w:p w14:paraId="146FDE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$234,791</w:t>
            </w:r>
          </w:p>
        </w:tc>
      </w:tr>
      <w:tr w:rsidR="008C6E34" w:rsidRPr="008C6E34" w14:paraId="7F6CE1B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C18793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0288</w:t>
            </w:r>
          </w:p>
        </w:tc>
        <w:tc>
          <w:tcPr>
            <w:tcW w:w="2880" w:type="dxa"/>
            <w:noWrap/>
            <w:hideMark/>
          </w:tcPr>
          <w:p w14:paraId="01EEC1B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Sudbury</w:t>
            </w:r>
          </w:p>
        </w:tc>
        <w:tc>
          <w:tcPr>
            <w:tcW w:w="1148" w:type="dxa"/>
            <w:noWrap/>
            <w:hideMark/>
          </w:tcPr>
          <w:p w14:paraId="3F8B679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21311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$22,258,494 </w:t>
            </w:r>
          </w:p>
        </w:tc>
        <w:tc>
          <w:tcPr>
            <w:tcW w:w="1786" w:type="dxa"/>
            <w:noWrap/>
            <w:hideMark/>
          </w:tcPr>
          <w:p w14:paraId="108721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$3,676,919 </w:t>
            </w:r>
          </w:p>
        </w:tc>
        <w:tc>
          <w:tcPr>
            <w:tcW w:w="901" w:type="dxa"/>
            <w:noWrap/>
            <w:hideMark/>
          </w:tcPr>
          <w:p w14:paraId="2B1A14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2A0FE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16.5%</w:t>
            </w:r>
          </w:p>
        </w:tc>
        <w:tc>
          <w:tcPr>
            <w:tcW w:w="1602" w:type="dxa"/>
            <w:noWrap/>
            <w:hideMark/>
          </w:tcPr>
          <w:p w14:paraId="15623F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$111,576</w:t>
            </w:r>
          </w:p>
        </w:tc>
        <w:tc>
          <w:tcPr>
            <w:tcW w:w="1264" w:type="dxa"/>
            <w:noWrap/>
            <w:hideMark/>
          </w:tcPr>
          <w:p w14:paraId="751D3A1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D4B7C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$25,917,962</w:t>
            </w:r>
          </w:p>
        </w:tc>
        <w:tc>
          <w:tcPr>
            <w:tcW w:w="1786" w:type="dxa"/>
            <w:noWrap/>
            <w:hideMark/>
          </w:tcPr>
          <w:p w14:paraId="53EB48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$4,990,518</w:t>
            </w:r>
          </w:p>
        </w:tc>
        <w:tc>
          <w:tcPr>
            <w:tcW w:w="901" w:type="dxa"/>
            <w:noWrap/>
            <w:hideMark/>
          </w:tcPr>
          <w:p w14:paraId="043B8E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BDB92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19.3%</w:t>
            </w:r>
          </w:p>
        </w:tc>
        <w:tc>
          <w:tcPr>
            <w:tcW w:w="1602" w:type="dxa"/>
            <w:noWrap/>
            <w:hideMark/>
          </w:tcPr>
          <w:p w14:paraId="319014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$454,875</w:t>
            </w:r>
          </w:p>
        </w:tc>
      </w:tr>
      <w:tr w:rsidR="008C6E34" w:rsidRPr="008C6E34" w14:paraId="5315F10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1CA2F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0289</w:t>
            </w:r>
          </w:p>
        </w:tc>
        <w:tc>
          <w:tcPr>
            <w:tcW w:w="2880" w:type="dxa"/>
            <w:noWrap/>
            <w:hideMark/>
          </w:tcPr>
          <w:p w14:paraId="58A5BF0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Sunderland</w:t>
            </w:r>
          </w:p>
        </w:tc>
        <w:tc>
          <w:tcPr>
            <w:tcW w:w="1148" w:type="dxa"/>
            <w:noWrap/>
            <w:hideMark/>
          </w:tcPr>
          <w:p w14:paraId="699DE7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9B3D0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$1,434,832 </w:t>
            </w:r>
          </w:p>
        </w:tc>
        <w:tc>
          <w:tcPr>
            <w:tcW w:w="1786" w:type="dxa"/>
            <w:noWrap/>
            <w:hideMark/>
          </w:tcPr>
          <w:p w14:paraId="32426A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$853,199 </w:t>
            </w:r>
          </w:p>
        </w:tc>
        <w:tc>
          <w:tcPr>
            <w:tcW w:w="901" w:type="dxa"/>
            <w:noWrap/>
            <w:hideMark/>
          </w:tcPr>
          <w:p w14:paraId="38F7E0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36.2%</w:t>
            </w:r>
          </w:p>
        </w:tc>
        <w:tc>
          <w:tcPr>
            <w:tcW w:w="1374" w:type="dxa"/>
            <w:noWrap/>
            <w:hideMark/>
          </w:tcPr>
          <w:p w14:paraId="18640A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59.5%</w:t>
            </w:r>
          </w:p>
        </w:tc>
        <w:tc>
          <w:tcPr>
            <w:tcW w:w="1602" w:type="dxa"/>
            <w:noWrap/>
            <w:hideMark/>
          </w:tcPr>
          <w:p w14:paraId="50E8B4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$149,867</w:t>
            </w:r>
          </w:p>
        </w:tc>
        <w:tc>
          <w:tcPr>
            <w:tcW w:w="1264" w:type="dxa"/>
            <w:noWrap/>
            <w:hideMark/>
          </w:tcPr>
          <w:p w14:paraId="0A64480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42B88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$2,147,362</w:t>
            </w:r>
          </w:p>
        </w:tc>
        <w:tc>
          <w:tcPr>
            <w:tcW w:w="1786" w:type="dxa"/>
            <w:noWrap/>
            <w:hideMark/>
          </w:tcPr>
          <w:p w14:paraId="551CFE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$872,838</w:t>
            </w:r>
          </w:p>
        </w:tc>
        <w:tc>
          <w:tcPr>
            <w:tcW w:w="901" w:type="dxa"/>
            <w:noWrap/>
            <w:hideMark/>
          </w:tcPr>
          <w:p w14:paraId="545C9D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23.2%</w:t>
            </w:r>
          </w:p>
        </w:tc>
        <w:tc>
          <w:tcPr>
            <w:tcW w:w="1374" w:type="dxa"/>
            <w:noWrap/>
            <w:hideMark/>
          </w:tcPr>
          <w:p w14:paraId="000BE8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40.6%</w:t>
            </w:r>
          </w:p>
        </w:tc>
        <w:tc>
          <w:tcPr>
            <w:tcW w:w="1602" w:type="dxa"/>
            <w:noWrap/>
            <w:hideMark/>
          </w:tcPr>
          <w:p w14:paraId="63F542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$374,814</w:t>
            </w:r>
          </w:p>
        </w:tc>
      </w:tr>
      <w:tr w:rsidR="008C6E34" w:rsidRPr="008C6E34" w14:paraId="6D2561C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BCC094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0290</w:t>
            </w:r>
          </w:p>
        </w:tc>
        <w:tc>
          <w:tcPr>
            <w:tcW w:w="2880" w:type="dxa"/>
            <w:noWrap/>
            <w:hideMark/>
          </w:tcPr>
          <w:p w14:paraId="2D8CFF6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Sutton</w:t>
            </w:r>
          </w:p>
        </w:tc>
        <w:tc>
          <w:tcPr>
            <w:tcW w:w="1148" w:type="dxa"/>
            <w:noWrap/>
            <w:hideMark/>
          </w:tcPr>
          <w:p w14:paraId="152EC9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EFA6D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$12,029,950 </w:t>
            </w:r>
          </w:p>
        </w:tc>
        <w:tc>
          <w:tcPr>
            <w:tcW w:w="1786" w:type="dxa"/>
            <w:noWrap/>
            <w:hideMark/>
          </w:tcPr>
          <w:p w14:paraId="2843AD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$5,011,361 </w:t>
            </w:r>
          </w:p>
        </w:tc>
        <w:tc>
          <w:tcPr>
            <w:tcW w:w="901" w:type="dxa"/>
            <w:noWrap/>
            <w:hideMark/>
          </w:tcPr>
          <w:p w14:paraId="4758AB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38.3%</w:t>
            </w:r>
          </w:p>
        </w:tc>
        <w:tc>
          <w:tcPr>
            <w:tcW w:w="1374" w:type="dxa"/>
            <w:noWrap/>
            <w:hideMark/>
          </w:tcPr>
          <w:p w14:paraId="2FAD12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w:t>
            </w:r>
          </w:p>
        </w:tc>
        <w:tc>
          <w:tcPr>
            <w:tcW w:w="1602" w:type="dxa"/>
            <w:noWrap/>
            <w:hideMark/>
          </w:tcPr>
          <w:p w14:paraId="1D9C67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$199,900</w:t>
            </w:r>
          </w:p>
        </w:tc>
        <w:tc>
          <w:tcPr>
            <w:tcW w:w="1264" w:type="dxa"/>
            <w:noWrap/>
            <w:hideMark/>
          </w:tcPr>
          <w:p w14:paraId="1434F35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E67DA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$13,566,436</w:t>
            </w:r>
          </w:p>
        </w:tc>
        <w:tc>
          <w:tcPr>
            <w:tcW w:w="1786" w:type="dxa"/>
            <w:noWrap/>
            <w:hideMark/>
          </w:tcPr>
          <w:p w14:paraId="013053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$5,479,815</w:t>
            </w:r>
          </w:p>
        </w:tc>
        <w:tc>
          <w:tcPr>
            <w:tcW w:w="901" w:type="dxa"/>
            <w:noWrap/>
            <w:hideMark/>
          </w:tcPr>
          <w:p w14:paraId="35F9DD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21.0%</w:t>
            </w:r>
          </w:p>
        </w:tc>
        <w:tc>
          <w:tcPr>
            <w:tcW w:w="1374" w:type="dxa"/>
            <w:noWrap/>
            <w:hideMark/>
          </w:tcPr>
          <w:p w14:paraId="4DAA37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40.4%</w:t>
            </w:r>
          </w:p>
        </w:tc>
        <w:tc>
          <w:tcPr>
            <w:tcW w:w="1602" w:type="dxa"/>
            <w:noWrap/>
            <w:hideMark/>
          </w:tcPr>
          <w:p w14:paraId="160F89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$2,316,153</w:t>
            </w:r>
          </w:p>
        </w:tc>
      </w:tr>
      <w:tr w:rsidR="008C6E34" w:rsidRPr="008C6E34" w14:paraId="1BEAC8E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E24B18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0291</w:t>
            </w:r>
          </w:p>
        </w:tc>
        <w:tc>
          <w:tcPr>
            <w:tcW w:w="2880" w:type="dxa"/>
            <w:noWrap/>
            <w:hideMark/>
          </w:tcPr>
          <w:p w14:paraId="70BBAF0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Swampscott</w:t>
            </w:r>
          </w:p>
        </w:tc>
        <w:tc>
          <w:tcPr>
            <w:tcW w:w="1148" w:type="dxa"/>
            <w:noWrap/>
            <w:hideMark/>
          </w:tcPr>
          <w:p w14:paraId="6B37A79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1244C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$16,210,766 </w:t>
            </w:r>
          </w:p>
        </w:tc>
        <w:tc>
          <w:tcPr>
            <w:tcW w:w="1786" w:type="dxa"/>
            <w:noWrap/>
            <w:hideMark/>
          </w:tcPr>
          <w:p w14:paraId="789F65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$2,247,430 </w:t>
            </w:r>
          </w:p>
        </w:tc>
        <w:tc>
          <w:tcPr>
            <w:tcW w:w="901" w:type="dxa"/>
            <w:noWrap/>
            <w:hideMark/>
          </w:tcPr>
          <w:p w14:paraId="16168C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A0B26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13.9%</w:t>
            </w:r>
          </w:p>
        </w:tc>
        <w:tc>
          <w:tcPr>
            <w:tcW w:w="1602" w:type="dxa"/>
            <w:noWrap/>
            <w:hideMark/>
          </w:tcPr>
          <w:p w14:paraId="18E066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$1,419,186</w:t>
            </w:r>
          </w:p>
        </w:tc>
        <w:tc>
          <w:tcPr>
            <w:tcW w:w="1264" w:type="dxa"/>
            <w:noWrap/>
            <w:hideMark/>
          </w:tcPr>
          <w:p w14:paraId="73C35D0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8D53A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$22,677,172</w:t>
            </w:r>
          </w:p>
        </w:tc>
        <w:tc>
          <w:tcPr>
            <w:tcW w:w="1786" w:type="dxa"/>
            <w:noWrap/>
            <w:hideMark/>
          </w:tcPr>
          <w:p w14:paraId="172D44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$4,351,751</w:t>
            </w:r>
          </w:p>
        </w:tc>
        <w:tc>
          <w:tcPr>
            <w:tcW w:w="901" w:type="dxa"/>
            <w:noWrap/>
            <w:hideMark/>
          </w:tcPr>
          <w:p w14:paraId="3EAAA5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3A534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19.2%</w:t>
            </w:r>
          </w:p>
        </w:tc>
        <w:tc>
          <w:tcPr>
            <w:tcW w:w="1602" w:type="dxa"/>
            <w:noWrap/>
            <w:hideMark/>
          </w:tcPr>
          <w:p w14:paraId="63D921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$14,772</w:t>
            </w:r>
          </w:p>
        </w:tc>
      </w:tr>
      <w:tr w:rsidR="008C6E34" w:rsidRPr="008C6E34" w14:paraId="1D25A8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92AAD2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0292</w:t>
            </w:r>
          </w:p>
        </w:tc>
        <w:tc>
          <w:tcPr>
            <w:tcW w:w="2880" w:type="dxa"/>
            <w:noWrap/>
            <w:hideMark/>
          </w:tcPr>
          <w:p w14:paraId="1541531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Swansea</w:t>
            </w:r>
          </w:p>
        </w:tc>
        <w:tc>
          <w:tcPr>
            <w:tcW w:w="1148" w:type="dxa"/>
            <w:noWrap/>
            <w:hideMark/>
          </w:tcPr>
          <w:p w14:paraId="061E3DE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13899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$15,460,787 </w:t>
            </w:r>
          </w:p>
        </w:tc>
        <w:tc>
          <w:tcPr>
            <w:tcW w:w="1786" w:type="dxa"/>
            <w:noWrap/>
            <w:hideMark/>
          </w:tcPr>
          <w:p w14:paraId="0352CB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$4,383,583 </w:t>
            </w:r>
          </w:p>
        </w:tc>
        <w:tc>
          <w:tcPr>
            <w:tcW w:w="901" w:type="dxa"/>
            <w:noWrap/>
            <w:hideMark/>
          </w:tcPr>
          <w:p w14:paraId="1A5100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34.4%</w:t>
            </w:r>
          </w:p>
        </w:tc>
        <w:tc>
          <w:tcPr>
            <w:tcW w:w="1374" w:type="dxa"/>
            <w:noWrap/>
            <w:hideMark/>
          </w:tcPr>
          <w:p w14:paraId="307C25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w:t>
            </w:r>
          </w:p>
        </w:tc>
        <w:tc>
          <w:tcPr>
            <w:tcW w:w="1602" w:type="dxa"/>
            <w:noWrap/>
            <w:hideMark/>
          </w:tcPr>
          <w:p w14:paraId="25BD5F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$771,470</w:t>
            </w:r>
          </w:p>
        </w:tc>
        <w:tc>
          <w:tcPr>
            <w:tcW w:w="1264" w:type="dxa"/>
            <w:noWrap/>
            <w:hideMark/>
          </w:tcPr>
          <w:p w14:paraId="6CFAC23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AFA37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$22,235,383</w:t>
            </w:r>
          </w:p>
        </w:tc>
        <w:tc>
          <w:tcPr>
            <w:tcW w:w="1786" w:type="dxa"/>
            <w:noWrap/>
            <w:hideMark/>
          </w:tcPr>
          <w:p w14:paraId="1C40B8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$8,449,049</w:t>
            </w:r>
          </w:p>
        </w:tc>
        <w:tc>
          <w:tcPr>
            <w:tcW w:w="901" w:type="dxa"/>
            <w:noWrap/>
            <w:hideMark/>
          </w:tcPr>
          <w:p w14:paraId="79E91C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37.3%</w:t>
            </w:r>
          </w:p>
        </w:tc>
        <w:tc>
          <w:tcPr>
            <w:tcW w:w="1374" w:type="dxa"/>
            <w:noWrap/>
            <w:hideMark/>
          </w:tcPr>
          <w:p w14:paraId="7EF496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38.0%</w:t>
            </w:r>
          </w:p>
        </w:tc>
        <w:tc>
          <w:tcPr>
            <w:tcW w:w="1602" w:type="dxa"/>
            <w:noWrap/>
            <w:hideMark/>
          </w:tcPr>
          <w:p w14:paraId="082F64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$150,010</w:t>
            </w:r>
          </w:p>
        </w:tc>
      </w:tr>
      <w:tr w:rsidR="008C6E34" w:rsidRPr="008C6E34" w14:paraId="6E878B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8AB873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0293</w:t>
            </w:r>
          </w:p>
        </w:tc>
        <w:tc>
          <w:tcPr>
            <w:tcW w:w="2880" w:type="dxa"/>
            <w:noWrap/>
            <w:hideMark/>
          </w:tcPr>
          <w:p w14:paraId="776EC95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Taunton</w:t>
            </w:r>
          </w:p>
        </w:tc>
        <w:tc>
          <w:tcPr>
            <w:tcW w:w="1148" w:type="dxa"/>
            <w:noWrap/>
            <w:hideMark/>
          </w:tcPr>
          <w:p w14:paraId="702F7E6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9100C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$66,658,595 </w:t>
            </w:r>
          </w:p>
        </w:tc>
        <w:tc>
          <w:tcPr>
            <w:tcW w:w="1786" w:type="dxa"/>
            <w:noWrap/>
            <w:hideMark/>
          </w:tcPr>
          <w:p w14:paraId="27B4E7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$41,894,411 </w:t>
            </w:r>
          </w:p>
        </w:tc>
        <w:tc>
          <w:tcPr>
            <w:tcW w:w="901" w:type="dxa"/>
            <w:noWrap/>
            <w:hideMark/>
          </w:tcPr>
          <w:p w14:paraId="62289B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57.5%</w:t>
            </w:r>
          </w:p>
        </w:tc>
        <w:tc>
          <w:tcPr>
            <w:tcW w:w="1374" w:type="dxa"/>
            <w:noWrap/>
            <w:hideMark/>
          </w:tcPr>
          <w:p w14:paraId="4ADFC5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62.8%</w:t>
            </w:r>
          </w:p>
        </w:tc>
        <w:tc>
          <w:tcPr>
            <w:tcW w:w="1602" w:type="dxa"/>
            <w:noWrap/>
            <w:hideMark/>
          </w:tcPr>
          <w:p w14:paraId="059626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$659,179</w:t>
            </w:r>
          </w:p>
        </w:tc>
        <w:tc>
          <w:tcPr>
            <w:tcW w:w="1264" w:type="dxa"/>
            <w:noWrap/>
            <w:hideMark/>
          </w:tcPr>
          <w:p w14:paraId="6C5127D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07152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$100,148,666</w:t>
            </w:r>
          </w:p>
        </w:tc>
        <w:tc>
          <w:tcPr>
            <w:tcW w:w="1786" w:type="dxa"/>
            <w:noWrap/>
            <w:hideMark/>
          </w:tcPr>
          <w:p w14:paraId="168215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$64,474,024</w:t>
            </w:r>
          </w:p>
        </w:tc>
        <w:tc>
          <w:tcPr>
            <w:tcW w:w="901" w:type="dxa"/>
            <w:noWrap/>
            <w:hideMark/>
          </w:tcPr>
          <w:p w14:paraId="178E34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64.0%</w:t>
            </w:r>
          </w:p>
        </w:tc>
        <w:tc>
          <w:tcPr>
            <w:tcW w:w="1374" w:type="dxa"/>
            <w:noWrap/>
            <w:hideMark/>
          </w:tcPr>
          <w:p w14:paraId="457951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64.4%</w:t>
            </w:r>
          </w:p>
        </w:tc>
        <w:tc>
          <w:tcPr>
            <w:tcW w:w="1602" w:type="dxa"/>
            <w:noWrap/>
            <w:hideMark/>
          </w:tcPr>
          <w:p w14:paraId="5A4A46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EAC164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0F9263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0294</w:t>
            </w:r>
          </w:p>
        </w:tc>
        <w:tc>
          <w:tcPr>
            <w:tcW w:w="2880" w:type="dxa"/>
            <w:noWrap/>
            <w:hideMark/>
          </w:tcPr>
          <w:p w14:paraId="513B692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Templeton</w:t>
            </w:r>
          </w:p>
        </w:tc>
        <w:tc>
          <w:tcPr>
            <w:tcW w:w="1148" w:type="dxa"/>
            <w:noWrap/>
            <w:hideMark/>
          </w:tcPr>
          <w:p w14:paraId="6F3D522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E85BE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0BF177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97D67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64.4%</w:t>
            </w:r>
          </w:p>
        </w:tc>
        <w:tc>
          <w:tcPr>
            <w:tcW w:w="1374" w:type="dxa"/>
            <w:noWrap/>
            <w:hideMark/>
          </w:tcPr>
          <w:p w14:paraId="6AE575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FEC68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B82AD1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4F37D0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2B4B98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0E3710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61.1%</w:t>
            </w:r>
          </w:p>
        </w:tc>
        <w:tc>
          <w:tcPr>
            <w:tcW w:w="1374" w:type="dxa"/>
            <w:noWrap/>
            <w:hideMark/>
          </w:tcPr>
          <w:p w14:paraId="7192D5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915A6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02689B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AE08B6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0295</w:t>
            </w:r>
          </w:p>
        </w:tc>
        <w:tc>
          <w:tcPr>
            <w:tcW w:w="2880" w:type="dxa"/>
            <w:noWrap/>
            <w:hideMark/>
          </w:tcPr>
          <w:p w14:paraId="4350927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Tewksbury</w:t>
            </w:r>
          </w:p>
        </w:tc>
        <w:tc>
          <w:tcPr>
            <w:tcW w:w="1148" w:type="dxa"/>
            <w:noWrap/>
            <w:hideMark/>
          </w:tcPr>
          <w:p w14:paraId="050F7A9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DDE65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$35,015,994 </w:t>
            </w:r>
          </w:p>
        </w:tc>
        <w:tc>
          <w:tcPr>
            <w:tcW w:w="1786" w:type="dxa"/>
            <w:noWrap/>
            <w:hideMark/>
          </w:tcPr>
          <w:p w14:paraId="17D82D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$12,514,712 </w:t>
            </w:r>
          </w:p>
        </w:tc>
        <w:tc>
          <w:tcPr>
            <w:tcW w:w="901" w:type="dxa"/>
            <w:noWrap/>
            <w:hideMark/>
          </w:tcPr>
          <w:p w14:paraId="5B4A9F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35.0%</w:t>
            </w:r>
          </w:p>
        </w:tc>
        <w:tc>
          <w:tcPr>
            <w:tcW w:w="1374" w:type="dxa"/>
            <w:noWrap/>
            <w:hideMark/>
          </w:tcPr>
          <w:p w14:paraId="58E302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35.7%</w:t>
            </w:r>
          </w:p>
        </w:tc>
        <w:tc>
          <w:tcPr>
            <w:tcW w:w="1602" w:type="dxa"/>
            <w:noWrap/>
            <w:hideMark/>
          </w:tcPr>
          <w:p w14:paraId="17E98A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$267,356</w:t>
            </w:r>
          </w:p>
        </w:tc>
        <w:tc>
          <w:tcPr>
            <w:tcW w:w="1264" w:type="dxa"/>
            <w:noWrap/>
            <w:hideMark/>
          </w:tcPr>
          <w:p w14:paraId="757ABA2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04590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$35,772,862</w:t>
            </w:r>
          </w:p>
        </w:tc>
        <w:tc>
          <w:tcPr>
            <w:tcW w:w="1786" w:type="dxa"/>
            <w:noWrap/>
            <w:hideMark/>
          </w:tcPr>
          <w:p w14:paraId="07B2B5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$13,326,215</w:t>
            </w:r>
          </w:p>
        </w:tc>
        <w:tc>
          <w:tcPr>
            <w:tcW w:w="901" w:type="dxa"/>
            <w:noWrap/>
            <w:hideMark/>
          </w:tcPr>
          <w:p w14:paraId="6DE9FD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4B734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37.3%</w:t>
            </w:r>
          </w:p>
        </w:tc>
        <w:tc>
          <w:tcPr>
            <w:tcW w:w="1602" w:type="dxa"/>
            <w:noWrap/>
            <w:hideMark/>
          </w:tcPr>
          <w:p w14:paraId="435C89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$7,065,964</w:t>
            </w:r>
          </w:p>
        </w:tc>
      </w:tr>
      <w:tr w:rsidR="008C6E34" w:rsidRPr="008C6E34" w14:paraId="09EF51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17E5DB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0296</w:t>
            </w:r>
          </w:p>
        </w:tc>
        <w:tc>
          <w:tcPr>
            <w:tcW w:w="2880" w:type="dxa"/>
            <w:noWrap/>
            <w:hideMark/>
          </w:tcPr>
          <w:p w14:paraId="17DF0C3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Tisbury</w:t>
            </w:r>
          </w:p>
        </w:tc>
        <w:tc>
          <w:tcPr>
            <w:tcW w:w="1148" w:type="dxa"/>
            <w:noWrap/>
            <w:hideMark/>
          </w:tcPr>
          <w:p w14:paraId="62E3FA2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EFFE2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$2,565,499 </w:t>
            </w:r>
          </w:p>
        </w:tc>
        <w:tc>
          <w:tcPr>
            <w:tcW w:w="1786" w:type="dxa"/>
            <w:noWrap/>
            <w:hideMark/>
          </w:tcPr>
          <w:p w14:paraId="19B3C8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$330,733 </w:t>
            </w:r>
          </w:p>
        </w:tc>
        <w:tc>
          <w:tcPr>
            <w:tcW w:w="901" w:type="dxa"/>
            <w:noWrap/>
            <w:hideMark/>
          </w:tcPr>
          <w:p w14:paraId="2118C5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E5A1B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w:t>
            </w:r>
          </w:p>
        </w:tc>
        <w:tc>
          <w:tcPr>
            <w:tcW w:w="1602" w:type="dxa"/>
            <w:noWrap/>
            <w:hideMark/>
          </w:tcPr>
          <w:p w14:paraId="71ECF6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$330,733</w:t>
            </w:r>
          </w:p>
        </w:tc>
        <w:tc>
          <w:tcPr>
            <w:tcW w:w="1264" w:type="dxa"/>
            <w:noWrap/>
            <w:hideMark/>
          </w:tcPr>
          <w:p w14:paraId="2AB3FCE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5FA80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$3,863,981</w:t>
            </w:r>
          </w:p>
        </w:tc>
        <w:tc>
          <w:tcPr>
            <w:tcW w:w="1786" w:type="dxa"/>
            <w:noWrap/>
            <w:hideMark/>
          </w:tcPr>
          <w:p w14:paraId="0623E3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$719,854</w:t>
            </w:r>
          </w:p>
        </w:tc>
        <w:tc>
          <w:tcPr>
            <w:tcW w:w="901" w:type="dxa"/>
            <w:noWrap/>
            <w:hideMark/>
          </w:tcPr>
          <w:p w14:paraId="29E2D8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E86D0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w:t>
            </w:r>
          </w:p>
        </w:tc>
        <w:tc>
          <w:tcPr>
            <w:tcW w:w="1602" w:type="dxa"/>
            <w:noWrap/>
            <w:hideMark/>
          </w:tcPr>
          <w:p w14:paraId="14EE02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$43,657</w:t>
            </w:r>
          </w:p>
        </w:tc>
      </w:tr>
      <w:tr w:rsidR="008C6E34" w:rsidRPr="008C6E34" w14:paraId="3667C0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D22676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0297</w:t>
            </w:r>
          </w:p>
        </w:tc>
        <w:tc>
          <w:tcPr>
            <w:tcW w:w="2880" w:type="dxa"/>
            <w:noWrap/>
            <w:hideMark/>
          </w:tcPr>
          <w:p w14:paraId="6BE51E1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Tolland</w:t>
            </w:r>
          </w:p>
        </w:tc>
        <w:tc>
          <w:tcPr>
            <w:tcW w:w="1148" w:type="dxa"/>
            <w:noWrap/>
            <w:hideMark/>
          </w:tcPr>
          <w:p w14:paraId="4FC09CD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B4CE1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F853A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519EA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E552E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4D2BB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37F30C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1804F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26DA3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33363B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29192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5BD9E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D8444E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543C7E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0298</w:t>
            </w:r>
          </w:p>
        </w:tc>
        <w:tc>
          <w:tcPr>
            <w:tcW w:w="2880" w:type="dxa"/>
            <w:noWrap/>
            <w:hideMark/>
          </w:tcPr>
          <w:p w14:paraId="5457B43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Topsfield</w:t>
            </w:r>
          </w:p>
        </w:tc>
        <w:tc>
          <w:tcPr>
            <w:tcW w:w="1148" w:type="dxa"/>
            <w:noWrap/>
            <w:hideMark/>
          </w:tcPr>
          <w:p w14:paraId="43A8912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4D50E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$4,657,196 </w:t>
            </w:r>
          </w:p>
        </w:tc>
        <w:tc>
          <w:tcPr>
            <w:tcW w:w="1786" w:type="dxa"/>
            <w:noWrap/>
            <w:hideMark/>
          </w:tcPr>
          <w:p w14:paraId="6C874D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$946,951 </w:t>
            </w:r>
          </w:p>
        </w:tc>
        <w:tc>
          <w:tcPr>
            <w:tcW w:w="901" w:type="dxa"/>
            <w:noWrap/>
            <w:hideMark/>
          </w:tcPr>
          <w:p w14:paraId="1DA97B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9F8FB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20.3%</w:t>
            </w:r>
          </w:p>
        </w:tc>
        <w:tc>
          <w:tcPr>
            <w:tcW w:w="1602" w:type="dxa"/>
            <w:noWrap/>
            <w:hideMark/>
          </w:tcPr>
          <w:p w14:paraId="2FD33F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635DBF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B4588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$5,789,256</w:t>
            </w:r>
          </w:p>
        </w:tc>
        <w:tc>
          <w:tcPr>
            <w:tcW w:w="1786" w:type="dxa"/>
            <w:noWrap/>
            <w:hideMark/>
          </w:tcPr>
          <w:p w14:paraId="659164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$1,192,358</w:t>
            </w:r>
          </w:p>
        </w:tc>
        <w:tc>
          <w:tcPr>
            <w:tcW w:w="901" w:type="dxa"/>
            <w:noWrap/>
            <w:hideMark/>
          </w:tcPr>
          <w:p w14:paraId="15D0D9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82D5A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w:t>
            </w:r>
          </w:p>
        </w:tc>
        <w:tc>
          <w:tcPr>
            <w:tcW w:w="1602" w:type="dxa"/>
            <w:noWrap/>
            <w:hideMark/>
          </w:tcPr>
          <w:p w14:paraId="4EF9BA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$112,873</w:t>
            </w:r>
          </w:p>
        </w:tc>
      </w:tr>
      <w:tr w:rsidR="008C6E34" w:rsidRPr="008C6E34" w14:paraId="059BEE4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653231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0299</w:t>
            </w:r>
          </w:p>
        </w:tc>
        <w:tc>
          <w:tcPr>
            <w:tcW w:w="2880" w:type="dxa"/>
            <w:noWrap/>
            <w:hideMark/>
          </w:tcPr>
          <w:p w14:paraId="2E76CBE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Townsend</w:t>
            </w:r>
          </w:p>
        </w:tc>
        <w:tc>
          <w:tcPr>
            <w:tcW w:w="1148" w:type="dxa"/>
            <w:noWrap/>
            <w:hideMark/>
          </w:tcPr>
          <w:p w14:paraId="1E7A2C6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0051A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$10,850 </w:t>
            </w:r>
          </w:p>
        </w:tc>
        <w:tc>
          <w:tcPr>
            <w:tcW w:w="1786" w:type="dxa"/>
            <w:noWrap/>
            <w:hideMark/>
          </w:tcPr>
          <w:p w14:paraId="6ECBAA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$8,090 </w:t>
            </w:r>
          </w:p>
        </w:tc>
        <w:tc>
          <w:tcPr>
            <w:tcW w:w="901" w:type="dxa"/>
            <w:noWrap/>
            <w:hideMark/>
          </w:tcPr>
          <w:p w14:paraId="1663D6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55.2%</w:t>
            </w:r>
          </w:p>
        </w:tc>
        <w:tc>
          <w:tcPr>
            <w:tcW w:w="1374" w:type="dxa"/>
            <w:noWrap/>
            <w:hideMark/>
          </w:tcPr>
          <w:p w14:paraId="0F17CC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74.6%</w:t>
            </w:r>
          </w:p>
        </w:tc>
        <w:tc>
          <w:tcPr>
            <w:tcW w:w="1602" w:type="dxa"/>
            <w:noWrap/>
            <w:hideMark/>
          </w:tcPr>
          <w:p w14:paraId="1F1895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$1,884</w:t>
            </w:r>
          </w:p>
        </w:tc>
        <w:tc>
          <w:tcPr>
            <w:tcW w:w="1264" w:type="dxa"/>
            <w:noWrap/>
            <w:hideMark/>
          </w:tcPr>
          <w:p w14:paraId="0D324F4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E1863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8B410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EE805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48.6%</w:t>
            </w:r>
          </w:p>
        </w:tc>
        <w:tc>
          <w:tcPr>
            <w:tcW w:w="1374" w:type="dxa"/>
            <w:noWrap/>
            <w:hideMark/>
          </w:tcPr>
          <w:p w14:paraId="062C18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4C21B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4514D6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A10914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0300</w:t>
            </w:r>
          </w:p>
        </w:tc>
        <w:tc>
          <w:tcPr>
            <w:tcW w:w="2880" w:type="dxa"/>
            <w:noWrap/>
            <w:hideMark/>
          </w:tcPr>
          <w:p w14:paraId="78A1295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Truro</w:t>
            </w:r>
          </w:p>
        </w:tc>
        <w:tc>
          <w:tcPr>
            <w:tcW w:w="1148" w:type="dxa"/>
            <w:noWrap/>
            <w:hideMark/>
          </w:tcPr>
          <w:p w14:paraId="59BB56A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2F733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$1,722,061 </w:t>
            </w:r>
          </w:p>
        </w:tc>
        <w:tc>
          <w:tcPr>
            <w:tcW w:w="1786" w:type="dxa"/>
            <w:noWrap/>
            <w:hideMark/>
          </w:tcPr>
          <w:p w14:paraId="6080C8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$237,454 </w:t>
            </w:r>
          </w:p>
        </w:tc>
        <w:tc>
          <w:tcPr>
            <w:tcW w:w="901" w:type="dxa"/>
            <w:noWrap/>
            <w:hideMark/>
          </w:tcPr>
          <w:p w14:paraId="479751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32AFF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w:t>
            </w:r>
          </w:p>
        </w:tc>
        <w:tc>
          <w:tcPr>
            <w:tcW w:w="1602" w:type="dxa"/>
            <w:noWrap/>
            <w:hideMark/>
          </w:tcPr>
          <w:p w14:paraId="738FB7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$237,454</w:t>
            </w:r>
          </w:p>
        </w:tc>
        <w:tc>
          <w:tcPr>
            <w:tcW w:w="1264" w:type="dxa"/>
            <w:noWrap/>
            <w:hideMark/>
          </w:tcPr>
          <w:p w14:paraId="6B910D3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B3EC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$2,296,521</w:t>
            </w:r>
          </w:p>
        </w:tc>
        <w:tc>
          <w:tcPr>
            <w:tcW w:w="1786" w:type="dxa"/>
            <w:noWrap/>
            <w:hideMark/>
          </w:tcPr>
          <w:p w14:paraId="2F93A3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$402,446</w:t>
            </w:r>
          </w:p>
        </w:tc>
        <w:tc>
          <w:tcPr>
            <w:tcW w:w="901" w:type="dxa"/>
            <w:noWrap/>
            <w:hideMark/>
          </w:tcPr>
          <w:p w14:paraId="4DF224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D64C0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7D4467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$555</w:t>
            </w:r>
          </w:p>
        </w:tc>
      </w:tr>
      <w:tr w:rsidR="008C6E34" w:rsidRPr="008C6E34" w14:paraId="6E8727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E12F9D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0301</w:t>
            </w:r>
          </w:p>
        </w:tc>
        <w:tc>
          <w:tcPr>
            <w:tcW w:w="2880" w:type="dxa"/>
            <w:noWrap/>
            <w:hideMark/>
          </w:tcPr>
          <w:p w14:paraId="3908EC9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Tyngsborough</w:t>
            </w:r>
          </w:p>
        </w:tc>
        <w:tc>
          <w:tcPr>
            <w:tcW w:w="1148" w:type="dxa"/>
            <w:noWrap/>
            <w:hideMark/>
          </w:tcPr>
          <w:p w14:paraId="2668BA5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AC073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$15,541,437 </w:t>
            </w:r>
          </w:p>
        </w:tc>
        <w:tc>
          <w:tcPr>
            <w:tcW w:w="1786" w:type="dxa"/>
            <w:noWrap/>
            <w:hideMark/>
          </w:tcPr>
          <w:p w14:paraId="640946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$6,924,797 </w:t>
            </w:r>
          </w:p>
        </w:tc>
        <w:tc>
          <w:tcPr>
            <w:tcW w:w="901" w:type="dxa"/>
            <w:noWrap/>
            <w:hideMark/>
          </w:tcPr>
          <w:p w14:paraId="52D44C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43.4%</w:t>
            </w:r>
          </w:p>
        </w:tc>
        <w:tc>
          <w:tcPr>
            <w:tcW w:w="1374" w:type="dxa"/>
            <w:noWrap/>
            <w:hideMark/>
          </w:tcPr>
          <w:p w14:paraId="35870B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44.6%</w:t>
            </w:r>
          </w:p>
        </w:tc>
        <w:tc>
          <w:tcPr>
            <w:tcW w:w="1602" w:type="dxa"/>
            <w:noWrap/>
            <w:hideMark/>
          </w:tcPr>
          <w:p w14:paraId="18D077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075FF3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9CD4B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$16,876,605</w:t>
            </w:r>
          </w:p>
        </w:tc>
        <w:tc>
          <w:tcPr>
            <w:tcW w:w="1786" w:type="dxa"/>
            <w:noWrap/>
            <w:hideMark/>
          </w:tcPr>
          <w:p w14:paraId="73DC41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$7,409,074</w:t>
            </w:r>
          </w:p>
        </w:tc>
        <w:tc>
          <w:tcPr>
            <w:tcW w:w="901" w:type="dxa"/>
            <w:noWrap/>
            <w:hideMark/>
          </w:tcPr>
          <w:p w14:paraId="63DBD4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27.2%</w:t>
            </w:r>
          </w:p>
        </w:tc>
        <w:tc>
          <w:tcPr>
            <w:tcW w:w="1374" w:type="dxa"/>
            <w:noWrap/>
            <w:hideMark/>
          </w:tcPr>
          <w:p w14:paraId="037089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43.9%</w:t>
            </w:r>
          </w:p>
        </w:tc>
        <w:tc>
          <w:tcPr>
            <w:tcW w:w="1602" w:type="dxa"/>
            <w:noWrap/>
            <w:hideMark/>
          </w:tcPr>
          <w:p w14:paraId="0F6346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$2,567,853</w:t>
            </w:r>
          </w:p>
        </w:tc>
      </w:tr>
      <w:tr w:rsidR="008C6E34" w:rsidRPr="008C6E34" w14:paraId="411E0B6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1FD71B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0302</w:t>
            </w:r>
          </w:p>
        </w:tc>
        <w:tc>
          <w:tcPr>
            <w:tcW w:w="2880" w:type="dxa"/>
            <w:noWrap/>
            <w:hideMark/>
          </w:tcPr>
          <w:p w14:paraId="0300B1B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Tyringham</w:t>
            </w:r>
          </w:p>
        </w:tc>
        <w:tc>
          <w:tcPr>
            <w:tcW w:w="1148" w:type="dxa"/>
            <w:noWrap/>
            <w:hideMark/>
          </w:tcPr>
          <w:p w14:paraId="4CAF1F8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558B0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$217,685 </w:t>
            </w:r>
          </w:p>
        </w:tc>
        <w:tc>
          <w:tcPr>
            <w:tcW w:w="1786" w:type="dxa"/>
            <w:noWrap/>
            <w:hideMark/>
          </w:tcPr>
          <w:p w14:paraId="6677C2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$32,324 </w:t>
            </w:r>
          </w:p>
        </w:tc>
        <w:tc>
          <w:tcPr>
            <w:tcW w:w="901" w:type="dxa"/>
            <w:noWrap/>
            <w:hideMark/>
          </w:tcPr>
          <w:p w14:paraId="1B74CF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B5A7A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w:t>
            </w:r>
          </w:p>
        </w:tc>
        <w:tc>
          <w:tcPr>
            <w:tcW w:w="1602" w:type="dxa"/>
            <w:noWrap/>
            <w:hideMark/>
          </w:tcPr>
          <w:p w14:paraId="091426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$32,324</w:t>
            </w:r>
          </w:p>
        </w:tc>
        <w:tc>
          <w:tcPr>
            <w:tcW w:w="1264" w:type="dxa"/>
            <w:noWrap/>
            <w:hideMark/>
          </w:tcPr>
          <w:p w14:paraId="650302C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F8F57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$295,787</w:t>
            </w:r>
          </w:p>
        </w:tc>
        <w:tc>
          <w:tcPr>
            <w:tcW w:w="1786" w:type="dxa"/>
            <w:noWrap/>
            <w:hideMark/>
          </w:tcPr>
          <w:p w14:paraId="792736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$51,836</w:t>
            </w:r>
          </w:p>
        </w:tc>
        <w:tc>
          <w:tcPr>
            <w:tcW w:w="901" w:type="dxa"/>
            <w:noWrap/>
            <w:hideMark/>
          </w:tcPr>
          <w:p w14:paraId="7073D0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62428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542C43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w:t>
            </w:r>
          </w:p>
        </w:tc>
      </w:tr>
      <w:tr w:rsidR="008C6E34" w:rsidRPr="008C6E34" w14:paraId="622A86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8A85DF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0303</w:t>
            </w:r>
          </w:p>
        </w:tc>
        <w:tc>
          <w:tcPr>
            <w:tcW w:w="2880" w:type="dxa"/>
            <w:noWrap/>
            <w:hideMark/>
          </w:tcPr>
          <w:p w14:paraId="2E2A782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Upton</w:t>
            </w:r>
          </w:p>
        </w:tc>
        <w:tc>
          <w:tcPr>
            <w:tcW w:w="1148" w:type="dxa"/>
            <w:noWrap/>
            <w:hideMark/>
          </w:tcPr>
          <w:p w14:paraId="2E4FF6F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CC30F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$11,198 </w:t>
            </w:r>
          </w:p>
        </w:tc>
        <w:tc>
          <w:tcPr>
            <w:tcW w:w="1786" w:type="dxa"/>
            <w:noWrap/>
            <w:hideMark/>
          </w:tcPr>
          <w:p w14:paraId="723DD3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$7,349 </w:t>
            </w:r>
          </w:p>
        </w:tc>
        <w:tc>
          <w:tcPr>
            <w:tcW w:w="901" w:type="dxa"/>
            <w:noWrap/>
            <w:hideMark/>
          </w:tcPr>
          <w:p w14:paraId="48EB1C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38.8%</w:t>
            </w:r>
          </w:p>
        </w:tc>
        <w:tc>
          <w:tcPr>
            <w:tcW w:w="1374" w:type="dxa"/>
            <w:noWrap/>
            <w:hideMark/>
          </w:tcPr>
          <w:p w14:paraId="7EC363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65.6%</w:t>
            </w:r>
          </w:p>
        </w:tc>
        <w:tc>
          <w:tcPr>
            <w:tcW w:w="1602" w:type="dxa"/>
            <w:noWrap/>
            <w:hideMark/>
          </w:tcPr>
          <w:p w14:paraId="28CC5C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$960</w:t>
            </w:r>
          </w:p>
        </w:tc>
        <w:tc>
          <w:tcPr>
            <w:tcW w:w="1264" w:type="dxa"/>
            <w:noWrap/>
            <w:hideMark/>
          </w:tcPr>
          <w:p w14:paraId="4306377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08A2E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$129,346</w:t>
            </w:r>
          </w:p>
        </w:tc>
        <w:tc>
          <w:tcPr>
            <w:tcW w:w="1786" w:type="dxa"/>
            <w:noWrap/>
            <w:hideMark/>
          </w:tcPr>
          <w:p w14:paraId="30273B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$39,799</w:t>
            </w:r>
          </w:p>
        </w:tc>
        <w:tc>
          <w:tcPr>
            <w:tcW w:w="901" w:type="dxa"/>
            <w:noWrap/>
            <w:hideMark/>
          </w:tcPr>
          <w:p w14:paraId="6C2149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25.3%</w:t>
            </w:r>
          </w:p>
        </w:tc>
        <w:tc>
          <w:tcPr>
            <w:tcW w:w="1374" w:type="dxa"/>
            <w:noWrap/>
            <w:hideMark/>
          </w:tcPr>
          <w:p w14:paraId="5405FF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30.8%</w:t>
            </w:r>
          </w:p>
        </w:tc>
        <w:tc>
          <w:tcPr>
            <w:tcW w:w="1602" w:type="dxa"/>
            <w:noWrap/>
            <w:hideMark/>
          </w:tcPr>
          <w:p w14:paraId="052B1E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w:t>
            </w:r>
          </w:p>
        </w:tc>
      </w:tr>
      <w:tr w:rsidR="008C6E34" w:rsidRPr="008C6E34" w14:paraId="1A0845E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482EF3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0304</w:t>
            </w:r>
          </w:p>
        </w:tc>
        <w:tc>
          <w:tcPr>
            <w:tcW w:w="2880" w:type="dxa"/>
            <w:noWrap/>
            <w:hideMark/>
          </w:tcPr>
          <w:p w14:paraId="7E1F20E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Uxbridge</w:t>
            </w:r>
          </w:p>
        </w:tc>
        <w:tc>
          <w:tcPr>
            <w:tcW w:w="1148" w:type="dxa"/>
            <w:noWrap/>
            <w:hideMark/>
          </w:tcPr>
          <w:p w14:paraId="0B3D887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2AA36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$16,305,919 </w:t>
            </w:r>
          </w:p>
        </w:tc>
        <w:tc>
          <w:tcPr>
            <w:tcW w:w="1786" w:type="dxa"/>
            <w:noWrap/>
            <w:hideMark/>
          </w:tcPr>
          <w:p w14:paraId="66F96F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$9,271,984 </w:t>
            </w:r>
          </w:p>
        </w:tc>
        <w:tc>
          <w:tcPr>
            <w:tcW w:w="901" w:type="dxa"/>
            <w:noWrap/>
            <w:hideMark/>
          </w:tcPr>
          <w:p w14:paraId="0A28A8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48.0%</w:t>
            </w:r>
          </w:p>
        </w:tc>
        <w:tc>
          <w:tcPr>
            <w:tcW w:w="1374" w:type="dxa"/>
            <w:noWrap/>
            <w:hideMark/>
          </w:tcPr>
          <w:p w14:paraId="54D888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56.9%</w:t>
            </w:r>
          </w:p>
        </w:tc>
        <w:tc>
          <w:tcPr>
            <w:tcW w:w="1602" w:type="dxa"/>
            <w:noWrap/>
            <w:hideMark/>
          </w:tcPr>
          <w:p w14:paraId="12038D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$665,289</w:t>
            </w:r>
          </w:p>
        </w:tc>
        <w:tc>
          <w:tcPr>
            <w:tcW w:w="1264" w:type="dxa"/>
            <w:noWrap/>
            <w:hideMark/>
          </w:tcPr>
          <w:p w14:paraId="2D6615C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05E39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$19,102,321</w:t>
            </w:r>
          </w:p>
        </w:tc>
        <w:tc>
          <w:tcPr>
            <w:tcW w:w="1786" w:type="dxa"/>
            <w:noWrap/>
            <w:hideMark/>
          </w:tcPr>
          <w:p w14:paraId="79D0C4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$9,438,614</w:t>
            </w:r>
          </w:p>
        </w:tc>
        <w:tc>
          <w:tcPr>
            <w:tcW w:w="901" w:type="dxa"/>
            <w:noWrap/>
            <w:hideMark/>
          </w:tcPr>
          <w:p w14:paraId="591ED7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36.4%</w:t>
            </w:r>
          </w:p>
        </w:tc>
        <w:tc>
          <w:tcPr>
            <w:tcW w:w="1374" w:type="dxa"/>
            <w:noWrap/>
            <w:hideMark/>
          </w:tcPr>
          <w:p w14:paraId="0F3338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w:t>
            </w:r>
          </w:p>
        </w:tc>
        <w:tc>
          <w:tcPr>
            <w:tcW w:w="1602" w:type="dxa"/>
            <w:noWrap/>
            <w:hideMark/>
          </w:tcPr>
          <w:p w14:paraId="3B006A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$2,093,156</w:t>
            </w:r>
          </w:p>
        </w:tc>
      </w:tr>
      <w:tr w:rsidR="008C6E34" w:rsidRPr="008C6E34" w14:paraId="435CD8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A6DD84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0305</w:t>
            </w:r>
          </w:p>
        </w:tc>
        <w:tc>
          <w:tcPr>
            <w:tcW w:w="2880" w:type="dxa"/>
            <w:noWrap/>
            <w:hideMark/>
          </w:tcPr>
          <w:p w14:paraId="730FDCB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Wakefield</w:t>
            </w:r>
          </w:p>
        </w:tc>
        <w:tc>
          <w:tcPr>
            <w:tcW w:w="1148" w:type="dxa"/>
            <w:noWrap/>
            <w:hideMark/>
          </w:tcPr>
          <w:p w14:paraId="42930AA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E0DAA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$26,617,789 </w:t>
            </w:r>
          </w:p>
        </w:tc>
        <w:tc>
          <w:tcPr>
            <w:tcW w:w="1786" w:type="dxa"/>
            <w:noWrap/>
            <w:hideMark/>
          </w:tcPr>
          <w:p w14:paraId="0D4088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$4,365,403 </w:t>
            </w:r>
          </w:p>
        </w:tc>
        <w:tc>
          <w:tcPr>
            <w:tcW w:w="901" w:type="dxa"/>
            <w:noWrap/>
            <w:hideMark/>
          </w:tcPr>
          <w:p w14:paraId="7FCE5F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B3AF7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16.4%</w:t>
            </w:r>
          </w:p>
        </w:tc>
        <w:tc>
          <w:tcPr>
            <w:tcW w:w="1602" w:type="dxa"/>
            <w:noWrap/>
            <w:hideMark/>
          </w:tcPr>
          <w:p w14:paraId="104330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$2,539,359</w:t>
            </w:r>
          </w:p>
        </w:tc>
        <w:tc>
          <w:tcPr>
            <w:tcW w:w="1264" w:type="dxa"/>
            <w:noWrap/>
            <w:hideMark/>
          </w:tcPr>
          <w:p w14:paraId="7C9B065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24FC8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$37,851,807</w:t>
            </w:r>
          </w:p>
        </w:tc>
        <w:tc>
          <w:tcPr>
            <w:tcW w:w="1786" w:type="dxa"/>
            <w:noWrap/>
            <w:hideMark/>
          </w:tcPr>
          <w:p w14:paraId="29BD18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$6,720,549</w:t>
            </w:r>
          </w:p>
        </w:tc>
        <w:tc>
          <w:tcPr>
            <w:tcW w:w="901" w:type="dxa"/>
            <w:noWrap/>
            <w:hideMark/>
          </w:tcPr>
          <w:p w14:paraId="566FBA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759DB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w:t>
            </w:r>
          </w:p>
        </w:tc>
        <w:tc>
          <w:tcPr>
            <w:tcW w:w="1602" w:type="dxa"/>
            <w:noWrap/>
            <w:hideMark/>
          </w:tcPr>
          <w:p w14:paraId="6D35C8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$39,665</w:t>
            </w:r>
          </w:p>
        </w:tc>
      </w:tr>
      <w:tr w:rsidR="008C6E34" w:rsidRPr="008C6E34" w14:paraId="391D1C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BF697E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0306</w:t>
            </w:r>
          </w:p>
        </w:tc>
        <w:tc>
          <w:tcPr>
            <w:tcW w:w="2880" w:type="dxa"/>
            <w:noWrap/>
            <w:hideMark/>
          </w:tcPr>
          <w:p w14:paraId="1E2F3C5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Wales</w:t>
            </w:r>
          </w:p>
        </w:tc>
        <w:tc>
          <w:tcPr>
            <w:tcW w:w="1148" w:type="dxa"/>
            <w:noWrap/>
            <w:hideMark/>
          </w:tcPr>
          <w:p w14:paraId="15297B0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3620E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$1,097,739 </w:t>
            </w:r>
          </w:p>
        </w:tc>
        <w:tc>
          <w:tcPr>
            <w:tcW w:w="1786" w:type="dxa"/>
            <w:noWrap/>
            <w:hideMark/>
          </w:tcPr>
          <w:p w14:paraId="13CEF1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$623,689 </w:t>
            </w:r>
          </w:p>
        </w:tc>
        <w:tc>
          <w:tcPr>
            <w:tcW w:w="901" w:type="dxa"/>
            <w:noWrap/>
            <w:hideMark/>
          </w:tcPr>
          <w:p w14:paraId="051036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58.9%</w:t>
            </w:r>
          </w:p>
        </w:tc>
        <w:tc>
          <w:tcPr>
            <w:tcW w:w="1374" w:type="dxa"/>
            <w:noWrap/>
            <w:hideMark/>
          </w:tcPr>
          <w:p w14:paraId="5A008D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56.8%</w:t>
            </w:r>
          </w:p>
        </w:tc>
        <w:tc>
          <w:tcPr>
            <w:tcW w:w="1602" w:type="dxa"/>
            <w:noWrap/>
            <w:hideMark/>
          </w:tcPr>
          <w:p w14:paraId="624EC8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$68,573</w:t>
            </w:r>
          </w:p>
        </w:tc>
        <w:tc>
          <w:tcPr>
            <w:tcW w:w="1264" w:type="dxa"/>
            <w:noWrap/>
            <w:hideMark/>
          </w:tcPr>
          <w:p w14:paraId="036F9ED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C2D4F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$1,548,538</w:t>
            </w:r>
          </w:p>
        </w:tc>
        <w:tc>
          <w:tcPr>
            <w:tcW w:w="1786" w:type="dxa"/>
            <w:noWrap/>
            <w:hideMark/>
          </w:tcPr>
          <w:p w14:paraId="2154D62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$994,373</w:t>
            </w:r>
          </w:p>
        </w:tc>
        <w:tc>
          <w:tcPr>
            <w:tcW w:w="901" w:type="dxa"/>
            <w:noWrap/>
            <w:hideMark/>
          </w:tcPr>
          <w:p w14:paraId="4EA8DA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61.3%</w:t>
            </w:r>
          </w:p>
        </w:tc>
        <w:tc>
          <w:tcPr>
            <w:tcW w:w="1374" w:type="dxa"/>
            <w:noWrap/>
            <w:hideMark/>
          </w:tcPr>
          <w:p w14:paraId="3EDB16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64.2%</w:t>
            </w:r>
          </w:p>
        </w:tc>
        <w:tc>
          <w:tcPr>
            <w:tcW w:w="1602" w:type="dxa"/>
            <w:noWrap/>
            <w:hideMark/>
          </w:tcPr>
          <w:p w14:paraId="75F0FC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$44,910</w:t>
            </w:r>
          </w:p>
        </w:tc>
      </w:tr>
      <w:tr w:rsidR="008C6E34" w:rsidRPr="008C6E34" w14:paraId="13D57E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CD68BC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0307</w:t>
            </w:r>
          </w:p>
        </w:tc>
        <w:tc>
          <w:tcPr>
            <w:tcW w:w="2880" w:type="dxa"/>
            <w:noWrap/>
            <w:hideMark/>
          </w:tcPr>
          <w:p w14:paraId="3DBD49A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Walpole</w:t>
            </w:r>
          </w:p>
        </w:tc>
        <w:tc>
          <w:tcPr>
            <w:tcW w:w="1148" w:type="dxa"/>
            <w:noWrap/>
            <w:hideMark/>
          </w:tcPr>
          <w:p w14:paraId="21BE746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83DE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$28,924,699 </w:t>
            </w:r>
          </w:p>
        </w:tc>
        <w:tc>
          <w:tcPr>
            <w:tcW w:w="1786" w:type="dxa"/>
            <w:noWrap/>
            <w:hideMark/>
          </w:tcPr>
          <w:p w14:paraId="37EB25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$5,514,992 </w:t>
            </w:r>
          </w:p>
        </w:tc>
        <w:tc>
          <w:tcPr>
            <w:tcW w:w="901" w:type="dxa"/>
            <w:noWrap/>
            <w:hideMark/>
          </w:tcPr>
          <w:p w14:paraId="53159A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w:t>
            </w:r>
          </w:p>
        </w:tc>
        <w:tc>
          <w:tcPr>
            <w:tcW w:w="1374" w:type="dxa"/>
            <w:noWrap/>
            <w:hideMark/>
          </w:tcPr>
          <w:p w14:paraId="7EDA3A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19.1%</w:t>
            </w:r>
          </w:p>
        </w:tc>
        <w:tc>
          <w:tcPr>
            <w:tcW w:w="1602" w:type="dxa"/>
            <w:noWrap/>
            <w:hideMark/>
          </w:tcPr>
          <w:p w14:paraId="14FF5D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3B020E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EAEC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$39,185,794</w:t>
            </w:r>
          </w:p>
        </w:tc>
        <w:tc>
          <w:tcPr>
            <w:tcW w:w="1786" w:type="dxa"/>
            <w:noWrap/>
            <w:hideMark/>
          </w:tcPr>
          <w:p w14:paraId="6D80A9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$8,182,871</w:t>
            </w:r>
          </w:p>
        </w:tc>
        <w:tc>
          <w:tcPr>
            <w:tcW w:w="901" w:type="dxa"/>
            <w:noWrap/>
            <w:hideMark/>
          </w:tcPr>
          <w:p w14:paraId="7BFDC3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1397D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w:t>
            </w:r>
          </w:p>
        </w:tc>
        <w:tc>
          <w:tcPr>
            <w:tcW w:w="1602" w:type="dxa"/>
            <w:noWrap/>
            <w:hideMark/>
          </w:tcPr>
          <w:p w14:paraId="258C56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$1,325,357</w:t>
            </w:r>
          </w:p>
        </w:tc>
      </w:tr>
      <w:tr w:rsidR="008C6E34" w:rsidRPr="008C6E34" w14:paraId="6284447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0614AF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0308</w:t>
            </w:r>
          </w:p>
        </w:tc>
        <w:tc>
          <w:tcPr>
            <w:tcW w:w="2880" w:type="dxa"/>
            <w:noWrap/>
            <w:hideMark/>
          </w:tcPr>
          <w:p w14:paraId="2F858DE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Waltham</w:t>
            </w:r>
          </w:p>
        </w:tc>
        <w:tc>
          <w:tcPr>
            <w:tcW w:w="1148" w:type="dxa"/>
            <w:noWrap/>
            <w:hideMark/>
          </w:tcPr>
          <w:p w14:paraId="31A14B7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3D891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$42,761,500 </w:t>
            </w:r>
          </w:p>
        </w:tc>
        <w:tc>
          <w:tcPr>
            <w:tcW w:w="1786" w:type="dxa"/>
            <w:noWrap/>
            <w:hideMark/>
          </w:tcPr>
          <w:p w14:paraId="764E3A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$6,645,004 </w:t>
            </w:r>
          </w:p>
        </w:tc>
        <w:tc>
          <w:tcPr>
            <w:tcW w:w="901" w:type="dxa"/>
            <w:noWrap/>
            <w:hideMark/>
          </w:tcPr>
          <w:p w14:paraId="321B18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47E67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15.5%</w:t>
            </w:r>
          </w:p>
        </w:tc>
        <w:tc>
          <w:tcPr>
            <w:tcW w:w="1602" w:type="dxa"/>
            <w:noWrap/>
            <w:hideMark/>
          </w:tcPr>
          <w:p w14:paraId="10473D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$6,645,004</w:t>
            </w:r>
          </w:p>
        </w:tc>
        <w:tc>
          <w:tcPr>
            <w:tcW w:w="1264" w:type="dxa"/>
            <w:noWrap/>
            <w:hideMark/>
          </w:tcPr>
          <w:p w14:paraId="1820486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98668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$75,037,559</w:t>
            </w:r>
          </w:p>
        </w:tc>
        <w:tc>
          <w:tcPr>
            <w:tcW w:w="1786" w:type="dxa"/>
            <w:noWrap/>
            <w:hideMark/>
          </w:tcPr>
          <w:p w14:paraId="2474B1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$14,846,143</w:t>
            </w:r>
          </w:p>
        </w:tc>
        <w:tc>
          <w:tcPr>
            <w:tcW w:w="901" w:type="dxa"/>
            <w:noWrap/>
            <w:hideMark/>
          </w:tcPr>
          <w:p w14:paraId="2BB749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1983B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w:t>
            </w:r>
          </w:p>
        </w:tc>
        <w:tc>
          <w:tcPr>
            <w:tcW w:w="1602" w:type="dxa"/>
            <w:noWrap/>
            <w:hideMark/>
          </w:tcPr>
          <w:p w14:paraId="382AF1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20567A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744668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0309</w:t>
            </w:r>
          </w:p>
        </w:tc>
        <w:tc>
          <w:tcPr>
            <w:tcW w:w="2880" w:type="dxa"/>
            <w:noWrap/>
            <w:hideMark/>
          </w:tcPr>
          <w:p w14:paraId="661EDB5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Ware</w:t>
            </w:r>
          </w:p>
        </w:tc>
        <w:tc>
          <w:tcPr>
            <w:tcW w:w="1148" w:type="dxa"/>
            <w:noWrap/>
            <w:hideMark/>
          </w:tcPr>
          <w:p w14:paraId="48D20B5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D0B29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$11,341,611 </w:t>
            </w:r>
          </w:p>
        </w:tc>
        <w:tc>
          <w:tcPr>
            <w:tcW w:w="1786" w:type="dxa"/>
            <w:noWrap/>
            <w:hideMark/>
          </w:tcPr>
          <w:p w14:paraId="7035CD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$7,590,105 </w:t>
            </w:r>
          </w:p>
        </w:tc>
        <w:tc>
          <w:tcPr>
            <w:tcW w:w="901" w:type="dxa"/>
            <w:noWrap/>
            <w:hideMark/>
          </w:tcPr>
          <w:p w14:paraId="5B0EF5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61.7%</w:t>
            </w:r>
          </w:p>
        </w:tc>
        <w:tc>
          <w:tcPr>
            <w:tcW w:w="1374" w:type="dxa"/>
            <w:noWrap/>
            <w:hideMark/>
          </w:tcPr>
          <w:p w14:paraId="67F3AB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66.9%</w:t>
            </w:r>
          </w:p>
        </w:tc>
        <w:tc>
          <w:tcPr>
            <w:tcW w:w="1602" w:type="dxa"/>
            <w:noWrap/>
            <w:hideMark/>
          </w:tcPr>
          <w:p w14:paraId="0A18EC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$739,232</w:t>
            </w:r>
          </w:p>
        </w:tc>
        <w:tc>
          <w:tcPr>
            <w:tcW w:w="1264" w:type="dxa"/>
            <w:noWrap/>
            <w:hideMark/>
          </w:tcPr>
          <w:p w14:paraId="79343A8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3B5B7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$15,862,339</w:t>
            </w:r>
          </w:p>
        </w:tc>
        <w:tc>
          <w:tcPr>
            <w:tcW w:w="1786" w:type="dxa"/>
            <w:noWrap/>
            <w:hideMark/>
          </w:tcPr>
          <w:p w14:paraId="4D3ADF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$10,591,234</w:t>
            </w:r>
          </w:p>
        </w:tc>
        <w:tc>
          <w:tcPr>
            <w:tcW w:w="901" w:type="dxa"/>
            <w:noWrap/>
            <w:hideMark/>
          </w:tcPr>
          <w:p w14:paraId="668A1F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66.8%</w:t>
            </w:r>
          </w:p>
        </w:tc>
        <w:tc>
          <w:tcPr>
            <w:tcW w:w="1374" w:type="dxa"/>
            <w:noWrap/>
            <w:hideMark/>
          </w:tcPr>
          <w:p w14:paraId="5BDFA3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66.8%</w:t>
            </w:r>
          </w:p>
        </w:tc>
        <w:tc>
          <w:tcPr>
            <w:tcW w:w="1602" w:type="dxa"/>
            <w:noWrap/>
            <w:hideMark/>
          </w:tcPr>
          <w:p w14:paraId="2D7F91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7E5AB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466538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0310</w:t>
            </w:r>
          </w:p>
        </w:tc>
        <w:tc>
          <w:tcPr>
            <w:tcW w:w="2880" w:type="dxa"/>
            <w:noWrap/>
            <w:hideMark/>
          </w:tcPr>
          <w:p w14:paraId="149F1E1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Wareham</w:t>
            </w:r>
          </w:p>
        </w:tc>
        <w:tc>
          <w:tcPr>
            <w:tcW w:w="1148" w:type="dxa"/>
            <w:noWrap/>
            <w:hideMark/>
          </w:tcPr>
          <w:p w14:paraId="3751125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C38AA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$27,620,252 </w:t>
            </w:r>
          </w:p>
        </w:tc>
        <w:tc>
          <w:tcPr>
            <w:tcW w:w="1786" w:type="dxa"/>
            <w:noWrap/>
            <w:hideMark/>
          </w:tcPr>
          <w:p w14:paraId="64F9B0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$11,620,568 </w:t>
            </w:r>
          </w:p>
        </w:tc>
        <w:tc>
          <w:tcPr>
            <w:tcW w:w="901" w:type="dxa"/>
            <w:noWrap/>
            <w:hideMark/>
          </w:tcPr>
          <w:p w14:paraId="59E99B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47.3%</w:t>
            </w:r>
          </w:p>
        </w:tc>
        <w:tc>
          <w:tcPr>
            <w:tcW w:w="1374" w:type="dxa"/>
            <w:noWrap/>
            <w:hideMark/>
          </w:tcPr>
          <w:p w14:paraId="72012F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42.1%</w:t>
            </w:r>
          </w:p>
        </w:tc>
        <w:tc>
          <w:tcPr>
            <w:tcW w:w="1602" w:type="dxa"/>
            <w:noWrap/>
            <w:hideMark/>
          </w:tcPr>
          <w:p w14:paraId="329506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$502,498</w:t>
            </w:r>
          </w:p>
        </w:tc>
        <w:tc>
          <w:tcPr>
            <w:tcW w:w="1264" w:type="dxa"/>
            <w:noWrap/>
            <w:hideMark/>
          </w:tcPr>
          <w:p w14:paraId="1A30BDB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AEA86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$30,196,685</w:t>
            </w:r>
          </w:p>
        </w:tc>
        <w:tc>
          <w:tcPr>
            <w:tcW w:w="1786" w:type="dxa"/>
            <w:noWrap/>
            <w:hideMark/>
          </w:tcPr>
          <w:p w14:paraId="7247C2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$13,381,730</w:t>
            </w:r>
          </w:p>
        </w:tc>
        <w:tc>
          <w:tcPr>
            <w:tcW w:w="901" w:type="dxa"/>
            <w:noWrap/>
            <w:hideMark/>
          </w:tcPr>
          <w:p w14:paraId="4601CC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39.9%</w:t>
            </w:r>
          </w:p>
        </w:tc>
        <w:tc>
          <w:tcPr>
            <w:tcW w:w="1374" w:type="dxa"/>
            <w:noWrap/>
            <w:hideMark/>
          </w:tcPr>
          <w:p w14:paraId="4E118D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w:t>
            </w:r>
          </w:p>
        </w:tc>
        <w:tc>
          <w:tcPr>
            <w:tcW w:w="1602" w:type="dxa"/>
            <w:noWrap/>
            <w:hideMark/>
          </w:tcPr>
          <w:p w14:paraId="1277C5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$1,336,744</w:t>
            </w:r>
          </w:p>
        </w:tc>
      </w:tr>
      <w:tr w:rsidR="008C6E34" w:rsidRPr="008C6E34" w14:paraId="62669B3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0E7701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0311</w:t>
            </w:r>
          </w:p>
        </w:tc>
        <w:tc>
          <w:tcPr>
            <w:tcW w:w="2880" w:type="dxa"/>
            <w:noWrap/>
            <w:hideMark/>
          </w:tcPr>
          <w:p w14:paraId="29C42B4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Warren</w:t>
            </w:r>
          </w:p>
        </w:tc>
        <w:tc>
          <w:tcPr>
            <w:tcW w:w="1148" w:type="dxa"/>
            <w:noWrap/>
            <w:hideMark/>
          </w:tcPr>
          <w:p w14:paraId="65BC0A9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9F03D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$702,596 </w:t>
            </w:r>
          </w:p>
        </w:tc>
        <w:tc>
          <w:tcPr>
            <w:tcW w:w="1786" w:type="dxa"/>
            <w:noWrap/>
            <w:hideMark/>
          </w:tcPr>
          <w:p w14:paraId="1072F7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$506,513 </w:t>
            </w:r>
          </w:p>
        </w:tc>
        <w:tc>
          <w:tcPr>
            <w:tcW w:w="901" w:type="dxa"/>
            <w:noWrap/>
            <w:hideMark/>
          </w:tcPr>
          <w:p w14:paraId="259DA5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73.2%</w:t>
            </w:r>
          </w:p>
        </w:tc>
        <w:tc>
          <w:tcPr>
            <w:tcW w:w="1374" w:type="dxa"/>
            <w:noWrap/>
            <w:hideMark/>
          </w:tcPr>
          <w:p w14:paraId="2BD948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72.1%</w:t>
            </w:r>
          </w:p>
        </w:tc>
        <w:tc>
          <w:tcPr>
            <w:tcW w:w="1602" w:type="dxa"/>
            <w:noWrap/>
            <w:hideMark/>
          </w:tcPr>
          <w:p w14:paraId="49C0AA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F4B7F3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E5C48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565C3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C1269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71.0%</w:t>
            </w:r>
          </w:p>
        </w:tc>
        <w:tc>
          <w:tcPr>
            <w:tcW w:w="1374" w:type="dxa"/>
            <w:noWrap/>
            <w:hideMark/>
          </w:tcPr>
          <w:p w14:paraId="5955C1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49F54B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F56C0B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55CC6B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0312</w:t>
            </w:r>
          </w:p>
        </w:tc>
        <w:tc>
          <w:tcPr>
            <w:tcW w:w="2880" w:type="dxa"/>
            <w:noWrap/>
            <w:hideMark/>
          </w:tcPr>
          <w:p w14:paraId="233F8C5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Warwick</w:t>
            </w:r>
          </w:p>
        </w:tc>
        <w:tc>
          <w:tcPr>
            <w:tcW w:w="1148" w:type="dxa"/>
            <w:noWrap/>
            <w:hideMark/>
          </w:tcPr>
          <w:p w14:paraId="57F7616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860CC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48DEA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36DDA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60.4%</w:t>
            </w:r>
          </w:p>
        </w:tc>
        <w:tc>
          <w:tcPr>
            <w:tcW w:w="1374" w:type="dxa"/>
            <w:noWrap/>
            <w:hideMark/>
          </w:tcPr>
          <w:p w14:paraId="785EA8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279E9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A11589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68135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25E038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5F326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43.6%</w:t>
            </w:r>
          </w:p>
        </w:tc>
        <w:tc>
          <w:tcPr>
            <w:tcW w:w="1374" w:type="dxa"/>
            <w:noWrap/>
            <w:hideMark/>
          </w:tcPr>
          <w:p w14:paraId="7C1E5B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39752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7394CE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E2D324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0313</w:t>
            </w:r>
          </w:p>
        </w:tc>
        <w:tc>
          <w:tcPr>
            <w:tcW w:w="2880" w:type="dxa"/>
            <w:noWrap/>
            <w:hideMark/>
          </w:tcPr>
          <w:p w14:paraId="36EDE3C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Washington</w:t>
            </w:r>
          </w:p>
        </w:tc>
        <w:tc>
          <w:tcPr>
            <w:tcW w:w="1148" w:type="dxa"/>
            <w:noWrap/>
            <w:hideMark/>
          </w:tcPr>
          <w:p w14:paraId="5F47D59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61D986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$32,549 </w:t>
            </w:r>
          </w:p>
        </w:tc>
        <w:tc>
          <w:tcPr>
            <w:tcW w:w="1786" w:type="dxa"/>
            <w:noWrap/>
            <w:hideMark/>
          </w:tcPr>
          <w:p w14:paraId="71181F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$20,004 </w:t>
            </w:r>
          </w:p>
        </w:tc>
        <w:tc>
          <w:tcPr>
            <w:tcW w:w="901" w:type="dxa"/>
            <w:noWrap/>
            <w:hideMark/>
          </w:tcPr>
          <w:p w14:paraId="458639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45.9%</w:t>
            </w:r>
          </w:p>
        </w:tc>
        <w:tc>
          <w:tcPr>
            <w:tcW w:w="1374" w:type="dxa"/>
            <w:noWrap/>
            <w:hideMark/>
          </w:tcPr>
          <w:p w14:paraId="4954F0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61.5%</w:t>
            </w:r>
          </w:p>
        </w:tc>
        <w:tc>
          <w:tcPr>
            <w:tcW w:w="1602" w:type="dxa"/>
            <w:noWrap/>
            <w:hideMark/>
          </w:tcPr>
          <w:p w14:paraId="5A9FD3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$5,560</w:t>
            </w:r>
          </w:p>
        </w:tc>
        <w:tc>
          <w:tcPr>
            <w:tcW w:w="1264" w:type="dxa"/>
            <w:noWrap/>
            <w:hideMark/>
          </w:tcPr>
          <w:p w14:paraId="4075A09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7B9EBD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$28,744</w:t>
            </w:r>
          </w:p>
        </w:tc>
        <w:tc>
          <w:tcPr>
            <w:tcW w:w="1786" w:type="dxa"/>
            <w:noWrap/>
            <w:hideMark/>
          </w:tcPr>
          <w:p w14:paraId="13EB53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$7,847</w:t>
            </w:r>
          </w:p>
        </w:tc>
        <w:tc>
          <w:tcPr>
            <w:tcW w:w="901" w:type="dxa"/>
            <w:noWrap/>
            <w:hideMark/>
          </w:tcPr>
          <w:p w14:paraId="45EC3F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w:t>
            </w:r>
          </w:p>
        </w:tc>
        <w:tc>
          <w:tcPr>
            <w:tcW w:w="1374" w:type="dxa"/>
            <w:noWrap/>
            <w:hideMark/>
          </w:tcPr>
          <w:p w14:paraId="1341C0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27.3%</w:t>
            </w:r>
          </w:p>
        </w:tc>
        <w:tc>
          <w:tcPr>
            <w:tcW w:w="1602" w:type="dxa"/>
            <w:noWrap/>
            <w:hideMark/>
          </w:tcPr>
          <w:p w14:paraId="5C80E0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AE1FC3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C4923B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0314</w:t>
            </w:r>
          </w:p>
        </w:tc>
        <w:tc>
          <w:tcPr>
            <w:tcW w:w="2880" w:type="dxa"/>
            <w:noWrap/>
            <w:hideMark/>
          </w:tcPr>
          <w:p w14:paraId="2CED35B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Watertown</w:t>
            </w:r>
          </w:p>
        </w:tc>
        <w:tc>
          <w:tcPr>
            <w:tcW w:w="1148" w:type="dxa"/>
            <w:noWrap/>
            <w:hideMark/>
          </w:tcPr>
          <w:p w14:paraId="2331C94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8046E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$21,408,023 </w:t>
            </w:r>
          </w:p>
        </w:tc>
        <w:tc>
          <w:tcPr>
            <w:tcW w:w="1786" w:type="dxa"/>
            <w:noWrap/>
            <w:hideMark/>
          </w:tcPr>
          <w:p w14:paraId="6D0D5B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$2,840,200 </w:t>
            </w:r>
          </w:p>
        </w:tc>
        <w:tc>
          <w:tcPr>
            <w:tcW w:w="901" w:type="dxa"/>
            <w:noWrap/>
            <w:hideMark/>
          </w:tcPr>
          <w:p w14:paraId="347D6D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AF146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13.3%</w:t>
            </w:r>
          </w:p>
        </w:tc>
        <w:tc>
          <w:tcPr>
            <w:tcW w:w="1602" w:type="dxa"/>
            <w:noWrap/>
            <w:hideMark/>
          </w:tcPr>
          <w:p w14:paraId="2538A9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$2,840,200</w:t>
            </w:r>
          </w:p>
        </w:tc>
        <w:tc>
          <w:tcPr>
            <w:tcW w:w="1264" w:type="dxa"/>
            <w:noWrap/>
            <w:hideMark/>
          </w:tcPr>
          <w:p w14:paraId="09BF578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C8E90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$31,550,835</w:t>
            </w:r>
          </w:p>
        </w:tc>
        <w:tc>
          <w:tcPr>
            <w:tcW w:w="1786" w:type="dxa"/>
            <w:noWrap/>
            <w:hideMark/>
          </w:tcPr>
          <w:p w14:paraId="543C9F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$5,858,595</w:t>
            </w:r>
          </w:p>
        </w:tc>
        <w:tc>
          <w:tcPr>
            <w:tcW w:w="901" w:type="dxa"/>
            <w:noWrap/>
            <w:hideMark/>
          </w:tcPr>
          <w:p w14:paraId="34C782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4D5E9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w:t>
            </w:r>
          </w:p>
        </w:tc>
        <w:tc>
          <w:tcPr>
            <w:tcW w:w="1602" w:type="dxa"/>
            <w:noWrap/>
            <w:hideMark/>
          </w:tcPr>
          <w:p w14:paraId="7D7ACB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2EE248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A9563A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0315</w:t>
            </w:r>
          </w:p>
        </w:tc>
        <w:tc>
          <w:tcPr>
            <w:tcW w:w="2880" w:type="dxa"/>
            <w:noWrap/>
            <w:hideMark/>
          </w:tcPr>
          <w:p w14:paraId="501DEFB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Wayland</w:t>
            </w:r>
          </w:p>
        </w:tc>
        <w:tc>
          <w:tcPr>
            <w:tcW w:w="1148" w:type="dxa"/>
            <w:noWrap/>
            <w:hideMark/>
          </w:tcPr>
          <w:p w14:paraId="2783044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8489A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$21,706,401 </w:t>
            </w:r>
          </w:p>
        </w:tc>
        <w:tc>
          <w:tcPr>
            <w:tcW w:w="1786" w:type="dxa"/>
            <w:noWrap/>
            <w:hideMark/>
          </w:tcPr>
          <w:p w14:paraId="446B21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$2,706,784 </w:t>
            </w:r>
          </w:p>
        </w:tc>
        <w:tc>
          <w:tcPr>
            <w:tcW w:w="901" w:type="dxa"/>
            <w:noWrap/>
            <w:hideMark/>
          </w:tcPr>
          <w:p w14:paraId="5CEC46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F493D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12.5%</w:t>
            </w:r>
          </w:p>
        </w:tc>
        <w:tc>
          <w:tcPr>
            <w:tcW w:w="1602" w:type="dxa"/>
            <w:noWrap/>
            <w:hideMark/>
          </w:tcPr>
          <w:p w14:paraId="67D538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$2,706,784</w:t>
            </w:r>
          </w:p>
        </w:tc>
        <w:tc>
          <w:tcPr>
            <w:tcW w:w="1264" w:type="dxa"/>
            <w:noWrap/>
            <w:hideMark/>
          </w:tcPr>
          <w:p w14:paraId="79E605C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8789D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$27,841,233</w:t>
            </w:r>
          </w:p>
        </w:tc>
        <w:tc>
          <w:tcPr>
            <w:tcW w:w="1786" w:type="dxa"/>
            <w:noWrap/>
            <w:hideMark/>
          </w:tcPr>
          <w:p w14:paraId="1647BA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$5,299,764</w:t>
            </w:r>
          </w:p>
        </w:tc>
        <w:tc>
          <w:tcPr>
            <w:tcW w:w="901" w:type="dxa"/>
            <w:noWrap/>
            <w:hideMark/>
          </w:tcPr>
          <w:p w14:paraId="58DA94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48959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w:t>
            </w:r>
          </w:p>
        </w:tc>
        <w:tc>
          <w:tcPr>
            <w:tcW w:w="1602" w:type="dxa"/>
            <w:noWrap/>
            <w:hideMark/>
          </w:tcPr>
          <w:p w14:paraId="3431BB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$27,170</w:t>
            </w:r>
          </w:p>
        </w:tc>
      </w:tr>
      <w:tr w:rsidR="008C6E34" w:rsidRPr="008C6E34" w14:paraId="455EE2A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4FBE99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0316</w:t>
            </w:r>
          </w:p>
        </w:tc>
        <w:tc>
          <w:tcPr>
            <w:tcW w:w="2880" w:type="dxa"/>
            <w:noWrap/>
            <w:hideMark/>
          </w:tcPr>
          <w:p w14:paraId="3F3C453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Webster</w:t>
            </w:r>
          </w:p>
        </w:tc>
        <w:tc>
          <w:tcPr>
            <w:tcW w:w="1148" w:type="dxa"/>
            <w:noWrap/>
            <w:hideMark/>
          </w:tcPr>
          <w:p w14:paraId="0637BA7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F8B0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$16,432,267 </w:t>
            </w:r>
          </w:p>
        </w:tc>
        <w:tc>
          <w:tcPr>
            <w:tcW w:w="1786" w:type="dxa"/>
            <w:noWrap/>
            <w:hideMark/>
          </w:tcPr>
          <w:p w14:paraId="39965A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$8,162,458 </w:t>
            </w:r>
          </w:p>
        </w:tc>
        <w:tc>
          <w:tcPr>
            <w:tcW w:w="901" w:type="dxa"/>
            <w:noWrap/>
            <w:hideMark/>
          </w:tcPr>
          <w:p w14:paraId="58269D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45.8%</w:t>
            </w:r>
          </w:p>
        </w:tc>
        <w:tc>
          <w:tcPr>
            <w:tcW w:w="1374" w:type="dxa"/>
            <w:noWrap/>
            <w:hideMark/>
          </w:tcPr>
          <w:p w14:paraId="5C62E9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49.7%</w:t>
            </w:r>
          </w:p>
        </w:tc>
        <w:tc>
          <w:tcPr>
            <w:tcW w:w="1602" w:type="dxa"/>
            <w:noWrap/>
            <w:hideMark/>
          </w:tcPr>
          <w:p w14:paraId="59A8FE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32E013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6F258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$24,776,508</w:t>
            </w:r>
          </w:p>
        </w:tc>
        <w:tc>
          <w:tcPr>
            <w:tcW w:w="1786" w:type="dxa"/>
            <w:noWrap/>
            <w:hideMark/>
          </w:tcPr>
          <w:p w14:paraId="2A4964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$13,714,015</w:t>
            </w:r>
          </w:p>
        </w:tc>
        <w:tc>
          <w:tcPr>
            <w:tcW w:w="901" w:type="dxa"/>
            <w:noWrap/>
            <w:hideMark/>
          </w:tcPr>
          <w:p w14:paraId="5C996A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374" w:type="dxa"/>
            <w:noWrap/>
            <w:hideMark/>
          </w:tcPr>
          <w:p w14:paraId="04A83C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602" w:type="dxa"/>
            <w:noWrap/>
            <w:hideMark/>
          </w:tcPr>
          <w:p w14:paraId="45360B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6C7B29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428E6E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0317</w:t>
            </w:r>
          </w:p>
        </w:tc>
        <w:tc>
          <w:tcPr>
            <w:tcW w:w="2880" w:type="dxa"/>
            <w:noWrap/>
            <w:hideMark/>
          </w:tcPr>
          <w:p w14:paraId="102FBA9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Wellesley</w:t>
            </w:r>
          </w:p>
        </w:tc>
        <w:tc>
          <w:tcPr>
            <w:tcW w:w="1148" w:type="dxa"/>
            <w:noWrap/>
            <w:hideMark/>
          </w:tcPr>
          <w:p w14:paraId="1214DD1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57266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$35,128,684 </w:t>
            </w:r>
          </w:p>
        </w:tc>
        <w:tc>
          <w:tcPr>
            <w:tcW w:w="1786" w:type="dxa"/>
            <w:noWrap/>
            <w:hideMark/>
          </w:tcPr>
          <w:p w14:paraId="50CDE1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$3,765,942 </w:t>
            </w:r>
          </w:p>
        </w:tc>
        <w:tc>
          <w:tcPr>
            <w:tcW w:w="901" w:type="dxa"/>
            <w:noWrap/>
            <w:hideMark/>
          </w:tcPr>
          <w:p w14:paraId="055715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8DF66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10.7%</w:t>
            </w:r>
          </w:p>
        </w:tc>
        <w:tc>
          <w:tcPr>
            <w:tcW w:w="1602" w:type="dxa"/>
            <w:noWrap/>
            <w:hideMark/>
          </w:tcPr>
          <w:p w14:paraId="2D796C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$886,754</w:t>
            </w:r>
          </w:p>
        </w:tc>
        <w:tc>
          <w:tcPr>
            <w:tcW w:w="1264" w:type="dxa"/>
            <w:noWrap/>
            <w:hideMark/>
          </w:tcPr>
          <w:p w14:paraId="265373E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A92D9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$52,951,271</w:t>
            </w:r>
          </w:p>
        </w:tc>
        <w:tc>
          <w:tcPr>
            <w:tcW w:w="1786" w:type="dxa"/>
            <w:noWrap/>
            <w:hideMark/>
          </w:tcPr>
          <w:p w14:paraId="1EA87F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$9,273,504</w:t>
            </w:r>
          </w:p>
        </w:tc>
        <w:tc>
          <w:tcPr>
            <w:tcW w:w="901" w:type="dxa"/>
            <w:noWrap/>
            <w:hideMark/>
          </w:tcPr>
          <w:p w14:paraId="412A61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1F057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4C612B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$7,031</w:t>
            </w:r>
          </w:p>
        </w:tc>
      </w:tr>
      <w:tr w:rsidR="008C6E34" w:rsidRPr="008C6E34" w14:paraId="2FE1316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61B47D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0318</w:t>
            </w:r>
          </w:p>
        </w:tc>
        <w:tc>
          <w:tcPr>
            <w:tcW w:w="2880" w:type="dxa"/>
            <w:noWrap/>
            <w:hideMark/>
          </w:tcPr>
          <w:p w14:paraId="0F9FB5A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Wellfleet</w:t>
            </w:r>
          </w:p>
        </w:tc>
        <w:tc>
          <w:tcPr>
            <w:tcW w:w="1148" w:type="dxa"/>
            <w:noWrap/>
            <w:hideMark/>
          </w:tcPr>
          <w:p w14:paraId="7D09C56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AE7D2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$1,024,830 </w:t>
            </w:r>
          </w:p>
        </w:tc>
        <w:tc>
          <w:tcPr>
            <w:tcW w:w="1786" w:type="dxa"/>
            <w:noWrap/>
            <w:hideMark/>
          </w:tcPr>
          <w:p w14:paraId="2A71DC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$134,999 </w:t>
            </w:r>
          </w:p>
        </w:tc>
        <w:tc>
          <w:tcPr>
            <w:tcW w:w="901" w:type="dxa"/>
            <w:noWrap/>
            <w:hideMark/>
          </w:tcPr>
          <w:p w14:paraId="6D1648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AF8D1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13.2%</w:t>
            </w:r>
          </w:p>
        </w:tc>
        <w:tc>
          <w:tcPr>
            <w:tcW w:w="1602" w:type="dxa"/>
            <w:noWrap/>
            <w:hideMark/>
          </w:tcPr>
          <w:p w14:paraId="067A38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$134,999</w:t>
            </w:r>
          </w:p>
        </w:tc>
        <w:tc>
          <w:tcPr>
            <w:tcW w:w="1264" w:type="dxa"/>
            <w:noWrap/>
            <w:hideMark/>
          </w:tcPr>
          <w:p w14:paraId="19CE866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30668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$1,139,476</w:t>
            </w:r>
          </w:p>
        </w:tc>
        <w:tc>
          <w:tcPr>
            <w:tcW w:w="1786" w:type="dxa"/>
            <w:noWrap/>
            <w:hideMark/>
          </w:tcPr>
          <w:p w14:paraId="47E1A7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$202,109</w:t>
            </w:r>
          </w:p>
        </w:tc>
        <w:tc>
          <w:tcPr>
            <w:tcW w:w="901" w:type="dxa"/>
            <w:noWrap/>
            <w:hideMark/>
          </w:tcPr>
          <w:p w14:paraId="36D606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BB47D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17.7%</w:t>
            </w:r>
          </w:p>
        </w:tc>
        <w:tc>
          <w:tcPr>
            <w:tcW w:w="1602" w:type="dxa"/>
            <w:noWrap/>
            <w:hideMark/>
          </w:tcPr>
          <w:p w14:paraId="663C3C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$2,701</w:t>
            </w:r>
          </w:p>
        </w:tc>
      </w:tr>
      <w:tr w:rsidR="008C6E34" w:rsidRPr="008C6E34" w14:paraId="5361DB8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D32274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0319</w:t>
            </w:r>
          </w:p>
        </w:tc>
        <w:tc>
          <w:tcPr>
            <w:tcW w:w="2880" w:type="dxa"/>
            <w:noWrap/>
            <w:hideMark/>
          </w:tcPr>
          <w:p w14:paraId="381A5C6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Wendell</w:t>
            </w:r>
          </w:p>
        </w:tc>
        <w:tc>
          <w:tcPr>
            <w:tcW w:w="1148" w:type="dxa"/>
            <w:noWrap/>
            <w:hideMark/>
          </w:tcPr>
          <w:p w14:paraId="66570A6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4379D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54A280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93B07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55.9%</w:t>
            </w:r>
          </w:p>
        </w:tc>
        <w:tc>
          <w:tcPr>
            <w:tcW w:w="1374" w:type="dxa"/>
            <w:noWrap/>
            <w:hideMark/>
          </w:tcPr>
          <w:p w14:paraId="689EB6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2BC358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026DB6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DBBBB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560320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50F2CF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52.6%</w:t>
            </w:r>
          </w:p>
        </w:tc>
        <w:tc>
          <w:tcPr>
            <w:tcW w:w="1374" w:type="dxa"/>
            <w:noWrap/>
            <w:hideMark/>
          </w:tcPr>
          <w:p w14:paraId="0E17BC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FB9BB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579AD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C2F914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0320</w:t>
            </w:r>
          </w:p>
        </w:tc>
        <w:tc>
          <w:tcPr>
            <w:tcW w:w="2880" w:type="dxa"/>
            <w:noWrap/>
            <w:hideMark/>
          </w:tcPr>
          <w:p w14:paraId="77E606D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Wenham</w:t>
            </w:r>
          </w:p>
        </w:tc>
        <w:tc>
          <w:tcPr>
            <w:tcW w:w="1148" w:type="dxa"/>
            <w:noWrap/>
            <w:hideMark/>
          </w:tcPr>
          <w:p w14:paraId="4EA17E9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24820C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C2818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93ADE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27F81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0A935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66AAAE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52BA5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566D9F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69447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1842F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711EB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059041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7FFA9A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0321</w:t>
            </w:r>
          </w:p>
        </w:tc>
        <w:tc>
          <w:tcPr>
            <w:tcW w:w="2880" w:type="dxa"/>
            <w:noWrap/>
            <w:hideMark/>
          </w:tcPr>
          <w:p w14:paraId="661D6C0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Westborough</w:t>
            </w:r>
          </w:p>
        </w:tc>
        <w:tc>
          <w:tcPr>
            <w:tcW w:w="1148" w:type="dxa"/>
            <w:noWrap/>
            <w:hideMark/>
          </w:tcPr>
          <w:p w14:paraId="11C7018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A921A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$26,156,767 </w:t>
            </w:r>
          </w:p>
        </w:tc>
        <w:tc>
          <w:tcPr>
            <w:tcW w:w="1786" w:type="dxa"/>
            <w:noWrap/>
            <w:hideMark/>
          </w:tcPr>
          <w:p w14:paraId="7201B4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$3,129,366 </w:t>
            </w:r>
          </w:p>
        </w:tc>
        <w:tc>
          <w:tcPr>
            <w:tcW w:w="901" w:type="dxa"/>
            <w:noWrap/>
            <w:hideMark/>
          </w:tcPr>
          <w:p w14:paraId="466B73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33527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12.0%</w:t>
            </w:r>
          </w:p>
        </w:tc>
        <w:tc>
          <w:tcPr>
            <w:tcW w:w="1602" w:type="dxa"/>
            <w:noWrap/>
            <w:hideMark/>
          </w:tcPr>
          <w:p w14:paraId="4941D0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$1,044,549</w:t>
            </w:r>
          </w:p>
        </w:tc>
        <w:tc>
          <w:tcPr>
            <w:tcW w:w="1264" w:type="dxa"/>
            <w:noWrap/>
            <w:hideMark/>
          </w:tcPr>
          <w:p w14:paraId="7CF6239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9BF72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$39,131,440</w:t>
            </w:r>
          </w:p>
        </w:tc>
        <w:tc>
          <w:tcPr>
            <w:tcW w:w="1786" w:type="dxa"/>
            <w:noWrap/>
            <w:hideMark/>
          </w:tcPr>
          <w:p w14:paraId="10A5F4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$8,064,504</w:t>
            </w:r>
          </w:p>
        </w:tc>
        <w:tc>
          <w:tcPr>
            <w:tcW w:w="901" w:type="dxa"/>
            <w:noWrap/>
            <w:hideMark/>
          </w:tcPr>
          <w:p w14:paraId="49AA74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19.4%</w:t>
            </w:r>
          </w:p>
        </w:tc>
        <w:tc>
          <w:tcPr>
            <w:tcW w:w="1374" w:type="dxa"/>
            <w:noWrap/>
            <w:hideMark/>
          </w:tcPr>
          <w:p w14:paraId="2B354F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w:t>
            </w:r>
          </w:p>
        </w:tc>
        <w:tc>
          <w:tcPr>
            <w:tcW w:w="1602" w:type="dxa"/>
            <w:noWrap/>
            <w:hideMark/>
          </w:tcPr>
          <w:p w14:paraId="373CBE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$374,613</w:t>
            </w:r>
          </w:p>
        </w:tc>
      </w:tr>
      <w:tr w:rsidR="008C6E34" w:rsidRPr="008C6E34" w14:paraId="651531E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1FEB93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0322</w:t>
            </w:r>
          </w:p>
        </w:tc>
        <w:tc>
          <w:tcPr>
            <w:tcW w:w="2880" w:type="dxa"/>
            <w:noWrap/>
            <w:hideMark/>
          </w:tcPr>
          <w:p w14:paraId="0414BBD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Boylston</w:t>
            </w:r>
          </w:p>
        </w:tc>
        <w:tc>
          <w:tcPr>
            <w:tcW w:w="1148" w:type="dxa"/>
            <w:noWrap/>
            <w:hideMark/>
          </w:tcPr>
          <w:p w14:paraId="2A77E64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4CAE9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$7,862,836 </w:t>
            </w:r>
          </w:p>
        </w:tc>
        <w:tc>
          <w:tcPr>
            <w:tcW w:w="1786" w:type="dxa"/>
            <w:noWrap/>
            <w:hideMark/>
          </w:tcPr>
          <w:p w14:paraId="077518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$2,737,047 </w:t>
            </w:r>
          </w:p>
        </w:tc>
        <w:tc>
          <w:tcPr>
            <w:tcW w:w="901" w:type="dxa"/>
            <w:noWrap/>
            <w:hideMark/>
          </w:tcPr>
          <w:p w14:paraId="322E4C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33.2%</w:t>
            </w:r>
          </w:p>
        </w:tc>
        <w:tc>
          <w:tcPr>
            <w:tcW w:w="1374" w:type="dxa"/>
            <w:noWrap/>
            <w:hideMark/>
          </w:tcPr>
          <w:p w14:paraId="354C9E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34.8%</w:t>
            </w:r>
          </w:p>
        </w:tc>
        <w:tc>
          <w:tcPr>
            <w:tcW w:w="1602" w:type="dxa"/>
            <w:noWrap/>
            <w:hideMark/>
          </w:tcPr>
          <w:p w14:paraId="57738D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$403,275</w:t>
            </w:r>
          </w:p>
        </w:tc>
        <w:tc>
          <w:tcPr>
            <w:tcW w:w="1264" w:type="dxa"/>
            <w:noWrap/>
            <w:hideMark/>
          </w:tcPr>
          <w:p w14:paraId="070E58A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C6C94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$9,510,996</w:t>
            </w:r>
          </w:p>
        </w:tc>
        <w:tc>
          <w:tcPr>
            <w:tcW w:w="1786" w:type="dxa"/>
            <w:noWrap/>
            <w:hideMark/>
          </w:tcPr>
          <w:p w14:paraId="7C983F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$3,034,005</w:t>
            </w:r>
          </w:p>
        </w:tc>
        <w:tc>
          <w:tcPr>
            <w:tcW w:w="901" w:type="dxa"/>
            <w:noWrap/>
            <w:hideMark/>
          </w:tcPr>
          <w:p w14:paraId="77D366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w:t>
            </w:r>
          </w:p>
        </w:tc>
        <w:tc>
          <w:tcPr>
            <w:tcW w:w="1374" w:type="dxa"/>
            <w:noWrap/>
            <w:hideMark/>
          </w:tcPr>
          <w:p w14:paraId="03FFA3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31.9%</w:t>
            </w:r>
          </w:p>
        </w:tc>
        <w:tc>
          <w:tcPr>
            <w:tcW w:w="1602" w:type="dxa"/>
            <w:noWrap/>
            <w:hideMark/>
          </w:tcPr>
          <w:p w14:paraId="01423C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$790,009</w:t>
            </w:r>
          </w:p>
        </w:tc>
      </w:tr>
      <w:tr w:rsidR="008C6E34" w:rsidRPr="008C6E34" w14:paraId="733CAB0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9288B5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0323</w:t>
            </w:r>
          </w:p>
        </w:tc>
        <w:tc>
          <w:tcPr>
            <w:tcW w:w="2880" w:type="dxa"/>
            <w:noWrap/>
            <w:hideMark/>
          </w:tcPr>
          <w:p w14:paraId="237669C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Bridgewater</w:t>
            </w:r>
          </w:p>
        </w:tc>
        <w:tc>
          <w:tcPr>
            <w:tcW w:w="1148" w:type="dxa"/>
            <w:noWrap/>
            <w:hideMark/>
          </w:tcPr>
          <w:p w14:paraId="10C5347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87B6B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$7,481,921 </w:t>
            </w:r>
          </w:p>
        </w:tc>
        <w:tc>
          <w:tcPr>
            <w:tcW w:w="1786" w:type="dxa"/>
            <w:noWrap/>
            <w:hideMark/>
          </w:tcPr>
          <w:p w14:paraId="31D955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$1,739,647 </w:t>
            </w:r>
          </w:p>
        </w:tc>
        <w:tc>
          <w:tcPr>
            <w:tcW w:w="901" w:type="dxa"/>
            <w:noWrap/>
            <w:hideMark/>
          </w:tcPr>
          <w:p w14:paraId="79B54E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29.6%</w:t>
            </w:r>
          </w:p>
        </w:tc>
        <w:tc>
          <w:tcPr>
            <w:tcW w:w="1374" w:type="dxa"/>
            <w:noWrap/>
            <w:hideMark/>
          </w:tcPr>
          <w:p w14:paraId="3B8624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23.3%</w:t>
            </w:r>
          </w:p>
        </w:tc>
        <w:tc>
          <w:tcPr>
            <w:tcW w:w="1602" w:type="dxa"/>
            <w:noWrap/>
            <w:hideMark/>
          </w:tcPr>
          <w:p w14:paraId="243781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$777,251</w:t>
            </w:r>
          </w:p>
        </w:tc>
        <w:tc>
          <w:tcPr>
            <w:tcW w:w="1264" w:type="dxa"/>
            <w:noWrap/>
            <w:hideMark/>
          </w:tcPr>
          <w:p w14:paraId="006E715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7FE2E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$11,563,084</w:t>
            </w:r>
          </w:p>
        </w:tc>
        <w:tc>
          <w:tcPr>
            <w:tcW w:w="1786" w:type="dxa"/>
            <w:noWrap/>
            <w:hideMark/>
          </w:tcPr>
          <w:p w14:paraId="5D4626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$4,058,306</w:t>
            </w:r>
          </w:p>
        </w:tc>
        <w:tc>
          <w:tcPr>
            <w:tcW w:w="901" w:type="dxa"/>
            <w:noWrap/>
            <w:hideMark/>
          </w:tcPr>
          <w:p w14:paraId="672E3B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33.5%</w:t>
            </w:r>
          </w:p>
        </w:tc>
        <w:tc>
          <w:tcPr>
            <w:tcW w:w="1374" w:type="dxa"/>
            <w:noWrap/>
            <w:hideMark/>
          </w:tcPr>
          <w:p w14:paraId="739CCC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35.1%</w:t>
            </w:r>
          </w:p>
        </w:tc>
        <w:tc>
          <w:tcPr>
            <w:tcW w:w="1602" w:type="dxa"/>
            <w:noWrap/>
            <w:hideMark/>
          </w:tcPr>
          <w:p w14:paraId="616B7A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$20,655</w:t>
            </w:r>
          </w:p>
        </w:tc>
      </w:tr>
      <w:tr w:rsidR="008C6E34" w:rsidRPr="008C6E34" w14:paraId="796E63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9793E7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0324</w:t>
            </w:r>
          </w:p>
        </w:tc>
        <w:tc>
          <w:tcPr>
            <w:tcW w:w="2880" w:type="dxa"/>
            <w:noWrap/>
            <w:hideMark/>
          </w:tcPr>
          <w:p w14:paraId="3B5D89A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Brookfield</w:t>
            </w:r>
          </w:p>
        </w:tc>
        <w:tc>
          <w:tcPr>
            <w:tcW w:w="1148" w:type="dxa"/>
            <w:noWrap/>
            <w:hideMark/>
          </w:tcPr>
          <w:p w14:paraId="0E75ED3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D18FC0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$388,833 </w:t>
            </w:r>
          </w:p>
        </w:tc>
        <w:tc>
          <w:tcPr>
            <w:tcW w:w="1786" w:type="dxa"/>
            <w:noWrap/>
            <w:hideMark/>
          </w:tcPr>
          <w:p w14:paraId="2289EE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$237,766 </w:t>
            </w:r>
          </w:p>
        </w:tc>
        <w:tc>
          <w:tcPr>
            <w:tcW w:w="901" w:type="dxa"/>
            <w:noWrap/>
            <w:hideMark/>
          </w:tcPr>
          <w:p w14:paraId="209F54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49.3%</w:t>
            </w:r>
          </w:p>
        </w:tc>
        <w:tc>
          <w:tcPr>
            <w:tcW w:w="1374" w:type="dxa"/>
            <w:noWrap/>
            <w:hideMark/>
          </w:tcPr>
          <w:p w14:paraId="1B732C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61.1%</w:t>
            </w:r>
          </w:p>
        </w:tc>
        <w:tc>
          <w:tcPr>
            <w:tcW w:w="1602" w:type="dxa"/>
            <w:noWrap/>
            <w:hideMark/>
          </w:tcPr>
          <w:p w14:paraId="2C6FB8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50655F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F1D30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$657,950</w:t>
            </w:r>
          </w:p>
        </w:tc>
        <w:tc>
          <w:tcPr>
            <w:tcW w:w="1786" w:type="dxa"/>
            <w:noWrap/>
            <w:hideMark/>
          </w:tcPr>
          <w:p w14:paraId="4DD054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$327,609</w:t>
            </w:r>
          </w:p>
        </w:tc>
        <w:tc>
          <w:tcPr>
            <w:tcW w:w="901" w:type="dxa"/>
            <w:noWrap/>
            <w:hideMark/>
          </w:tcPr>
          <w:p w14:paraId="4C4773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47.3%</w:t>
            </w:r>
          </w:p>
        </w:tc>
        <w:tc>
          <w:tcPr>
            <w:tcW w:w="1374" w:type="dxa"/>
            <w:noWrap/>
            <w:hideMark/>
          </w:tcPr>
          <w:p w14:paraId="6C2F27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49.8%</w:t>
            </w:r>
          </w:p>
        </w:tc>
        <w:tc>
          <w:tcPr>
            <w:tcW w:w="1602" w:type="dxa"/>
            <w:noWrap/>
            <w:hideMark/>
          </w:tcPr>
          <w:p w14:paraId="681B46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$15,142</w:t>
            </w:r>
          </w:p>
        </w:tc>
      </w:tr>
      <w:tr w:rsidR="008C6E34" w:rsidRPr="008C6E34" w14:paraId="4FD816B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AECA60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0325</w:t>
            </w:r>
          </w:p>
        </w:tc>
        <w:tc>
          <w:tcPr>
            <w:tcW w:w="2880" w:type="dxa"/>
            <w:noWrap/>
            <w:hideMark/>
          </w:tcPr>
          <w:p w14:paraId="03AB3E8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Westfield</w:t>
            </w:r>
          </w:p>
        </w:tc>
        <w:tc>
          <w:tcPr>
            <w:tcW w:w="1148" w:type="dxa"/>
            <w:noWrap/>
            <w:hideMark/>
          </w:tcPr>
          <w:p w14:paraId="5B8A99E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F3F43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$53,649,787 </w:t>
            </w:r>
          </w:p>
        </w:tc>
        <w:tc>
          <w:tcPr>
            <w:tcW w:w="1786" w:type="dxa"/>
            <w:noWrap/>
            <w:hideMark/>
          </w:tcPr>
          <w:p w14:paraId="690BA1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$31,901,309 </w:t>
            </w:r>
          </w:p>
        </w:tc>
        <w:tc>
          <w:tcPr>
            <w:tcW w:w="901" w:type="dxa"/>
            <w:noWrap/>
            <w:hideMark/>
          </w:tcPr>
          <w:p w14:paraId="7E48BF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61.1%</w:t>
            </w:r>
          </w:p>
        </w:tc>
        <w:tc>
          <w:tcPr>
            <w:tcW w:w="1374" w:type="dxa"/>
            <w:noWrap/>
            <w:hideMark/>
          </w:tcPr>
          <w:p w14:paraId="47E2BF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59.5%</w:t>
            </w:r>
          </w:p>
        </w:tc>
        <w:tc>
          <w:tcPr>
            <w:tcW w:w="1602" w:type="dxa"/>
            <w:noWrap/>
            <w:hideMark/>
          </w:tcPr>
          <w:p w14:paraId="60D5EA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995C60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1DBAB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$65,007,738</w:t>
            </w:r>
          </w:p>
        </w:tc>
        <w:tc>
          <w:tcPr>
            <w:tcW w:w="1786" w:type="dxa"/>
            <w:noWrap/>
            <w:hideMark/>
          </w:tcPr>
          <w:p w14:paraId="7357D1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$37,295,661</w:t>
            </w:r>
          </w:p>
        </w:tc>
        <w:tc>
          <w:tcPr>
            <w:tcW w:w="901" w:type="dxa"/>
            <w:noWrap/>
            <w:hideMark/>
          </w:tcPr>
          <w:p w14:paraId="0B1071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57.4%</w:t>
            </w:r>
          </w:p>
        </w:tc>
        <w:tc>
          <w:tcPr>
            <w:tcW w:w="1374" w:type="dxa"/>
            <w:noWrap/>
            <w:hideMark/>
          </w:tcPr>
          <w:p w14:paraId="10E258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57.4%</w:t>
            </w:r>
          </w:p>
        </w:tc>
        <w:tc>
          <w:tcPr>
            <w:tcW w:w="1602" w:type="dxa"/>
            <w:noWrap/>
            <w:hideMark/>
          </w:tcPr>
          <w:p w14:paraId="5663DB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7587E5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FECF1E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0326</w:t>
            </w:r>
          </w:p>
        </w:tc>
        <w:tc>
          <w:tcPr>
            <w:tcW w:w="2880" w:type="dxa"/>
            <w:noWrap/>
            <w:hideMark/>
          </w:tcPr>
          <w:p w14:paraId="300A03D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Westford</w:t>
            </w:r>
          </w:p>
        </w:tc>
        <w:tc>
          <w:tcPr>
            <w:tcW w:w="1148" w:type="dxa"/>
            <w:noWrap/>
            <w:hideMark/>
          </w:tcPr>
          <w:p w14:paraId="0B411FE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C7287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$38,818,432 </w:t>
            </w:r>
          </w:p>
        </w:tc>
        <w:tc>
          <w:tcPr>
            <w:tcW w:w="1786" w:type="dxa"/>
            <w:noWrap/>
            <w:hideMark/>
          </w:tcPr>
          <w:p w14:paraId="30B255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$12,975,693 </w:t>
            </w:r>
          </w:p>
        </w:tc>
        <w:tc>
          <w:tcPr>
            <w:tcW w:w="901" w:type="dxa"/>
            <w:noWrap/>
            <w:hideMark/>
          </w:tcPr>
          <w:p w14:paraId="448AFB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36.9%</w:t>
            </w:r>
          </w:p>
        </w:tc>
        <w:tc>
          <w:tcPr>
            <w:tcW w:w="1374" w:type="dxa"/>
            <w:noWrap/>
            <w:hideMark/>
          </w:tcPr>
          <w:p w14:paraId="22D17A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33.4%</w:t>
            </w:r>
          </w:p>
        </w:tc>
        <w:tc>
          <w:tcPr>
            <w:tcW w:w="1602" w:type="dxa"/>
            <w:noWrap/>
            <w:hideMark/>
          </w:tcPr>
          <w:p w14:paraId="59472C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A94C59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86C0A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$50,292,113</w:t>
            </w:r>
          </w:p>
        </w:tc>
        <w:tc>
          <w:tcPr>
            <w:tcW w:w="1786" w:type="dxa"/>
            <w:noWrap/>
            <w:hideMark/>
          </w:tcPr>
          <w:p w14:paraId="43D1B9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$17,144,235</w:t>
            </w:r>
          </w:p>
        </w:tc>
        <w:tc>
          <w:tcPr>
            <w:tcW w:w="901" w:type="dxa"/>
            <w:noWrap/>
            <w:hideMark/>
          </w:tcPr>
          <w:p w14:paraId="5FCDE5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24.8%</w:t>
            </w:r>
          </w:p>
        </w:tc>
        <w:tc>
          <w:tcPr>
            <w:tcW w:w="1374" w:type="dxa"/>
            <w:noWrap/>
            <w:hideMark/>
          </w:tcPr>
          <w:p w14:paraId="78E30D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34.1%</w:t>
            </w:r>
          </w:p>
        </w:tc>
        <w:tc>
          <w:tcPr>
            <w:tcW w:w="1602" w:type="dxa"/>
            <w:noWrap/>
            <w:hideMark/>
          </w:tcPr>
          <w:p w14:paraId="3984D1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$4,144,281</w:t>
            </w:r>
          </w:p>
        </w:tc>
      </w:tr>
      <w:tr w:rsidR="008C6E34" w:rsidRPr="008C6E34" w14:paraId="726652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8F399C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0327</w:t>
            </w:r>
          </w:p>
        </w:tc>
        <w:tc>
          <w:tcPr>
            <w:tcW w:w="2880" w:type="dxa"/>
            <w:noWrap/>
            <w:hideMark/>
          </w:tcPr>
          <w:p w14:paraId="145F871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Westhampton</w:t>
            </w:r>
          </w:p>
        </w:tc>
        <w:tc>
          <w:tcPr>
            <w:tcW w:w="1148" w:type="dxa"/>
            <w:noWrap/>
            <w:hideMark/>
          </w:tcPr>
          <w:p w14:paraId="2FCF4E3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EF920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$1,161,648 </w:t>
            </w:r>
          </w:p>
        </w:tc>
        <w:tc>
          <w:tcPr>
            <w:tcW w:w="1786" w:type="dxa"/>
            <w:noWrap/>
            <w:hideMark/>
          </w:tcPr>
          <w:p w14:paraId="765EAE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$341,741 </w:t>
            </w:r>
          </w:p>
        </w:tc>
        <w:tc>
          <w:tcPr>
            <w:tcW w:w="901" w:type="dxa"/>
            <w:noWrap/>
            <w:hideMark/>
          </w:tcPr>
          <w:p w14:paraId="295EEC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48.6%</w:t>
            </w:r>
          </w:p>
        </w:tc>
        <w:tc>
          <w:tcPr>
            <w:tcW w:w="1374" w:type="dxa"/>
            <w:noWrap/>
            <w:hideMark/>
          </w:tcPr>
          <w:p w14:paraId="399454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w:t>
            </w:r>
          </w:p>
        </w:tc>
        <w:tc>
          <w:tcPr>
            <w:tcW w:w="1602" w:type="dxa"/>
            <w:noWrap/>
            <w:hideMark/>
          </w:tcPr>
          <w:p w14:paraId="0A6DF4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$10,910</w:t>
            </w:r>
          </w:p>
        </w:tc>
        <w:tc>
          <w:tcPr>
            <w:tcW w:w="1264" w:type="dxa"/>
            <w:noWrap/>
            <w:hideMark/>
          </w:tcPr>
          <w:p w14:paraId="3751534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5F422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$1,392,809</w:t>
            </w:r>
          </w:p>
        </w:tc>
        <w:tc>
          <w:tcPr>
            <w:tcW w:w="1786" w:type="dxa"/>
            <w:noWrap/>
            <w:hideMark/>
          </w:tcPr>
          <w:p w14:paraId="41D02D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$477,140</w:t>
            </w:r>
          </w:p>
        </w:tc>
        <w:tc>
          <w:tcPr>
            <w:tcW w:w="901" w:type="dxa"/>
            <w:noWrap/>
            <w:hideMark/>
          </w:tcPr>
          <w:p w14:paraId="6A7546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27.8%</w:t>
            </w:r>
          </w:p>
        </w:tc>
        <w:tc>
          <w:tcPr>
            <w:tcW w:w="1374" w:type="dxa"/>
            <w:noWrap/>
            <w:hideMark/>
          </w:tcPr>
          <w:p w14:paraId="301B91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34.3%</w:t>
            </w:r>
          </w:p>
        </w:tc>
        <w:tc>
          <w:tcPr>
            <w:tcW w:w="1602" w:type="dxa"/>
            <w:noWrap/>
            <w:hideMark/>
          </w:tcPr>
          <w:p w14:paraId="2CB337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$78,216</w:t>
            </w:r>
          </w:p>
        </w:tc>
      </w:tr>
      <w:tr w:rsidR="008C6E34" w:rsidRPr="008C6E34" w14:paraId="4C4ACD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A85EF2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0328</w:t>
            </w:r>
          </w:p>
        </w:tc>
        <w:tc>
          <w:tcPr>
            <w:tcW w:w="2880" w:type="dxa"/>
            <w:noWrap/>
            <w:hideMark/>
          </w:tcPr>
          <w:p w14:paraId="5F34A99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Westminster</w:t>
            </w:r>
          </w:p>
        </w:tc>
        <w:tc>
          <w:tcPr>
            <w:tcW w:w="1148" w:type="dxa"/>
            <w:noWrap/>
            <w:hideMark/>
          </w:tcPr>
          <w:p w14:paraId="025A30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58FB50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C3C47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6F9356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41.6%</w:t>
            </w:r>
          </w:p>
        </w:tc>
        <w:tc>
          <w:tcPr>
            <w:tcW w:w="1374" w:type="dxa"/>
            <w:noWrap/>
            <w:hideMark/>
          </w:tcPr>
          <w:p w14:paraId="026692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40EED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BB3652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6C3CEF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8B143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4374AC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44.6%</w:t>
            </w:r>
          </w:p>
        </w:tc>
        <w:tc>
          <w:tcPr>
            <w:tcW w:w="1374" w:type="dxa"/>
            <w:noWrap/>
            <w:hideMark/>
          </w:tcPr>
          <w:p w14:paraId="6E1BC5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A8646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5A7760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CC9DC0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0329</w:t>
            </w:r>
          </w:p>
        </w:tc>
        <w:tc>
          <w:tcPr>
            <w:tcW w:w="2880" w:type="dxa"/>
            <w:noWrap/>
            <w:hideMark/>
          </w:tcPr>
          <w:p w14:paraId="1709D7F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Newbury</w:t>
            </w:r>
          </w:p>
        </w:tc>
        <w:tc>
          <w:tcPr>
            <w:tcW w:w="1148" w:type="dxa"/>
            <w:noWrap/>
            <w:hideMark/>
          </w:tcPr>
          <w:p w14:paraId="6FAF3B8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308C97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C8D4B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3A03B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52017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B3CF2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C33D87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C03EA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D4917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81F4C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3C0EB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7B0B90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872DF5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467B64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0330</w:t>
            </w:r>
          </w:p>
        </w:tc>
        <w:tc>
          <w:tcPr>
            <w:tcW w:w="2880" w:type="dxa"/>
            <w:noWrap/>
            <w:hideMark/>
          </w:tcPr>
          <w:p w14:paraId="19C94D9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Weston</w:t>
            </w:r>
          </w:p>
        </w:tc>
        <w:tc>
          <w:tcPr>
            <w:tcW w:w="1148" w:type="dxa"/>
            <w:noWrap/>
            <w:hideMark/>
          </w:tcPr>
          <w:p w14:paraId="5AB2546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65BBB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$17,307,605 </w:t>
            </w:r>
          </w:p>
        </w:tc>
        <w:tc>
          <w:tcPr>
            <w:tcW w:w="1786" w:type="dxa"/>
            <w:noWrap/>
            <w:hideMark/>
          </w:tcPr>
          <w:p w14:paraId="0830E7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$1,790,526 </w:t>
            </w:r>
          </w:p>
        </w:tc>
        <w:tc>
          <w:tcPr>
            <w:tcW w:w="901" w:type="dxa"/>
            <w:noWrap/>
            <w:hideMark/>
          </w:tcPr>
          <w:p w14:paraId="572799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531B8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10.3%</w:t>
            </w:r>
          </w:p>
        </w:tc>
        <w:tc>
          <w:tcPr>
            <w:tcW w:w="1602" w:type="dxa"/>
            <w:noWrap/>
            <w:hideMark/>
          </w:tcPr>
          <w:p w14:paraId="7F8A89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$1,790,526</w:t>
            </w:r>
          </w:p>
        </w:tc>
        <w:tc>
          <w:tcPr>
            <w:tcW w:w="1264" w:type="dxa"/>
            <w:noWrap/>
            <w:hideMark/>
          </w:tcPr>
          <w:p w14:paraId="00D9341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7AF3F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$22,508,838</w:t>
            </w:r>
          </w:p>
        </w:tc>
        <w:tc>
          <w:tcPr>
            <w:tcW w:w="1786" w:type="dxa"/>
            <w:noWrap/>
            <w:hideMark/>
          </w:tcPr>
          <w:p w14:paraId="09195F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$3,949,220</w:t>
            </w:r>
          </w:p>
        </w:tc>
        <w:tc>
          <w:tcPr>
            <w:tcW w:w="901" w:type="dxa"/>
            <w:noWrap/>
            <w:hideMark/>
          </w:tcPr>
          <w:p w14:paraId="2D7B19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684EC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1476B1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$10,173</w:t>
            </w:r>
          </w:p>
        </w:tc>
      </w:tr>
      <w:tr w:rsidR="008C6E34" w:rsidRPr="008C6E34" w14:paraId="2061751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9EEFF7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0331</w:t>
            </w:r>
          </w:p>
        </w:tc>
        <w:tc>
          <w:tcPr>
            <w:tcW w:w="2880" w:type="dxa"/>
            <w:noWrap/>
            <w:hideMark/>
          </w:tcPr>
          <w:p w14:paraId="40CB89E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Westport</w:t>
            </w:r>
          </w:p>
        </w:tc>
        <w:tc>
          <w:tcPr>
            <w:tcW w:w="1148" w:type="dxa"/>
            <w:noWrap/>
            <w:hideMark/>
          </w:tcPr>
          <w:p w14:paraId="5B75CD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1676F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$13,865,149 </w:t>
            </w:r>
          </w:p>
        </w:tc>
        <w:tc>
          <w:tcPr>
            <w:tcW w:w="1786" w:type="dxa"/>
            <w:noWrap/>
            <w:hideMark/>
          </w:tcPr>
          <w:p w14:paraId="082F4D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$4,191,901 </w:t>
            </w:r>
          </w:p>
        </w:tc>
        <w:tc>
          <w:tcPr>
            <w:tcW w:w="901" w:type="dxa"/>
            <w:noWrap/>
            <w:hideMark/>
          </w:tcPr>
          <w:p w14:paraId="19AA4F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5B0DC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30.2%</w:t>
            </w:r>
          </w:p>
        </w:tc>
        <w:tc>
          <w:tcPr>
            <w:tcW w:w="1602" w:type="dxa"/>
            <w:noWrap/>
            <w:hideMark/>
          </w:tcPr>
          <w:p w14:paraId="5D19DF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$756,630</w:t>
            </w:r>
          </w:p>
        </w:tc>
        <w:tc>
          <w:tcPr>
            <w:tcW w:w="1264" w:type="dxa"/>
            <w:noWrap/>
            <w:hideMark/>
          </w:tcPr>
          <w:p w14:paraId="448FB29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7C351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$16,245,199</w:t>
            </w:r>
          </w:p>
        </w:tc>
        <w:tc>
          <w:tcPr>
            <w:tcW w:w="1786" w:type="dxa"/>
            <w:noWrap/>
            <w:hideMark/>
          </w:tcPr>
          <w:p w14:paraId="7B0C25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$4,559,462</w:t>
            </w:r>
          </w:p>
        </w:tc>
        <w:tc>
          <w:tcPr>
            <w:tcW w:w="901" w:type="dxa"/>
            <w:noWrap/>
            <w:hideMark/>
          </w:tcPr>
          <w:p w14:paraId="1C0D0F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C23CB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28.1%</w:t>
            </w:r>
          </w:p>
        </w:tc>
        <w:tc>
          <w:tcPr>
            <w:tcW w:w="1602" w:type="dxa"/>
            <w:noWrap/>
            <w:hideMark/>
          </w:tcPr>
          <w:p w14:paraId="444183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$1,460,607</w:t>
            </w:r>
          </w:p>
        </w:tc>
      </w:tr>
      <w:tr w:rsidR="008C6E34" w:rsidRPr="008C6E34" w14:paraId="46D5D03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5D5F9A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0332</w:t>
            </w:r>
          </w:p>
        </w:tc>
        <w:tc>
          <w:tcPr>
            <w:tcW w:w="2880" w:type="dxa"/>
            <w:noWrap/>
            <w:hideMark/>
          </w:tcPr>
          <w:p w14:paraId="0CD65C2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Springfield</w:t>
            </w:r>
          </w:p>
        </w:tc>
        <w:tc>
          <w:tcPr>
            <w:tcW w:w="1148" w:type="dxa"/>
            <w:noWrap/>
            <w:hideMark/>
          </w:tcPr>
          <w:p w14:paraId="1699DC4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7A515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$33,870,575 </w:t>
            </w:r>
          </w:p>
        </w:tc>
        <w:tc>
          <w:tcPr>
            <w:tcW w:w="1786" w:type="dxa"/>
            <w:noWrap/>
            <w:hideMark/>
          </w:tcPr>
          <w:p w14:paraId="0342D4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$15,272,061 </w:t>
            </w:r>
          </w:p>
        </w:tc>
        <w:tc>
          <w:tcPr>
            <w:tcW w:w="901" w:type="dxa"/>
            <w:noWrap/>
            <w:hideMark/>
          </w:tcPr>
          <w:p w14:paraId="35D89F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54.0%</w:t>
            </w:r>
          </w:p>
        </w:tc>
        <w:tc>
          <w:tcPr>
            <w:tcW w:w="1374" w:type="dxa"/>
            <w:noWrap/>
            <w:hideMark/>
          </w:tcPr>
          <w:p w14:paraId="5277CD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45.1%</w:t>
            </w:r>
          </w:p>
        </w:tc>
        <w:tc>
          <w:tcPr>
            <w:tcW w:w="1602" w:type="dxa"/>
            <w:noWrap/>
            <w:hideMark/>
          </w:tcPr>
          <w:p w14:paraId="591C16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5A7C74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094D8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$51,872,244</w:t>
            </w:r>
          </w:p>
        </w:tc>
        <w:tc>
          <w:tcPr>
            <w:tcW w:w="1786" w:type="dxa"/>
            <w:noWrap/>
            <w:hideMark/>
          </w:tcPr>
          <w:p w14:paraId="594045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$31,406,263</w:t>
            </w:r>
          </w:p>
        </w:tc>
        <w:tc>
          <w:tcPr>
            <w:tcW w:w="901" w:type="dxa"/>
            <w:noWrap/>
            <w:hideMark/>
          </w:tcPr>
          <w:p w14:paraId="11ACF5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58.6%</w:t>
            </w:r>
          </w:p>
        </w:tc>
        <w:tc>
          <w:tcPr>
            <w:tcW w:w="1374" w:type="dxa"/>
            <w:noWrap/>
            <w:hideMark/>
          </w:tcPr>
          <w:p w14:paraId="333FD1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60.5%</w:t>
            </w:r>
          </w:p>
        </w:tc>
        <w:tc>
          <w:tcPr>
            <w:tcW w:w="1602" w:type="dxa"/>
            <w:noWrap/>
            <w:hideMark/>
          </w:tcPr>
          <w:p w14:paraId="3256CB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CBB290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3A2A0A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0333</w:t>
            </w:r>
          </w:p>
        </w:tc>
        <w:tc>
          <w:tcPr>
            <w:tcW w:w="2880" w:type="dxa"/>
            <w:noWrap/>
            <w:hideMark/>
          </w:tcPr>
          <w:p w14:paraId="60FA277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Stockbridge</w:t>
            </w:r>
          </w:p>
        </w:tc>
        <w:tc>
          <w:tcPr>
            <w:tcW w:w="1148" w:type="dxa"/>
            <w:noWrap/>
            <w:hideMark/>
          </w:tcPr>
          <w:p w14:paraId="77C909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768404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19DB7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5A9B5E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58B16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3E9BF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95EBDA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129EA7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B861E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34A1E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D7E2B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C6794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71F88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321239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0334</w:t>
            </w:r>
          </w:p>
        </w:tc>
        <w:tc>
          <w:tcPr>
            <w:tcW w:w="2880" w:type="dxa"/>
            <w:noWrap/>
            <w:hideMark/>
          </w:tcPr>
          <w:p w14:paraId="196041D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 Tisbury</w:t>
            </w:r>
          </w:p>
        </w:tc>
        <w:tc>
          <w:tcPr>
            <w:tcW w:w="1148" w:type="dxa"/>
            <w:noWrap/>
            <w:hideMark/>
          </w:tcPr>
          <w:p w14:paraId="1CCA75A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E0F4E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4C4424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6D3A0B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6CCEA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E5FB3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880477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0C424A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663EE7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164B17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9E04E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D2532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A6D6D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FC8B2B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0335</w:t>
            </w:r>
          </w:p>
        </w:tc>
        <w:tc>
          <w:tcPr>
            <w:tcW w:w="2880" w:type="dxa"/>
            <w:noWrap/>
            <w:hideMark/>
          </w:tcPr>
          <w:p w14:paraId="117C315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Westwood</w:t>
            </w:r>
          </w:p>
        </w:tc>
        <w:tc>
          <w:tcPr>
            <w:tcW w:w="1148" w:type="dxa"/>
            <w:noWrap/>
            <w:hideMark/>
          </w:tcPr>
          <w:p w14:paraId="647D351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26B6B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$22,498,089 </w:t>
            </w:r>
          </w:p>
        </w:tc>
        <w:tc>
          <w:tcPr>
            <w:tcW w:w="1786" w:type="dxa"/>
            <w:noWrap/>
            <w:hideMark/>
          </w:tcPr>
          <w:p w14:paraId="5E1968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$2,588,559 </w:t>
            </w:r>
          </w:p>
        </w:tc>
        <w:tc>
          <w:tcPr>
            <w:tcW w:w="901" w:type="dxa"/>
            <w:noWrap/>
            <w:hideMark/>
          </w:tcPr>
          <w:p w14:paraId="0FC510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60678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11.5%</w:t>
            </w:r>
          </w:p>
        </w:tc>
        <w:tc>
          <w:tcPr>
            <w:tcW w:w="1602" w:type="dxa"/>
            <w:noWrap/>
            <w:hideMark/>
          </w:tcPr>
          <w:p w14:paraId="1145D6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$2,026,886</w:t>
            </w:r>
          </w:p>
        </w:tc>
        <w:tc>
          <w:tcPr>
            <w:tcW w:w="1264" w:type="dxa"/>
            <w:noWrap/>
            <w:hideMark/>
          </w:tcPr>
          <w:p w14:paraId="3F44652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DE8FD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$31,407,909</w:t>
            </w:r>
          </w:p>
        </w:tc>
        <w:tc>
          <w:tcPr>
            <w:tcW w:w="1786" w:type="dxa"/>
            <w:noWrap/>
            <w:hideMark/>
          </w:tcPr>
          <w:p w14:paraId="2E4B64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$5,496,384</w:t>
            </w:r>
          </w:p>
        </w:tc>
        <w:tc>
          <w:tcPr>
            <w:tcW w:w="901" w:type="dxa"/>
            <w:noWrap/>
            <w:hideMark/>
          </w:tcPr>
          <w:p w14:paraId="1D6A75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83697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015E51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EEE51B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31AC1D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0336</w:t>
            </w:r>
          </w:p>
        </w:tc>
        <w:tc>
          <w:tcPr>
            <w:tcW w:w="2880" w:type="dxa"/>
            <w:noWrap/>
            <w:hideMark/>
          </w:tcPr>
          <w:p w14:paraId="648B556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Weymouth</w:t>
            </w:r>
          </w:p>
        </w:tc>
        <w:tc>
          <w:tcPr>
            <w:tcW w:w="1148" w:type="dxa"/>
            <w:noWrap/>
            <w:hideMark/>
          </w:tcPr>
          <w:p w14:paraId="5058D94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B94C9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$54,069,184 </w:t>
            </w:r>
          </w:p>
        </w:tc>
        <w:tc>
          <w:tcPr>
            <w:tcW w:w="1786" w:type="dxa"/>
            <w:noWrap/>
            <w:hideMark/>
          </w:tcPr>
          <w:p w14:paraId="1604B5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$21,059,789 </w:t>
            </w:r>
          </w:p>
        </w:tc>
        <w:tc>
          <w:tcPr>
            <w:tcW w:w="901" w:type="dxa"/>
            <w:noWrap/>
            <w:hideMark/>
          </w:tcPr>
          <w:p w14:paraId="4DAB78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24.0%</w:t>
            </w:r>
          </w:p>
        </w:tc>
        <w:tc>
          <w:tcPr>
            <w:tcW w:w="1374" w:type="dxa"/>
            <w:noWrap/>
            <w:hideMark/>
          </w:tcPr>
          <w:p w14:paraId="463F7A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38.9%</w:t>
            </w:r>
          </w:p>
        </w:tc>
        <w:tc>
          <w:tcPr>
            <w:tcW w:w="1602" w:type="dxa"/>
            <w:noWrap/>
            <w:hideMark/>
          </w:tcPr>
          <w:p w14:paraId="0C487B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3B481B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EE0C6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$71,911,346</w:t>
            </w:r>
          </w:p>
        </w:tc>
        <w:tc>
          <w:tcPr>
            <w:tcW w:w="1786" w:type="dxa"/>
            <w:noWrap/>
            <w:hideMark/>
          </w:tcPr>
          <w:p w14:paraId="202E32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$28,433,225</w:t>
            </w:r>
          </w:p>
        </w:tc>
        <w:tc>
          <w:tcPr>
            <w:tcW w:w="901" w:type="dxa"/>
            <w:noWrap/>
            <w:hideMark/>
          </w:tcPr>
          <w:p w14:paraId="2756BD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w:t>
            </w:r>
          </w:p>
        </w:tc>
        <w:tc>
          <w:tcPr>
            <w:tcW w:w="1374" w:type="dxa"/>
            <w:noWrap/>
            <w:hideMark/>
          </w:tcPr>
          <w:p w14:paraId="45B521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39.5%</w:t>
            </w:r>
          </w:p>
        </w:tc>
        <w:tc>
          <w:tcPr>
            <w:tcW w:w="1602" w:type="dxa"/>
            <w:noWrap/>
            <w:hideMark/>
          </w:tcPr>
          <w:p w14:paraId="50C69F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$10,744,784</w:t>
            </w:r>
          </w:p>
        </w:tc>
      </w:tr>
      <w:tr w:rsidR="008C6E34" w:rsidRPr="008C6E34" w14:paraId="713CCAE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7C2DC0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0337</w:t>
            </w:r>
          </w:p>
        </w:tc>
        <w:tc>
          <w:tcPr>
            <w:tcW w:w="2880" w:type="dxa"/>
            <w:noWrap/>
            <w:hideMark/>
          </w:tcPr>
          <w:p w14:paraId="1980226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Whately</w:t>
            </w:r>
          </w:p>
        </w:tc>
        <w:tc>
          <w:tcPr>
            <w:tcW w:w="1148" w:type="dxa"/>
            <w:noWrap/>
            <w:hideMark/>
          </w:tcPr>
          <w:p w14:paraId="63B4C1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862D9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$847,600 </w:t>
            </w:r>
          </w:p>
        </w:tc>
        <w:tc>
          <w:tcPr>
            <w:tcW w:w="1786" w:type="dxa"/>
            <w:noWrap/>
            <w:hideMark/>
          </w:tcPr>
          <w:p w14:paraId="732D80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$172,888 </w:t>
            </w:r>
          </w:p>
        </w:tc>
        <w:tc>
          <w:tcPr>
            <w:tcW w:w="901" w:type="dxa"/>
            <w:noWrap/>
            <w:hideMark/>
          </w:tcPr>
          <w:p w14:paraId="3396FC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40.1%</w:t>
            </w:r>
          </w:p>
        </w:tc>
        <w:tc>
          <w:tcPr>
            <w:tcW w:w="1374" w:type="dxa"/>
            <w:noWrap/>
            <w:hideMark/>
          </w:tcPr>
          <w:p w14:paraId="426CD1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20.4%</w:t>
            </w:r>
          </w:p>
        </w:tc>
        <w:tc>
          <w:tcPr>
            <w:tcW w:w="1602" w:type="dxa"/>
            <w:noWrap/>
            <w:hideMark/>
          </w:tcPr>
          <w:p w14:paraId="63BCB8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$73,197</w:t>
            </w:r>
          </w:p>
        </w:tc>
        <w:tc>
          <w:tcPr>
            <w:tcW w:w="1264" w:type="dxa"/>
            <w:noWrap/>
            <w:hideMark/>
          </w:tcPr>
          <w:p w14:paraId="5A04813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9DDC4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$968,969</w:t>
            </w:r>
          </w:p>
        </w:tc>
        <w:tc>
          <w:tcPr>
            <w:tcW w:w="1786" w:type="dxa"/>
            <w:noWrap/>
            <w:hideMark/>
          </w:tcPr>
          <w:p w14:paraId="4BC221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$264,770</w:t>
            </w:r>
          </w:p>
        </w:tc>
        <w:tc>
          <w:tcPr>
            <w:tcW w:w="901" w:type="dxa"/>
            <w:noWrap/>
            <w:hideMark/>
          </w:tcPr>
          <w:p w14:paraId="719130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18.2%</w:t>
            </w:r>
          </w:p>
        </w:tc>
        <w:tc>
          <w:tcPr>
            <w:tcW w:w="1374" w:type="dxa"/>
            <w:noWrap/>
            <w:hideMark/>
          </w:tcPr>
          <w:p w14:paraId="6A0140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27.3%</w:t>
            </w:r>
          </w:p>
        </w:tc>
        <w:tc>
          <w:tcPr>
            <w:tcW w:w="1602" w:type="dxa"/>
            <w:noWrap/>
            <w:hideMark/>
          </w:tcPr>
          <w:p w14:paraId="4D0FC6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$88,020</w:t>
            </w:r>
          </w:p>
        </w:tc>
      </w:tr>
      <w:tr w:rsidR="008C6E34" w:rsidRPr="008C6E34" w14:paraId="113B5C5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44097F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0338</w:t>
            </w:r>
          </w:p>
        </w:tc>
        <w:tc>
          <w:tcPr>
            <w:tcW w:w="2880" w:type="dxa"/>
            <w:noWrap/>
            <w:hideMark/>
          </w:tcPr>
          <w:p w14:paraId="7D12EAC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Whitman</w:t>
            </w:r>
          </w:p>
        </w:tc>
        <w:tc>
          <w:tcPr>
            <w:tcW w:w="1148" w:type="dxa"/>
            <w:noWrap/>
            <w:hideMark/>
          </w:tcPr>
          <w:p w14:paraId="59C5741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70264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$172,717 </w:t>
            </w:r>
          </w:p>
        </w:tc>
        <w:tc>
          <w:tcPr>
            <w:tcW w:w="1786" w:type="dxa"/>
            <w:noWrap/>
            <w:hideMark/>
          </w:tcPr>
          <w:p w14:paraId="01CCCE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$126,825 </w:t>
            </w:r>
          </w:p>
        </w:tc>
        <w:tc>
          <w:tcPr>
            <w:tcW w:w="901" w:type="dxa"/>
            <w:noWrap/>
            <w:hideMark/>
          </w:tcPr>
          <w:p w14:paraId="291365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53.1%</w:t>
            </w:r>
          </w:p>
        </w:tc>
        <w:tc>
          <w:tcPr>
            <w:tcW w:w="1374" w:type="dxa"/>
            <w:noWrap/>
            <w:hideMark/>
          </w:tcPr>
          <w:p w14:paraId="681B27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73.4%</w:t>
            </w:r>
          </w:p>
        </w:tc>
        <w:tc>
          <w:tcPr>
            <w:tcW w:w="1602" w:type="dxa"/>
            <w:noWrap/>
            <w:hideMark/>
          </w:tcPr>
          <w:p w14:paraId="74C6AC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$6,296</w:t>
            </w:r>
          </w:p>
        </w:tc>
        <w:tc>
          <w:tcPr>
            <w:tcW w:w="1264" w:type="dxa"/>
            <w:noWrap/>
            <w:hideMark/>
          </w:tcPr>
          <w:p w14:paraId="04E76A2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3CE071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$143,718</w:t>
            </w:r>
          </w:p>
        </w:tc>
        <w:tc>
          <w:tcPr>
            <w:tcW w:w="1786" w:type="dxa"/>
            <w:noWrap/>
            <w:hideMark/>
          </w:tcPr>
          <w:p w14:paraId="096758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$80,336</w:t>
            </w:r>
          </w:p>
        </w:tc>
        <w:tc>
          <w:tcPr>
            <w:tcW w:w="901" w:type="dxa"/>
            <w:noWrap/>
            <w:hideMark/>
          </w:tcPr>
          <w:p w14:paraId="5CBF37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53.1%</w:t>
            </w:r>
          </w:p>
        </w:tc>
        <w:tc>
          <w:tcPr>
            <w:tcW w:w="1374" w:type="dxa"/>
            <w:noWrap/>
            <w:hideMark/>
          </w:tcPr>
          <w:p w14:paraId="2EAE15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55.9%</w:t>
            </w:r>
          </w:p>
        </w:tc>
        <w:tc>
          <w:tcPr>
            <w:tcW w:w="1602" w:type="dxa"/>
            <w:noWrap/>
            <w:hideMark/>
          </w:tcPr>
          <w:p w14:paraId="677BBE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$716</w:t>
            </w:r>
          </w:p>
        </w:tc>
      </w:tr>
      <w:tr w:rsidR="008C6E34" w:rsidRPr="008C6E34" w14:paraId="0C45CEA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D51BAC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0339</w:t>
            </w:r>
          </w:p>
        </w:tc>
        <w:tc>
          <w:tcPr>
            <w:tcW w:w="2880" w:type="dxa"/>
            <w:noWrap/>
            <w:hideMark/>
          </w:tcPr>
          <w:p w14:paraId="33779AA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Wilbraham</w:t>
            </w:r>
          </w:p>
        </w:tc>
        <w:tc>
          <w:tcPr>
            <w:tcW w:w="1148" w:type="dxa"/>
            <w:noWrap/>
            <w:hideMark/>
          </w:tcPr>
          <w:p w14:paraId="0E75704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4A6246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738EC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DDCB3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43.6%</w:t>
            </w:r>
          </w:p>
        </w:tc>
        <w:tc>
          <w:tcPr>
            <w:tcW w:w="1374" w:type="dxa"/>
            <w:noWrap/>
            <w:hideMark/>
          </w:tcPr>
          <w:p w14:paraId="36D237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39B8B8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E83FC3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287020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708D4A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77722F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36.6%</w:t>
            </w:r>
          </w:p>
        </w:tc>
        <w:tc>
          <w:tcPr>
            <w:tcW w:w="1374" w:type="dxa"/>
            <w:noWrap/>
            <w:hideMark/>
          </w:tcPr>
          <w:p w14:paraId="728613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C949C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4C8CF1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D1657F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0340</w:t>
            </w:r>
          </w:p>
        </w:tc>
        <w:tc>
          <w:tcPr>
            <w:tcW w:w="2880" w:type="dxa"/>
            <w:noWrap/>
            <w:hideMark/>
          </w:tcPr>
          <w:p w14:paraId="0D39F43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Williamsburg</w:t>
            </w:r>
          </w:p>
        </w:tc>
        <w:tc>
          <w:tcPr>
            <w:tcW w:w="1148" w:type="dxa"/>
            <w:noWrap/>
            <w:hideMark/>
          </w:tcPr>
          <w:p w14:paraId="035A356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6BF60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$1,431,625 </w:t>
            </w:r>
          </w:p>
        </w:tc>
        <w:tc>
          <w:tcPr>
            <w:tcW w:w="1786" w:type="dxa"/>
            <w:noWrap/>
            <w:hideMark/>
          </w:tcPr>
          <w:p w14:paraId="66F7FE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$401,047 </w:t>
            </w:r>
          </w:p>
        </w:tc>
        <w:tc>
          <w:tcPr>
            <w:tcW w:w="901" w:type="dxa"/>
            <w:noWrap/>
            <w:hideMark/>
          </w:tcPr>
          <w:p w14:paraId="52FAEA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w:t>
            </w:r>
          </w:p>
        </w:tc>
        <w:tc>
          <w:tcPr>
            <w:tcW w:w="1374" w:type="dxa"/>
            <w:noWrap/>
            <w:hideMark/>
          </w:tcPr>
          <w:p w14:paraId="7F13DF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28.0%</w:t>
            </w:r>
          </w:p>
        </w:tc>
        <w:tc>
          <w:tcPr>
            <w:tcW w:w="1602" w:type="dxa"/>
            <w:noWrap/>
            <w:hideMark/>
          </w:tcPr>
          <w:p w14:paraId="386530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$192,941</w:t>
            </w:r>
          </w:p>
        </w:tc>
        <w:tc>
          <w:tcPr>
            <w:tcW w:w="1264" w:type="dxa"/>
            <w:noWrap/>
            <w:hideMark/>
          </w:tcPr>
          <w:p w14:paraId="1CF96AA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77D93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$1,900,771</w:t>
            </w:r>
          </w:p>
        </w:tc>
        <w:tc>
          <w:tcPr>
            <w:tcW w:w="1786" w:type="dxa"/>
            <w:noWrap/>
            <w:hideMark/>
          </w:tcPr>
          <w:p w14:paraId="1793B2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$665,637</w:t>
            </w:r>
          </w:p>
        </w:tc>
        <w:tc>
          <w:tcPr>
            <w:tcW w:w="901" w:type="dxa"/>
            <w:noWrap/>
            <w:hideMark/>
          </w:tcPr>
          <w:p w14:paraId="1827CD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35.0%</w:t>
            </w:r>
          </w:p>
        </w:tc>
        <w:tc>
          <w:tcPr>
            <w:tcW w:w="1374" w:type="dxa"/>
            <w:noWrap/>
            <w:hideMark/>
          </w:tcPr>
          <w:p w14:paraId="49FCEC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35.0%</w:t>
            </w:r>
          </w:p>
        </w:tc>
        <w:tc>
          <w:tcPr>
            <w:tcW w:w="1602" w:type="dxa"/>
            <w:noWrap/>
            <w:hideMark/>
          </w:tcPr>
          <w:p w14:paraId="071B13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C863B6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6BCEC1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0341</w:t>
            </w:r>
          </w:p>
        </w:tc>
        <w:tc>
          <w:tcPr>
            <w:tcW w:w="2880" w:type="dxa"/>
            <w:noWrap/>
            <w:hideMark/>
          </w:tcPr>
          <w:p w14:paraId="68BAD0B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Williamstown</w:t>
            </w:r>
          </w:p>
        </w:tc>
        <w:tc>
          <w:tcPr>
            <w:tcW w:w="1148" w:type="dxa"/>
            <w:noWrap/>
            <w:hideMark/>
          </w:tcPr>
          <w:p w14:paraId="61E55DC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74AC9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$2,993,565 </w:t>
            </w:r>
          </w:p>
        </w:tc>
        <w:tc>
          <w:tcPr>
            <w:tcW w:w="1786" w:type="dxa"/>
            <w:noWrap/>
            <w:hideMark/>
          </w:tcPr>
          <w:p w14:paraId="4B22D3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$927,943 </w:t>
            </w:r>
          </w:p>
        </w:tc>
        <w:tc>
          <w:tcPr>
            <w:tcW w:w="901" w:type="dxa"/>
            <w:noWrap/>
            <w:hideMark/>
          </w:tcPr>
          <w:p w14:paraId="120C64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089A4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31.0%</w:t>
            </w:r>
          </w:p>
        </w:tc>
        <w:tc>
          <w:tcPr>
            <w:tcW w:w="1602" w:type="dxa"/>
            <w:noWrap/>
            <w:hideMark/>
          </w:tcPr>
          <w:p w14:paraId="3B8912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$927,943</w:t>
            </w:r>
          </w:p>
        </w:tc>
        <w:tc>
          <w:tcPr>
            <w:tcW w:w="1264" w:type="dxa"/>
            <w:noWrap/>
            <w:hideMark/>
          </w:tcPr>
          <w:p w14:paraId="1495DDB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46842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3EC539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2F3BCB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3E98C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1C423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139FEA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4A1D84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0342</w:t>
            </w:r>
          </w:p>
        </w:tc>
        <w:tc>
          <w:tcPr>
            <w:tcW w:w="2880" w:type="dxa"/>
            <w:noWrap/>
            <w:hideMark/>
          </w:tcPr>
          <w:p w14:paraId="7FF1F69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Wilmington</w:t>
            </w:r>
          </w:p>
        </w:tc>
        <w:tc>
          <w:tcPr>
            <w:tcW w:w="1148" w:type="dxa"/>
            <w:noWrap/>
            <w:hideMark/>
          </w:tcPr>
          <w:p w14:paraId="008D51D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888DF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$28,589,474 </w:t>
            </w:r>
          </w:p>
        </w:tc>
        <w:tc>
          <w:tcPr>
            <w:tcW w:w="1786" w:type="dxa"/>
            <w:noWrap/>
            <w:hideMark/>
          </w:tcPr>
          <w:p w14:paraId="45E76F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$4,787,473 </w:t>
            </w:r>
          </w:p>
        </w:tc>
        <w:tc>
          <w:tcPr>
            <w:tcW w:w="901" w:type="dxa"/>
            <w:noWrap/>
            <w:hideMark/>
          </w:tcPr>
          <w:p w14:paraId="5AA60F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34.9%</w:t>
            </w:r>
          </w:p>
        </w:tc>
        <w:tc>
          <w:tcPr>
            <w:tcW w:w="1374" w:type="dxa"/>
            <w:noWrap/>
            <w:hideMark/>
          </w:tcPr>
          <w:p w14:paraId="2FABA2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16.7%</w:t>
            </w:r>
          </w:p>
        </w:tc>
        <w:tc>
          <w:tcPr>
            <w:tcW w:w="1602" w:type="dxa"/>
            <w:noWrap/>
            <w:hideMark/>
          </w:tcPr>
          <w:p w14:paraId="667BFA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$210,969</w:t>
            </w:r>
          </w:p>
        </w:tc>
        <w:tc>
          <w:tcPr>
            <w:tcW w:w="1264" w:type="dxa"/>
            <w:noWrap/>
            <w:hideMark/>
          </w:tcPr>
          <w:p w14:paraId="3D52ED8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16F7C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$34,910,848</w:t>
            </w:r>
          </w:p>
        </w:tc>
        <w:tc>
          <w:tcPr>
            <w:tcW w:w="1786" w:type="dxa"/>
            <w:noWrap/>
            <w:hideMark/>
          </w:tcPr>
          <w:p w14:paraId="1CF621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$11,469,170</w:t>
            </w:r>
          </w:p>
        </w:tc>
        <w:tc>
          <w:tcPr>
            <w:tcW w:w="901" w:type="dxa"/>
            <w:noWrap/>
            <w:hideMark/>
          </w:tcPr>
          <w:p w14:paraId="297ED9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20.0%</w:t>
            </w:r>
          </w:p>
        </w:tc>
        <w:tc>
          <w:tcPr>
            <w:tcW w:w="1374" w:type="dxa"/>
            <w:noWrap/>
            <w:hideMark/>
          </w:tcPr>
          <w:p w14:paraId="026274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32.9%</w:t>
            </w:r>
          </w:p>
        </w:tc>
        <w:tc>
          <w:tcPr>
            <w:tcW w:w="1602" w:type="dxa"/>
            <w:noWrap/>
            <w:hideMark/>
          </w:tcPr>
          <w:p w14:paraId="161C28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$3,881,674</w:t>
            </w:r>
          </w:p>
        </w:tc>
      </w:tr>
      <w:tr w:rsidR="008C6E34" w:rsidRPr="008C6E34" w14:paraId="5FFBB77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8EB1B6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0343</w:t>
            </w:r>
          </w:p>
        </w:tc>
        <w:tc>
          <w:tcPr>
            <w:tcW w:w="2880" w:type="dxa"/>
            <w:noWrap/>
            <w:hideMark/>
          </w:tcPr>
          <w:p w14:paraId="2E87AE0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Winchendon</w:t>
            </w:r>
          </w:p>
        </w:tc>
        <w:tc>
          <w:tcPr>
            <w:tcW w:w="1148" w:type="dxa"/>
            <w:noWrap/>
            <w:hideMark/>
          </w:tcPr>
          <w:p w14:paraId="262C8B2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5E22E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$14,428,043 </w:t>
            </w:r>
          </w:p>
        </w:tc>
        <w:tc>
          <w:tcPr>
            <w:tcW w:w="1786" w:type="dxa"/>
            <w:noWrap/>
            <w:hideMark/>
          </w:tcPr>
          <w:p w14:paraId="21108A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$10,353,509 </w:t>
            </w:r>
          </w:p>
        </w:tc>
        <w:tc>
          <w:tcPr>
            <w:tcW w:w="901" w:type="dxa"/>
            <w:noWrap/>
            <w:hideMark/>
          </w:tcPr>
          <w:p w14:paraId="129365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71.1%</w:t>
            </w:r>
          </w:p>
        </w:tc>
        <w:tc>
          <w:tcPr>
            <w:tcW w:w="1374" w:type="dxa"/>
            <w:noWrap/>
            <w:hideMark/>
          </w:tcPr>
          <w:p w14:paraId="3B9E54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71.8%</w:t>
            </w:r>
          </w:p>
        </w:tc>
        <w:tc>
          <w:tcPr>
            <w:tcW w:w="1602" w:type="dxa"/>
            <w:noWrap/>
            <w:hideMark/>
          </w:tcPr>
          <w:p w14:paraId="440C7B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$161,869</w:t>
            </w:r>
          </w:p>
        </w:tc>
        <w:tc>
          <w:tcPr>
            <w:tcW w:w="1264" w:type="dxa"/>
            <w:noWrap/>
            <w:hideMark/>
          </w:tcPr>
          <w:p w14:paraId="2DE8D21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7D11B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$15,998,737</w:t>
            </w:r>
          </w:p>
        </w:tc>
        <w:tc>
          <w:tcPr>
            <w:tcW w:w="1786" w:type="dxa"/>
            <w:noWrap/>
            <w:hideMark/>
          </w:tcPr>
          <w:p w14:paraId="0C2407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$11,491,100</w:t>
            </w:r>
          </w:p>
        </w:tc>
        <w:tc>
          <w:tcPr>
            <w:tcW w:w="901" w:type="dxa"/>
            <w:noWrap/>
            <w:hideMark/>
          </w:tcPr>
          <w:p w14:paraId="5D36E7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67.8%</w:t>
            </w:r>
          </w:p>
        </w:tc>
        <w:tc>
          <w:tcPr>
            <w:tcW w:w="1374" w:type="dxa"/>
            <w:noWrap/>
            <w:hideMark/>
          </w:tcPr>
          <w:p w14:paraId="1E4FD4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71.8%</w:t>
            </w:r>
          </w:p>
        </w:tc>
        <w:tc>
          <w:tcPr>
            <w:tcW w:w="1602" w:type="dxa"/>
            <w:noWrap/>
            <w:hideMark/>
          </w:tcPr>
          <w:p w14:paraId="77890E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$578,136</w:t>
            </w:r>
          </w:p>
        </w:tc>
      </w:tr>
      <w:tr w:rsidR="008C6E34" w:rsidRPr="008C6E34" w14:paraId="387B212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6BAA69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0344</w:t>
            </w:r>
          </w:p>
        </w:tc>
        <w:tc>
          <w:tcPr>
            <w:tcW w:w="2880" w:type="dxa"/>
            <w:noWrap/>
            <w:hideMark/>
          </w:tcPr>
          <w:p w14:paraId="51962F4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Winchester</w:t>
            </w:r>
          </w:p>
        </w:tc>
        <w:tc>
          <w:tcPr>
            <w:tcW w:w="1148" w:type="dxa"/>
            <w:noWrap/>
            <w:hideMark/>
          </w:tcPr>
          <w:p w14:paraId="09A055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6F4CE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$27,686,228 </w:t>
            </w:r>
          </w:p>
        </w:tc>
        <w:tc>
          <w:tcPr>
            <w:tcW w:w="1786" w:type="dxa"/>
            <w:noWrap/>
            <w:hideMark/>
          </w:tcPr>
          <w:p w14:paraId="58B41C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$3,582,999 </w:t>
            </w:r>
          </w:p>
        </w:tc>
        <w:tc>
          <w:tcPr>
            <w:tcW w:w="901" w:type="dxa"/>
            <w:noWrap/>
            <w:hideMark/>
          </w:tcPr>
          <w:p w14:paraId="10BC7E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A4144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w:t>
            </w:r>
          </w:p>
        </w:tc>
        <w:tc>
          <w:tcPr>
            <w:tcW w:w="1602" w:type="dxa"/>
            <w:noWrap/>
            <w:hideMark/>
          </w:tcPr>
          <w:p w14:paraId="24F5D5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$1,265,553</w:t>
            </w:r>
          </w:p>
        </w:tc>
        <w:tc>
          <w:tcPr>
            <w:tcW w:w="1264" w:type="dxa"/>
            <w:noWrap/>
            <w:hideMark/>
          </w:tcPr>
          <w:p w14:paraId="05FC4D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B3F0D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$48,242,101</w:t>
            </w:r>
          </w:p>
        </w:tc>
        <w:tc>
          <w:tcPr>
            <w:tcW w:w="1786" w:type="dxa"/>
            <w:noWrap/>
            <w:hideMark/>
          </w:tcPr>
          <w:p w14:paraId="7CF97A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$9,421,254</w:t>
            </w:r>
          </w:p>
        </w:tc>
        <w:tc>
          <w:tcPr>
            <w:tcW w:w="901" w:type="dxa"/>
            <w:noWrap/>
            <w:hideMark/>
          </w:tcPr>
          <w:p w14:paraId="09DA8B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01D06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w:t>
            </w:r>
          </w:p>
        </w:tc>
        <w:tc>
          <w:tcPr>
            <w:tcW w:w="1602" w:type="dxa"/>
            <w:noWrap/>
            <w:hideMark/>
          </w:tcPr>
          <w:p w14:paraId="1491CD3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$12,596</w:t>
            </w:r>
          </w:p>
        </w:tc>
      </w:tr>
      <w:tr w:rsidR="008C6E34" w:rsidRPr="008C6E34" w14:paraId="0E9D190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6B2E0E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0345</w:t>
            </w:r>
          </w:p>
        </w:tc>
        <w:tc>
          <w:tcPr>
            <w:tcW w:w="2880" w:type="dxa"/>
            <w:noWrap/>
            <w:hideMark/>
          </w:tcPr>
          <w:p w14:paraId="7769F52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Windsor</w:t>
            </w:r>
          </w:p>
        </w:tc>
        <w:tc>
          <w:tcPr>
            <w:tcW w:w="1148" w:type="dxa"/>
            <w:noWrap/>
            <w:hideMark/>
          </w:tcPr>
          <w:p w14:paraId="36EF863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DFD58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$43,399 </w:t>
            </w:r>
          </w:p>
        </w:tc>
        <w:tc>
          <w:tcPr>
            <w:tcW w:w="1786" w:type="dxa"/>
            <w:noWrap/>
            <w:hideMark/>
          </w:tcPr>
          <w:p w14:paraId="1B4B5C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$30,997 </w:t>
            </w:r>
          </w:p>
        </w:tc>
        <w:tc>
          <w:tcPr>
            <w:tcW w:w="901" w:type="dxa"/>
            <w:noWrap/>
            <w:hideMark/>
          </w:tcPr>
          <w:p w14:paraId="353A4A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50.5%</w:t>
            </w:r>
          </w:p>
        </w:tc>
        <w:tc>
          <w:tcPr>
            <w:tcW w:w="1374" w:type="dxa"/>
            <w:noWrap/>
            <w:hideMark/>
          </w:tcPr>
          <w:p w14:paraId="183676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71.4%</w:t>
            </w:r>
          </w:p>
        </w:tc>
        <w:tc>
          <w:tcPr>
            <w:tcW w:w="1602" w:type="dxa"/>
            <w:noWrap/>
            <w:hideMark/>
          </w:tcPr>
          <w:p w14:paraId="7C7D95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$10,294</w:t>
            </w:r>
          </w:p>
        </w:tc>
        <w:tc>
          <w:tcPr>
            <w:tcW w:w="1264" w:type="dxa"/>
            <w:noWrap/>
            <w:hideMark/>
          </w:tcPr>
          <w:p w14:paraId="78EA9C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B8929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$71,859</w:t>
            </w:r>
          </w:p>
        </w:tc>
        <w:tc>
          <w:tcPr>
            <w:tcW w:w="1786" w:type="dxa"/>
            <w:noWrap/>
            <w:hideMark/>
          </w:tcPr>
          <w:p w14:paraId="38009A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$26,342</w:t>
            </w:r>
          </w:p>
        </w:tc>
        <w:tc>
          <w:tcPr>
            <w:tcW w:w="901" w:type="dxa"/>
            <w:noWrap/>
            <w:hideMark/>
          </w:tcPr>
          <w:p w14:paraId="0A310C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6A95C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36.7%</w:t>
            </w:r>
          </w:p>
        </w:tc>
        <w:tc>
          <w:tcPr>
            <w:tcW w:w="1602" w:type="dxa"/>
            <w:noWrap/>
            <w:hideMark/>
          </w:tcPr>
          <w:p w14:paraId="7A439A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$13,767</w:t>
            </w:r>
          </w:p>
        </w:tc>
      </w:tr>
      <w:tr w:rsidR="008C6E34" w:rsidRPr="008C6E34" w14:paraId="15E8165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BD4E70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0346</w:t>
            </w:r>
          </w:p>
        </w:tc>
        <w:tc>
          <w:tcPr>
            <w:tcW w:w="2880" w:type="dxa"/>
            <w:noWrap/>
            <w:hideMark/>
          </w:tcPr>
          <w:p w14:paraId="71B08D3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Winthrop</w:t>
            </w:r>
          </w:p>
        </w:tc>
        <w:tc>
          <w:tcPr>
            <w:tcW w:w="1148" w:type="dxa"/>
            <w:noWrap/>
            <w:hideMark/>
          </w:tcPr>
          <w:p w14:paraId="1D26CA0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42248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$15,189,263 </w:t>
            </w:r>
          </w:p>
        </w:tc>
        <w:tc>
          <w:tcPr>
            <w:tcW w:w="1786" w:type="dxa"/>
            <w:noWrap/>
            <w:hideMark/>
          </w:tcPr>
          <w:p w14:paraId="624F2E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$4,843,961 </w:t>
            </w:r>
          </w:p>
        </w:tc>
        <w:tc>
          <w:tcPr>
            <w:tcW w:w="901" w:type="dxa"/>
            <w:noWrap/>
            <w:hideMark/>
          </w:tcPr>
          <w:p w14:paraId="12C031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19.7%</w:t>
            </w:r>
          </w:p>
        </w:tc>
        <w:tc>
          <w:tcPr>
            <w:tcW w:w="1374" w:type="dxa"/>
            <w:noWrap/>
            <w:hideMark/>
          </w:tcPr>
          <w:p w14:paraId="723E4B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31.9%</w:t>
            </w:r>
          </w:p>
        </w:tc>
        <w:tc>
          <w:tcPr>
            <w:tcW w:w="1602" w:type="dxa"/>
            <w:noWrap/>
            <w:hideMark/>
          </w:tcPr>
          <w:p w14:paraId="5ADEB5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$392,055</w:t>
            </w:r>
          </w:p>
        </w:tc>
        <w:tc>
          <w:tcPr>
            <w:tcW w:w="1264" w:type="dxa"/>
            <w:noWrap/>
            <w:hideMark/>
          </w:tcPr>
          <w:p w14:paraId="2CE249A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0302A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$23,351,887</w:t>
            </w:r>
          </w:p>
        </w:tc>
        <w:tc>
          <w:tcPr>
            <w:tcW w:w="1786" w:type="dxa"/>
            <w:noWrap/>
            <w:hideMark/>
          </w:tcPr>
          <w:p w14:paraId="52D144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$7,340,903</w:t>
            </w:r>
          </w:p>
        </w:tc>
        <w:tc>
          <w:tcPr>
            <w:tcW w:w="901" w:type="dxa"/>
            <w:noWrap/>
            <w:hideMark/>
          </w:tcPr>
          <w:p w14:paraId="41320A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w:t>
            </w:r>
          </w:p>
        </w:tc>
        <w:tc>
          <w:tcPr>
            <w:tcW w:w="1374" w:type="dxa"/>
            <w:noWrap/>
            <w:hideMark/>
          </w:tcPr>
          <w:p w14:paraId="37C705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w:t>
            </w:r>
          </w:p>
        </w:tc>
        <w:tc>
          <w:tcPr>
            <w:tcW w:w="1602" w:type="dxa"/>
            <w:noWrap/>
            <w:hideMark/>
          </w:tcPr>
          <w:p w14:paraId="691CEE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7C56B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3AEFEB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0347</w:t>
            </w:r>
          </w:p>
        </w:tc>
        <w:tc>
          <w:tcPr>
            <w:tcW w:w="2880" w:type="dxa"/>
            <w:noWrap/>
            <w:hideMark/>
          </w:tcPr>
          <w:p w14:paraId="6B6DD7B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Woburn</w:t>
            </w:r>
          </w:p>
        </w:tc>
        <w:tc>
          <w:tcPr>
            <w:tcW w:w="1148" w:type="dxa"/>
            <w:noWrap/>
            <w:hideMark/>
          </w:tcPr>
          <w:p w14:paraId="6FFA6F2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58666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$37,332,334 </w:t>
            </w:r>
          </w:p>
        </w:tc>
        <w:tc>
          <w:tcPr>
            <w:tcW w:w="1786" w:type="dxa"/>
            <w:noWrap/>
            <w:hideMark/>
          </w:tcPr>
          <w:p w14:paraId="402100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$5,154,156 </w:t>
            </w:r>
          </w:p>
        </w:tc>
        <w:tc>
          <w:tcPr>
            <w:tcW w:w="901" w:type="dxa"/>
            <w:noWrap/>
            <w:hideMark/>
          </w:tcPr>
          <w:p w14:paraId="4D213C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F1382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w:t>
            </w:r>
          </w:p>
        </w:tc>
        <w:tc>
          <w:tcPr>
            <w:tcW w:w="1602" w:type="dxa"/>
            <w:noWrap/>
            <w:hideMark/>
          </w:tcPr>
          <w:p w14:paraId="7A7522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$5,154,156</w:t>
            </w:r>
          </w:p>
        </w:tc>
        <w:tc>
          <w:tcPr>
            <w:tcW w:w="1264" w:type="dxa"/>
            <w:noWrap/>
            <w:hideMark/>
          </w:tcPr>
          <w:p w14:paraId="7AAA3D0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FF3F9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$53,841,306</w:t>
            </w:r>
          </w:p>
        </w:tc>
        <w:tc>
          <w:tcPr>
            <w:tcW w:w="1786" w:type="dxa"/>
            <w:noWrap/>
            <w:hideMark/>
          </w:tcPr>
          <w:p w14:paraId="7DB79A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$9,422,229</w:t>
            </w:r>
          </w:p>
        </w:tc>
        <w:tc>
          <w:tcPr>
            <w:tcW w:w="901" w:type="dxa"/>
            <w:noWrap/>
            <w:hideMark/>
          </w:tcPr>
          <w:p w14:paraId="07A012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22F9E7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68253D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F752B2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BBA663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0348</w:t>
            </w:r>
          </w:p>
        </w:tc>
        <w:tc>
          <w:tcPr>
            <w:tcW w:w="2880" w:type="dxa"/>
            <w:noWrap/>
            <w:hideMark/>
          </w:tcPr>
          <w:p w14:paraId="68EF4B5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Worcester</w:t>
            </w:r>
          </w:p>
        </w:tc>
        <w:tc>
          <w:tcPr>
            <w:tcW w:w="1148" w:type="dxa"/>
            <w:noWrap/>
            <w:hideMark/>
          </w:tcPr>
          <w:p w14:paraId="3F29B4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DF0FF7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$242,782,324 </w:t>
            </w:r>
          </w:p>
        </w:tc>
        <w:tc>
          <w:tcPr>
            <w:tcW w:w="1786" w:type="dxa"/>
            <w:noWrap/>
            <w:hideMark/>
          </w:tcPr>
          <w:p w14:paraId="6184E3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$167,480,913 </w:t>
            </w:r>
          </w:p>
        </w:tc>
        <w:tc>
          <w:tcPr>
            <w:tcW w:w="901" w:type="dxa"/>
            <w:noWrap/>
            <w:hideMark/>
          </w:tcPr>
          <w:p w14:paraId="4211CD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67.3%</w:t>
            </w:r>
          </w:p>
        </w:tc>
        <w:tc>
          <w:tcPr>
            <w:tcW w:w="1374" w:type="dxa"/>
            <w:noWrap/>
            <w:hideMark/>
          </w:tcPr>
          <w:p w14:paraId="3FFFEC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69.0%</w:t>
            </w:r>
          </w:p>
        </w:tc>
        <w:tc>
          <w:tcPr>
            <w:tcW w:w="1602" w:type="dxa"/>
            <w:noWrap/>
            <w:hideMark/>
          </w:tcPr>
          <w:p w14:paraId="5824DA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$2,007,776</w:t>
            </w:r>
          </w:p>
        </w:tc>
        <w:tc>
          <w:tcPr>
            <w:tcW w:w="1264" w:type="dxa"/>
            <w:noWrap/>
            <w:hideMark/>
          </w:tcPr>
          <w:p w14:paraId="18D6220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9E3DF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$379,530,589</w:t>
            </w:r>
          </w:p>
        </w:tc>
        <w:tc>
          <w:tcPr>
            <w:tcW w:w="1786" w:type="dxa"/>
            <w:noWrap/>
            <w:hideMark/>
          </w:tcPr>
          <w:p w14:paraId="661347B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$275,454,036</w:t>
            </w:r>
          </w:p>
        </w:tc>
        <w:tc>
          <w:tcPr>
            <w:tcW w:w="901" w:type="dxa"/>
            <w:noWrap/>
            <w:hideMark/>
          </w:tcPr>
          <w:p w14:paraId="0CB31A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72.2%</w:t>
            </w:r>
          </w:p>
        </w:tc>
        <w:tc>
          <w:tcPr>
            <w:tcW w:w="1374" w:type="dxa"/>
            <w:noWrap/>
            <w:hideMark/>
          </w:tcPr>
          <w:p w14:paraId="4E0DD8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72.6%</w:t>
            </w:r>
          </w:p>
        </w:tc>
        <w:tc>
          <w:tcPr>
            <w:tcW w:w="1602" w:type="dxa"/>
            <w:noWrap/>
            <w:hideMark/>
          </w:tcPr>
          <w:p w14:paraId="043990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C05F4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D04EB0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0349</w:t>
            </w:r>
          </w:p>
        </w:tc>
        <w:tc>
          <w:tcPr>
            <w:tcW w:w="2880" w:type="dxa"/>
            <w:noWrap/>
            <w:hideMark/>
          </w:tcPr>
          <w:p w14:paraId="00B95B6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Worthington</w:t>
            </w:r>
          </w:p>
        </w:tc>
        <w:tc>
          <w:tcPr>
            <w:tcW w:w="1148" w:type="dxa"/>
            <w:noWrap/>
            <w:hideMark/>
          </w:tcPr>
          <w:p w14:paraId="61F4AC4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0280FC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$108,497 </w:t>
            </w:r>
          </w:p>
        </w:tc>
        <w:tc>
          <w:tcPr>
            <w:tcW w:w="1786" w:type="dxa"/>
            <w:noWrap/>
            <w:hideMark/>
          </w:tcPr>
          <w:p w14:paraId="296A4D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$70,458 </w:t>
            </w:r>
          </w:p>
        </w:tc>
        <w:tc>
          <w:tcPr>
            <w:tcW w:w="901" w:type="dxa"/>
            <w:noWrap/>
            <w:hideMark/>
          </w:tcPr>
          <w:p w14:paraId="6E2F84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40.8%</w:t>
            </w:r>
          </w:p>
        </w:tc>
        <w:tc>
          <w:tcPr>
            <w:tcW w:w="1374" w:type="dxa"/>
            <w:noWrap/>
            <w:hideMark/>
          </w:tcPr>
          <w:p w14:paraId="2FF75F8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64.9%</w:t>
            </w:r>
          </w:p>
        </w:tc>
        <w:tc>
          <w:tcPr>
            <w:tcW w:w="1602" w:type="dxa"/>
            <w:noWrap/>
            <w:hideMark/>
          </w:tcPr>
          <w:p w14:paraId="401783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$51,765</w:t>
            </w:r>
          </w:p>
        </w:tc>
        <w:tc>
          <w:tcPr>
            <w:tcW w:w="1264" w:type="dxa"/>
            <w:noWrap/>
            <w:hideMark/>
          </w:tcPr>
          <w:p w14:paraId="611E67B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67E2A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$1,201,025</w:t>
            </w:r>
          </w:p>
        </w:tc>
        <w:tc>
          <w:tcPr>
            <w:tcW w:w="1786" w:type="dxa"/>
            <w:noWrap/>
            <w:hideMark/>
          </w:tcPr>
          <w:p w14:paraId="113357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$246,841</w:t>
            </w:r>
          </w:p>
        </w:tc>
        <w:tc>
          <w:tcPr>
            <w:tcW w:w="901" w:type="dxa"/>
            <w:noWrap/>
            <w:hideMark/>
          </w:tcPr>
          <w:p w14:paraId="79A5935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012AA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w:t>
            </w:r>
          </w:p>
        </w:tc>
        <w:tc>
          <w:tcPr>
            <w:tcW w:w="1602" w:type="dxa"/>
            <w:noWrap/>
            <w:hideMark/>
          </w:tcPr>
          <w:p w14:paraId="471B43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$14,520</w:t>
            </w:r>
          </w:p>
        </w:tc>
      </w:tr>
      <w:tr w:rsidR="008C6E34" w:rsidRPr="008C6E34" w14:paraId="4948865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B7946F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0350</w:t>
            </w:r>
          </w:p>
        </w:tc>
        <w:tc>
          <w:tcPr>
            <w:tcW w:w="2880" w:type="dxa"/>
            <w:noWrap/>
            <w:hideMark/>
          </w:tcPr>
          <w:p w14:paraId="46A3953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Wrentham</w:t>
            </w:r>
          </w:p>
        </w:tc>
        <w:tc>
          <w:tcPr>
            <w:tcW w:w="1148" w:type="dxa"/>
            <w:noWrap/>
            <w:hideMark/>
          </w:tcPr>
          <w:p w14:paraId="0C9F6C7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B11E2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$8,536,882 </w:t>
            </w:r>
          </w:p>
        </w:tc>
        <w:tc>
          <w:tcPr>
            <w:tcW w:w="1786" w:type="dxa"/>
            <w:noWrap/>
            <w:hideMark/>
          </w:tcPr>
          <w:p w14:paraId="583037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$3,631,096 </w:t>
            </w:r>
          </w:p>
        </w:tc>
        <w:tc>
          <w:tcPr>
            <w:tcW w:w="901" w:type="dxa"/>
            <w:noWrap/>
            <w:hideMark/>
          </w:tcPr>
          <w:p w14:paraId="4CDE0E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w:t>
            </w:r>
          </w:p>
        </w:tc>
        <w:tc>
          <w:tcPr>
            <w:tcW w:w="1374" w:type="dxa"/>
            <w:noWrap/>
            <w:hideMark/>
          </w:tcPr>
          <w:p w14:paraId="7DE900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42.5%</w:t>
            </w:r>
          </w:p>
        </w:tc>
        <w:tc>
          <w:tcPr>
            <w:tcW w:w="1602" w:type="dxa"/>
            <w:noWrap/>
            <w:hideMark/>
          </w:tcPr>
          <w:p w14:paraId="6ED411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8B24F9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BA57B4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$9,200,581</w:t>
            </w:r>
          </w:p>
        </w:tc>
        <w:tc>
          <w:tcPr>
            <w:tcW w:w="1786" w:type="dxa"/>
            <w:noWrap/>
            <w:hideMark/>
          </w:tcPr>
          <w:p w14:paraId="267717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$3,793,153</w:t>
            </w:r>
          </w:p>
        </w:tc>
        <w:tc>
          <w:tcPr>
            <w:tcW w:w="901" w:type="dxa"/>
            <w:noWrap/>
            <w:hideMark/>
          </w:tcPr>
          <w:p w14:paraId="41D058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0EDF6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41.2%</w:t>
            </w:r>
          </w:p>
        </w:tc>
        <w:tc>
          <w:tcPr>
            <w:tcW w:w="1602" w:type="dxa"/>
            <w:noWrap/>
            <w:hideMark/>
          </w:tcPr>
          <w:p w14:paraId="7421A1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$2,183,051</w:t>
            </w:r>
          </w:p>
        </w:tc>
      </w:tr>
      <w:tr w:rsidR="008C6E34" w:rsidRPr="008C6E34" w14:paraId="10F749A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E56AE3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0351</w:t>
            </w:r>
          </w:p>
        </w:tc>
        <w:tc>
          <w:tcPr>
            <w:tcW w:w="2880" w:type="dxa"/>
            <w:noWrap/>
            <w:hideMark/>
          </w:tcPr>
          <w:p w14:paraId="5E66626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Yarmouth</w:t>
            </w:r>
          </w:p>
        </w:tc>
        <w:tc>
          <w:tcPr>
            <w:tcW w:w="1148" w:type="dxa"/>
            <w:noWrap/>
            <w:hideMark/>
          </w:tcPr>
          <w:p w14:paraId="18DABF8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786" w:type="dxa"/>
            <w:noWrap/>
            <w:hideMark/>
          </w:tcPr>
          <w:p w14:paraId="1AF330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7E95CC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53C950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D0FC6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113C32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D589FF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non-op</w:t>
            </w:r>
          </w:p>
        </w:tc>
        <w:tc>
          <w:tcPr>
            <w:tcW w:w="1909" w:type="dxa"/>
            <w:noWrap/>
            <w:hideMark/>
          </w:tcPr>
          <w:p w14:paraId="5BFCD9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786" w:type="dxa"/>
            <w:noWrap/>
            <w:hideMark/>
          </w:tcPr>
          <w:p w14:paraId="0E304A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901" w:type="dxa"/>
            <w:noWrap/>
            <w:hideMark/>
          </w:tcPr>
          <w:p w14:paraId="6DA062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CDD03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5E3D8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77CC44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9D0660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0406</w:t>
            </w:r>
          </w:p>
        </w:tc>
        <w:tc>
          <w:tcPr>
            <w:tcW w:w="2880" w:type="dxa"/>
            <w:noWrap/>
            <w:hideMark/>
          </w:tcPr>
          <w:p w14:paraId="4AE5F6E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Northampton Smith</w:t>
            </w:r>
          </w:p>
        </w:tc>
        <w:tc>
          <w:tcPr>
            <w:tcW w:w="1148" w:type="dxa"/>
            <w:noWrap/>
            <w:hideMark/>
          </w:tcPr>
          <w:p w14:paraId="733DBAC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23373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$2,025,133 </w:t>
            </w:r>
          </w:p>
        </w:tc>
        <w:tc>
          <w:tcPr>
            <w:tcW w:w="1786" w:type="dxa"/>
            <w:noWrap/>
            <w:hideMark/>
          </w:tcPr>
          <w:p w14:paraId="2AEAB3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$875,377 </w:t>
            </w:r>
          </w:p>
        </w:tc>
        <w:tc>
          <w:tcPr>
            <w:tcW w:w="901" w:type="dxa"/>
            <w:noWrap/>
            <w:hideMark/>
          </w:tcPr>
          <w:p w14:paraId="08FCEF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29.9%</w:t>
            </w:r>
          </w:p>
        </w:tc>
        <w:tc>
          <w:tcPr>
            <w:tcW w:w="1374" w:type="dxa"/>
            <w:noWrap/>
            <w:hideMark/>
          </w:tcPr>
          <w:p w14:paraId="6A6ED7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43.2%</w:t>
            </w:r>
          </w:p>
        </w:tc>
        <w:tc>
          <w:tcPr>
            <w:tcW w:w="1602" w:type="dxa"/>
            <w:noWrap/>
            <w:hideMark/>
          </w:tcPr>
          <w:p w14:paraId="393BDB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$318,812</w:t>
            </w:r>
          </w:p>
        </w:tc>
        <w:tc>
          <w:tcPr>
            <w:tcW w:w="1264" w:type="dxa"/>
            <w:noWrap/>
            <w:hideMark/>
          </w:tcPr>
          <w:p w14:paraId="4867FF5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8BAED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$2,535,730</w:t>
            </w:r>
          </w:p>
        </w:tc>
        <w:tc>
          <w:tcPr>
            <w:tcW w:w="1786" w:type="dxa"/>
            <w:noWrap/>
            <w:hideMark/>
          </w:tcPr>
          <w:p w14:paraId="16423C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$913,025</w:t>
            </w:r>
          </w:p>
        </w:tc>
        <w:tc>
          <w:tcPr>
            <w:tcW w:w="901" w:type="dxa"/>
            <w:noWrap/>
            <w:hideMark/>
          </w:tcPr>
          <w:p w14:paraId="0618B3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C9BBEC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36.0%</w:t>
            </w:r>
          </w:p>
        </w:tc>
        <w:tc>
          <w:tcPr>
            <w:tcW w:w="1602" w:type="dxa"/>
            <w:noWrap/>
            <w:hideMark/>
          </w:tcPr>
          <w:p w14:paraId="7DF33D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$450,018</w:t>
            </w:r>
          </w:p>
        </w:tc>
      </w:tr>
      <w:tr w:rsidR="008C6E34" w:rsidRPr="008C6E34" w14:paraId="1D64D2A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8828E9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0600</w:t>
            </w:r>
          </w:p>
        </w:tc>
        <w:tc>
          <w:tcPr>
            <w:tcW w:w="2880" w:type="dxa"/>
            <w:noWrap/>
            <w:hideMark/>
          </w:tcPr>
          <w:p w14:paraId="13A4222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Acton Boxborough</w:t>
            </w:r>
          </w:p>
        </w:tc>
        <w:tc>
          <w:tcPr>
            <w:tcW w:w="1148" w:type="dxa"/>
            <w:noWrap/>
            <w:hideMark/>
          </w:tcPr>
          <w:p w14:paraId="1ABDEA1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2CB0E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$22,506,705 </w:t>
            </w:r>
          </w:p>
        </w:tc>
        <w:tc>
          <w:tcPr>
            <w:tcW w:w="1786" w:type="dxa"/>
            <w:noWrap/>
            <w:hideMark/>
          </w:tcPr>
          <w:p w14:paraId="430219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$4,715,036 </w:t>
            </w:r>
          </w:p>
        </w:tc>
        <w:tc>
          <w:tcPr>
            <w:tcW w:w="901" w:type="dxa"/>
            <w:noWrap/>
            <w:hideMark/>
          </w:tcPr>
          <w:p w14:paraId="4297E7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28.8%</w:t>
            </w:r>
          </w:p>
        </w:tc>
        <w:tc>
          <w:tcPr>
            <w:tcW w:w="1374" w:type="dxa"/>
            <w:noWrap/>
            <w:hideMark/>
          </w:tcPr>
          <w:p w14:paraId="588B12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w:t>
            </w:r>
          </w:p>
        </w:tc>
        <w:tc>
          <w:tcPr>
            <w:tcW w:w="1602" w:type="dxa"/>
            <w:noWrap/>
            <w:hideMark/>
          </w:tcPr>
          <w:p w14:paraId="6A58D6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D1BBB4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BEC86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$57,507,919</w:t>
            </w:r>
          </w:p>
        </w:tc>
        <w:tc>
          <w:tcPr>
            <w:tcW w:w="1786" w:type="dxa"/>
            <w:noWrap/>
            <w:hideMark/>
          </w:tcPr>
          <w:p w14:paraId="1BEA48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$15,185,311</w:t>
            </w:r>
          </w:p>
        </w:tc>
        <w:tc>
          <w:tcPr>
            <w:tcW w:w="901" w:type="dxa"/>
            <w:noWrap/>
            <w:hideMark/>
          </w:tcPr>
          <w:p w14:paraId="05E512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17.6%</w:t>
            </w:r>
          </w:p>
        </w:tc>
        <w:tc>
          <w:tcPr>
            <w:tcW w:w="1374" w:type="dxa"/>
            <w:noWrap/>
            <w:hideMark/>
          </w:tcPr>
          <w:p w14:paraId="3FFC34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w:t>
            </w:r>
          </w:p>
        </w:tc>
        <w:tc>
          <w:tcPr>
            <w:tcW w:w="1602" w:type="dxa"/>
            <w:noWrap/>
            <w:hideMark/>
          </w:tcPr>
          <w:p w14:paraId="49675C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$2,762,529</w:t>
            </w:r>
          </w:p>
        </w:tc>
      </w:tr>
      <w:tr w:rsidR="008C6E34" w:rsidRPr="008C6E34" w14:paraId="76FD674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FF13ED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0603</w:t>
            </w:r>
          </w:p>
        </w:tc>
        <w:tc>
          <w:tcPr>
            <w:tcW w:w="2880" w:type="dxa"/>
            <w:noWrap/>
            <w:hideMark/>
          </w:tcPr>
          <w:p w14:paraId="250545A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Hoosac Valley</w:t>
            </w:r>
          </w:p>
        </w:tc>
        <w:tc>
          <w:tcPr>
            <w:tcW w:w="1148" w:type="dxa"/>
            <w:noWrap/>
            <w:hideMark/>
          </w:tcPr>
          <w:p w14:paraId="564D04C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3BE52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$13,377,962 </w:t>
            </w:r>
          </w:p>
        </w:tc>
        <w:tc>
          <w:tcPr>
            <w:tcW w:w="1786" w:type="dxa"/>
            <w:noWrap/>
            <w:hideMark/>
          </w:tcPr>
          <w:p w14:paraId="176D795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$9,810,525 </w:t>
            </w:r>
          </w:p>
        </w:tc>
        <w:tc>
          <w:tcPr>
            <w:tcW w:w="901" w:type="dxa"/>
            <w:noWrap/>
            <w:hideMark/>
          </w:tcPr>
          <w:p w14:paraId="5DD4D2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66.2%</w:t>
            </w:r>
          </w:p>
        </w:tc>
        <w:tc>
          <w:tcPr>
            <w:tcW w:w="1374" w:type="dxa"/>
            <w:noWrap/>
            <w:hideMark/>
          </w:tcPr>
          <w:p w14:paraId="48A029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73.3%</w:t>
            </w:r>
          </w:p>
        </w:tc>
        <w:tc>
          <w:tcPr>
            <w:tcW w:w="1602" w:type="dxa"/>
            <w:noWrap/>
            <w:hideMark/>
          </w:tcPr>
          <w:p w14:paraId="435864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$229,289</w:t>
            </w:r>
          </w:p>
        </w:tc>
        <w:tc>
          <w:tcPr>
            <w:tcW w:w="1264" w:type="dxa"/>
            <w:noWrap/>
            <w:hideMark/>
          </w:tcPr>
          <w:p w14:paraId="3124160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06D42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$15,617,632</w:t>
            </w:r>
          </w:p>
        </w:tc>
        <w:tc>
          <w:tcPr>
            <w:tcW w:w="1786" w:type="dxa"/>
            <w:noWrap/>
            <w:hideMark/>
          </w:tcPr>
          <w:p w14:paraId="0AAFAB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$10,354,753</w:t>
            </w:r>
          </w:p>
        </w:tc>
        <w:tc>
          <w:tcPr>
            <w:tcW w:w="901" w:type="dxa"/>
            <w:noWrap/>
            <w:hideMark/>
          </w:tcPr>
          <w:p w14:paraId="10603F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62.3%</w:t>
            </w:r>
          </w:p>
        </w:tc>
        <w:tc>
          <w:tcPr>
            <w:tcW w:w="1374" w:type="dxa"/>
            <w:noWrap/>
            <w:hideMark/>
          </w:tcPr>
          <w:p w14:paraId="576A6C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66.3%</w:t>
            </w:r>
          </w:p>
        </w:tc>
        <w:tc>
          <w:tcPr>
            <w:tcW w:w="1602" w:type="dxa"/>
            <w:noWrap/>
            <w:hideMark/>
          </w:tcPr>
          <w:p w14:paraId="28DB0F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$628,472</w:t>
            </w:r>
          </w:p>
        </w:tc>
      </w:tr>
      <w:tr w:rsidR="008C6E34" w:rsidRPr="008C6E34" w14:paraId="4177B69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26F291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0605</w:t>
            </w:r>
          </w:p>
        </w:tc>
        <w:tc>
          <w:tcPr>
            <w:tcW w:w="2880" w:type="dxa"/>
            <w:noWrap/>
            <w:hideMark/>
          </w:tcPr>
          <w:p w14:paraId="2D892B2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Amherst Pelham</w:t>
            </w:r>
          </w:p>
        </w:tc>
        <w:tc>
          <w:tcPr>
            <w:tcW w:w="1148" w:type="dxa"/>
            <w:noWrap/>
            <w:hideMark/>
          </w:tcPr>
          <w:p w14:paraId="02496D7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5F9DA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$15,860,056 </w:t>
            </w:r>
          </w:p>
        </w:tc>
        <w:tc>
          <w:tcPr>
            <w:tcW w:w="1786" w:type="dxa"/>
            <w:noWrap/>
            <w:hideMark/>
          </w:tcPr>
          <w:p w14:paraId="6D36CF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$9,689,857 </w:t>
            </w:r>
          </w:p>
        </w:tc>
        <w:tc>
          <w:tcPr>
            <w:tcW w:w="901" w:type="dxa"/>
            <w:noWrap/>
            <w:hideMark/>
          </w:tcPr>
          <w:p w14:paraId="6AD284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44.0%</w:t>
            </w:r>
          </w:p>
        </w:tc>
        <w:tc>
          <w:tcPr>
            <w:tcW w:w="1374" w:type="dxa"/>
            <w:noWrap/>
            <w:hideMark/>
          </w:tcPr>
          <w:p w14:paraId="293967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61.1%</w:t>
            </w:r>
          </w:p>
        </w:tc>
        <w:tc>
          <w:tcPr>
            <w:tcW w:w="1602" w:type="dxa"/>
            <w:noWrap/>
            <w:hideMark/>
          </w:tcPr>
          <w:p w14:paraId="1A5498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$2,142,532</w:t>
            </w:r>
          </w:p>
        </w:tc>
        <w:tc>
          <w:tcPr>
            <w:tcW w:w="1264" w:type="dxa"/>
            <w:noWrap/>
            <w:hideMark/>
          </w:tcPr>
          <w:p w14:paraId="3A72442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CAD1F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$16,548,734</w:t>
            </w:r>
          </w:p>
        </w:tc>
        <w:tc>
          <w:tcPr>
            <w:tcW w:w="1786" w:type="dxa"/>
            <w:noWrap/>
            <w:hideMark/>
          </w:tcPr>
          <w:p w14:paraId="28A6E5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$9,561,457</w:t>
            </w:r>
          </w:p>
        </w:tc>
        <w:tc>
          <w:tcPr>
            <w:tcW w:w="901" w:type="dxa"/>
            <w:noWrap/>
            <w:hideMark/>
          </w:tcPr>
          <w:p w14:paraId="25C721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w:t>
            </w:r>
          </w:p>
        </w:tc>
        <w:tc>
          <w:tcPr>
            <w:tcW w:w="1374" w:type="dxa"/>
            <w:noWrap/>
            <w:hideMark/>
          </w:tcPr>
          <w:p w14:paraId="6349EB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57.8%</w:t>
            </w:r>
          </w:p>
        </w:tc>
        <w:tc>
          <w:tcPr>
            <w:tcW w:w="1602" w:type="dxa"/>
            <w:noWrap/>
            <w:hideMark/>
          </w:tcPr>
          <w:p w14:paraId="25DA44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$5,095,702</w:t>
            </w:r>
          </w:p>
        </w:tc>
      </w:tr>
      <w:tr w:rsidR="008C6E34" w:rsidRPr="008C6E34" w14:paraId="778D7C6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8A58D9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0610</w:t>
            </w:r>
          </w:p>
        </w:tc>
        <w:tc>
          <w:tcPr>
            <w:tcW w:w="2880" w:type="dxa"/>
            <w:noWrap/>
            <w:hideMark/>
          </w:tcPr>
          <w:p w14:paraId="72348FB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Ashburnham Westminster</w:t>
            </w:r>
          </w:p>
        </w:tc>
        <w:tc>
          <w:tcPr>
            <w:tcW w:w="1148" w:type="dxa"/>
            <w:noWrap/>
            <w:hideMark/>
          </w:tcPr>
          <w:p w14:paraId="65799D5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5951D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$17,725,876 </w:t>
            </w:r>
          </w:p>
        </w:tc>
        <w:tc>
          <w:tcPr>
            <w:tcW w:w="1786" w:type="dxa"/>
            <w:noWrap/>
            <w:hideMark/>
          </w:tcPr>
          <w:p w14:paraId="44A4C7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$9,391,438 </w:t>
            </w:r>
          </w:p>
        </w:tc>
        <w:tc>
          <w:tcPr>
            <w:tcW w:w="901" w:type="dxa"/>
            <w:noWrap/>
            <w:hideMark/>
          </w:tcPr>
          <w:p w14:paraId="00908D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47.0%</w:t>
            </w:r>
          </w:p>
        </w:tc>
        <w:tc>
          <w:tcPr>
            <w:tcW w:w="1374" w:type="dxa"/>
            <w:noWrap/>
            <w:hideMark/>
          </w:tcPr>
          <w:p w14:paraId="44A1DA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53.0%</w:t>
            </w:r>
          </w:p>
        </w:tc>
        <w:tc>
          <w:tcPr>
            <w:tcW w:w="1602" w:type="dxa"/>
            <w:noWrap/>
            <w:hideMark/>
          </w:tcPr>
          <w:p w14:paraId="104BF2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$276,310</w:t>
            </w:r>
          </w:p>
        </w:tc>
        <w:tc>
          <w:tcPr>
            <w:tcW w:w="1264" w:type="dxa"/>
            <w:noWrap/>
            <w:hideMark/>
          </w:tcPr>
          <w:p w14:paraId="4C92CE0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F761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$23,747,271</w:t>
            </w:r>
          </w:p>
        </w:tc>
        <w:tc>
          <w:tcPr>
            <w:tcW w:w="1786" w:type="dxa"/>
            <w:noWrap/>
            <w:hideMark/>
          </w:tcPr>
          <w:p w14:paraId="4B6810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$11,669,561</w:t>
            </w:r>
          </w:p>
        </w:tc>
        <w:tc>
          <w:tcPr>
            <w:tcW w:w="901" w:type="dxa"/>
            <w:noWrap/>
            <w:hideMark/>
          </w:tcPr>
          <w:p w14:paraId="723EE0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48.4%</w:t>
            </w:r>
          </w:p>
        </w:tc>
        <w:tc>
          <w:tcPr>
            <w:tcW w:w="1374" w:type="dxa"/>
            <w:noWrap/>
            <w:hideMark/>
          </w:tcPr>
          <w:p w14:paraId="714048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49.1%</w:t>
            </w:r>
          </w:p>
        </w:tc>
        <w:tc>
          <w:tcPr>
            <w:tcW w:w="1602" w:type="dxa"/>
            <w:noWrap/>
            <w:hideMark/>
          </w:tcPr>
          <w:p w14:paraId="4A2E91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$58,781</w:t>
            </w:r>
          </w:p>
        </w:tc>
      </w:tr>
      <w:tr w:rsidR="008C6E34" w:rsidRPr="008C6E34" w14:paraId="629474E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9E96C2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0615</w:t>
            </w:r>
          </w:p>
        </w:tc>
        <w:tc>
          <w:tcPr>
            <w:tcW w:w="2880" w:type="dxa"/>
            <w:noWrap/>
            <w:hideMark/>
          </w:tcPr>
          <w:p w14:paraId="5AE708F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Athol Royalston</w:t>
            </w:r>
          </w:p>
        </w:tc>
        <w:tc>
          <w:tcPr>
            <w:tcW w:w="1148" w:type="dxa"/>
            <w:noWrap/>
            <w:hideMark/>
          </w:tcPr>
          <w:p w14:paraId="6C5065D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35FCF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$17,708,359 </w:t>
            </w:r>
          </w:p>
        </w:tc>
        <w:tc>
          <w:tcPr>
            <w:tcW w:w="1786" w:type="dxa"/>
            <w:noWrap/>
            <w:hideMark/>
          </w:tcPr>
          <w:p w14:paraId="6D983A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$17,084,514 </w:t>
            </w:r>
          </w:p>
        </w:tc>
        <w:tc>
          <w:tcPr>
            <w:tcW w:w="901" w:type="dxa"/>
            <w:noWrap/>
            <w:hideMark/>
          </w:tcPr>
          <w:p w14:paraId="041129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71.1%</w:t>
            </w:r>
          </w:p>
        </w:tc>
        <w:tc>
          <w:tcPr>
            <w:tcW w:w="1374" w:type="dxa"/>
            <w:noWrap/>
            <w:hideMark/>
          </w:tcPr>
          <w:p w14:paraId="216045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96.5%</w:t>
            </w:r>
          </w:p>
        </w:tc>
        <w:tc>
          <w:tcPr>
            <w:tcW w:w="1602" w:type="dxa"/>
            <w:noWrap/>
            <w:hideMark/>
          </w:tcPr>
          <w:p w14:paraId="05466E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A00554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9D38D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$20,420,115</w:t>
            </w:r>
          </w:p>
        </w:tc>
        <w:tc>
          <w:tcPr>
            <w:tcW w:w="1786" w:type="dxa"/>
            <w:noWrap/>
            <w:hideMark/>
          </w:tcPr>
          <w:p w14:paraId="43F406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$17,423,570</w:t>
            </w:r>
          </w:p>
        </w:tc>
        <w:tc>
          <w:tcPr>
            <w:tcW w:w="901" w:type="dxa"/>
            <w:noWrap/>
            <w:hideMark/>
          </w:tcPr>
          <w:p w14:paraId="03BBA6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69.4%</w:t>
            </w:r>
          </w:p>
        </w:tc>
        <w:tc>
          <w:tcPr>
            <w:tcW w:w="1374" w:type="dxa"/>
            <w:noWrap/>
            <w:hideMark/>
          </w:tcPr>
          <w:p w14:paraId="50FD5F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85.3%</w:t>
            </w:r>
          </w:p>
        </w:tc>
        <w:tc>
          <w:tcPr>
            <w:tcW w:w="1602" w:type="dxa"/>
            <w:noWrap/>
            <w:hideMark/>
          </w:tcPr>
          <w:p w14:paraId="23467F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$411,740</w:t>
            </w:r>
          </w:p>
        </w:tc>
      </w:tr>
      <w:tr w:rsidR="008C6E34" w:rsidRPr="008C6E34" w14:paraId="39BE7D6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456CEF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0616</w:t>
            </w:r>
          </w:p>
        </w:tc>
        <w:tc>
          <w:tcPr>
            <w:tcW w:w="2880" w:type="dxa"/>
            <w:noWrap/>
            <w:hideMark/>
          </w:tcPr>
          <w:p w14:paraId="414EA0E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Ayer Shirley</w:t>
            </w:r>
          </w:p>
        </w:tc>
        <w:tc>
          <w:tcPr>
            <w:tcW w:w="1148" w:type="dxa"/>
            <w:noWrap/>
            <w:hideMark/>
          </w:tcPr>
          <w:p w14:paraId="007FFA1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w:t>
            </w:r>
          </w:p>
        </w:tc>
        <w:tc>
          <w:tcPr>
            <w:tcW w:w="1786" w:type="dxa"/>
            <w:noWrap/>
            <w:hideMark/>
          </w:tcPr>
          <w:p w14:paraId="48A915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19A99E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B3BD7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374" w:type="dxa"/>
            <w:noWrap/>
            <w:hideMark/>
          </w:tcPr>
          <w:p w14:paraId="61D5D2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2F61A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65533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DB370E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$19,201,203</w:t>
            </w:r>
          </w:p>
        </w:tc>
        <w:tc>
          <w:tcPr>
            <w:tcW w:w="1786" w:type="dxa"/>
            <w:noWrap/>
            <w:hideMark/>
          </w:tcPr>
          <w:p w14:paraId="47FE98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$8,301,431</w:t>
            </w:r>
          </w:p>
        </w:tc>
        <w:tc>
          <w:tcPr>
            <w:tcW w:w="901" w:type="dxa"/>
            <w:noWrap/>
            <w:hideMark/>
          </w:tcPr>
          <w:p w14:paraId="0D3B65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34.5%</w:t>
            </w:r>
          </w:p>
        </w:tc>
        <w:tc>
          <w:tcPr>
            <w:tcW w:w="1374" w:type="dxa"/>
            <w:noWrap/>
            <w:hideMark/>
          </w:tcPr>
          <w:p w14:paraId="3ABC30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43.2%</w:t>
            </w:r>
          </w:p>
        </w:tc>
        <w:tc>
          <w:tcPr>
            <w:tcW w:w="1602" w:type="dxa"/>
            <w:noWrap/>
            <w:hideMark/>
          </w:tcPr>
          <w:p w14:paraId="60A51F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$1,671,292</w:t>
            </w:r>
          </w:p>
        </w:tc>
      </w:tr>
      <w:tr w:rsidR="008C6E34" w:rsidRPr="008C6E34" w14:paraId="632C1BA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BDDD50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0618</w:t>
            </w:r>
          </w:p>
        </w:tc>
        <w:tc>
          <w:tcPr>
            <w:tcW w:w="2880" w:type="dxa"/>
            <w:noWrap/>
            <w:hideMark/>
          </w:tcPr>
          <w:p w14:paraId="684223A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Berkshire Hills</w:t>
            </w:r>
          </w:p>
        </w:tc>
        <w:tc>
          <w:tcPr>
            <w:tcW w:w="1148" w:type="dxa"/>
            <w:noWrap/>
            <w:hideMark/>
          </w:tcPr>
          <w:p w14:paraId="4C5E29F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37CA4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$9,250,332 </w:t>
            </w:r>
          </w:p>
        </w:tc>
        <w:tc>
          <w:tcPr>
            <w:tcW w:w="1786" w:type="dxa"/>
            <w:noWrap/>
            <w:hideMark/>
          </w:tcPr>
          <w:p w14:paraId="6FD1BF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$2,737,903 </w:t>
            </w:r>
          </w:p>
        </w:tc>
        <w:tc>
          <w:tcPr>
            <w:tcW w:w="901" w:type="dxa"/>
            <w:noWrap/>
            <w:hideMark/>
          </w:tcPr>
          <w:p w14:paraId="5CB7B8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F3558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29.6%</w:t>
            </w:r>
          </w:p>
        </w:tc>
        <w:tc>
          <w:tcPr>
            <w:tcW w:w="1602" w:type="dxa"/>
            <w:noWrap/>
            <w:hideMark/>
          </w:tcPr>
          <w:p w14:paraId="0C9156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$2,737,903</w:t>
            </w:r>
          </w:p>
        </w:tc>
        <w:tc>
          <w:tcPr>
            <w:tcW w:w="1264" w:type="dxa"/>
            <w:noWrap/>
            <w:hideMark/>
          </w:tcPr>
          <w:p w14:paraId="3EBEE5E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C86CB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$12,066,016</w:t>
            </w:r>
          </w:p>
        </w:tc>
        <w:tc>
          <w:tcPr>
            <w:tcW w:w="1786" w:type="dxa"/>
            <w:noWrap/>
            <w:hideMark/>
          </w:tcPr>
          <w:p w14:paraId="1A490F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$2,933,388</w:t>
            </w:r>
          </w:p>
        </w:tc>
        <w:tc>
          <w:tcPr>
            <w:tcW w:w="901" w:type="dxa"/>
            <w:noWrap/>
            <w:hideMark/>
          </w:tcPr>
          <w:p w14:paraId="7FE445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35B06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w:t>
            </w:r>
          </w:p>
        </w:tc>
        <w:tc>
          <w:tcPr>
            <w:tcW w:w="1602" w:type="dxa"/>
            <w:noWrap/>
            <w:hideMark/>
          </w:tcPr>
          <w:p w14:paraId="0614B3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$787,827</w:t>
            </w:r>
          </w:p>
        </w:tc>
      </w:tr>
      <w:tr w:rsidR="008C6E34" w:rsidRPr="008C6E34" w14:paraId="300C567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E2E756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0620</w:t>
            </w:r>
          </w:p>
        </w:tc>
        <w:tc>
          <w:tcPr>
            <w:tcW w:w="2880" w:type="dxa"/>
            <w:noWrap/>
            <w:hideMark/>
          </w:tcPr>
          <w:p w14:paraId="475A6A5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Berlin Boylston</w:t>
            </w:r>
          </w:p>
        </w:tc>
        <w:tc>
          <w:tcPr>
            <w:tcW w:w="1148" w:type="dxa"/>
            <w:noWrap/>
            <w:hideMark/>
          </w:tcPr>
          <w:p w14:paraId="72AEBD2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49CA0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$3,230,183 </w:t>
            </w:r>
          </w:p>
        </w:tc>
        <w:tc>
          <w:tcPr>
            <w:tcW w:w="1786" w:type="dxa"/>
            <w:noWrap/>
            <w:hideMark/>
          </w:tcPr>
          <w:p w14:paraId="77CBBB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$851,501 </w:t>
            </w:r>
          </w:p>
        </w:tc>
        <w:tc>
          <w:tcPr>
            <w:tcW w:w="901" w:type="dxa"/>
            <w:noWrap/>
            <w:hideMark/>
          </w:tcPr>
          <w:p w14:paraId="5DE204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2C58D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w:t>
            </w:r>
          </w:p>
        </w:tc>
        <w:tc>
          <w:tcPr>
            <w:tcW w:w="1602" w:type="dxa"/>
            <w:noWrap/>
            <w:hideMark/>
          </w:tcPr>
          <w:p w14:paraId="2FDBF3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$644,778</w:t>
            </w:r>
          </w:p>
        </w:tc>
        <w:tc>
          <w:tcPr>
            <w:tcW w:w="1264" w:type="dxa"/>
            <w:noWrap/>
            <w:hideMark/>
          </w:tcPr>
          <w:p w14:paraId="240D5C9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FA6ED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$9,927,446</w:t>
            </w:r>
          </w:p>
        </w:tc>
        <w:tc>
          <w:tcPr>
            <w:tcW w:w="1786" w:type="dxa"/>
            <w:noWrap/>
            <w:hideMark/>
          </w:tcPr>
          <w:p w14:paraId="31F6A6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$2,139,724</w:t>
            </w:r>
          </w:p>
        </w:tc>
        <w:tc>
          <w:tcPr>
            <w:tcW w:w="901" w:type="dxa"/>
            <w:noWrap/>
            <w:hideMark/>
          </w:tcPr>
          <w:p w14:paraId="5E5F8A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26324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21.6%</w:t>
            </w:r>
          </w:p>
        </w:tc>
        <w:tc>
          <w:tcPr>
            <w:tcW w:w="1602" w:type="dxa"/>
            <w:noWrap/>
            <w:hideMark/>
          </w:tcPr>
          <w:p w14:paraId="007F55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$260,537</w:t>
            </w:r>
          </w:p>
        </w:tc>
      </w:tr>
      <w:tr w:rsidR="008C6E34" w:rsidRPr="008C6E34" w14:paraId="497A79A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45F0D9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0622</w:t>
            </w:r>
          </w:p>
        </w:tc>
        <w:tc>
          <w:tcPr>
            <w:tcW w:w="2880" w:type="dxa"/>
            <w:noWrap/>
            <w:hideMark/>
          </w:tcPr>
          <w:p w14:paraId="2D9A56A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Blackstone Millville</w:t>
            </w:r>
          </w:p>
        </w:tc>
        <w:tc>
          <w:tcPr>
            <w:tcW w:w="1148" w:type="dxa"/>
            <w:noWrap/>
            <w:hideMark/>
          </w:tcPr>
          <w:p w14:paraId="14FC1F2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74357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$15,675,653 </w:t>
            </w:r>
          </w:p>
        </w:tc>
        <w:tc>
          <w:tcPr>
            <w:tcW w:w="1786" w:type="dxa"/>
            <w:noWrap/>
            <w:hideMark/>
          </w:tcPr>
          <w:p w14:paraId="5D922E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$10,509,983 </w:t>
            </w:r>
          </w:p>
        </w:tc>
        <w:tc>
          <w:tcPr>
            <w:tcW w:w="901" w:type="dxa"/>
            <w:noWrap/>
            <w:hideMark/>
          </w:tcPr>
          <w:p w14:paraId="4C0D6A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53.0%</w:t>
            </w:r>
          </w:p>
        </w:tc>
        <w:tc>
          <w:tcPr>
            <w:tcW w:w="1374" w:type="dxa"/>
            <w:noWrap/>
            <w:hideMark/>
          </w:tcPr>
          <w:p w14:paraId="39BFEB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67.0%</w:t>
            </w:r>
          </w:p>
        </w:tc>
        <w:tc>
          <w:tcPr>
            <w:tcW w:w="1602" w:type="dxa"/>
            <w:noWrap/>
            <w:hideMark/>
          </w:tcPr>
          <w:p w14:paraId="12BFCD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$1,066,255</w:t>
            </w:r>
          </w:p>
        </w:tc>
        <w:tc>
          <w:tcPr>
            <w:tcW w:w="1264" w:type="dxa"/>
            <w:noWrap/>
            <w:hideMark/>
          </w:tcPr>
          <w:p w14:paraId="634B73F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0AC51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$18,718,436</w:t>
            </w:r>
          </w:p>
        </w:tc>
        <w:tc>
          <w:tcPr>
            <w:tcW w:w="1786" w:type="dxa"/>
            <w:noWrap/>
            <w:hideMark/>
          </w:tcPr>
          <w:p w14:paraId="4DC715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$10,985,239</w:t>
            </w:r>
          </w:p>
        </w:tc>
        <w:tc>
          <w:tcPr>
            <w:tcW w:w="901" w:type="dxa"/>
            <w:noWrap/>
            <w:hideMark/>
          </w:tcPr>
          <w:p w14:paraId="699A12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52.0%</w:t>
            </w:r>
          </w:p>
        </w:tc>
        <w:tc>
          <w:tcPr>
            <w:tcW w:w="1374" w:type="dxa"/>
            <w:noWrap/>
            <w:hideMark/>
          </w:tcPr>
          <w:p w14:paraId="56C202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58.7%</w:t>
            </w:r>
          </w:p>
        </w:tc>
        <w:tc>
          <w:tcPr>
            <w:tcW w:w="1602" w:type="dxa"/>
            <w:noWrap/>
            <w:hideMark/>
          </w:tcPr>
          <w:p w14:paraId="6BDAF1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$1,041,349</w:t>
            </w:r>
          </w:p>
        </w:tc>
      </w:tr>
      <w:tr w:rsidR="008C6E34" w:rsidRPr="008C6E34" w14:paraId="3E607E6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A998FA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0625</w:t>
            </w:r>
          </w:p>
        </w:tc>
        <w:tc>
          <w:tcPr>
            <w:tcW w:w="2880" w:type="dxa"/>
            <w:noWrap/>
            <w:hideMark/>
          </w:tcPr>
          <w:p w14:paraId="7029A66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Bridgewater Raynham</w:t>
            </w:r>
          </w:p>
        </w:tc>
        <w:tc>
          <w:tcPr>
            <w:tcW w:w="1148" w:type="dxa"/>
            <w:noWrap/>
            <w:hideMark/>
          </w:tcPr>
          <w:p w14:paraId="08E2A80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A53B9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$41,935,929 </w:t>
            </w:r>
          </w:p>
        </w:tc>
        <w:tc>
          <w:tcPr>
            <w:tcW w:w="1786" w:type="dxa"/>
            <w:noWrap/>
            <w:hideMark/>
          </w:tcPr>
          <w:p w14:paraId="79128B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$19,665,067 </w:t>
            </w:r>
          </w:p>
        </w:tc>
        <w:tc>
          <w:tcPr>
            <w:tcW w:w="901" w:type="dxa"/>
            <w:noWrap/>
            <w:hideMark/>
          </w:tcPr>
          <w:p w14:paraId="57818C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37.3%</w:t>
            </w:r>
          </w:p>
        </w:tc>
        <w:tc>
          <w:tcPr>
            <w:tcW w:w="1374" w:type="dxa"/>
            <w:noWrap/>
            <w:hideMark/>
          </w:tcPr>
          <w:p w14:paraId="1FE4B0B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46.9%</w:t>
            </w:r>
          </w:p>
        </w:tc>
        <w:tc>
          <w:tcPr>
            <w:tcW w:w="1602" w:type="dxa"/>
            <w:noWrap/>
            <w:hideMark/>
          </w:tcPr>
          <w:p w14:paraId="235D53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$1,078,334</w:t>
            </w:r>
          </w:p>
        </w:tc>
        <w:tc>
          <w:tcPr>
            <w:tcW w:w="1264" w:type="dxa"/>
            <w:noWrap/>
            <w:hideMark/>
          </w:tcPr>
          <w:p w14:paraId="4E5BED1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7A473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$57,734,651</w:t>
            </w:r>
          </w:p>
        </w:tc>
        <w:tc>
          <w:tcPr>
            <w:tcW w:w="1786" w:type="dxa"/>
            <w:noWrap/>
            <w:hideMark/>
          </w:tcPr>
          <w:p w14:paraId="3ADD0F2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$22,061,362</w:t>
            </w:r>
          </w:p>
        </w:tc>
        <w:tc>
          <w:tcPr>
            <w:tcW w:w="901" w:type="dxa"/>
            <w:noWrap/>
            <w:hideMark/>
          </w:tcPr>
          <w:p w14:paraId="4D9A6B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37.4%</w:t>
            </w:r>
          </w:p>
        </w:tc>
        <w:tc>
          <w:tcPr>
            <w:tcW w:w="1374" w:type="dxa"/>
            <w:noWrap/>
            <w:hideMark/>
          </w:tcPr>
          <w:p w14:paraId="38176F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38.2%</w:t>
            </w:r>
          </w:p>
        </w:tc>
        <w:tc>
          <w:tcPr>
            <w:tcW w:w="1602" w:type="dxa"/>
            <w:noWrap/>
            <w:hideMark/>
          </w:tcPr>
          <w:p w14:paraId="762682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$4,838</w:t>
            </w:r>
          </w:p>
        </w:tc>
      </w:tr>
      <w:tr w:rsidR="008C6E34" w:rsidRPr="008C6E34" w14:paraId="32F38CC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6DD766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0632</w:t>
            </w:r>
          </w:p>
        </w:tc>
        <w:tc>
          <w:tcPr>
            <w:tcW w:w="2880" w:type="dxa"/>
            <w:noWrap/>
            <w:hideMark/>
          </w:tcPr>
          <w:p w14:paraId="4914307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Chesterfield Goshen</w:t>
            </w:r>
          </w:p>
        </w:tc>
        <w:tc>
          <w:tcPr>
            <w:tcW w:w="1148" w:type="dxa"/>
            <w:noWrap/>
            <w:hideMark/>
          </w:tcPr>
          <w:p w14:paraId="269470B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7B5FA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$1,312,143 </w:t>
            </w:r>
          </w:p>
        </w:tc>
        <w:tc>
          <w:tcPr>
            <w:tcW w:w="1786" w:type="dxa"/>
            <w:noWrap/>
            <w:hideMark/>
          </w:tcPr>
          <w:p w14:paraId="0B4E18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$711,347 </w:t>
            </w:r>
          </w:p>
        </w:tc>
        <w:tc>
          <w:tcPr>
            <w:tcW w:w="901" w:type="dxa"/>
            <w:noWrap/>
            <w:hideMark/>
          </w:tcPr>
          <w:p w14:paraId="4E1B63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55.3%</w:t>
            </w:r>
          </w:p>
        </w:tc>
        <w:tc>
          <w:tcPr>
            <w:tcW w:w="1374" w:type="dxa"/>
            <w:noWrap/>
            <w:hideMark/>
          </w:tcPr>
          <w:p w14:paraId="0BD6EA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54.2%</w:t>
            </w:r>
          </w:p>
        </w:tc>
        <w:tc>
          <w:tcPr>
            <w:tcW w:w="1602" w:type="dxa"/>
            <w:noWrap/>
            <w:hideMark/>
          </w:tcPr>
          <w:p w14:paraId="4EF2D0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$130,241</w:t>
            </w:r>
          </w:p>
        </w:tc>
        <w:tc>
          <w:tcPr>
            <w:tcW w:w="1264" w:type="dxa"/>
            <w:noWrap/>
            <w:hideMark/>
          </w:tcPr>
          <w:p w14:paraId="543CD95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D6B8E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$1,171,005</w:t>
            </w:r>
          </w:p>
        </w:tc>
        <w:tc>
          <w:tcPr>
            <w:tcW w:w="1786" w:type="dxa"/>
            <w:noWrap/>
            <w:hideMark/>
          </w:tcPr>
          <w:p w14:paraId="6235EE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$751,930</w:t>
            </w:r>
          </w:p>
        </w:tc>
        <w:tc>
          <w:tcPr>
            <w:tcW w:w="901" w:type="dxa"/>
            <w:noWrap/>
            <w:hideMark/>
          </w:tcPr>
          <w:p w14:paraId="4A06CE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36.6%</w:t>
            </w:r>
          </w:p>
        </w:tc>
        <w:tc>
          <w:tcPr>
            <w:tcW w:w="1374" w:type="dxa"/>
            <w:noWrap/>
            <w:hideMark/>
          </w:tcPr>
          <w:p w14:paraId="023317E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64.2%</w:t>
            </w:r>
          </w:p>
        </w:tc>
        <w:tc>
          <w:tcPr>
            <w:tcW w:w="1602" w:type="dxa"/>
            <w:noWrap/>
            <w:hideMark/>
          </w:tcPr>
          <w:p w14:paraId="7D2942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$323,899</w:t>
            </w:r>
          </w:p>
        </w:tc>
      </w:tr>
      <w:tr w:rsidR="008C6E34" w:rsidRPr="008C6E34" w14:paraId="10359E1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46DBAB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0635</w:t>
            </w:r>
          </w:p>
        </w:tc>
        <w:tc>
          <w:tcPr>
            <w:tcW w:w="2880" w:type="dxa"/>
            <w:noWrap/>
            <w:hideMark/>
          </w:tcPr>
          <w:p w14:paraId="40A1C0D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Central Berkshire</w:t>
            </w:r>
          </w:p>
        </w:tc>
        <w:tc>
          <w:tcPr>
            <w:tcW w:w="1148" w:type="dxa"/>
            <w:noWrap/>
            <w:hideMark/>
          </w:tcPr>
          <w:p w14:paraId="186F222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A7E71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$17,068,928 </w:t>
            </w:r>
          </w:p>
        </w:tc>
        <w:tc>
          <w:tcPr>
            <w:tcW w:w="1786" w:type="dxa"/>
            <w:noWrap/>
            <w:hideMark/>
          </w:tcPr>
          <w:p w14:paraId="5FE7AA6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$8,092,876 </w:t>
            </w:r>
          </w:p>
        </w:tc>
        <w:tc>
          <w:tcPr>
            <w:tcW w:w="901" w:type="dxa"/>
            <w:noWrap/>
            <w:hideMark/>
          </w:tcPr>
          <w:p w14:paraId="558069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52.5%</w:t>
            </w:r>
          </w:p>
        </w:tc>
        <w:tc>
          <w:tcPr>
            <w:tcW w:w="1374" w:type="dxa"/>
            <w:noWrap/>
            <w:hideMark/>
          </w:tcPr>
          <w:p w14:paraId="3A644B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47.4%</w:t>
            </w:r>
          </w:p>
        </w:tc>
        <w:tc>
          <w:tcPr>
            <w:tcW w:w="1602" w:type="dxa"/>
            <w:noWrap/>
            <w:hideMark/>
          </w:tcPr>
          <w:p w14:paraId="34B051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$516,309</w:t>
            </w:r>
          </w:p>
        </w:tc>
        <w:tc>
          <w:tcPr>
            <w:tcW w:w="1264" w:type="dxa"/>
            <w:noWrap/>
            <w:hideMark/>
          </w:tcPr>
          <w:p w14:paraId="6B308EB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0E03E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$17,917,237</w:t>
            </w:r>
          </w:p>
        </w:tc>
        <w:tc>
          <w:tcPr>
            <w:tcW w:w="1786" w:type="dxa"/>
            <w:noWrap/>
            <w:hideMark/>
          </w:tcPr>
          <w:p w14:paraId="75B85E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$8,773,249</w:t>
            </w:r>
          </w:p>
        </w:tc>
        <w:tc>
          <w:tcPr>
            <w:tcW w:w="901" w:type="dxa"/>
            <w:noWrap/>
            <w:hideMark/>
          </w:tcPr>
          <w:p w14:paraId="3D1D54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38.0%</w:t>
            </w:r>
          </w:p>
        </w:tc>
        <w:tc>
          <w:tcPr>
            <w:tcW w:w="1374" w:type="dxa"/>
            <w:noWrap/>
            <w:hideMark/>
          </w:tcPr>
          <w:p w14:paraId="29418B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49.0%</w:t>
            </w:r>
          </w:p>
        </w:tc>
        <w:tc>
          <w:tcPr>
            <w:tcW w:w="1602" w:type="dxa"/>
            <w:noWrap/>
            <w:hideMark/>
          </w:tcPr>
          <w:p w14:paraId="529744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$1,743,658</w:t>
            </w:r>
          </w:p>
        </w:tc>
      </w:tr>
      <w:tr w:rsidR="008C6E34" w:rsidRPr="008C6E34" w14:paraId="216AE8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3FDD8F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0640</w:t>
            </w:r>
          </w:p>
        </w:tc>
        <w:tc>
          <w:tcPr>
            <w:tcW w:w="2880" w:type="dxa"/>
            <w:noWrap/>
            <w:hideMark/>
          </w:tcPr>
          <w:p w14:paraId="6C79D0C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Concord Carlisle</w:t>
            </w:r>
          </w:p>
        </w:tc>
        <w:tc>
          <w:tcPr>
            <w:tcW w:w="1148" w:type="dxa"/>
            <w:noWrap/>
            <w:hideMark/>
          </w:tcPr>
          <w:p w14:paraId="184A3F2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3666A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$11,043,068 </w:t>
            </w:r>
          </w:p>
        </w:tc>
        <w:tc>
          <w:tcPr>
            <w:tcW w:w="1786" w:type="dxa"/>
            <w:noWrap/>
            <w:hideMark/>
          </w:tcPr>
          <w:p w14:paraId="3B184E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$1,704,025 </w:t>
            </w:r>
          </w:p>
        </w:tc>
        <w:tc>
          <w:tcPr>
            <w:tcW w:w="901" w:type="dxa"/>
            <w:noWrap/>
            <w:hideMark/>
          </w:tcPr>
          <w:p w14:paraId="2E8AB5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A6BF6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15.4%</w:t>
            </w:r>
          </w:p>
        </w:tc>
        <w:tc>
          <w:tcPr>
            <w:tcW w:w="1602" w:type="dxa"/>
            <w:noWrap/>
            <w:hideMark/>
          </w:tcPr>
          <w:p w14:paraId="3AE2EF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$1,704,025</w:t>
            </w:r>
          </w:p>
        </w:tc>
        <w:tc>
          <w:tcPr>
            <w:tcW w:w="1264" w:type="dxa"/>
            <w:noWrap/>
            <w:hideMark/>
          </w:tcPr>
          <w:p w14:paraId="2F0A616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C489C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$15,326,810</w:t>
            </w:r>
          </w:p>
        </w:tc>
        <w:tc>
          <w:tcPr>
            <w:tcW w:w="1786" w:type="dxa"/>
            <w:noWrap/>
            <w:hideMark/>
          </w:tcPr>
          <w:p w14:paraId="48B0031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$2,700,821</w:t>
            </w:r>
          </w:p>
        </w:tc>
        <w:tc>
          <w:tcPr>
            <w:tcW w:w="901" w:type="dxa"/>
            <w:noWrap/>
            <w:hideMark/>
          </w:tcPr>
          <w:p w14:paraId="2372C2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4989C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17.6%</w:t>
            </w:r>
          </w:p>
        </w:tc>
        <w:tc>
          <w:tcPr>
            <w:tcW w:w="1602" w:type="dxa"/>
            <w:noWrap/>
            <w:hideMark/>
          </w:tcPr>
          <w:p w14:paraId="6DB3AF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$10,190</w:t>
            </w:r>
          </w:p>
        </w:tc>
      </w:tr>
      <w:tr w:rsidR="008C6E34" w:rsidRPr="008C6E34" w14:paraId="7292CC0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D6402C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0645</w:t>
            </w:r>
          </w:p>
        </w:tc>
        <w:tc>
          <w:tcPr>
            <w:tcW w:w="2880" w:type="dxa"/>
            <w:noWrap/>
            <w:hideMark/>
          </w:tcPr>
          <w:p w14:paraId="20CC64D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Dennis Yarmouth</w:t>
            </w:r>
          </w:p>
        </w:tc>
        <w:tc>
          <w:tcPr>
            <w:tcW w:w="1148" w:type="dxa"/>
            <w:noWrap/>
            <w:hideMark/>
          </w:tcPr>
          <w:p w14:paraId="5C44607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634C9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$31,921,636 </w:t>
            </w:r>
          </w:p>
        </w:tc>
        <w:tc>
          <w:tcPr>
            <w:tcW w:w="1786" w:type="dxa"/>
            <w:noWrap/>
            <w:hideMark/>
          </w:tcPr>
          <w:p w14:paraId="7233AB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$6,521,044 </w:t>
            </w:r>
          </w:p>
        </w:tc>
        <w:tc>
          <w:tcPr>
            <w:tcW w:w="901" w:type="dxa"/>
            <w:noWrap/>
            <w:hideMark/>
          </w:tcPr>
          <w:p w14:paraId="4345E5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B88D1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20.4%</w:t>
            </w:r>
          </w:p>
        </w:tc>
        <w:tc>
          <w:tcPr>
            <w:tcW w:w="1602" w:type="dxa"/>
            <w:noWrap/>
            <w:hideMark/>
          </w:tcPr>
          <w:p w14:paraId="7ADEAE4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$2,240,057</w:t>
            </w:r>
          </w:p>
        </w:tc>
        <w:tc>
          <w:tcPr>
            <w:tcW w:w="1264" w:type="dxa"/>
            <w:noWrap/>
            <w:hideMark/>
          </w:tcPr>
          <w:p w14:paraId="4BD1D5C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C022A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$40,299,027</w:t>
            </w:r>
          </w:p>
        </w:tc>
        <w:tc>
          <w:tcPr>
            <w:tcW w:w="1786" w:type="dxa"/>
            <w:noWrap/>
            <w:hideMark/>
          </w:tcPr>
          <w:p w14:paraId="0A32A9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$7,812,700</w:t>
            </w:r>
          </w:p>
        </w:tc>
        <w:tc>
          <w:tcPr>
            <w:tcW w:w="901" w:type="dxa"/>
            <w:noWrap/>
            <w:hideMark/>
          </w:tcPr>
          <w:p w14:paraId="54A0C8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742E8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19.4%</w:t>
            </w:r>
          </w:p>
        </w:tc>
        <w:tc>
          <w:tcPr>
            <w:tcW w:w="1602" w:type="dxa"/>
            <w:noWrap/>
            <w:hideMark/>
          </w:tcPr>
          <w:p w14:paraId="1CEE07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34893A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4AA1E1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0650</w:t>
            </w:r>
          </w:p>
        </w:tc>
        <w:tc>
          <w:tcPr>
            <w:tcW w:w="2880" w:type="dxa"/>
            <w:noWrap/>
            <w:hideMark/>
          </w:tcPr>
          <w:p w14:paraId="0D51CB8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Dighton Rehoboth</w:t>
            </w:r>
          </w:p>
        </w:tc>
        <w:tc>
          <w:tcPr>
            <w:tcW w:w="1148" w:type="dxa"/>
            <w:noWrap/>
            <w:hideMark/>
          </w:tcPr>
          <w:p w14:paraId="15F8B13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0B42C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$25,227,557 </w:t>
            </w:r>
          </w:p>
        </w:tc>
        <w:tc>
          <w:tcPr>
            <w:tcW w:w="1786" w:type="dxa"/>
            <w:noWrap/>
            <w:hideMark/>
          </w:tcPr>
          <w:p w14:paraId="1B1945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$12,078,498 </w:t>
            </w:r>
          </w:p>
        </w:tc>
        <w:tc>
          <w:tcPr>
            <w:tcW w:w="901" w:type="dxa"/>
            <w:noWrap/>
            <w:hideMark/>
          </w:tcPr>
          <w:p w14:paraId="3389AC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43.3%</w:t>
            </w:r>
          </w:p>
        </w:tc>
        <w:tc>
          <w:tcPr>
            <w:tcW w:w="1374" w:type="dxa"/>
            <w:noWrap/>
            <w:hideMark/>
          </w:tcPr>
          <w:p w14:paraId="43AAEB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47.9%</w:t>
            </w:r>
          </w:p>
        </w:tc>
        <w:tc>
          <w:tcPr>
            <w:tcW w:w="1602" w:type="dxa"/>
            <w:noWrap/>
            <w:hideMark/>
          </w:tcPr>
          <w:p w14:paraId="0F1487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$71,318</w:t>
            </w:r>
          </w:p>
        </w:tc>
        <w:tc>
          <w:tcPr>
            <w:tcW w:w="1264" w:type="dxa"/>
            <w:noWrap/>
            <w:hideMark/>
          </w:tcPr>
          <w:p w14:paraId="2197406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28FA3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$31,540,121</w:t>
            </w:r>
          </w:p>
        </w:tc>
        <w:tc>
          <w:tcPr>
            <w:tcW w:w="1786" w:type="dxa"/>
            <w:noWrap/>
            <w:hideMark/>
          </w:tcPr>
          <w:p w14:paraId="1B7813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$12,956,936</w:t>
            </w:r>
          </w:p>
        </w:tc>
        <w:tc>
          <w:tcPr>
            <w:tcW w:w="901" w:type="dxa"/>
            <w:noWrap/>
            <w:hideMark/>
          </w:tcPr>
          <w:p w14:paraId="689EF8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36.5%</w:t>
            </w:r>
          </w:p>
        </w:tc>
        <w:tc>
          <w:tcPr>
            <w:tcW w:w="1374" w:type="dxa"/>
            <w:noWrap/>
            <w:hideMark/>
          </w:tcPr>
          <w:p w14:paraId="35A2B5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41.1%</w:t>
            </w:r>
          </w:p>
        </w:tc>
        <w:tc>
          <w:tcPr>
            <w:tcW w:w="1602" w:type="dxa"/>
            <w:noWrap/>
            <w:hideMark/>
          </w:tcPr>
          <w:p w14:paraId="3E0A84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$1,248,046</w:t>
            </w:r>
          </w:p>
        </w:tc>
      </w:tr>
      <w:tr w:rsidR="008C6E34" w:rsidRPr="008C6E34" w14:paraId="32EE0EE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A7551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0655</w:t>
            </w:r>
          </w:p>
        </w:tc>
        <w:tc>
          <w:tcPr>
            <w:tcW w:w="2880" w:type="dxa"/>
            <w:noWrap/>
            <w:hideMark/>
          </w:tcPr>
          <w:p w14:paraId="2177506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Dover Sherborn</w:t>
            </w:r>
          </w:p>
        </w:tc>
        <w:tc>
          <w:tcPr>
            <w:tcW w:w="1148" w:type="dxa"/>
            <w:noWrap/>
            <w:hideMark/>
          </w:tcPr>
          <w:p w14:paraId="795385F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446F7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$8,206,331 </w:t>
            </w:r>
          </w:p>
        </w:tc>
        <w:tc>
          <w:tcPr>
            <w:tcW w:w="1786" w:type="dxa"/>
            <w:noWrap/>
            <w:hideMark/>
          </w:tcPr>
          <w:p w14:paraId="018BE8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$1,273,362 </w:t>
            </w:r>
          </w:p>
        </w:tc>
        <w:tc>
          <w:tcPr>
            <w:tcW w:w="901" w:type="dxa"/>
            <w:noWrap/>
            <w:hideMark/>
          </w:tcPr>
          <w:p w14:paraId="6F56CD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02322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15.5%</w:t>
            </w:r>
          </w:p>
        </w:tc>
        <w:tc>
          <w:tcPr>
            <w:tcW w:w="1602" w:type="dxa"/>
            <w:noWrap/>
            <w:hideMark/>
          </w:tcPr>
          <w:p w14:paraId="0EFAB6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$1,273,362</w:t>
            </w:r>
          </w:p>
        </w:tc>
        <w:tc>
          <w:tcPr>
            <w:tcW w:w="1264" w:type="dxa"/>
            <w:noWrap/>
            <w:hideMark/>
          </w:tcPr>
          <w:p w14:paraId="4349E6E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52B85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$13,018,705</w:t>
            </w:r>
          </w:p>
        </w:tc>
        <w:tc>
          <w:tcPr>
            <w:tcW w:w="1786" w:type="dxa"/>
            <w:noWrap/>
            <w:hideMark/>
          </w:tcPr>
          <w:p w14:paraId="71A9B2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$2,282,394</w:t>
            </w:r>
          </w:p>
        </w:tc>
        <w:tc>
          <w:tcPr>
            <w:tcW w:w="901" w:type="dxa"/>
            <w:noWrap/>
            <w:hideMark/>
          </w:tcPr>
          <w:p w14:paraId="1638BD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9CA3D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7E94F0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$4,121</w:t>
            </w:r>
          </w:p>
        </w:tc>
      </w:tr>
      <w:tr w:rsidR="008C6E34" w:rsidRPr="008C6E34" w14:paraId="075B1E8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1BD6FA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0658</w:t>
            </w:r>
          </w:p>
        </w:tc>
        <w:tc>
          <w:tcPr>
            <w:tcW w:w="2880" w:type="dxa"/>
            <w:noWrap/>
            <w:hideMark/>
          </w:tcPr>
          <w:p w14:paraId="0B724AE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Dudley Charlton</w:t>
            </w:r>
          </w:p>
        </w:tc>
        <w:tc>
          <w:tcPr>
            <w:tcW w:w="1148" w:type="dxa"/>
            <w:noWrap/>
            <w:hideMark/>
          </w:tcPr>
          <w:p w14:paraId="3AB0D1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C676A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$32,233,347 </w:t>
            </w:r>
          </w:p>
        </w:tc>
        <w:tc>
          <w:tcPr>
            <w:tcW w:w="1786" w:type="dxa"/>
            <w:noWrap/>
            <w:hideMark/>
          </w:tcPr>
          <w:p w14:paraId="166311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$22,188,433 </w:t>
            </w:r>
          </w:p>
        </w:tc>
        <w:tc>
          <w:tcPr>
            <w:tcW w:w="901" w:type="dxa"/>
            <w:noWrap/>
            <w:hideMark/>
          </w:tcPr>
          <w:p w14:paraId="7199D0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56.8%</w:t>
            </w:r>
          </w:p>
        </w:tc>
        <w:tc>
          <w:tcPr>
            <w:tcW w:w="1374" w:type="dxa"/>
            <w:noWrap/>
            <w:hideMark/>
          </w:tcPr>
          <w:p w14:paraId="34ECB2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68.8%</w:t>
            </w:r>
          </w:p>
        </w:tc>
        <w:tc>
          <w:tcPr>
            <w:tcW w:w="1602" w:type="dxa"/>
            <w:noWrap/>
            <w:hideMark/>
          </w:tcPr>
          <w:p w14:paraId="7787AF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$207,315</w:t>
            </w:r>
          </w:p>
        </w:tc>
        <w:tc>
          <w:tcPr>
            <w:tcW w:w="1264" w:type="dxa"/>
            <w:noWrap/>
            <w:hideMark/>
          </w:tcPr>
          <w:p w14:paraId="2B77433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95997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$39,553,020</w:t>
            </w:r>
          </w:p>
        </w:tc>
        <w:tc>
          <w:tcPr>
            <w:tcW w:w="1786" w:type="dxa"/>
            <w:noWrap/>
            <w:hideMark/>
          </w:tcPr>
          <w:p w14:paraId="1D0F33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$24,488,263</w:t>
            </w:r>
          </w:p>
        </w:tc>
        <w:tc>
          <w:tcPr>
            <w:tcW w:w="901" w:type="dxa"/>
            <w:noWrap/>
            <w:hideMark/>
          </w:tcPr>
          <w:p w14:paraId="6B46FC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53.4%</w:t>
            </w:r>
          </w:p>
        </w:tc>
        <w:tc>
          <w:tcPr>
            <w:tcW w:w="1374" w:type="dxa"/>
            <w:noWrap/>
            <w:hideMark/>
          </w:tcPr>
          <w:p w14:paraId="1D466E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61.9%</w:t>
            </w:r>
          </w:p>
        </w:tc>
        <w:tc>
          <w:tcPr>
            <w:tcW w:w="1602" w:type="dxa"/>
            <w:noWrap/>
            <w:hideMark/>
          </w:tcPr>
          <w:p w14:paraId="320BBC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$2,131,939</w:t>
            </w:r>
          </w:p>
        </w:tc>
      </w:tr>
      <w:tr w:rsidR="008C6E34" w:rsidRPr="008C6E34" w14:paraId="4F49B1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DADBE8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0660</w:t>
            </w:r>
          </w:p>
        </w:tc>
        <w:tc>
          <w:tcPr>
            <w:tcW w:w="2880" w:type="dxa"/>
            <w:noWrap/>
            <w:hideMark/>
          </w:tcPr>
          <w:p w14:paraId="1D7363C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Nauset</w:t>
            </w:r>
          </w:p>
        </w:tc>
        <w:tc>
          <w:tcPr>
            <w:tcW w:w="1148" w:type="dxa"/>
            <w:noWrap/>
            <w:hideMark/>
          </w:tcPr>
          <w:p w14:paraId="6EC803F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A4BF9F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$13,492,342 </w:t>
            </w:r>
          </w:p>
        </w:tc>
        <w:tc>
          <w:tcPr>
            <w:tcW w:w="1786" w:type="dxa"/>
            <w:noWrap/>
            <w:hideMark/>
          </w:tcPr>
          <w:p w14:paraId="1FC027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$3,298,923 </w:t>
            </w:r>
          </w:p>
        </w:tc>
        <w:tc>
          <w:tcPr>
            <w:tcW w:w="901" w:type="dxa"/>
            <w:noWrap/>
            <w:hideMark/>
          </w:tcPr>
          <w:p w14:paraId="29B680F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97EEF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24.5%</w:t>
            </w:r>
          </w:p>
        </w:tc>
        <w:tc>
          <w:tcPr>
            <w:tcW w:w="1602" w:type="dxa"/>
            <w:noWrap/>
            <w:hideMark/>
          </w:tcPr>
          <w:p w14:paraId="75C93F0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$3,298,923</w:t>
            </w:r>
          </w:p>
        </w:tc>
        <w:tc>
          <w:tcPr>
            <w:tcW w:w="1264" w:type="dxa"/>
            <w:noWrap/>
            <w:hideMark/>
          </w:tcPr>
          <w:p w14:paraId="44830C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2914B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$13,781,730</w:t>
            </w:r>
          </w:p>
        </w:tc>
        <w:tc>
          <w:tcPr>
            <w:tcW w:w="1786" w:type="dxa"/>
            <w:noWrap/>
            <w:hideMark/>
          </w:tcPr>
          <w:p w14:paraId="4B132F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$3,526,849</w:t>
            </w:r>
          </w:p>
        </w:tc>
        <w:tc>
          <w:tcPr>
            <w:tcW w:w="901" w:type="dxa"/>
            <w:noWrap/>
            <w:hideMark/>
          </w:tcPr>
          <w:p w14:paraId="3A1CE6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1BF89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w:t>
            </w:r>
          </w:p>
        </w:tc>
        <w:tc>
          <w:tcPr>
            <w:tcW w:w="1602" w:type="dxa"/>
            <w:noWrap/>
            <w:hideMark/>
          </w:tcPr>
          <w:p w14:paraId="2C0177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$1,042,012</w:t>
            </w:r>
          </w:p>
        </w:tc>
      </w:tr>
      <w:tr w:rsidR="008C6E34" w:rsidRPr="008C6E34" w14:paraId="0456D8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92BF3D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0662</w:t>
            </w:r>
          </w:p>
        </w:tc>
        <w:tc>
          <w:tcPr>
            <w:tcW w:w="2880" w:type="dxa"/>
            <w:noWrap/>
            <w:hideMark/>
          </w:tcPr>
          <w:p w14:paraId="06354AC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Farmington River</w:t>
            </w:r>
          </w:p>
        </w:tc>
        <w:tc>
          <w:tcPr>
            <w:tcW w:w="1148" w:type="dxa"/>
            <w:noWrap/>
            <w:hideMark/>
          </w:tcPr>
          <w:p w14:paraId="45819FE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8E17B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$2,244,629 </w:t>
            </w:r>
          </w:p>
        </w:tc>
        <w:tc>
          <w:tcPr>
            <w:tcW w:w="1786" w:type="dxa"/>
            <w:noWrap/>
            <w:hideMark/>
          </w:tcPr>
          <w:p w14:paraId="1D3E4D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$389,406 </w:t>
            </w:r>
          </w:p>
        </w:tc>
        <w:tc>
          <w:tcPr>
            <w:tcW w:w="901" w:type="dxa"/>
            <w:noWrap/>
            <w:hideMark/>
          </w:tcPr>
          <w:p w14:paraId="7A229D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D0794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17.3%</w:t>
            </w:r>
          </w:p>
        </w:tc>
        <w:tc>
          <w:tcPr>
            <w:tcW w:w="1602" w:type="dxa"/>
            <w:noWrap/>
            <w:hideMark/>
          </w:tcPr>
          <w:p w14:paraId="46D5AA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$324,634</w:t>
            </w:r>
          </w:p>
        </w:tc>
        <w:tc>
          <w:tcPr>
            <w:tcW w:w="1264" w:type="dxa"/>
            <w:noWrap/>
            <w:hideMark/>
          </w:tcPr>
          <w:p w14:paraId="0E0A5E8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ED9F9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$2,310,317</w:t>
            </w:r>
          </w:p>
        </w:tc>
        <w:tc>
          <w:tcPr>
            <w:tcW w:w="1786" w:type="dxa"/>
            <w:noWrap/>
            <w:hideMark/>
          </w:tcPr>
          <w:p w14:paraId="4B4B38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$494,950</w:t>
            </w:r>
          </w:p>
        </w:tc>
        <w:tc>
          <w:tcPr>
            <w:tcW w:w="901" w:type="dxa"/>
            <w:noWrap/>
            <w:hideMark/>
          </w:tcPr>
          <w:p w14:paraId="1FC3BF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3A796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w:t>
            </w:r>
          </w:p>
        </w:tc>
        <w:tc>
          <w:tcPr>
            <w:tcW w:w="1602" w:type="dxa"/>
            <w:noWrap/>
            <w:hideMark/>
          </w:tcPr>
          <w:p w14:paraId="3F3C38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$88,415</w:t>
            </w:r>
          </w:p>
        </w:tc>
      </w:tr>
      <w:tr w:rsidR="008C6E34" w:rsidRPr="008C6E34" w14:paraId="0C80B81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2AA719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0665</w:t>
            </w:r>
          </w:p>
        </w:tc>
        <w:tc>
          <w:tcPr>
            <w:tcW w:w="2880" w:type="dxa"/>
            <w:noWrap/>
            <w:hideMark/>
          </w:tcPr>
          <w:p w14:paraId="2FD3862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Freetown Lakeville</w:t>
            </w:r>
          </w:p>
        </w:tc>
        <w:tc>
          <w:tcPr>
            <w:tcW w:w="1148" w:type="dxa"/>
            <w:noWrap/>
            <w:hideMark/>
          </w:tcPr>
          <w:p w14:paraId="60CEE5D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C53D7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$14,519,330 </w:t>
            </w:r>
          </w:p>
        </w:tc>
        <w:tc>
          <w:tcPr>
            <w:tcW w:w="1786" w:type="dxa"/>
            <w:noWrap/>
            <w:hideMark/>
          </w:tcPr>
          <w:p w14:paraId="377C29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$6,832,785 </w:t>
            </w:r>
          </w:p>
        </w:tc>
        <w:tc>
          <w:tcPr>
            <w:tcW w:w="901" w:type="dxa"/>
            <w:noWrap/>
            <w:hideMark/>
          </w:tcPr>
          <w:p w14:paraId="314435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37.5%</w:t>
            </w:r>
          </w:p>
        </w:tc>
        <w:tc>
          <w:tcPr>
            <w:tcW w:w="1374" w:type="dxa"/>
            <w:noWrap/>
            <w:hideMark/>
          </w:tcPr>
          <w:p w14:paraId="20D2E7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47.1%</w:t>
            </w:r>
          </w:p>
        </w:tc>
        <w:tc>
          <w:tcPr>
            <w:tcW w:w="1602" w:type="dxa"/>
            <w:noWrap/>
            <w:hideMark/>
          </w:tcPr>
          <w:p w14:paraId="55FD7F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$1,219,843</w:t>
            </w:r>
          </w:p>
        </w:tc>
        <w:tc>
          <w:tcPr>
            <w:tcW w:w="1264" w:type="dxa"/>
            <w:noWrap/>
            <w:hideMark/>
          </w:tcPr>
          <w:p w14:paraId="7916EC8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F7BEB9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$29,471,190</w:t>
            </w:r>
          </w:p>
        </w:tc>
        <w:tc>
          <w:tcPr>
            <w:tcW w:w="1786" w:type="dxa"/>
            <w:noWrap/>
            <w:hideMark/>
          </w:tcPr>
          <w:p w14:paraId="500A4B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$11,102,173</w:t>
            </w:r>
          </w:p>
        </w:tc>
        <w:tc>
          <w:tcPr>
            <w:tcW w:w="901" w:type="dxa"/>
            <w:noWrap/>
            <w:hideMark/>
          </w:tcPr>
          <w:p w14:paraId="36028E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w:t>
            </w:r>
          </w:p>
        </w:tc>
        <w:tc>
          <w:tcPr>
            <w:tcW w:w="1374" w:type="dxa"/>
            <w:noWrap/>
            <w:hideMark/>
          </w:tcPr>
          <w:p w14:paraId="1B2E7D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37.7%</w:t>
            </w:r>
          </w:p>
        </w:tc>
        <w:tc>
          <w:tcPr>
            <w:tcW w:w="1602" w:type="dxa"/>
            <w:noWrap/>
            <w:hideMark/>
          </w:tcPr>
          <w:p w14:paraId="618A2A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$1,005,764</w:t>
            </w:r>
          </w:p>
        </w:tc>
      </w:tr>
      <w:tr w:rsidR="008C6E34" w:rsidRPr="008C6E34" w14:paraId="7E6B549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1234FF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0670</w:t>
            </w:r>
          </w:p>
        </w:tc>
        <w:tc>
          <w:tcPr>
            <w:tcW w:w="2880" w:type="dxa"/>
            <w:noWrap/>
            <w:hideMark/>
          </w:tcPr>
          <w:p w14:paraId="02BF185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Frontier</w:t>
            </w:r>
          </w:p>
        </w:tc>
        <w:tc>
          <w:tcPr>
            <w:tcW w:w="1148" w:type="dxa"/>
            <w:noWrap/>
            <w:hideMark/>
          </w:tcPr>
          <w:p w14:paraId="7814724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370F6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$5,733,999 </w:t>
            </w:r>
          </w:p>
        </w:tc>
        <w:tc>
          <w:tcPr>
            <w:tcW w:w="1786" w:type="dxa"/>
            <w:noWrap/>
            <w:hideMark/>
          </w:tcPr>
          <w:p w14:paraId="5FC060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$2,746,608 </w:t>
            </w:r>
          </w:p>
        </w:tc>
        <w:tc>
          <w:tcPr>
            <w:tcW w:w="901" w:type="dxa"/>
            <w:noWrap/>
            <w:hideMark/>
          </w:tcPr>
          <w:p w14:paraId="723328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30.5%</w:t>
            </w:r>
          </w:p>
        </w:tc>
        <w:tc>
          <w:tcPr>
            <w:tcW w:w="1374" w:type="dxa"/>
            <w:noWrap/>
            <w:hideMark/>
          </w:tcPr>
          <w:p w14:paraId="2FB1F1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47.9%</w:t>
            </w:r>
          </w:p>
        </w:tc>
        <w:tc>
          <w:tcPr>
            <w:tcW w:w="1602" w:type="dxa"/>
            <w:noWrap/>
            <w:hideMark/>
          </w:tcPr>
          <w:p w14:paraId="58908D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$547,584</w:t>
            </w:r>
          </w:p>
        </w:tc>
        <w:tc>
          <w:tcPr>
            <w:tcW w:w="1264" w:type="dxa"/>
            <w:noWrap/>
            <w:hideMark/>
          </w:tcPr>
          <w:p w14:paraId="3C82EF5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6240F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$6,490,224</w:t>
            </w:r>
          </w:p>
        </w:tc>
        <w:tc>
          <w:tcPr>
            <w:tcW w:w="1786" w:type="dxa"/>
            <w:noWrap/>
            <w:hideMark/>
          </w:tcPr>
          <w:p w14:paraId="307F24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$2,855,535</w:t>
            </w:r>
          </w:p>
        </w:tc>
        <w:tc>
          <w:tcPr>
            <w:tcW w:w="901" w:type="dxa"/>
            <w:noWrap/>
            <w:hideMark/>
          </w:tcPr>
          <w:p w14:paraId="18B009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w:t>
            </w:r>
          </w:p>
        </w:tc>
        <w:tc>
          <w:tcPr>
            <w:tcW w:w="1374" w:type="dxa"/>
            <w:noWrap/>
            <w:hideMark/>
          </w:tcPr>
          <w:p w14:paraId="346B18E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44.0%</w:t>
            </w:r>
          </w:p>
        </w:tc>
        <w:tc>
          <w:tcPr>
            <w:tcW w:w="1602" w:type="dxa"/>
            <w:noWrap/>
            <w:hideMark/>
          </w:tcPr>
          <w:p w14:paraId="0BA61B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$1,560,857</w:t>
            </w:r>
          </w:p>
        </w:tc>
      </w:tr>
      <w:tr w:rsidR="008C6E34" w:rsidRPr="008C6E34" w14:paraId="3951CF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69A21D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0672</w:t>
            </w:r>
          </w:p>
        </w:tc>
        <w:tc>
          <w:tcPr>
            <w:tcW w:w="2880" w:type="dxa"/>
            <w:noWrap/>
            <w:hideMark/>
          </w:tcPr>
          <w:p w14:paraId="12120DD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Gateway</w:t>
            </w:r>
          </w:p>
        </w:tc>
        <w:tc>
          <w:tcPr>
            <w:tcW w:w="1148" w:type="dxa"/>
            <w:noWrap/>
            <w:hideMark/>
          </w:tcPr>
          <w:p w14:paraId="59AA33B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18E02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$11,307,523 </w:t>
            </w:r>
          </w:p>
        </w:tc>
        <w:tc>
          <w:tcPr>
            <w:tcW w:w="1786" w:type="dxa"/>
            <w:noWrap/>
            <w:hideMark/>
          </w:tcPr>
          <w:p w14:paraId="700DD2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$5,817,025 </w:t>
            </w:r>
          </w:p>
        </w:tc>
        <w:tc>
          <w:tcPr>
            <w:tcW w:w="901" w:type="dxa"/>
            <w:noWrap/>
            <w:hideMark/>
          </w:tcPr>
          <w:p w14:paraId="5D3F3D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55.3%</w:t>
            </w:r>
          </w:p>
        </w:tc>
        <w:tc>
          <w:tcPr>
            <w:tcW w:w="1374" w:type="dxa"/>
            <w:noWrap/>
            <w:hideMark/>
          </w:tcPr>
          <w:p w14:paraId="5E355A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51.4%</w:t>
            </w:r>
          </w:p>
        </w:tc>
        <w:tc>
          <w:tcPr>
            <w:tcW w:w="1602" w:type="dxa"/>
            <w:noWrap/>
            <w:hideMark/>
          </w:tcPr>
          <w:p w14:paraId="3FCD38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$86,357</w:t>
            </w:r>
          </w:p>
        </w:tc>
        <w:tc>
          <w:tcPr>
            <w:tcW w:w="1264" w:type="dxa"/>
            <w:noWrap/>
            <w:hideMark/>
          </w:tcPr>
          <w:p w14:paraId="3EEA8BE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705FB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$9,819,285</w:t>
            </w:r>
          </w:p>
        </w:tc>
        <w:tc>
          <w:tcPr>
            <w:tcW w:w="1786" w:type="dxa"/>
            <w:noWrap/>
            <w:hideMark/>
          </w:tcPr>
          <w:p w14:paraId="4B879A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$5,658,699</w:t>
            </w:r>
          </w:p>
        </w:tc>
        <w:tc>
          <w:tcPr>
            <w:tcW w:w="901" w:type="dxa"/>
            <w:noWrap/>
            <w:hideMark/>
          </w:tcPr>
          <w:p w14:paraId="2C35C08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45.8%</w:t>
            </w:r>
          </w:p>
        </w:tc>
        <w:tc>
          <w:tcPr>
            <w:tcW w:w="1374" w:type="dxa"/>
            <w:noWrap/>
            <w:hideMark/>
          </w:tcPr>
          <w:p w14:paraId="2527B9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57.6%</w:t>
            </w:r>
          </w:p>
        </w:tc>
        <w:tc>
          <w:tcPr>
            <w:tcW w:w="1602" w:type="dxa"/>
            <w:noWrap/>
            <w:hideMark/>
          </w:tcPr>
          <w:p w14:paraId="000E22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$1,081,830</w:t>
            </w:r>
          </w:p>
        </w:tc>
      </w:tr>
      <w:tr w:rsidR="008C6E34" w:rsidRPr="008C6E34" w14:paraId="2F4C3C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2A18A9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0673</w:t>
            </w:r>
          </w:p>
        </w:tc>
        <w:tc>
          <w:tcPr>
            <w:tcW w:w="2880" w:type="dxa"/>
            <w:noWrap/>
            <w:hideMark/>
          </w:tcPr>
          <w:p w14:paraId="5A4F8B4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Groton Dunstable</w:t>
            </w:r>
          </w:p>
        </w:tc>
        <w:tc>
          <w:tcPr>
            <w:tcW w:w="1148" w:type="dxa"/>
            <w:noWrap/>
            <w:hideMark/>
          </w:tcPr>
          <w:p w14:paraId="389E8E9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5D0028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$22,069,166 </w:t>
            </w:r>
          </w:p>
        </w:tc>
        <w:tc>
          <w:tcPr>
            <w:tcW w:w="1786" w:type="dxa"/>
            <w:noWrap/>
            <w:hideMark/>
          </w:tcPr>
          <w:p w14:paraId="07FCE0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$10,590,960 </w:t>
            </w:r>
          </w:p>
        </w:tc>
        <w:tc>
          <w:tcPr>
            <w:tcW w:w="901" w:type="dxa"/>
            <w:noWrap/>
            <w:hideMark/>
          </w:tcPr>
          <w:p w14:paraId="0B4480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38.8%</w:t>
            </w:r>
          </w:p>
        </w:tc>
        <w:tc>
          <w:tcPr>
            <w:tcW w:w="1374" w:type="dxa"/>
            <w:noWrap/>
            <w:hideMark/>
          </w:tcPr>
          <w:p w14:paraId="5E11E3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48.0%</w:t>
            </w:r>
          </w:p>
        </w:tc>
        <w:tc>
          <w:tcPr>
            <w:tcW w:w="1602" w:type="dxa"/>
            <w:noWrap/>
            <w:hideMark/>
          </w:tcPr>
          <w:p w14:paraId="6F60E1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2B4B12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8FD9C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$23,962,885</w:t>
            </w:r>
          </w:p>
        </w:tc>
        <w:tc>
          <w:tcPr>
            <w:tcW w:w="1786" w:type="dxa"/>
            <w:noWrap/>
            <w:hideMark/>
          </w:tcPr>
          <w:p w14:paraId="546FB1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$10,920,053</w:t>
            </w:r>
          </w:p>
        </w:tc>
        <w:tc>
          <w:tcPr>
            <w:tcW w:w="901" w:type="dxa"/>
            <w:noWrap/>
            <w:hideMark/>
          </w:tcPr>
          <w:p w14:paraId="5BF469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17.6%</w:t>
            </w:r>
          </w:p>
        </w:tc>
        <w:tc>
          <w:tcPr>
            <w:tcW w:w="1374" w:type="dxa"/>
            <w:noWrap/>
            <w:hideMark/>
          </w:tcPr>
          <w:p w14:paraId="4A775B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45.6%</w:t>
            </w:r>
          </w:p>
        </w:tc>
        <w:tc>
          <w:tcPr>
            <w:tcW w:w="1602" w:type="dxa"/>
            <w:noWrap/>
            <w:hideMark/>
          </w:tcPr>
          <w:p w14:paraId="5FF0AD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$6,485,997</w:t>
            </w:r>
          </w:p>
        </w:tc>
      </w:tr>
      <w:tr w:rsidR="008C6E34" w:rsidRPr="008C6E34" w14:paraId="17B72A4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AB5175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0674</w:t>
            </w:r>
          </w:p>
        </w:tc>
        <w:tc>
          <w:tcPr>
            <w:tcW w:w="2880" w:type="dxa"/>
            <w:noWrap/>
            <w:hideMark/>
          </w:tcPr>
          <w:p w14:paraId="304CACE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Gill Montague</w:t>
            </w:r>
          </w:p>
        </w:tc>
        <w:tc>
          <w:tcPr>
            <w:tcW w:w="1148" w:type="dxa"/>
            <w:noWrap/>
            <w:hideMark/>
          </w:tcPr>
          <w:p w14:paraId="089328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07B76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$10,362,291 </w:t>
            </w:r>
          </w:p>
        </w:tc>
        <w:tc>
          <w:tcPr>
            <w:tcW w:w="1786" w:type="dxa"/>
            <w:noWrap/>
            <w:hideMark/>
          </w:tcPr>
          <w:p w14:paraId="6B861A0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$6,225,637 </w:t>
            </w:r>
          </w:p>
        </w:tc>
        <w:tc>
          <w:tcPr>
            <w:tcW w:w="901" w:type="dxa"/>
            <w:noWrap/>
            <w:hideMark/>
          </w:tcPr>
          <w:p w14:paraId="12A261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55.8%</w:t>
            </w:r>
          </w:p>
        </w:tc>
        <w:tc>
          <w:tcPr>
            <w:tcW w:w="1374" w:type="dxa"/>
            <w:noWrap/>
            <w:hideMark/>
          </w:tcPr>
          <w:p w14:paraId="7A76F0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60.1%</w:t>
            </w:r>
          </w:p>
        </w:tc>
        <w:tc>
          <w:tcPr>
            <w:tcW w:w="1602" w:type="dxa"/>
            <w:noWrap/>
            <w:hideMark/>
          </w:tcPr>
          <w:p w14:paraId="3FEDF54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$1,008,308</w:t>
            </w:r>
          </w:p>
        </w:tc>
        <w:tc>
          <w:tcPr>
            <w:tcW w:w="1264" w:type="dxa"/>
            <w:noWrap/>
            <w:hideMark/>
          </w:tcPr>
          <w:p w14:paraId="26E81BF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1864EF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$12,729,673</w:t>
            </w:r>
          </w:p>
        </w:tc>
        <w:tc>
          <w:tcPr>
            <w:tcW w:w="1786" w:type="dxa"/>
            <w:noWrap/>
            <w:hideMark/>
          </w:tcPr>
          <w:p w14:paraId="088F36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$6,568,729</w:t>
            </w:r>
          </w:p>
        </w:tc>
        <w:tc>
          <w:tcPr>
            <w:tcW w:w="901" w:type="dxa"/>
            <w:noWrap/>
            <w:hideMark/>
          </w:tcPr>
          <w:p w14:paraId="79292E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51.6%</w:t>
            </w:r>
          </w:p>
        </w:tc>
        <w:tc>
          <w:tcPr>
            <w:tcW w:w="1374" w:type="dxa"/>
            <w:noWrap/>
            <w:hideMark/>
          </w:tcPr>
          <w:p w14:paraId="3BEC91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51.6%</w:t>
            </w:r>
          </w:p>
        </w:tc>
        <w:tc>
          <w:tcPr>
            <w:tcW w:w="1602" w:type="dxa"/>
            <w:noWrap/>
            <w:hideMark/>
          </w:tcPr>
          <w:p w14:paraId="7DA4009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B67761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8DE7B4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0675</w:t>
            </w:r>
          </w:p>
        </w:tc>
        <w:tc>
          <w:tcPr>
            <w:tcW w:w="2880" w:type="dxa"/>
            <w:noWrap/>
            <w:hideMark/>
          </w:tcPr>
          <w:p w14:paraId="3A2B37B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Hamilton Wenham</w:t>
            </w:r>
          </w:p>
        </w:tc>
        <w:tc>
          <w:tcPr>
            <w:tcW w:w="1148" w:type="dxa"/>
            <w:noWrap/>
            <w:hideMark/>
          </w:tcPr>
          <w:p w14:paraId="27045B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D2F05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$15,069,063 </w:t>
            </w:r>
          </w:p>
        </w:tc>
        <w:tc>
          <w:tcPr>
            <w:tcW w:w="1786" w:type="dxa"/>
            <w:noWrap/>
            <w:hideMark/>
          </w:tcPr>
          <w:p w14:paraId="3FF283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$3,269,343 </w:t>
            </w:r>
          </w:p>
        </w:tc>
        <w:tc>
          <w:tcPr>
            <w:tcW w:w="901" w:type="dxa"/>
            <w:noWrap/>
            <w:hideMark/>
          </w:tcPr>
          <w:p w14:paraId="55BBC3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F52C1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21.7%</w:t>
            </w:r>
          </w:p>
        </w:tc>
        <w:tc>
          <w:tcPr>
            <w:tcW w:w="1602" w:type="dxa"/>
            <w:noWrap/>
            <w:hideMark/>
          </w:tcPr>
          <w:p w14:paraId="44DDB5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$161,767</w:t>
            </w:r>
          </w:p>
        </w:tc>
        <w:tc>
          <w:tcPr>
            <w:tcW w:w="1264" w:type="dxa"/>
            <w:noWrap/>
            <w:hideMark/>
          </w:tcPr>
          <w:p w14:paraId="0876FF4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82BF4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$17,895,420</w:t>
            </w:r>
          </w:p>
        </w:tc>
        <w:tc>
          <w:tcPr>
            <w:tcW w:w="1786" w:type="dxa"/>
            <w:noWrap/>
            <w:hideMark/>
          </w:tcPr>
          <w:p w14:paraId="295284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$3,711,406</w:t>
            </w:r>
          </w:p>
        </w:tc>
        <w:tc>
          <w:tcPr>
            <w:tcW w:w="901" w:type="dxa"/>
            <w:noWrap/>
            <w:hideMark/>
          </w:tcPr>
          <w:p w14:paraId="5DB48E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2C637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602" w:type="dxa"/>
            <w:noWrap/>
            <w:hideMark/>
          </w:tcPr>
          <w:p w14:paraId="394D73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$434,366</w:t>
            </w:r>
          </w:p>
        </w:tc>
      </w:tr>
      <w:tr w:rsidR="008C6E34" w:rsidRPr="008C6E34" w14:paraId="4D10926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B295D1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0680</w:t>
            </w:r>
          </w:p>
        </w:tc>
        <w:tc>
          <w:tcPr>
            <w:tcW w:w="2880" w:type="dxa"/>
            <w:noWrap/>
            <w:hideMark/>
          </w:tcPr>
          <w:p w14:paraId="7CE613F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Hampden Wilbraham</w:t>
            </w:r>
          </w:p>
        </w:tc>
        <w:tc>
          <w:tcPr>
            <w:tcW w:w="1148" w:type="dxa"/>
            <w:noWrap/>
            <w:hideMark/>
          </w:tcPr>
          <w:p w14:paraId="2198393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D757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$28,628,962 </w:t>
            </w:r>
          </w:p>
        </w:tc>
        <w:tc>
          <w:tcPr>
            <w:tcW w:w="1786" w:type="dxa"/>
            <w:noWrap/>
            <w:hideMark/>
          </w:tcPr>
          <w:p w14:paraId="4B3E30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$10,257,652 </w:t>
            </w:r>
          </w:p>
        </w:tc>
        <w:tc>
          <w:tcPr>
            <w:tcW w:w="901" w:type="dxa"/>
            <w:noWrap/>
            <w:hideMark/>
          </w:tcPr>
          <w:p w14:paraId="2BE0D3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44.2%</w:t>
            </w:r>
          </w:p>
        </w:tc>
        <w:tc>
          <w:tcPr>
            <w:tcW w:w="1374" w:type="dxa"/>
            <w:noWrap/>
            <w:hideMark/>
          </w:tcPr>
          <w:p w14:paraId="6B130D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35.8%</w:t>
            </w:r>
          </w:p>
        </w:tc>
        <w:tc>
          <w:tcPr>
            <w:tcW w:w="1602" w:type="dxa"/>
            <w:noWrap/>
            <w:hideMark/>
          </w:tcPr>
          <w:p w14:paraId="5503E1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0F0FE3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85496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$31,472,652</w:t>
            </w:r>
          </w:p>
        </w:tc>
        <w:tc>
          <w:tcPr>
            <w:tcW w:w="1786" w:type="dxa"/>
            <w:noWrap/>
            <w:hideMark/>
          </w:tcPr>
          <w:p w14:paraId="301C0B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$11,920,364</w:t>
            </w:r>
          </w:p>
        </w:tc>
        <w:tc>
          <w:tcPr>
            <w:tcW w:w="901" w:type="dxa"/>
            <w:noWrap/>
            <w:hideMark/>
          </w:tcPr>
          <w:p w14:paraId="3EE291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32.9%</w:t>
            </w:r>
          </w:p>
        </w:tc>
        <w:tc>
          <w:tcPr>
            <w:tcW w:w="1374" w:type="dxa"/>
            <w:noWrap/>
            <w:hideMark/>
          </w:tcPr>
          <w:p w14:paraId="14FC75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w:t>
            </w:r>
          </w:p>
        </w:tc>
        <w:tc>
          <w:tcPr>
            <w:tcW w:w="1602" w:type="dxa"/>
            <w:noWrap/>
            <w:hideMark/>
          </w:tcPr>
          <w:p w14:paraId="3426BC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$1,583,367</w:t>
            </w:r>
          </w:p>
        </w:tc>
      </w:tr>
      <w:tr w:rsidR="008C6E34" w:rsidRPr="008C6E34" w14:paraId="495943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CC76B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0683</w:t>
            </w:r>
          </w:p>
        </w:tc>
        <w:tc>
          <w:tcPr>
            <w:tcW w:w="2880" w:type="dxa"/>
            <w:noWrap/>
            <w:hideMark/>
          </w:tcPr>
          <w:p w14:paraId="31F4394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Hampshire</w:t>
            </w:r>
          </w:p>
        </w:tc>
        <w:tc>
          <w:tcPr>
            <w:tcW w:w="1148" w:type="dxa"/>
            <w:noWrap/>
            <w:hideMark/>
          </w:tcPr>
          <w:p w14:paraId="0145517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B5367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$6,805,484 </w:t>
            </w:r>
          </w:p>
        </w:tc>
        <w:tc>
          <w:tcPr>
            <w:tcW w:w="1786" w:type="dxa"/>
            <w:noWrap/>
            <w:hideMark/>
          </w:tcPr>
          <w:p w14:paraId="29A8EE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$2,676,375 </w:t>
            </w:r>
          </w:p>
        </w:tc>
        <w:tc>
          <w:tcPr>
            <w:tcW w:w="901" w:type="dxa"/>
            <w:noWrap/>
            <w:hideMark/>
          </w:tcPr>
          <w:p w14:paraId="50D762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49.2%</w:t>
            </w:r>
          </w:p>
        </w:tc>
        <w:tc>
          <w:tcPr>
            <w:tcW w:w="1374" w:type="dxa"/>
            <w:noWrap/>
            <w:hideMark/>
          </w:tcPr>
          <w:p w14:paraId="71FA8F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39.3%</w:t>
            </w:r>
          </w:p>
        </w:tc>
        <w:tc>
          <w:tcPr>
            <w:tcW w:w="1602" w:type="dxa"/>
            <w:noWrap/>
            <w:hideMark/>
          </w:tcPr>
          <w:p w14:paraId="3459B8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$9,474</w:t>
            </w:r>
          </w:p>
        </w:tc>
        <w:tc>
          <w:tcPr>
            <w:tcW w:w="1264" w:type="dxa"/>
            <w:noWrap/>
            <w:hideMark/>
          </w:tcPr>
          <w:p w14:paraId="7103F91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077F7F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$7,292,664</w:t>
            </w:r>
          </w:p>
        </w:tc>
        <w:tc>
          <w:tcPr>
            <w:tcW w:w="1786" w:type="dxa"/>
            <w:noWrap/>
            <w:hideMark/>
          </w:tcPr>
          <w:p w14:paraId="5570AE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$3,271,593</w:t>
            </w:r>
          </w:p>
        </w:tc>
        <w:tc>
          <w:tcPr>
            <w:tcW w:w="901" w:type="dxa"/>
            <w:noWrap/>
            <w:hideMark/>
          </w:tcPr>
          <w:p w14:paraId="5EE144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31.3%</w:t>
            </w:r>
          </w:p>
        </w:tc>
        <w:tc>
          <w:tcPr>
            <w:tcW w:w="1374" w:type="dxa"/>
            <w:noWrap/>
            <w:hideMark/>
          </w:tcPr>
          <w:p w14:paraId="031EE9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44.9%</w:t>
            </w:r>
          </w:p>
        </w:tc>
        <w:tc>
          <w:tcPr>
            <w:tcW w:w="1602" w:type="dxa"/>
            <w:noWrap/>
            <w:hideMark/>
          </w:tcPr>
          <w:p w14:paraId="53F3C1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$936,637</w:t>
            </w:r>
          </w:p>
        </w:tc>
      </w:tr>
      <w:tr w:rsidR="008C6E34" w:rsidRPr="008C6E34" w14:paraId="21EF8B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084D3D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0685</w:t>
            </w:r>
          </w:p>
        </w:tc>
        <w:tc>
          <w:tcPr>
            <w:tcW w:w="2880" w:type="dxa"/>
            <w:noWrap/>
            <w:hideMark/>
          </w:tcPr>
          <w:p w14:paraId="02C033E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Hawlemont</w:t>
            </w:r>
          </w:p>
        </w:tc>
        <w:tc>
          <w:tcPr>
            <w:tcW w:w="1148" w:type="dxa"/>
            <w:noWrap/>
            <w:hideMark/>
          </w:tcPr>
          <w:p w14:paraId="2293F95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1D23E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$1,007,233 </w:t>
            </w:r>
          </w:p>
        </w:tc>
        <w:tc>
          <w:tcPr>
            <w:tcW w:w="1786" w:type="dxa"/>
            <w:noWrap/>
            <w:hideMark/>
          </w:tcPr>
          <w:p w14:paraId="19C62A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$620,085 </w:t>
            </w:r>
          </w:p>
        </w:tc>
        <w:tc>
          <w:tcPr>
            <w:tcW w:w="901" w:type="dxa"/>
            <w:noWrap/>
            <w:hideMark/>
          </w:tcPr>
          <w:p w14:paraId="624E3C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59.4%</w:t>
            </w:r>
          </w:p>
        </w:tc>
        <w:tc>
          <w:tcPr>
            <w:tcW w:w="1374" w:type="dxa"/>
            <w:noWrap/>
            <w:hideMark/>
          </w:tcPr>
          <w:p w14:paraId="6E7BE1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61.6%</w:t>
            </w:r>
          </w:p>
        </w:tc>
        <w:tc>
          <w:tcPr>
            <w:tcW w:w="1602" w:type="dxa"/>
            <w:noWrap/>
            <w:hideMark/>
          </w:tcPr>
          <w:p w14:paraId="217B6A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$102,483</w:t>
            </w:r>
          </w:p>
        </w:tc>
        <w:tc>
          <w:tcPr>
            <w:tcW w:w="1264" w:type="dxa"/>
            <w:noWrap/>
            <w:hideMark/>
          </w:tcPr>
          <w:p w14:paraId="16A5E5F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57515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$1,194,592</w:t>
            </w:r>
          </w:p>
        </w:tc>
        <w:tc>
          <w:tcPr>
            <w:tcW w:w="1786" w:type="dxa"/>
            <w:noWrap/>
            <w:hideMark/>
          </w:tcPr>
          <w:p w14:paraId="27C0A3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$636,346</w:t>
            </w:r>
          </w:p>
        </w:tc>
        <w:tc>
          <w:tcPr>
            <w:tcW w:w="901" w:type="dxa"/>
            <w:noWrap/>
            <w:hideMark/>
          </w:tcPr>
          <w:p w14:paraId="244066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50.0%</w:t>
            </w:r>
          </w:p>
        </w:tc>
        <w:tc>
          <w:tcPr>
            <w:tcW w:w="1374" w:type="dxa"/>
            <w:noWrap/>
            <w:hideMark/>
          </w:tcPr>
          <w:p w14:paraId="559B2B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53.3%</w:t>
            </w:r>
          </w:p>
        </w:tc>
        <w:tc>
          <w:tcPr>
            <w:tcW w:w="1602" w:type="dxa"/>
            <w:noWrap/>
            <w:hideMark/>
          </w:tcPr>
          <w:p w14:paraId="3CDDBE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$39,436</w:t>
            </w:r>
          </w:p>
        </w:tc>
      </w:tr>
      <w:tr w:rsidR="008C6E34" w:rsidRPr="008C6E34" w14:paraId="68ED4CA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DBE498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0690</w:t>
            </w:r>
          </w:p>
        </w:tc>
        <w:tc>
          <w:tcPr>
            <w:tcW w:w="2880" w:type="dxa"/>
            <w:noWrap/>
            <w:hideMark/>
          </w:tcPr>
          <w:p w14:paraId="0818999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King Philip</w:t>
            </w:r>
          </w:p>
        </w:tc>
        <w:tc>
          <w:tcPr>
            <w:tcW w:w="1148" w:type="dxa"/>
            <w:noWrap/>
            <w:hideMark/>
          </w:tcPr>
          <w:p w14:paraId="32C9EB6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757F6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$16,295,851 </w:t>
            </w:r>
          </w:p>
        </w:tc>
        <w:tc>
          <w:tcPr>
            <w:tcW w:w="1786" w:type="dxa"/>
            <w:noWrap/>
            <w:hideMark/>
          </w:tcPr>
          <w:p w14:paraId="548B11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$6,788,148 </w:t>
            </w:r>
          </w:p>
        </w:tc>
        <w:tc>
          <w:tcPr>
            <w:tcW w:w="901" w:type="dxa"/>
            <w:noWrap/>
            <w:hideMark/>
          </w:tcPr>
          <w:p w14:paraId="761A2C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33.2%</w:t>
            </w:r>
          </w:p>
        </w:tc>
        <w:tc>
          <w:tcPr>
            <w:tcW w:w="1374" w:type="dxa"/>
            <w:noWrap/>
            <w:hideMark/>
          </w:tcPr>
          <w:p w14:paraId="652D62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w:t>
            </w:r>
          </w:p>
        </w:tc>
        <w:tc>
          <w:tcPr>
            <w:tcW w:w="1602" w:type="dxa"/>
            <w:noWrap/>
            <w:hideMark/>
          </w:tcPr>
          <w:p w14:paraId="19387E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75BD55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91551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$22,968,589</w:t>
            </w:r>
          </w:p>
        </w:tc>
        <w:tc>
          <w:tcPr>
            <w:tcW w:w="1786" w:type="dxa"/>
            <w:noWrap/>
            <w:hideMark/>
          </w:tcPr>
          <w:p w14:paraId="11E20A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$7,592,980</w:t>
            </w:r>
          </w:p>
        </w:tc>
        <w:tc>
          <w:tcPr>
            <w:tcW w:w="901" w:type="dxa"/>
            <w:noWrap/>
            <w:hideMark/>
          </w:tcPr>
          <w:p w14:paraId="27C567D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20.7%</w:t>
            </w:r>
          </w:p>
        </w:tc>
        <w:tc>
          <w:tcPr>
            <w:tcW w:w="1374" w:type="dxa"/>
            <w:noWrap/>
            <w:hideMark/>
          </w:tcPr>
          <w:p w14:paraId="5B2E59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33.1%</w:t>
            </w:r>
          </w:p>
        </w:tc>
        <w:tc>
          <w:tcPr>
            <w:tcW w:w="1602" w:type="dxa"/>
            <w:noWrap/>
            <w:hideMark/>
          </w:tcPr>
          <w:p w14:paraId="1C3644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$2,832,131</w:t>
            </w:r>
          </w:p>
        </w:tc>
      </w:tr>
      <w:tr w:rsidR="008C6E34" w:rsidRPr="008C6E34" w14:paraId="2F662EA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2A301E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0695</w:t>
            </w:r>
          </w:p>
        </w:tc>
        <w:tc>
          <w:tcPr>
            <w:tcW w:w="2880" w:type="dxa"/>
            <w:noWrap/>
            <w:hideMark/>
          </w:tcPr>
          <w:p w14:paraId="728BF2B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Lincoln Sudbury</w:t>
            </w:r>
          </w:p>
        </w:tc>
        <w:tc>
          <w:tcPr>
            <w:tcW w:w="1148" w:type="dxa"/>
            <w:noWrap/>
            <w:hideMark/>
          </w:tcPr>
          <w:p w14:paraId="7DEA8E7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A68A2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$13,657,169 </w:t>
            </w:r>
          </w:p>
        </w:tc>
        <w:tc>
          <w:tcPr>
            <w:tcW w:w="1786" w:type="dxa"/>
            <w:noWrap/>
            <w:hideMark/>
          </w:tcPr>
          <w:p w14:paraId="0B3D736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$2,197,526 </w:t>
            </w:r>
          </w:p>
        </w:tc>
        <w:tc>
          <w:tcPr>
            <w:tcW w:w="901" w:type="dxa"/>
            <w:noWrap/>
            <w:hideMark/>
          </w:tcPr>
          <w:p w14:paraId="4F7FD0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5814C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16.1%</w:t>
            </w:r>
          </w:p>
        </w:tc>
        <w:tc>
          <w:tcPr>
            <w:tcW w:w="1602" w:type="dxa"/>
            <w:noWrap/>
            <w:hideMark/>
          </w:tcPr>
          <w:p w14:paraId="7C688A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$267,325</w:t>
            </w:r>
          </w:p>
        </w:tc>
        <w:tc>
          <w:tcPr>
            <w:tcW w:w="1264" w:type="dxa"/>
            <w:noWrap/>
            <w:hideMark/>
          </w:tcPr>
          <w:p w14:paraId="51992CE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C5C6B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$17,865,442</w:t>
            </w:r>
          </w:p>
        </w:tc>
        <w:tc>
          <w:tcPr>
            <w:tcW w:w="1786" w:type="dxa"/>
            <w:noWrap/>
            <w:hideMark/>
          </w:tcPr>
          <w:p w14:paraId="008FB9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$3,127,363</w:t>
            </w:r>
          </w:p>
        </w:tc>
        <w:tc>
          <w:tcPr>
            <w:tcW w:w="901" w:type="dxa"/>
            <w:noWrap/>
            <w:hideMark/>
          </w:tcPr>
          <w:p w14:paraId="24D156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0DF3B7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602" w:type="dxa"/>
            <w:noWrap/>
            <w:hideMark/>
          </w:tcPr>
          <w:p w14:paraId="59D084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$910</w:t>
            </w:r>
          </w:p>
        </w:tc>
      </w:tr>
      <w:tr w:rsidR="008C6E34" w:rsidRPr="008C6E34" w14:paraId="0310365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E1811CE"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0698</w:t>
            </w:r>
          </w:p>
        </w:tc>
        <w:tc>
          <w:tcPr>
            <w:tcW w:w="2880" w:type="dxa"/>
            <w:noWrap/>
            <w:hideMark/>
          </w:tcPr>
          <w:p w14:paraId="7C700FE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Manchester Essex</w:t>
            </w:r>
          </w:p>
        </w:tc>
        <w:tc>
          <w:tcPr>
            <w:tcW w:w="1148" w:type="dxa"/>
            <w:noWrap/>
            <w:hideMark/>
          </w:tcPr>
          <w:p w14:paraId="722026A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677C4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$9,141,258 </w:t>
            </w:r>
          </w:p>
        </w:tc>
        <w:tc>
          <w:tcPr>
            <w:tcW w:w="1786" w:type="dxa"/>
            <w:noWrap/>
            <w:hideMark/>
          </w:tcPr>
          <w:p w14:paraId="4BCCDC2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$1,511,536 </w:t>
            </w:r>
          </w:p>
        </w:tc>
        <w:tc>
          <w:tcPr>
            <w:tcW w:w="901" w:type="dxa"/>
            <w:noWrap/>
            <w:hideMark/>
          </w:tcPr>
          <w:p w14:paraId="0D2782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FB39A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16.5%</w:t>
            </w:r>
          </w:p>
        </w:tc>
        <w:tc>
          <w:tcPr>
            <w:tcW w:w="1602" w:type="dxa"/>
            <w:noWrap/>
            <w:hideMark/>
          </w:tcPr>
          <w:p w14:paraId="6848C7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$1,511,536</w:t>
            </w:r>
          </w:p>
        </w:tc>
        <w:tc>
          <w:tcPr>
            <w:tcW w:w="1264" w:type="dxa"/>
            <w:noWrap/>
            <w:hideMark/>
          </w:tcPr>
          <w:p w14:paraId="4B233AA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18E24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$14,371,784</w:t>
            </w:r>
          </w:p>
        </w:tc>
        <w:tc>
          <w:tcPr>
            <w:tcW w:w="1786" w:type="dxa"/>
            <w:noWrap/>
            <w:hideMark/>
          </w:tcPr>
          <w:p w14:paraId="650F01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$3,048,668</w:t>
            </w:r>
          </w:p>
        </w:tc>
        <w:tc>
          <w:tcPr>
            <w:tcW w:w="901" w:type="dxa"/>
            <w:noWrap/>
            <w:hideMark/>
          </w:tcPr>
          <w:p w14:paraId="0BAC2C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7323E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w:t>
            </w:r>
          </w:p>
        </w:tc>
        <w:tc>
          <w:tcPr>
            <w:tcW w:w="1602" w:type="dxa"/>
            <w:noWrap/>
            <w:hideMark/>
          </w:tcPr>
          <w:p w14:paraId="0D975E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$415,395</w:t>
            </w:r>
          </w:p>
        </w:tc>
      </w:tr>
      <w:tr w:rsidR="008C6E34" w:rsidRPr="008C6E34" w14:paraId="0AA7530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000FD5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0700</w:t>
            </w:r>
          </w:p>
        </w:tc>
        <w:tc>
          <w:tcPr>
            <w:tcW w:w="2880" w:type="dxa"/>
            <w:noWrap/>
            <w:hideMark/>
          </w:tcPr>
          <w:p w14:paraId="6104081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Marthas Vineyard</w:t>
            </w:r>
          </w:p>
        </w:tc>
        <w:tc>
          <w:tcPr>
            <w:tcW w:w="1148" w:type="dxa"/>
            <w:noWrap/>
            <w:hideMark/>
          </w:tcPr>
          <w:p w14:paraId="72B7332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931F5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$7,932,850 </w:t>
            </w:r>
          </w:p>
        </w:tc>
        <w:tc>
          <w:tcPr>
            <w:tcW w:w="1786" w:type="dxa"/>
            <w:noWrap/>
            <w:hideMark/>
          </w:tcPr>
          <w:p w14:paraId="0CA9A7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$2,820,735 </w:t>
            </w:r>
          </w:p>
        </w:tc>
        <w:tc>
          <w:tcPr>
            <w:tcW w:w="901" w:type="dxa"/>
            <w:noWrap/>
            <w:hideMark/>
          </w:tcPr>
          <w:p w14:paraId="6391EDD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05D22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35.6%</w:t>
            </w:r>
          </w:p>
        </w:tc>
        <w:tc>
          <w:tcPr>
            <w:tcW w:w="1602" w:type="dxa"/>
            <w:noWrap/>
            <w:hideMark/>
          </w:tcPr>
          <w:p w14:paraId="3FF6C0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$2,820,735</w:t>
            </w:r>
          </w:p>
        </w:tc>
        <w:tc>
          <w:tcPr>
            <w:tcW w:w="1264" w:type="dxa"/>
            <w:noWrap/>
            <w:hideMark/>
          </w:tcPr>
          <w:p w14:paraId="78438F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2DB25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$9,542,318</w:t>
            </w:r>
          </w:p>
        </w:tc>
        <w:tc>
          <w:tcPr>
            <w:tcW w:w="1786" w:type="dxa"/>
            <w:noWrap/>
            <w:hideMark/>
          </w:tcPr>
          <w:p w14:paraId="3C46E3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$2,875,680</w:t>
            </w:r>
          </w:p>
        </w:tc>
        <w:tc>
          <w:tcPr>
            <w:tcW w:w="901" w:type="dxa"/>
            <w:noWrap/>
            <w:hideMark/>
          </w:tcPr>
          <w:p w14:paraId="069262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8E4CF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30.1%</w:t>
            </w:r>
          </w:p>
        </w:tc>
        <w:tc>
          <w:tcPr>
            <w:tcW w:w="1602" w:type="dxa"/>
            <w:noWrap/>
            <w:hideMark/>
          </w:tcPr>
          <w:p w14:paraId="3CFB2A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$1,142,799</w:t>
            </w:r>
          </w:p>
        </w:tc>
      </w:tr>
      <w:tr w:rsidR="008C6E34" w:rsidRPr="008C6E34" w14:paraId="2C4BDC7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029BE2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0705</w:t>
            </w:r>
          </w:p>
        </w:tc>
        <w:tc>
          <w:tcPr>
            <w:tcW w:w="2880" w:type="dxa"/>
            <w:noWrap/>
            <w:hideMark/>
          </w:tcPr>
          <w:p w14:paraId="6C70293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Masconomet</w:t>
            </w:r>
          </w:p>
        </w:tc>
        <w:tc>
          <w:tcPr>
            <w:tcW w:w="1148" w:type="dxa"/>
            <w:noWrap/>
            <w:hideMark/>
          </w:tcPr>
          <w:p w14:paraId="25E92CE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D6C1C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$17,202,789 </w:t>
            </w:r>
          </w:p>
        </w:tc>
        <w:tc>
          <w:tcPr>
            <w:tcW w:w="1786" w:type="dxa"/>
            <w:noWrap/>
            <w:hideMark/>
          </w:tcPr>
          <w:p w14:paraId="379B41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$4,773,155 </w:t>
            </w:r>
          </w:p>
        </w:tc>
        <w:tc>
          <w:tcPr>
            <w:tcW w:w="901" w:type="dxa"/>
            <w:noWrap/>
            <w:hideMark/>
          </w:tcPr>
          <w:p w14:paraId="5A1FD9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18.8%</w:t>
            </w:r>
          </w:p>
        </w:tc>
        <w:tc>
          <w:tcPr>
            <w:tcW w:w="1374" w:type="dxa"/>
            <w:noWrap/>
            <w:hideMark/>
          </w:tcPr>
          <w:p w14:paraId="12DB62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27.7%</w:t>
            </w:r>
          </w:p>
        </w:tc>
        <w:tc>
          <w:tcPr>
            <w:tcW w:w="1602" w:type="dxa"/>
            <w:noWrap/>
            <w:hideMark/>
          </w:tcPr>
          <w:p w14:paraId="056ECD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$424,569</w:t>
            </w:r>
          </w:p>
        </w:tc>
        <w:tc>
          <w:tcPr>
            <w:tcW w:w="1264" w:type="dxa"/>
            <w:noWrap/>
            <w:hideMark/>
          </w:tcPr>
          <w:p w14:paraId="06DB0C8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C7CF1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$19,848,020</w:t>
            </w:r>
          </w:p>
        </w:tc>
        <w:tc>
          <w:tcPr>
            <w:tcW w:w="1786" w:type="dxa"/>
            <w:noWrap/>
            <w:hideMark/>
          </w:tcPr>
          <w:p w14:paraId="005381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$5,201,349</w:t>
            </w:r>
          </w:p>
        </w:tc>
        <w:tc>
          <w:tcPr>
            <w:tcW w:w="901" w:type="dxa"/>
            <w:noWrap/>
            <w:hideMark/>
          </w:tcPr>
          <w:p w14:paraId="1E957C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67CCDC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26.2%</w:t>
            </w:r>
          </w:p>
        </w:tc>
        <w:tc>
          <w:tcPr>
            <w:tcW w:w="1602" w:type="dxa"/>
            <w:noWrap/>
            <w:hideMark/>
          </w:tcPr>
          <w:p w14:paraId="393E76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$1,648,152</w:t>
            </w:r>
          </w:p>
        </w:tc>
      </w:tr>
      <w:tr w:rsidR="008C6E34" w:rsidRPr="008C6E34" w14:paraId="180C6C8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55622F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0710</w:t>
            </w:r>
          </w:p>
        </w:tc>
        <w:tc>
          <w:tcPr>
            <w:tcW w:w="2880" w:type="dxa"/>
            <w:noWrap/>
            <w:hideMark/>
          </w:tcPr>
          <w:p w14:paraId="0489289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Mendon Upton</w:t>
            </w:r>
          </w:p>
        </w:tc>
        <w:tc>
          <w:tcPr>
            <w:tcW w:w="1148" w:type="dxa"/>
            <w:noWrap/>
            <w:hideMark/>
          </w:tcPr>
          <w:p w14:paraId="1CE7EDA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895A2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$19,301,063 </w:t>
            </w:r>
          </w:p>
        </w:tc>
        <w:tc>
          <w:tcPr>
            <w:tcW w:w="1786" w:type="dxa"/>
            <w:noWrap/>
            <w:hideMark/>
          </w:tcPr>
          <w:p w14:paraId="6F923D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$10,852,173 </w:t>
            </w:r>
          </w:p>
        </w:tc>
        <w:tc>
          <w:tcPr>
            <w:tcW w:w="901" w:type="dxa"/>
            <w:noWrap/>
            <w:hideMark/>
          </w:tcPr>
          <w:p w14:paraId="5857D4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w:t>
            </w:r>
          </w:p>
        </w:tc>
        <w:tc>
          <w:tcPr>
            <w:tcW w:w="1374" w:type="dxa"/>
            <w:noWrap/>
            <w:hideMark/>
          </w:tcPr>
          <w:p w14:paraId="3C9165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56.2%</w:t>
            </w:r>
          </w:p>
        </w:tc>
        <w:tc>
          <w:tcPr>
            <w:tcW w:w="1602" w:type="dxa"/>
            <w:noWrap/>
            <w:hideMark/>
          </w:tcPr>
          <w:p w14:paraId="30E3C6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D3ED00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DBEA2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$22,449,447</w:t>
            </w:r>
          </w:p>
        </w:tc>
        <w:tc>
          <w:tcPr>
            <w:tcW w:w="1786" w:type="dxa"/>
            <w:noWrap/>
            <w:hideMark/>
          </w:tcPr>
          <w:p w14:paraId="757AAC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$12,448,756</w:t>
            </w:r>
          </w:p>
        </w:tc>
        <w:tc>
          <w:tcPr>
            <w:tcW w:w="901" w:type="dxa"/>
            <w:noWrap/>
            <w:hideMark/>
          </w:tcPr>
          <w:p w14:paraId="7E3328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25.0%</w:t>
            </w:r>
          </w:p>
        </w:tc>
        <w:tc>
          <w:tcPr>
            <w:tcW w:w="1374" w:type="dxa"/>
            <w:noWrap/>
            <w:hideMark/>
          </w:tcPr>
          <w:p w14:paraId="0BA4AF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55.5%</w:t>
            </w:r>
          </w:p>
        </w:tc>
        <w:tc>
          <w:tcPr>
            <w:tcW w:w="1602" w:type="dxa"/>
            <w:noWrap/>
            <w:hideMark/>
          </w:tcPr>
          <w:p w14:paraId="47E42F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$5,888,212</w:t>
            </w:r>
          </w:p>
        </w:tc>
      </w:tr>
      <w:tr w:rsidR="008C6E34" w:rsidRPr="008C6E34" w14:paraId="29D240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FAB4E1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0712</w:t>
            </w:r>
          </w:p>
        </w:tc>
        <w:tc>
          <w:tcPr>
            <w:tcW w:w="2880" w:type="dxa"/>
            <w:noWrap/>
            <w:hideMark/>
          </w:tcPr>
          <w:p w14:paraId="59DF3E7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Monomoy</w:t>
            </w:r>
          </w:p>
        </w:tc>
        <w:tc>
          <w:tcPr>
            <w:tcW w:w="1148" w:type="dxa"/>
            <w:noWrap/>
            <w:hideMark/>
          </w:tcPr>
          <w:p w14:paraId="646C35F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w:t>
            </w:r>
          </w:p>
        </w:tc>
        <w:tc>
          <w:tcPr>
            <w:tcW w:w="1786" w:type="dxa"/>
            <w:noWrap/>
            <w:hideMark/>
          </w:tcPr>
          <w:p w14:paraId="265F43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2FB378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132A17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374" w:type="dxa"/>
            <w:noWrap/>
            <w:hideMark/>
          </w:tcPr>
          <w:p w14:paraId="50CFF8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558971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14D5D8D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AED30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$20,829,712</w:t>
            </w:r>
          </w:p>
        </w:tc>
        <w:tc>
          <w:tcPr>
            <w:tcW w:w="1786" w:type="dxa"/>
            <w:noWrap/>
            <w:hideMark/>
          </w:tcPr>
          <w:p w14:paraId="287C1A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$3,798,314</w:t>
            </w:r>
          </w:p>
        </w:tc>
        <w:tc>
          <w:tcPr>
            <w:tcW w:w="901" w:type="dxa"/>
            <w:noWrap/>
            <w:hideMark/>
          </w:tcPr>
          <w:p w14:paraId="3C0A84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7A8031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18.2%</w:t>
            </w:r>
          </w:p>
        </w:tc>
        <w:tc>
          <w:tcPr>
            <w:tcW w:w="1602" w:type="dxa"/>
            <w:noWrap/>
            <w:hideMark/>
          </w:tcPr>
          <w:p w14:paraId="22EAEE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B49F67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20BF06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0715</w:t>
            </w:r>
          </w:p>
        </w:tc>
        <w:tc>
          <w:tcPr>
            <w:tcW w:w="2880" w:type="dxa"/>
            <w:noWrap/>
            <w:hideMark/>
          </w:tcPr>
          <w:p w14:paraId="1F127EA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Mount Greylock</w:t>
            </w:r>
          </w:p>
        </w:tc>
        <w:tc>
          <w:tcPr>
            <w:tcW w:w="1148" w:type="dxa"/>
            <w:noWrap/>
            <w:hideMark/>
          </w:tcPr>
          <w:p w14:paraId="2391A15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4E75A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$4,791,177 </w:t>
            </w:r>
          </w:p>
        </w:tc>
        <w:tc>
          <w:tcPr>
            <w:tcW w:w="1786" w:type="dxa"/>
            <w:noWrap/>
            <w:hideMark/>
          </w:tcPr>
          <w:p w14:paraId="5A9430C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$1,699,377 </w:t>
            </w:r>
          </w:p>
        </w:tc>
        <w:tc>
          <w:tcPr>
            <w:tcW w:w="901" w:type="dxa"/>
            <w:noWrap/>
            <w:hideMark/>
          </w:tcPr>
          <w:p w14:paraId="02206A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w:t>
            </w:r>
          </w:p>
        </w:tc>
        <w:tc>
          <w:tcPr>
            <w:tcW w:w="1374" w:type="dxa"/>
            <w:noWrap/>
            <w:hideMark/>
          </w:tcPr>
          <w:p w14:paraId="30A5AE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w:t>
            </w:r>
          </w:p>
        </w:tc>
        <w:tc>
          <w:tcPr>
            <w:tcW w:w="1602" w:type="dxa"/>
            <w:noWrap/>
            <w:hideMark/>
          </w:tcPr>
          <w:p w14:paraId="5F28D1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$1,441,655</w:t>
            </w:r>
          </w:p>
        </w:tc>
        <w:tc>
          <w:tcPr>
            <w:tcW w:w="1264" w:type="dxa"/>
            <w:noWrap/>
            <w:hideMark/>
          </w:tcPr>
          <w:p w14:paraId="3BEA739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C6040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$11,569,192</w:t>
            </w:r>
          </w:p>
        </w:tc>
        <w:tc>
          <w:tcPr>
            <w:tcW w:w="1786" w:type="dxa"/>
            <w:noWrap/>
            <w:hideMark/>
          </w:tcPr>
          <w:p w14:paraId="038797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$3,554,057</w:t>
            </w:r>
          </w:p>
        </w:tc>
        <w:tc>
          <w:tcPr>
            <w:tcW w:w="901" w:type="dxa"/>
            <w:noWrap/>
            <w:hideMark/>
          </w:tcPr>
          <w:p w14:paraId="03DD77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25.7%</w:t>
            </w:r>
          </w:p>
        </w:tc>
        <w:tc>
          <w:tcPr>
            <w:tcW w:w="1374" w:type="dxa"/>
            <w:noWrap/>
            <w:hideMark/>
          </w:tcPr>
          <w:p w14:paraId="623F7A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30.7%</w:t>
            </w:r>
          </w:p>
        </w:tc>
        <w:tc>
          <w:tcPr>
            <w:tcW w:w="1602" w:type="dxa"/>
            <w:noWrap/>
            <w:hideMark/>
          </w:tcPr>
          <w:p w14:paraId="385D38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$386,443</w:t>
            </w:r>
          </w:p>
        </w:tc>
      </w:tr>
      <w:tr w:rsidR="008C6E34" w:rsidRPr="008C6E34" w14:paraId="0F5721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F807F9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0717</w:t>
            </w:r>
          </w:p>
        </w:tc>
        <w:tc>
          <w:tcPr>
            <w:tcW w:w="2880" w:type="dxa"/>
            <w:noWrap/>
            <w:hideMark/>
          </w:tcPr>
          <w:p w14:paraId="4FAC317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Mohawk Trail</w:t>
            </w:r>
          </w:p>
        </w:tc>
        <w:tc>
          <w:tcPr>
            <w:tcW w:w="1148" w:type="dxa"/>
            <w:noWrap/>
            <w:hideMark/>
          </w:tcPr>
          <w:p w14:paraId="1BF2084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F3578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$10,269,301 </w:t>
            </w:r>
          </w:p>
        </w:tc>
        <w:tc>
          <w:tcPr>
            <w:tcW w:w="1786" w:type="dxa"/>
            <w:noWrap/>
            <w:hideMark/>
          </w:tcPr>
          <w:p w14:paraId="314A2FE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$6,034,784 </w:t>
            </w:r>
          </w:p>
        </w:tc>
        <w:tc>
          <w:tcPr>
            <w:tcW w:w="901" w:type="dxa"/>
            <w:noWrap/>
            <w:hideMark/>
          </w:tcPr>
          <w:p w14:paraId="061DAE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51.9%</w:t>
            </w:r>
          </w:p>
        </w:tc>
        <w:tc>
          <w:tcPr>
            <w:tcW w:w="1374" w:type="dxa"/>
            <w:noWrap/>
            <w:hideMark/>
          </w:tcPr>
          <w:p w14:paraId="3BC30E4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58.8%</w:t>
            </w:r>
          </w:p>
        </w:tc>
        <w:tc>
          <w:tcPr>
            <w:tcW w:w="1602" w:type="dxa"/>
            <w:noWrap/>
            <w:hideMark/>
          </w:tcPr>
          <w:p w14:paraId="45083F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$1,414,097</w:t>
            </w:r>
          </w:p>
        </w:tc>
        <w:tc>
          <w:tcPr>
            <w:tcW w:w="1264" w:type="dxa"/>
            <w:noWrap/>
            <w:hideMark/>
          </w:tcPr>
          <w:p w14:paraId="686E175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2834A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$10,650,335</w:t>
            </w:r>
          </w:p>
        </w:tc>
        <w:tc>
          <w:tcPr>
            <w:tcW w:w="1786" w:type="dxa"/>
            <w:noWrap/>
            <w:hideMark/>
          </w:tcPr>
          <w:p w14:paraId="61D51E1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$6,056,894</w:t>
            </w:r>
          </w:p>
        </w:tc>
        <w:tc>
          <w:tcPr>
            <w:tcW w:w="901" w:type="dxa"/>
            <w:noWrap/>
            <w:hideMark/>
          </w:tcPr>
          <w:p w14:paraId="47F08E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39.5%</w:t>
            </w:r>
          </w:p>
        </w:tc>
        <w:tc>
          <w:tcPr>
            <w:tcW w:w="1374" w:type="dxa"/>
            <w:noWrap/>
            <w:hideMark/>
          </w:tcPr>
          <w:p w14:paraId="72A919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56.9%</w:t>
            </w:r>
          </w:p>
        </w:tc>
        <w:tc>
          <w:tcPr>
            <w:tcW w:w="1602" w:type="dxa"/>
            <w:noWrap/>
            <w:hideMark/>
          </w:tcPr>
          <w:p w14:paraId="5C4CF4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$1,844,846</w:t>
            </w:r>
          </w:p>
        </w:tc>
      </w:tr>
      <w:tr w:rsidR="008C6E34" w:rsidRPr="008C6E34" w14:paraId="0445104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CB3CA3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0720</w:t>
            </w:r>
          </w:p>
        </w:tc>
        <w:tc>
          <w:tcPr>
            <w:tcW w:w="2880" w:type="dxa"/>
            <w:noWrap/>
            <w:hideMark/>
          </w:tcPr>
          <w:p w14:paraId="38611D5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Narragansett</w:t>
            </w:r>
          </w:p>
        </w:tc>
        <w:tc>
          <w:tcPr>
            <w:tcW w:w="1148" w:type="dxa"/>
            <w:noWrap/>
            <w:hideMark/>
          </w:tcPr>
          <w:p w14:paraId="00B01E8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F90CF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$12,694,975 </w:t>
            </w:r>
          </w:p>
        </w:tc>
        <w:tc>
          <w:tcPr>
            <w:tcW w:w="1786" w:type="dxa"/>
            <w:noWrap/>
            <w:hideMark/>
          </w:tcPr>
          <w:p w14:paraId="717C12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$9,493,985 </w:t>
            </w:r>
          </w:p>
        </w:tc>
        <w:tc>
          <w:tcPr>
            <w:tcW w:w="901" w:type="dxa"/>
            <w:noWrap/>
            <w:hideMark/>
          </w:tcPr>
          <w:p w14:paraId="3FDE27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63.9%</w:t>
            </w:r>
          </w:p>
        </w:tc>
        <w:tc>
          <w:tcPr>
            <w:tcW w:w="1374" w:type="dxa"/>
            <w:noWrap/>
            <w:hideMark/>
          </w:tcPr>
          <w:p w14:paraId="48981E0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74.8%</w:t>
            </w:r>
          </w:p>
        </w:tc>
        <w:tc>
          <w:tcPr>
            <w:tcW w:w="1602" w:type="dxa"/>
            <w:noWrap/>
            <w:hideMark/>
          </w:tcPr>
          <w:p w14:paraId="0EC4E2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22617A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A65BE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$14,647,553</w:t>
            </w:r>
          </w:p>
        </w:tc>
        <w:tc>
          <w:tcPr>
            <w:tcW w:w="1786" w:type="dxa"/>
            <w:noWrap/>
            <w:hideMark/>
          </w:tcPr>
          <w:p w14:paraId="2C36F4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$9,951,444</w:t>
            </w:r>
          </w:p>
        </w:tc>
        <w:tc>
          <w:tcPr>
            <w:tcW w:w="901" w:type="dxa"/>
            <w:noWrap/>
            <w:hideMark/>
          </w:tcPr>
          <w:p w14:paraId="534F69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59.1%</w:t>
            </w:r>
          </w:p>
        </w:tc>
        <w:tc>
          <w:tcPr>
            <w:tcW w:w="1374" w:type="dxa"/>
            <w:noWrap/>
            <w:hideMark/>
          </w:tcPr>
          <w:p w14:paraId="288211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67.9%</w:t>
            </w:r>
          </w:p>
        </w:tc>
        <w:tc>
          <w:tcPr>
            <w:tcW w:w="1602" w:type="dxa"/>
            <w:noWrap/>
            <w:hideMark/>
          </w:tcPr>
          <w:p w14:paraId="20E174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$1,135,226</w:t>
            </w:r>
          </w:p>
        </w:tc>
      </w:tr>
      <w:tr w:rsidR="008C6E34" w:rsidRPr="008C6E34" w14:paraId="05702C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88E0C9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0725</w:t>
            </w:r>
          </w:p>
        </w:tc>
        <w:tc>
          <w:tcPr>
            <w:tcW w:w="2880" w:type="dxa"/>
            <w:noWrap/>
            <w:hideMark/>
          </w:tcPr>
          <w:p w14:paraId="2C8601C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Nashoba</w:t>
            </w:r>
          </w:p>
        </w:tc>
        <w:tc>
          <w:tcPr>
            <w:tcW w:w="1148" w:type="dxa"/>
            <w:noWrap/>
            <w:hideMark/>
          </w:tcPr>
          <w:p w14:paraId="2BFF11F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3615F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$23,697,784 </w:t>
            </w:r>
          </w:p>
        </w:tc>
        <w:tc>
          <w:tcPr>
            <w:tcW w:w="1786" w:type="dxa"/>
            <w:noWrap/>
            <w:hideMark/>
          </w:tcPr>
          <w:p w14:paraId="79A3A1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$5,871,972 </w:t>
            </w:r>
          </w:p>
        </w:tc>
        <w:tc>
          <w:tcPr>
            <w:tcW w:w="901" w:type="dxa"/>
            <w:noWrap/>
            <w:hideMark/>
          </w:tcPr>
          <w:p w14:paraId="157DF1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w:t>
            </w:r>
          </w:p>
        </w:tc>
        <w:tc>
          <w:tcPr>
            <w:tcW w:w="1374" w:type="dxa"/>
            <w:noWrap/>
            <w:hideMark/>
          </w:tcPr>
          <w:p w14:paraId="1B9D96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24.8%</w:t>
            </w:r>
          </w:p>
        </w:tc>
        <w:tc>
          <w:tcPr>
            <w:tcW w:w="1602" w:type="dxa"/>
            <w:noWrap/>
            <w:hideMark/>
          </w:tcPr>
          <w:p w14:paraId="07B482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$1,307,731</w:t>
            </w:r>
          </w:p>
        </w:tc>
        <w:tc>
          <w:tcPr>
            <w:tcW w:w="1264" w:type="dxa"/>
            <w:noWrap/>
            <w:hideMark/>
          </w:tcPr>
          <w:p w14:paraId="32F3D8E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FD447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$32,964,567</w:t>
            </w:r>
          </w:p>
        </w:tc>
        <w:tc>
          <w:tcPr>
            <w:tcW w:w="1786" w:type="dxa"/>
            <w:noWrap/>
            <w:hideMark/>
          </w:tcPr>
          <w:p w14:paraId="1DCF39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$7,273,744</w:t>
            </w:r>
          </w:p>
        </w:tc>
        <w:tc>
          <w:tcPr>
            <w:tcW w:w="901" w:type="dxa"/>
            <w:noWrap/>
            <w:hideMark/>
          </w:tcPr>
          <w:p w14:paraId="31D33D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w:t>
            </w:r>
          </w:p>
        </w:tc>
        <w:tc>
          <w:tcPr>
            <w:tcW w:w="1374" w:type="dxa"/>
            <w:noWrap/>
            <w:hideMark/>
          </w:tcPr>
          <w:p w14:paraId="0FE8C3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22.1%</w:t>
            </w:r>
          </w:p>
        </w:tc>
        <w:tc>
          <w:tcPr>
            <w:tcW w:w="1602" w:type="dxa"/>
            <w:noWrap/>
            <w:hideMark/>
          </w:tcPr>
          <w:p w14:paraId="6FA419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$1,876</w:t>
            </w:r>
          </w:p>
        </w:tc>
      </w:tr>
      <w:tr w:rsidR="008C6E34" w:rsidRPr="008C6E34" w14:paraId="138658D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B6677D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0728</w:t>
            </w:r>
          </w:p>
        </w:tc>
        <w:tc>
          <w:tcPr>
            <w:tcW w:w="2880" w:type="dxa"/>
            <w:noWrap/>
            <w:hideMark/>
          </w:tcPr>
          <w:p w14:paraId="650F7BA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New Salem Wendell</w:t>
            </w:r>
          </w:p>
        </w:tc>
        <w:tc>
          <w:tcPr>
            <w:tcW w:w="1148" w:type="dxa"/>
            <w:noWrap/>
            <w:hideMark/>
          </w:tcPr>
          <w:p w14:paraId="1E083AC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CC458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$1,068,078 </w:t>
            </w:r>
          </w:p>
        </w:tc>
        <w:tc>
          <w:tcPr>
            <w:tcW w:w="1786" w:type="dxa"/>
            <w:noWrap/>
            <w:hideMark/>
          </w:tcPr>
          <w:p w14:paraId="537AC6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$635,233 </w:t>
            </w:r>
          </w:p>
        </w:tc>
        <w:tc>
          <w:tcPr>
            <w:tcW w:w="901" w:type="dxa"/>
            <w:noWrap/>
            <w:hideMark/>
          </w:tcPr>
          <w:p w14:paraId="280AC8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56.7%</w:t>
            </w:r>
          </w:p>
        </w:tc>
        <w:tc>
          <w:tcPr>
            <w:tcW w:w="1374" w:type="dxa"/>
            <w:noWrap/>
            <w:hideMark/>
          </w:tcPr>
          <w:p w14:paraId="40C0F35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59.5%</w:t>
            </w:r>
          </w:p>
        </w:tc>
        <w:tc>
          <w:tcPr>
            <w:tcW w:w="1602" w:type="dxa"/>
            <w:noWrap/>
            <w:hideMark/>
          </w:tcPr>
          <w:p w14:paraId="4544BC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$105,715</w:t>
            </w:r>
          </w:p>
        </w:tc>
        <w:tc>
          <w:tcPr>
            <w:tcW w:w="1264" w:type="dxa"/>
            <w:noWrap/>
            <w:hideMark/>
          </w:tcPr>
          <w:p w14:paraId="78FF8D0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ED237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$1,230,159</w:t>
            </w:r>
          </w:p>
        </w:tc>
        <w:tc>
          <w:tcPr>
            <w:tcW w:w="1786" w:type="dxa"/>
            <w:noWrap/>
            <w:hideMark/>
          </w:tcPr>
          <w:p w14:paraId="619FBB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$688,101</w:t>
            </w:r>
          </w:p>
        </w:tc>
        <w:tc>
          <w:tcPr>
            <w:tcW w:w="901" w:type="dxa"/>
            <w:noWrap/>
            <w:hideMark/>
          </w:tcPr>
          <w:p w14:paraId="47DC3D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47.6%</w:t>
            </w:r>
          </w:p>
        </w:tc>
        <w:tc>
          <w:tcPr>
            <w:tcW w:w="1374" w:type="dxa"/>
            <w:noWrap/>
            <w:hideMark/>
          </w:tcPr>
          <w:p w14:paraId="673A0C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55.9%</w:t>
            </w:r>
          </w:p>
        </w:tc>
        <w:tc>
          <w:tcPr>
            <w:tcW w:w="1602" w:type="dxa"/>
            <w:noWrap/>
            <w:hideMark/>
          </w:tcPr>
          <w:p w14:paraId="390BC4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$102,051</w:t>
            </w:r>
          </w:p>
        </w:tc>
      </w:tr>
      <w:tr w:rsidR="008C6E34" w:rsidRPr="008C6E34" w14:paraId="3A13292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40A874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0730</w:t>
            </w:r>
          </w:p>
        </w:tc>
        <w:tc>
          <w:tcPr>
            <w:tcW w:w="2880" w:type="dxa"/>
            <w:noWrap/>
            <w:hideMark/>
          </w:tcPr>
          <w:p w14:paraId="42F43C2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Northboro Southboro</w:t>
            </w:r>
          </w:p>
        </w:tc>
        <w:tc>
          <w:tcPr>
            <w:tcW w:w="1148" w:type="dxa"/>
            <w:noWrap/>
            <w:hideMark/>
          </w:tcPr>
          <w:p w14:paraId="2EB3A49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CBD1BB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$11,057,753 </w:t>
            </w:r>
          </w:p>
        </w:tc>
        <w:tc>
          <w:tcPr>
            <w:tcW w:w="1786" w:type="dxa"/>
            <w:noWrap/>
            <w:hideMark/>
          </w:tcPr>
          <w:p w14:paraId="3DDC97B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$2,352,980 </w:t>
            </w:r>
          </w:p>
        </w:tc>
        <w:tc>
          <w:tcPr>
            <w:tcW w:w="901" w:type="dxa"/>
            <w:noWrap/>
            <w:hideMark/>
          </w:tcPr>
          <w:p w14:paraId="52B615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23.2%</w:t>
            </w:r>
          </w:p>
        </w:tc>
        <w:tc>
          <w:tcPr>
            <w:tcW w:w="1374" w:type="dxa"/>
            <w:noWrap/>
            <w:hideMark/>
          </w:tcPr>
          <w:p w14:paraId="2E58938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21.3%</w:t>
            </w:r>
          </w:p>
        </w:tc>
        <w:tc>
          <w:tcPr>
            <w:tcW w:w="1602" w:type="dxa"/>
            <w:noWrap/>
            <w:hideMark/>
          </w:tcPr>
          <w:p w14:paraId="171FA2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3A4B63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0EEE2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$16,651,311</w:t>
            </w:r>
          </w:p>
        </w:tc>
        <w:tc>
          <w:tcPr>
            <w:tcW w:w="1786" w:type="dxa"/>
            <w:noWrap/>
            <w:hideMark/>
          </w:tcPr>
          <w:p w14:paraId="777CBA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$3,168,064</w:t>
            </w:r>
          </w:p>
        </w:tc>
        <w:tc>
          <w:tcPr>
            <w:tcW w:w="901" w:type="dxa"/>
            <w:noWrap/>
            <w:hideMark/>
          </w:tcPr>
          <w:p w14:paraId="070720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763E7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19.0%</w:t>
            </w:r>
          </w:p>
        </w:tc>
        <w:tc>
          <w:tcPr>
            <w:tcW w:w="1602" w:type="dxa"/>
            <w:noWrap/>
            <w:hideMark/>
          </w:tcPr>
          <w:p w14:paraId="0EC1C0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$254,085</w:t>
            </w:r>
          </w:p>
        </w:tc>
      </w:tr>
      <w:tr w:rsidR="008C6E34" w:rsidRPr="008C6E34" w14:paraId="141778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C1F7E7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0735</w:t>
            </w:r>
          </w:p>
        </w:tc>
        <w:tc>
          <w:tcPr>
            <w:tcW w:w="2880" w:type="dxa"/>
            <w:noWrap/>
            <w:hideMark/>
          </w:tcPr>
          <w:p w14:paraId="2F4349E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 Middlesex</w:t>
            </w:r>
          </w:p>
        </w:tc>
        <w:tc>
          <w:tcPr>
            <w:tcW w:w="1148" w:type="dxa"/>
            <w:noWrap/>
            <w:hideMark/>
          </w:tcPr>
          <w:p w14:paraId="43774FB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33980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$33,499,786 </w:t>
            </w:r>
          </w:p>
        </w:tc>
        <w:tc>
          <w:tcPr>
            <w:tcW w:w="1786" w:type="dxa"/>
            <w:noWrap/>
            <w:hideMark/>
          </w:tcPr>
          <w:p w14:paraId="601620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$19,658,038 </w:t>
            </w:r>
          </w:p>
        </w:tc>
        <w:tc>
          <w:tcPr>
            <w:tcW w:w="901" w:type="dxa"/>
            <w:noWrap/>
            <w:hideMark/>
          </w:tcPr>
          <w:p w14:paraId="4BDC8B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53.9%</w:t>
            </w:r>
          </w:p>
        </w:tc>
        <w:tc>
          <w:tcPr>
            <w:tcW w:w="1374" w:type="dxa"/>
            <w:noWrap/>
            <w:hideMark/>
          </w:tcPr>
          <w:p w14:paraId="66EE04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58.7%</w:t>
            </w:r>
          </w:p>
        </w:tc>
        <w:tc>
          <w:tcPr>
            <w:tcW w:w="1602" w:type="dxa"/>
            <w:noWrap/>
            <w:hideMark/>
          </w:tcPr>
          <w:p w14:paraId="5431BE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$1,437,629</w:t>
            </w:r>
          </w:p>
        </w:tc>
        <w:tc>
          <w:tcPr>
            <w:tcW w:w="1264" w:type="dxa"/>
            <w:noWrap/>
            <w:hideMark/>
          </w:tcPr>
          <w:p w14:paraId="1354422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27B89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$33,435,820</w:t>
            </w:r>
          </w:p>
        </w:tc>
        <w:tc>
          <w:tcPr>
            <w:tcW w:w="1786" w:type="dxa"/>
            <w:noWrap/>
            <w:hideMark/>
          </w:tcPr>
          <w:p w14:paraId="784B1C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$20,393,183</w:t>
            </w:r>
          </w:p>
        </w:tc>
        <w:tc>
          <w:tcPr>
            <w:tcW w:w="901" w:type="dxa"/>
            <w:noWrap/>
            <w:hideMark/>
          </w:tcPr>
          <w:p w14:paraId="749621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43.6%</w:t>
            </w:r>
          </w:p>
        </w:tc>
        <w:tc>
          <w:tcPr>
            <w:tcW w:w="1374" w:type="dxa"/>
            <w:noWrap/>
            <w:hideMark/>
          </w:tcPr>
          <w:p w14:paraId="3E96FE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61.0%</w:t>
            </w:r>
          </w:p>
        </w:tc>
        <w:tc>
          <w:tcPr>
            <w:tcW w:w="1602" w:type="dxa"/>
            <w:noWrap/>
            <w:hideMark/>
          </w:tcPr>
          <w:p w14:paraId="41A5E3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$5,487,339</w:t>
            </w:r>
          </w:p>
        </w:tc>
      </w:tr>
      <w:tr w:rsidR="008C6E34" w:rsidRPr="008C6E34" w14:paraId="0881E09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373F67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0740</w:t>
            </w:r>
          </w:p>
        </w:tc>
        <w:tc>
          <w:tcPr>
            <w:tcW w:w="2880" w:type="dxa"/>
            <w:noWrap/>
            <w:hideMark/>
          </w:tcPr>
          <w:p w14:paraId="72C4142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Old Rochester</w:t>
            </w:r>
          </w:p>
        </w:tc>
        <w:tc>
          <w:tcPr>
            <w:tcW w:w="1148" w:type="dxa"/>
            <w:noWrap/>
            <w:hideMark/>
          </w:tcPr>
          <w:p w14:paraId="6745972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3C460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$9,257,160 </w:t>
            </w:r>
          </w:p>
        </w:tc>
        <w:tc>
          <w:tcPr>
            <w:tcW w:w="1786" w:type="dxa"/>
            <w:noWrap/>
            <w:hideMark/>
          </w:tcPr>
          <w:p w14:paraId="4FAB64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$1,701,522 </w:t>
            </w:r>
          </w:p>
        </w:tc>
        <w:tc>
          <w:tcPr>
            <w:tcW w:w="901" w:type="dxa"/>
            <w:noWrap/>
            <w:hideMark/>
          </w:tcPr>
          <w:p w14:paraId="7D4462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25.8%</w:t>
            </w:r>
          </w:p>
        </w:tc>
        <w:tc>
          <w:tcPr>
            <w:tcW w:w="1374" w:type="dxa"/>
            <w:noWrap/>
            <w:hideMark/>
          </w:tcPr>
          <w:p w14:paraId="439033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w:t>
            </w:r>
          </w:p>
        </w:tc>
        <w:tc>
          <w:tcPr>
            <w:tcW w:w="1602" w:type="dxa"/>
            <w:noWrap/>
            <w:hideMark/>
          </w:tcPr>
          <w:p w14:paraId="0E1024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$354,232</w:t>
            </w:r>
          </w:p>
        </w:tc>
        <w:tc>
          <w:tcPr>
            <w:tcW w:w="1264" w:type="dxa"/>
            <w:noWrap/>
            <w:hideMark/>
          </w:tcPr>
          <w:p w14:paraId="1C616D8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0B464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$11,988,192</w:t>
            </w:r>
          </w:p>
        </w:tc>
        <w:tc>
          <w:tcPr>
            <w:tcW w:w="1786" w:type="dxa"/>
            <w:noWrap/>
            <w:hideMark/>
          </w:tcPr>
          <w:p w14:paraId="038E0C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$3,043,394</w:t>
            </w:r>
          </w:p>
        </w:tc>
        <w:tc>
          <w:tcPr>
            <w:tcW w:w="901" w:type="dxa"/>
            <w:noWrap/>
            <w:hideMark/>
          </w:tcPr>
          <w:p w14:paraId="7B9406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w:t>
            </w:r>
          </w:p>
        </w:tc>
        <w:tc>
          <w:tcPr>
            <w:tcW w:w="1374" w:type="dxa"/>
            <w:noWrap/>
            <w:hideMark/>
          </w:tcPr>
          <w:p w14:paraId="78C340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25.4%</w:t>
            </w:r>
          </w:p>
        </w:tc>
        <w:tc>
          <w:tcPr>
            <w:tcW w:w="1602" w:type="dxa"/>
            <w:noWrap/>
            <w:hideMark/>
          </w:tcPr>
          <w:p w14:paraId="75819D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$18,198</w:t>
            </w:r>
          </w:p>
        </w:tc>
      </w:tr>
      <w:tr w:rsidR="008C6E34" w:rsidRPr="008C6E34" w14:paraId="34A4809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991503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0745</w:t>
            </w:r>
          </w:p>
        </w:tc>
        <w:tc>
          <w:tcPr>
            <w:tcW w:w="2880" w:type="dxa"/>
            <w:noWrap/>
            <w:hideMark/>
          </w:tcPr>
          <w:p w14:paraId="56BF9F5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Pentucket</w:t>
            </w:r>
          </w:p>
        </w:tc>
        <w:tc>
          <w:tcPr>
            <w:tcW w:w="1148" w:type="dxa"/>
            <w:noWrap/>
            <w:hideMark/>
          </w:tcPr>
          <w:p w14:paraId="105046D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2BA5A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$24,589,511 </w:t>
            </w:r>
          </w:p>
        </w:tc>
        <w:tc>
          <w:tcPr>
            <w:tcW w:w="1786" w:type="dxa"/>
            <w:noWrap/>
            <w:hideMark/>
          </w:tcPr>
          <w:p w14:paraId="721F99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$13,099,037 </w:t>
            </w:r>
          </w:p>
        </w:tc>
        <w:tc>
          <w:tcPr>
            <w:tcW w:w="901" w:type="dxa"/>
            <w:noWrap/>
            <w:hideMark/>
          </w:tcPr>
          <w:p w14:paraId="415FC9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40.2%</w:t>
            </w:r>
          </w:p>
        </w:tc>
        <w:tc>
          <w:tcPr>
            <w:tcW w:w="1374" w:type="dxa"/>
            <w:noWrap/>
            <w:hideMark/>
          </w:tcPr>
          <w:p w14:paraId="12B574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53.3%</w:t>
            </w:r>
          </w:p>
        </w:tc>
        <w:tc>
          <w:tcPr>
            <w:tcW w:w="1602" w:type="dxa"/>
            <w:noWrap/>
            <w:hideMark/>
          </w:tcPr>
          <w:p w14:paraId="565191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$87,907</w:t>
            </w:r>
          </w:p>
        </w:tc>
        <w:tc>
          <w:tcPr>
            <w:tcW w:w="1264" w:type="dxa"/>
            <w:noWrap/>
            <w:hideMark/>
          </w:tcPr>
          <w:p w14:paraId="124EDE6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6B640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$24,330,802</w:t>
            </w:r>
          </w:p>
        </w:tc>
        <w:tc>
          <w:tcPr>
            <w:tcW w:w="1786" w:type="dxa"/>
            <w:noWrap/>
            <w:hideMark/>
          </w:tcPr>
          <w:p w14:paraId="48D356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$13,182,092</w:t>
            </w:r>
          </w:p>
        </w:tc>
        <w:tc>
          <w:tcPr>
            <w:tcW w:w="901" w:type="dxa"/>
            <w:noWrap/>
            <w:hideMark/>
          </w:tcPr>
          <w:p w14:paraId="6EA51ED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27.2%</w:t>
            </w:r>
          </w:p>
        </w:tc>
        <w:tc>
          <w:tcPr>
            <w:tcW w:w="1374" w:type="dxa"/>
            <w:noWrap/>
            <w:hideMark/>
          </w:tcPr>
          <w:p w14:paraId="4F9D6EB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54.2%</w:t>
            </w:r>
          </w:p>
        </w:tc>
        <w:tc>
          <w:tcPr>
            <w:tcW w:w="1602" w:type="dxa"/>
            <w:noWrap/>
            <w:hideMark/>
          </w:tcPr>
          <w:p w14:paraId="65ACE3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$6,288,489</w:t>
            </w:r>
          </w:p>
        </w:tc>
      </w:tr>
      <w:tr w:rsidR="008C6E34" w:rsidRPr="008C6E34" w14:paraId="44EB4AF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5E5B4B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0750</w:t>
            </w:r>
          </w:p>
        </w:tc>
        <w:tc>
          <w:tcPr>
            <w:tcW w:w="2880" w:type="dxa"/>
            <w:noWrap/>
            <w:hideMark/>
          </w:tcPr>
          <w:p w14:paraId="7852892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Pioneer</w:t>
            </w:r>
          </w:p>
        </w:tc>
        <w:tc>
          <w:tcPr>
            <w:tcW w:w="1148" w:type="dxa"/>
            <w:noWrap/>
            <w:hideMark/>
          </w:tcPr>
          <w:p w14:paraId="116376C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FCF93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$7,629,462 </w:t>
            </w:r>
          </w:p>
        </w:tc>
        <w:tc>
          <w:tcPr>
            <w:tcW w:w="1786" w:type="dxa"/>
            <w:noWrap/>
            <w:hideMark/>
          </w:tcPr>
          <w:p w14:paraId="4964B53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$4,031,666 </w:t>
            </w:r>
          </w:p>
        </w:tc>
        <w:tc>
          <w:tcPr>
            <w:tcW w:w="901" w:type="dxa"/>
            <w:noWrap/>
            <w:hideMark/>
          </w:tcPr>
          <w:p w14:paraId="378A13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50.7%</w:t>
            </w:r>
          </w:p>
        </w:tc>
        <w:tc>
          <w:tcPr>
            <w:tcW w:w="1374" w:type="dxa"/>
            <w:noWrap/>
            <w:hideMark/>
          </w:tcPr>
          <w:p w14:paraId="470A63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52.8%</w:t>
            </w:r>
          </w:p>
        </w:tc>
        <w:tc>
          <w:tcPr>
            <w:tcW w:w="1602" w:type="dxa"/>
            <w:noWrap/>
            <w:hideMark/>
          </w:tcPr>
          <w:p w14:paraId="749A9D3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$538,020</w:t>
            </w:r>
          </w:p>
        </w:tc>
        <w:tc>
          <w:tcPr>
            <w:tcW w:w="1264" w:type="dxa"/>
            <w:noWrap/>
            <w:hideMark/>
          </w:tcPr>
          <w:p w14:paraId="6A8D7A1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09229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$7,528,912</w:t>
            </w:r>
          </w:p>
        </w:tc>
        <w:tc>
          <w:tcPr>
            <w:tcW w:w="1786" w:type="dxa"/>
            <w:noWrap/>
            <w:hideMark/>
          </w:tcPr>
          <w:p w14:paraId="125CC4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$4,170,581</w:t>
            </w:r>
          </w:p>
        </w:tc>
        <w:tc>
          <w:tcPr>
            <w:tcW w:w="901" w:type="dxa"/>
            <w:noWrap/>
            <w:hideMark/>
          </w:tcPr>
          <w:p w14:paraId="0BF5B0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36.1%</w:t>
            </w:r>
          </w:p>
        </w:tc>
        <w:tc>
          <w:tcPr>
            <w:tcW w:w="1374" w:type="dxa"/>
            <w:noWrap/>
            <w:hideMark/>
          </w:tcPr>
          <w:p w14:paraId="6B7A5C8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602" w:type="dxa"/>
            <w:noWrap/>
            <w:hideMark/>
          </w:tcPr>
          <w:p w14:paraId="503CBB5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$1,454,334</w:t>
            </w:r>
          </w:p>
        </w:tc>
      </w:tr>
      <w:tr w:rsidR="008C6E34" w:rsidRPr="008C6E34" w14:paraId="591DC43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1A81AE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0753</w:t>
            </w:r>
          </w:p>
        </w:tc>
        <w:tc>
          <w:tcPr>
            <w:tcW w:w="2880" w:type="dxa"/>
            <w:noWrap/>
            <w:hideMark/>
          </w:tcPr>
          <w:p w14:paraId="791D180F"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Quabbin</w:t>
            </w:r>
          </w:p>
        </w:tc>
        <w:tc>
          <w:tcPr>
            <w:tcW w:w="1148" w:type="dxa"/>
            <w:noWrap/>
            <w:hideMark/>
          </w:tcPr>
          <w:p w14:paraId="6C30F93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DD5F0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$22,828,423 </w:t>
            </w:r>
          </w:p>
        </w:tc>
        <w:tc>
          <w:tcPr>
            <w:tcW w:w="1786" w:type="dxa"/>
            <w:noWrap/>
            <w:hideMark/>
          </w:tcPr>
          <w:p w14:paraId="037CF9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$16,510,059 </w:t>
            </w:r>
          </w:p>
        </w:tc>
        <w:tc>
          <w:tcPr>
            <w:tcW w:w="901" w:type="dxa"/>
            <w:noWrap/>
            <w:hideMark/>
          </w:tcPr>
          <w:p w14:paraId="6C86FDF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63.2%</w:t>
            </w:r>
          </w:p>
        </w:tc>
        <w:tc>
          <w:tcPr>
            <w:tcW w:w="1374" w:type="dxa"/>
            <w:noWrap/>
            <w:hideMark/>
          </w:tcPr>
          <w:p w14:paraId="11CAC3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72.3%</w:t>
            </w:r>
          </w:p>
        </w:tc>
        <w:tc>
          <w:tcPr>
            <w:tcW w:w="1602" w:type="dxa"/>
            <w:noWrap/>
            <w:hideMark/>
          </w:tcPr>
          <w:p w14:paraId="2AC1AB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$37,053</w:t>
            </w:r>
          </w:p>
        </w:tc>
        <w:tc>
          <w:tcPr>
            <w:tcW w:w="1264" w:type="dxa"/>
            <w:noWrap/>
            <w:hideMark/>
          </w:tcPr>
          <w:p w14:paraId="62ED620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7D6E3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$21,665,640</w:t>
            </w:r>
          </w:p>
        </w:tc>
        <w:tc>
          <w:tcPr>
            <w:tcW w:w="1786" w:type="dxa"/>
            <w:noWrap/>
            <w:hideMark/>
          </w:tcPr>
          <w:p w14:paraId="19DA56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$16,646,098</w:t>
            </w:r>
          </w:p>
        </w:tc>
        <w:tc>
          <w:tcPr>
            <w:tcW w:w="901" w:type="dxa"/>
            <w:noWrap/>
            <w:hideMark/>
          </w:tcPr>
          <w:p w14:paraId="6837B37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51.4%</w:t>
            </w:r>
          </w:p>
        </w:tc>
        <w:tc>
          <w:tcPr>
            <w:tcW w:w="1374" w:type="dxa"/>
            <w:noWrap/>
            <w:hideMark/>
          </w:tcPr>
          <w:p w14:paraId="3BEDD92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76.8%</w:t>
            </w:r>
          </w:p>
        </w:tc>
        <w:tc>
          <w:tcPr>
            <w:tcW w:w="1602" w:type="dxa"/>
            <w:noWrap/>
            <w:hideMark/>
          </w:tcPr>
          <w:p w14:paraId="2EB10B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$5,298,203</w:t>
            </w:r>
          </w:p>
        </w:tc>
      </w:tr>
      <w:tr w:rsidR="008C6E34" w:rsidRPr="008C6E34" w14:paraId="3FC98F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5FDFDB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0755</w:t>
            </w:r>
          </w:p>
        </w:tc>
        <w:tc>
          <w:tcPr>
            <w:tcW w:w="2880" w:type="dxa"/>
            <w:noWrap/>
            <w:hideMark/>
          </w:tcPr>
          <w:p w14:paraId="5BFA95F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Ralph C Mahar</w:t>
            </w:r>
          </w:p>
        </w:tc>
        <w:tc>
          <w:tcPr>
            <w:tcW w:w="1148" w:type="dxa"/>
            <w:noWrap/>
            <w:hideMark/>
          </w:tcPr>
          <w:p w14:paraId="3757173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32188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$6,917,262 </w:t>
            </w:r>
          </w:p>
        </w:tc>
        <w:tc>
          <w:tcPr>
            <w:tcW w:w="1786" w:type="dxa"/>
            <w:noWrap/>
            <w:hideMark/>
          </w:tcPr>
          <w:p w14:paraId="586DE9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$4,764,288 </w:t>
            </w:r>
          </w:p>
        </w:tc>
        <w:tc>
          <w:tcPr>
            <w:tcW w:w="901" w:type="dxa"/>
            <w:noWrap/>
            <w:hideMark/>
          </w:tcPr>
          <w:p w14:paraId="0B95D2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69.3%</w:t>
            </w:r>
          </w:p>
        </w:tc>
        <w:tc>
          <w:tcPr>
            <w:tcW w:w="1374" w:type="dxa"/>
            <w:noWrap/>
            <w:hideMark/>
          </w:tcPr>
          <w:p w14:paraId="0DB1FE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68.9%</w:t>
            </w:r>
          </w:p>
        </w:tc>
        <w:tc>
          <w:tcPr>
            <w:tcW w:w="1602" w:type="dxa"/>
            <w:noWrap/>
            <w:hideMark/>
          </w:tcPr>
          <w:p w14:paraId="007ACB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1CDA78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9A13AD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$7,772,179</w:t>
            </w:r>
          </w:p>
        </w:tc>
        <w:tc>
          <w:tcPr>
            <w:tcW w:w="1786" w:type="dxa"/>
            <w:noWrap/>
            <w:hideMark/>
          </w:tcPr>
          <w:p w14:paraId="495B2A0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$5,432,010</w:t>
            </w:r>
          </w:p>
        </w:tc>
        <w:tc>
          <w:tcPr>
            <w:tcW w:w="901" w:type="dxa"/>
            <w:noWrap/>
            <w:hideMark/>
          </w:tcPr>
          <w:p w14:paraId="4968FB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64.7%</w:t>
            </w:r>
          </w:p>
        </w:tc>
        <w:tc>
          <w:tcPr>
            <w:tcW w:w="1374" w:type="dxa"/>
            <w:noWrap/>
            <w:hideMark/>
          </w:tcPr>
          <w:p w14:paraId="5B751D9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69.9%</w:t>
            </w:r>
          </w:p>
        </w:tc>
        <w:tc>
          <w:tcPr>
            <w:tcW w:w="1602" w:type="dxa"/>
            <w:noWrap/>
            <w:hideMark/>
          </w:tcPr>
          <w:p w14:paraId="36FDC0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$350,953</w:t>
            </w:r>
          </w:p>
        </w:tc>
      </w:tr>
      <w:tr w:rsidR="008C6E34" w:rsidRPr="008C6E34" w14:paraId="63159CB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29A665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0760</w:t>
            </w:r>
          </w:p>
        </w:tc>
        <w:tc>
          <w:tcPr>
            <w:tcW w:w="2880" w:type="dxa"/>
            <w:noWrap/>
            <w:hideMark/>
          </w:tcPr>
          <w:p w14:paraId="68543CA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Silver Lake</w:t>
            </w:r>
          </w:p>
        </w:tc>
        <w:tc>
          <w:tcPr>
            <w:tcW w:w="1148" w:type="dxa"/>
            <w:noWrap/>
            <w:hideMark/>
          </w:tcPr>
          <w:p w14:paraId="02A74C2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212F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$14,290,967 </w:t>
            </w:r>
          </w:p>
        </w:tc>
        <w:tc>
          <w:tcPr>
            <w:tcW w:w="1786" w:type="dxa"/>
            <w:noWrap/>
            <w:hideMark/>
          </w:tcPr>
          <w:p w14:paraId="7F1D09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$6,060,844 </w:t>
            </w:r>
          </w:p>
        </w:tc>
        <w:tc>
          <w:tcPr>
            <w:tcW w:w="901" w:type="dxa"/>
            <w:noWrap/>
            <w:hideMark/>
          </w:tcPr>
          <w:p w14:paraId="18045C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37.9%</w:t>
            </w:r>
          </w:p>
        </w:tc>
        <w:tc>
          <w:tcPr>
            <w:tcW w:w="1374" w:type="dxa"/>
            <w:noWrap/>
            <w:hideMark/>
          </w:tcPr>
          <w:p w14:paraId="7A5906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42.4%</w:t>
            </w:r>
          </w:p>
        </w:tc>
        <w:tc>
          <w:tcPr>
            <w:tcW w:w="1602" w:type="dxa"/>
            <w:noWrap/>
            <w:hideMark/>
          </w:tcPr>
          <w:p w14:paraId="4461E3F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$288,353</w:t>
            </w:r>
          </w:p>
        </w:tc>
        <w:tc>
          <w:tcPr>
            <w:tcW w:w="1264" w:type="dxa"/>
            <w:noWrap/>
            <w:hideMark/>
          </w:tcPr>
          <w:p w14:paraId="7A73D27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85D5D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$20,683,221</w:t>
            </w:r>
          </w:p>
        </w:tc>
        <w:tc>
          <w:tcPr>
            <w:tcW w:w="1786" w:type="dxa"/>
            <w:noWrap/>
            <w:hideMark/>
          </w:tcPr>
          <w:p w14:paraId="40D6A5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$8,215,063</w:t>
            </w:r>
          </w:p>
        </w:tc>
        <w:tc>
          <w:tcPr>
            <w:tcW w:w="901" w:type="dxa"/>
            <w:noWrap/>
            <w:hideMark/>
          </w:tcPr>
          <w:p w14:paraId="05AA06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34.8%</w:t>
            </w:r>
          </w:p>
        </w:tc>
        <w:tc>
          <w:tcPr>
            <w:tcW w:w="1374" w:type="dxa"/>
            <w:noWrap/>
            <w:hideMark/>
          </w:tcPr>
          <w:p w14:paraId="66D547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w:t>
            </w:r>
          </w:p>
        </w:tc>
        <w:tc>
          <w:tcPr>
            <w:tcW w:w="1602" w:type="dxa"/>
            <w:noWrap/>
            <w:hideMark/>
          </w:tcPr>
          <w:p w14:paraId="1F282B6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$498,702</w:t>
            </w:r>
          </w:p>
        </w:tc>
      </w:tr>
      <w:tr w:rsidR="008C6E34" w:rsidRPr="008C6E34" w14:paraId="515E1C9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F2A800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0763</w:t>
            </w:r>
          </w:p>
        </w:tc>
        <w:tc>
          <w:tcPr>
            <w:tcW w:w="2880" w:type="dxa"/>
            <w:noWrap/>
            <w:hideMark/>
          </w:tcPr>
          <w:p w14:paraId="2C7DB0E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Somerset Berkley</w:t>
            </w:r>
          </w:p>
        </w:tc>
        <w:tc>
          <w:tcPr>
            <w:tcW w:w="1148" w:type="dxa"/>
            <w:noWrap/>
            <w:hideMark/>
          </w:tcPr>
          <w:p w14:paraId="6CF8888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w:t>
            </w:r>
          </w:p>
        </w:tc>
        <w:tc>
          <w:tcPr>
            <w:tcW w:w="1786" w:type="dxa"/>
            <w:noWrap/>
            <w:hideMark/>
          </w:tcPr>
          <w:p w14:paraId="159976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3B6900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46449A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374" w:type="dxa"/>
            <w:noWrap/>
            <w:hideMark/>
          </w:tcPr>
          <w:p w14:paraId="50F6203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0D3F01E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4539A50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F7E00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$11,820,563</w:t>
            </w:r>
          </w:p>
        </w:tc>
        <w:tc>
          <w:tcPr>
            <w:tcW w:w="1786" w:type="dxa"/>
            <w:noWrap/>
            <w:hideMark/>
          </w:tcPr>
          <w:p w14:paraId="2FEABB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$5,723,131</w:t>
            </w:r>
          </w:p>
        </w:tc>
        <w:tc>
          <w:tcPr>
            <w:tcW w:w="901" w:type="dxa"/>
            <w:noWrap/>
            <w:hideMark/>
          </w:tcPr>
          <w:p w14:paraId="5B1DE7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46.1%</w:t>
            </w:r>
          </w:p>
        </w:tc>
        <w:tc>
          <w:tcPr>
            <w:tcW w:w="1374" w:type="dxa"/>
            <w:noWrap/>
            <w:hideMark/>
          </w:tcPr>
          <w:p w14:paraId="2536D4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48.4%</w:t>
            </w:r>
          </w:p>
        </w:tc>
        <w:tc>
          <w:tcPr>
            <w:tcW w:w="1602" w:type="dxa"/>
            <w:noWrap/>
            <w:hideMark/>
          </w:tcPr>
          <w:p w14:paraId="4391F4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4A04B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27B558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0765</w:t>
            </w:r>
          </w:p>
        </w:tc>
        <w:tc>
          <w:tcPr>
            <w:tcW w:w="2880" w:type="dxa"/>
            <w:noWrap/>
            <w:hideMark/>
          </w:tcPr>
          <w:p w14:paraId="708DB86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Southern Berkshire</w:t>
            </w:r>
          </w:p>
        </w:tc>
        <w:tc>
          <w:tcPr>
            <w:tcW w:w="1148" w:type="dxa"/>
            <w:noWrap/>
            <w:hideMark/>
          </w:tcPr>
          <w:p w14:paraId="07E7E10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5B141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$7,077,639 </w:t>
            </w:r>
          </w:p>
        </w:tc>
        <w:tc>
          <w:tcPr>
            <w:tcW w:w="1786" w:type="dxa"/>
            <w:noWrap/>
            <w:hideMark/>
          </w:tcPr>
          <w:p w14:paraId="5C2FA7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$1,779,274 </w:t>
            </w:r>
          </w:p>
        </w:tc>
        <w:tc>
          <w:tcPr>
            <w:tcW w:w="901" w:type="dxa"/>
            <w:noWrap/>
            <w:hideMark/>
          </w:tcPr>
          <w:p w14:paraId="2B2BC7E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18.6%</w:t>
            </w:r>
          </w:p>
        </w:tc>
        <w:tc>
          <w:tcPr>
            <w:tcW w:w="1374" w:type="dxa"/>
            <w:noWrap/>
            <w:hideMark/>
          </w:tcPr>
          <w:p w14:paraId="49A0A8C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25.1%</w:t>
            </w:r>
          </w:p>
        </w:tc>
        <w:tc>
          <w:tcPr>
            <w:tcW w:w="1602" w:type="dxa"/>
            <w:noWrap/>
            <w:hideMark/>
          </w:tcPr>
          <w:p w14:paraId="3376EB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$1,755,703</w:t>
            </w:r>
          </w:p>
        </w:tc>
        <w:tc>
          <w:tcPr>
            <w:tcW w:w="1264" w:type="dxa"/>
            <w:noWrap/>
            <w:hideMark/>
          </w:tcPr>
          <w:p w14:paraId="7423292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3EDE3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$7,823,769</w:t>
            </w:r>
          </w:p>
        </w:tc>
        <w:tc>
          <w:tcPr>
            <w:tcW w:w="1786" w:type="dxa"/>
            <w:noWrap/>
            <w:hideMark/>
          </w:tcPr>
          <w:p w14:paraId="582B70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$1,986,791</w:t>
            </w:r>
          </w:p>
        </w:tc>
        <w:tc>
          <w:tcPr>
            <w:tcW w:w="901" w:type="dxa"/>
            <w:noWrap/>
            <w:hideMark/>
          </w:tcPr>
          <w:p w14:paraId="1578E9F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5AB3A1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25.4%</w:t>
            </w:r>
          </w:p>
        </w:tc>
        <w:tc>
          <w:tcPr>
            <w:tcW w:w="1602" w:type="dxa"/>
            <w:noWrap/>
            <w:hideMark/>
          </w:tcPr>
          <w:p w14:paraId="3846F1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$407,559</w:t>
            </w:r>
          </w:p>
        </w:tc>
      </w:tr>
      <w:tr w:rsidR="008C6E34" w:rsidRPr="008C6E34" w14:paraId="2CF1453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48EB75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0766</w:t>
            </w:r>
          </w:p>
        </w:tc>
        <w:tc>
          <w:tcPr>
            <w:tcW w:w="2880" w:type="dxa"/>
            <w:noWrap/>
            <w:hideMark/>
          </w:tcPr>
          <w:p w14:paraId="521C6D6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Southwick Tolland Granville</w:t>
            </w:r>
          </w:p>
        </w:tc>
        <w:tc>
          <w:tcPr>
            <w:tcW w:w="1148" w:type="dxa"/>
            <w:noWrap/>
            <w:hideMark/>
          </w:tcPr>
          <w:p w14:paraId="279EF33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7E598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$13,803,858 </w:t>
            </w:r>
          </w:p>
        </w:tc>
        <w:tc>
          <w:tcPr>
            <w:tcW w:w="1786" w:type="dxa"/>
            <w:noWrap/>
            <w:hideMark/>
          </w:tcPr>
          <w:p w14:paraId="5E18CC6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$7,812,889 </w:t>
            </w:r>
          </w:p>
        </w:tc>
        <w:tc>
          <w:tcPr>
            <w:tcW w:w="901" w:type="dxa"/>
            <w:noWrap/>
            <w:hideMark/>
          </w:tcPr>
          <w:p w14:paraId="7865899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52.3%</w:t>
            </w:r>
          </w:p>
        </w:tc>
        <w:tc>
          <w:tcPr>
            <w:tcW w:w="1374" w:type="dxa"/>
            <w:noWrap/>
            <w:hideMark/>
          </w:tcPr>
          <w:p w14:paraId="6A5B61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w:t>
            </w:r>
          </w:p>
        </w:tc>
        <w:tc>
          <w:tcPr>
            <w:tcW w:w="1602" w:type="dxa"/>
            <w:noWrap/>
            <w:hideMark/>
          </w:tcPr>
          <w:p w14:paraId="4EC5006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6ADF31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A54B5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$16,378,978</w:t>
            </w:r>
          </w:p>
        </w:tc>
        <w:tc>
          <w:tcPr>
            <w:tcW w:w="1786" w:type="dxa"/>
            <w:noWrap/>
            <w:hideMark/>
          </w:tcPr>
          <w:p w14:paraId="6EC281E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$9,846,558</w:t>
            </w:r>
          </w:p>
        </w:tc>
        <w:tc>
          <w:tcPr>
            <w:tcW w:w="901" w:type="dxa"/>
            <w:noWrap/>
            <w:hideMark/>
          </w:tcPr>
          <w:p w14:paraId="36FE55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31.7%</w:t>
            </w:r>
          </w:p>
        </w:tc>
        <w:tc>
          <w:tcPr>
            <w:tcW w:w="1374" w:type="dxa"/>
            <w:noWrap/>
            <w:hideMark/>
          </w:tcPr>
          <w:p w14:paraId="562046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60.1%</w:t>
            </w:r>
          </w:p>
        </w:tc>
        <w:tc>
          <w:tcPr>
            <w:tcW w:w="1602" w:type="dxa"/>
            <w:noWrap/>
            <w:hideMark/>
          </w:tcPr>
          <w:p w14:paraId="2F500C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$4,435,536</w:t>
            </w:r>
          </w:p>
        </w:tc>
      </w:tr>
      <w:tr w:rsidR="008C6E34" w:rsidRPr="008C6E34" w14:paraId="54725BC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EF9216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0767</w:t>
            </w:r>
          </w:p>
        </w:tc>
        <w:tc>
          <w:tcPr>
            <w:tcW w:w="2880" w:type="dxa"/>
            <w:noWrap/>
            <w:hideMark/>
          </w:tcPr>
          <w:p w14:paraId="76833EC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Spencer East Brookfield</w:t>
            </w:r>
          </w:p>
        </w:tc>
        <w:tc>
          <w:tcPr>
            <w:tcW w:w="1148" w:type="dxa"/>
            <w:noWrap/>
            <w:hideMark/>
          </w:tcPr>
          <w:p w14:paraId="240BB09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F8213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$17,597,929 </w:t>
            </w:r>
          </w:p>
        </w:tc>
        <w:tc>
          <w:tcPr>
            <w:tcW w:w="1786" w:type="dxa"/>
            <w:noWrap/>
            <w:hideMark/>
          </w:tcPr>
          <w:p w14:paraId="6C3D965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$13,106,216 </w:t>
            </w:r>
          </w:p>
        </w:tc>
        <w:tc>
          <w:tcPr>
            <w:tcW w:w="901" w:type="dxa"/>
            <w:noWrap/>
            <w:hideMark/>
          </w:tcPr>
          <w:p w14:paraId="11BDEB9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55.4%</w:t>
            </w:r>
          </w:p>
        </w:tc>
        <w:tc>
          <w:tcPr>
            <w:tcW w:w="1374" w:type="dxa"/>
            <w:noWrap/>
            <w:hideMark/>
          </w:tcPr>
          <w:p w14:paraId="3E04B5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74.5%</w:t>
            </w:r>
          </w:p>
        </w:tc>
        <w:tc>
          <w:tcPr>
            <w:tcW w:w="1602" w:type="dxa"/>
            <w:noWrap/>
            <w:hideMark/>
          </w:tcPr>
          <w:p w14:paraId="55BAD7A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$265,398</w:t>
            </w:r>
          </w:p>
        </w:tc>
        <w:tc>
          <w:tcPr>
            <w:tcW w:w="1264" w:type="dxa"/>
            <w:noWrap/>
            <w:hideMark/>
          </w:tcPr>
          <w:p w14:paraId="7BEF529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7415F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$18,497,944</w:t>
            </w:r>
          </w:p>
        </w:tc>
        <w:tc>
          <w:tcPr>
            <w:tcW w:w="1786" w:type="dxa"/>
            <w:noWrap/>
            <w:hideMark/>
          </w:tcPr>
          <w:p w14:paraId="11F5AA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$13,695,254</w:t>
            </w:r>
          </w:p>
        </w:tc>
        <w:tc>
          <w:tcPr>
            <w:tcW w:w="901" w:type="dxa"/>
            <w:noWrap/>
            <w:hideMark/>
          </w:tcPr>
          <w:p w14:paraId="18968C1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50.8%</w:t>
            </w:r>
          </w:p>
        </w:tc>
        <w:tc>
          <w:tcPr>
            <w:tcW w:w="1374" w:type="dxa"/>
            <w:noWrap/>
            <w:hideMark/>
          </w:tcPr>
          <w:p w14:paraId="6289B0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74.0%</w:t>
            </w:r>
          </w:p>
        </w:tc>
        <w:tc>
          <w:tcPr>
            <w:tcW w:w="1602" w:type="dxa"/>
            <w:noWrap/>
            <w:hideMark/>
          </w:tcPr>
          <w:p w14:paraId="57362D3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$3,695,779</w:t>
            </w:r>
          </w:p>
        </w:tc>
      </w:tr>
      <w:tr w:rsidR="008C6E34" w:rsidRPr="008C6E34" w14:paraId="4D8E256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238646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0770</w:t>
            </w:r>
          </w:p>
        </w:tc>
        <w:tc>
          <w:tcPr>
            <w:tcW w:w="2880" w:type="dxa"/>
            <w:noWrap/>
            <w:hideMark/>
          </w:tcPr>
          <w:p w14:paraId="087054E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Tantasqua</w:t>
            </w:r>
          </w:p>
        </w:tc>
        <w:tc>
          <w:tcPr>
            <w:tcW w:w="1148" w:type="dxa"/>
            <w:noWrap/>
            <w:hideMark/>
          </w:tcPr>
          <w:p w14:paraId="5874FB9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AE42D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$15,046,973 </w:t>
            </w:r>
          </w:p>
        </w:tc>
        <w:tc>
          <w:tcPr>
            <w:tcW w:w="1786" w:type="dxa"/>
            <w:noWrap/>
            <w:hideMark/>
          </w:tcPr>
          <w:p w14:paraId="3EAB3A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$7,420,522 </w:t>
            </w:r>
          </w:p>
        </w:tc>
        <w:tc>
          <w:tcPr>
            <w:tcW w:w="901" w:type="dxa"/>
            <w:noWrap/>
            <w:hideMark/>
          </w:tcPr>
          <w:p w14:paraId="49DD91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48.7%</w:t>
            </w:r>
          </w:p>
        </w:tc>
        <w:tc>
          <w:tcPr>
            <w:tcW w:w="1374" w:type="dxa"/>
            <w:noWrap/>
            <w:hideMark/>
          </w:tcPr>
          <w:p w14:paraId="54158B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49.3%</w:t>
            </w:r>
          </w:p>
        </w:tc>
        <w:tc>
          <w:tcPr>
            <w:tcW w:w="1602" w:type="dxa"/>
            <w:noWrap/>
            <w:hideMark/>
          </w:tcPr>
          <w:p w14:paraId="5994EE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$1,059,892</w:t>
            </w:r>
          </w:p>
        </w:tc>
        <w:tc>
          <w:tcPr>
            <w:tcW w:w="1264" w:type="dxa"/>
            <w:noWrap/>
            <w:hideMark/>
          </w:tcPr>
          <w:p w14:paraId="418DEE1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CF43A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$19,884,200</w:t>
            </w:r>
          </w:p>
        </w:tc>
        <w:tc>
          <w:tcPr>
            <w:tcW w:w="1786" w:type="dxa"/>
            <w:noWrap/>
            <w:hideMark/>
          </w:tcPr>
          <w:p w14:paraId="406ABA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$9,222,853</w:t>
            </w:r>
          </w:p>
        </w:tc>
        <w:tc>
          <w:tcPr>
            <w:tcW w:w="901" w:type="dxa"/>
            <w:noWrap/>
            <w:hideMark/>
          </w:tcPr>
          <w:p w14:paraId="598794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46.3%</w:t>
            </w:r>
          </w:p>
        </w:tc>
        <w:tc>
          <w:tcPr>
            <w:tcW w:w="1374" w:type="dxa"/>
            <w:noWrap/>
            <w:hideMark/>
          </w:tcPr>
          <w:p w14:paraId="416AFB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46.4%</w:t>
            </w:r>
          </w:p>
        </w:tc>
        <w:tc>
          <w:tcPr>
            <w:tcW w:w="1602" w:type="dxa"/>
            <w:noWrap/>
            <w:hideMark/>
          </w:tcPr>
          <w:p w14:paraId="403BB4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9BF490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13E169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0773</w:t>
            </w:r>
          </w:p>
        </w:tc>
        <w:tc>
          <w:tcPr>
            <w:tcW w:w="2880" w:type="dxa"/>
            <w:noWrap/>
            <w:hideMark/>
          </w:tcPr>
          <w:p w14:paraId="25F4A85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Triton</w:t>
            </w:r>
          </w:p>
        </w:tc>
        <w:tc>
          <w:tcPr>
            <w:tcW w:w="1148" w:type="dxa"/>
            <w:noWrap/>
            <w:hideMark/>
          </w:tcPr>
          <w:p w14:paraId="35EA1DF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18D68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$25,952,449 </w:t>
            </w:r>
          </w:p>
        </w:tc>
        <w:tc>
          <w:tcPr>
            <w:tcW w:w="1786" w:type="dxa"/>
            <w:noWrap/>
            <w:hideMark/>
          </w:tcPr>
          <w:p w14:paraId="58F663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$8,297,753 </w:t>
            </w:r>
          </w:p>
        </w:tc>
        <w:tc>
          <w:tcPr>
            <w:tcW w:w="901" w:type="dxa"/>
            <w:noWrap/>
            <w:hideMark/>
          </w:tcPr>
          <w:p w14:paraId="7F47D8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30.5%</w:t>
            </w:r>
          </w:p>
        </w:tc>
        <w:tc>
          <w:tcPr>
            <w:tcW w:w="1374" w:type="dxa"/>
            <w:noWrap/>
            <w:hideMark/>
          </w:tcPr>
          <w:p w14:paraId="025976D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32.0%</w:t>
            </w:r>
          </w:p>
        </w:tc>
        <w:tc>
          <w:tcPr>
            <w:tcW w:w="1602" w:type="dxa"/>
            <w:noWrap/>
            <w:hideMark/>
          </w:tcPr>
          <w:p w14:paraId="3D316E2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$430,748</w:t>
            </w:r>
          </w:p>
        </w:tc>
        <w:tc>
          <w:tcPr>
            <w:tcW w:w="1264" w:type="dxa"/>
            <w:noWrap/>
            <w:hideMark/>
          </w:tcPr>
          <w:p w14:paraId="2C5A8EC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92542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$25,527,955</w:t>
            </w:r>
          </w:p>
        </w:tc>
        <w:tc>
          <w:tcPr>
            <w:tcW w:w="1786" w:type="dxa"/>
            <w:noWrap/>
            <w:hideMark/>
          </w:tcPr>
          <w:p w14:paraId="157F09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$8,777,631</w:t>
            </w:r>
          </w:p>
        </w:tc>
        <w:tc>
          <w:tcPr>
            <w:tcW w:w="901" w:type="dxa"/>
            <w:noWrap/>
            <w:hideMark/>
          </w:tcPr>
          <w:p w14:paraId="458C47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31901CB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34.4%</w:t>
            </w:r>
          </w:p>
        </w:tc>
        <w:tc>
          <w:tcPr>
            <w:tcW w:w="1602" w:type="dxa"/>
            <w:noWrap/>
            <w:hideMark/>
          </w:tcPr>
          <w:p w14:paraId="00AB61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$4,310,239</w:t>
            </w:r>
          </w:p>
        </w:tc>
      </w:tr>
      <w:tr w:rsidR="008C6E34" w:rsidRPr="008C6E34" w14:paraId="7FD9D3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A61EE9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0774</w:t>
            </w:r>
          </w:p>
        </w:tc>
        <w:tc>
          <w:tcPr>
            <w:tcW w:w="2880" w:type="dxa"/>
            <w:noWrap/>
            <w:hideMark/>
          </w:tcPr>
          <w:p w14:paraId="2A0AA94A"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Upisland</w:t>
            </w:r>
          </w:p>
        </w:tc>
        <w:tc>
          <w:tcPr>
            <w:tcW w:w="1148" w:type="dxa"/>
            <w:noWrap/>
            <w:hideMark/>
          </w:tcPr>
          <w:p w14:paraId="760D499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6CCC0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$2,663,328 </w:t>
            </w:r>
          </w:p>
        </w:tc>
        <w:tc>
          <w:tcPr>
            <w:tcW w:w="1786" w:type="dxa"/>
            <w:noWrap/>
            <w:hideMark/>
          </w:tcPr>
          <w:p w14:paraId="280E6D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$806,324 </w:t>
            </w:r>
          </w:p>
        </w:tc>
        <w:tc>
          <w:tcPr>
            <w:tcW w:w="901" w:type="dxa"/>
            <w:noWrap/>
            <w:hideMark/>
          </w:tcPr>
          <w:p w14:paraId="4C98AF7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88F4FD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30.3%</w:t>
            </w:r>
          </w:p>
        </w:tc>
        <w:tc>
          <w:tcPr>
            <w:tcW w:w="1602" w:type="dxa"/>
            <w:noWrap/>
            <w:hideMark/>
          </w:tcPr>
          <w:p w14:paraId="4CF640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$806,324</w:t>
            </w:r>
          </w:p>
        </w:tc>
        <w:tc>
          <w:tcPr>
            <w:tcW w:w="1264" w:type="dxa"/>
            <w:noWrap/>
            <w:hideMark/>
          </w:tcPr>
          <w:p w14:paraId="1E0E6E7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AB1B6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$4,538,258</w:t>
            </w:r>
          </w:p>
        </w:tc>
        <w:tc>
          <w:tcPr>
            <w:tcW w:w="1786" w:type="dxa"/>
            <w:noWrap/>
            <w:hideMark/>
          </w:tcPr>
          <w:p w14:paraId="7EAF9D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$879,292</w:t>
            </w:r>
          </w:p>
        </w:tc>
        <w:tc>
          <w:tcPr>
            <w:tcW w:w="901" w:type="dxa"/>
            <w:noWrap/>
            <w:hideMark/>
          </w:tcPr>
          <w:p w14:paraId="323763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1E368B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19.4%</w:t>
            </w:r>
          </w:p>
        </w:tc>
        <w:tc>
          <w:tcPr>
            <w:tcW w:w="1602" w:type="dxa"/>
            <w:noWrap/>
            <w:hideMark/>
          </w:tcPr>
          <w:p w14:paraId="5C3532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$85,098</w:t>
            </w:r>
          </w:p>
        </w:tc>
      </w:tr>
      <w:tr w:rsidR="008C6E34" w:rsidRPr="008C6E34" w14:paraId="375B0D7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28A4AA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0775</w:t>
            </w:r>
          </w:p>
        </w:tc>
        <w:tc>
          <w:tcPr>
            <w:tcW w:w="2880" w:type="dxa"/>
            <w:noWrap/>
            <w:hideMark/>
          </w:tcPr>
          <w:p w14:paraId="6E5F44E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Wachusett</w:t>
            </w:r>
          </w:p>
        </w:tc>
        <w:tc>
          <w:tcPr>
            <w:tcW w:w="1148" w:type="dxa"/>
            <w:noWrap/>
            <w:hideMark/>
          </w:tcPr>
          <w:p w14:paraId="57E265D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36AF8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$51,403,850 </w:t>
            </w:r>
          </w:p>
        </w:tc>
        <w:tc>
          <w:tcPr>
            <w:tcW w:w="1786" w:type="dxa"/>
            <w:noWrap/>
            <w:hideMark/>
          </w:tcPr>
          <w:p w14:paraId="59D978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$16,173,605 </w:t>
            </w:r>
          </w:p>
        </w:tc>
        <w:tc>
          <w:tcPr>
            <w:tcW w:w="901" w:type="dxa"/>
            <w:noWrap/>
            <w:hideMark/>
          </w:tcPr>
          <w:p w14:paraId="06F812A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38.3%</w:t>
            </w:r>
          </w:p>
        </w:tc>
        <w:tc>
          <w:tcPr>
            <w:tcW w:w="1374" w:type="dxa"/>
            <w:noWrap/>
            <w:hideMark/>
          </w:tcPr>
          <w:p w14:paraId="75F0E0F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31.5%</w:t>
            </w:r>
          </w:p>
        </w:tc>
        <w:tc>
          <w:tcPr>
            <w:tcW w:w="1602" w:type="dxa"/>
            <w:noWrap/>
            <w:hideMark/>
          </w:tcPr>
          <w:p w14:paraId="34F362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8141C2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8910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$71,271,710</w:t>
            </w:r>
          </w:p>
        </w:tc>
        <w:tc>
          <w:tcPr>
            <w:tcW w:w="1786" w:type="dxa"/>
            <w:noWrap/>
            <w:hideMark/>
          </w:tcPr>
          <w:p w14:paraId="434E0D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$28,647,835</w:t>
            </w:r>
          </w:p>
        </w:tc>
        <w:tc>
          <w:tcPr>
            <w:tcW w:w="901" w:type="dxa"/>
            <w:noWrap/>
            <w:hideMark/>
          </w:tcPr>
          <w:p w14:paraId="245F4A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39.1%</w:t>
            </w:r>
          </w:p>
        </w:tc>
        <w:tc>
          <w:tcPr>
            <w:tcW w:w="1374" w:type="dxa"/>
            <w:noWrap/>
            <w:hideMark/>
          </w:tcPr>
          <w:p w14:paraId="76B56E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40.2%</w:t>
            </w:r>
          </w:p>
        </w:tc>
        <w:tc>
          <w:tcPr>
            <w:tcW w:w="1602" w:type="dxa"/>
            <w:noWrap/>
            <w:hideMark/>
          </w:tcPr>
          <w:p w14:paraId="2954DAC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$11,191</w:t>
            </w:r>
          </w:p>
        </w:tc>
      </w:tr>
      <w:tr w:rsidR="008C6E34" w:rsidRPr="008C6E34" w14:paraId="11C615F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B1F848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0778</w:t>
            </w:r>
          </w:p>
        </w:tc>
        <w:tc>
          <w:tcPr>
            <w:tcW w:w="2880" w:type="dxa"/>
            <w:noWrap/>
            <w:hideMark/>
          </w:tcPr>
          <w:p w14:paraId="432B74F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Quaboag</w:t>
            </w:r>
          </w:p>
        </w:tc>
        <w:tc>
          <w:tcPr>
            <w:tcW w:w="1148" w:type="dxa"/>
            <w:noWrap/>
            <w:hideMark/>
          </w:tcPr>
          <w:p w14:paraId="7533570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D9FDC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$11,791,190 </w:t>
            </w:r>
          </w:p>
        </w:tc>
        <w:tc>
          <w:tcPr>
            <w:tcW w:w="1786" w:type="dxa"/>
            <w:noWrap/>
            <w:hideMark/>
          </w:tcPr>
          <w:p w14:paraId="08CD87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$7,991,217 </w:t>
            </w:r>
          </w:p>
        </w:tc>
        <w:tc>
          <w:tcPr>
            <w:tcW w:w="901" w:type="dxa"/>
            <w:noWrap/>
            <w:hideMark/>
          </w:tcPr>
          <w:p w14:paraId="4FE0AA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64.1%</w:t>
            </w:r>
          </w:p>
        </w:tc>
        <w:tc>
          <w:tcPr>
            <w:tcW w:w="1374" w:type="dxa"/>
            <w:noWrap/>
            <w:hideMark/>
          </w:tcPr>
          <w:p w14:paraId="7900A6C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67.8%</w:t>
            </w:r>
          </w:p>
        </w:tc>
        <w:tc>
          <w:tcPr>
            <w:tcW w:w="1602" w:type="dxa"/>
            <w:noWrap/>
            <w:hideMark/>
          </w:tcPr>
          <w:p w14:paraId="290C25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$81,303</w:t>
            </w:r>
          </w:p>
        </w:tc>
        <w:tc>
          <w:tcPr>
            <w:tcW w:w="1264" w:type="dxa"/>
            <w:noWrap/>
            <w:hideMark/>
          </w:tcPr>
          <w:p w14:paraId="520C171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4DF588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$14,192,752</w:t>
            </w:r>
          </w:p>
        </w:tc>
        <w:tc>
          <w:tcPr>
            <w:tcW w:w="1786" w:type="dxa"/>
            <w:noWrap/>
            <w:hideMark/>
          </w:tcPr>
          <w:p w14:paraId="7754E8B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$9,158,560</w:t>
            </w:r>
          </w:p>
        </w:tc>
        <w:tc>
          <w:tcPr>
            <w:tcW w:w="901" w:type="dxa"/>
            <w:noWrap/>
            <w:hideMark/>
          </w:tcPr>
          <w:p w14:paraId="0F70D0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61.8%</w:t>
            </w:r>
          </w:p>
        </w:tc>
        <w:tc>
          <w:tcPr>
            <w:tcW w:w="1374" w:type="dxa"/>
            <w:noWrap/>
            <w:hideMark/>
          </w:tcPr>
          <w:p w14:paraId="75F51F8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64.5%</w:t>
            </w:r>
          </w:p>
        </w:tc>
        <w:tc>
          <w:tcPr>
            <w:tcW w:w="1602" w:type="dxa"/>
            <w:noWrap/>
            <w:hideMark/>
          </w:tcPr>
          <w:p w14:paraId="57C73E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$329,677</w:t>
            </w:r>
          </w:p>
        </w:tc>
      </w:tr>
      <w:tr w:rsidR="008C6E34" w:rsidRPr="008C6E34" w14:paraId="28A1EF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746697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0780</w:t>
            </w:r>
          </w:p>
        </w:tc>
        <w:tc>
          <w:tcPr>
            <w:tcW w:w="2880" w:type="dxa"/>
            <w:noWrap/>
            <w:hideMark/>
          </w:tcPr>
          <w:p w14:paraId="6349034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Whitman Hanson</w:t>
            </w:r>
          </w:p>
        </w:tc>
        <w:tc>
          <w:tcPr>
            <w:tcW w:w="1148" w:type="dxa"/>
            <w:noWrap/>
            <w:hideMark/>
          </w:tcPr>
          <w:p w14:paraId="030F76D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34DD00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$32,259,424 </w:t>
            </w:r>
          </w:p>
        </w:tc>
        <w:tc>
          <w:tcPr>
            <w:tcW w:w="1786" w:type="dxa"/>
            <w:noWrap/>
            <w:hideMark/>
          </w:tcPr>
          <w:p w14:paraId="5B3139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$22,380,044 </w:t>
            </w:r>
          </w:p>
        </w:tc>
        <w:tc>
          <w:tcPr>
            <w:tcW w:w="901" w:type="dxa"/>
            <w:noWrap/>
            <w:hideMark/>
          </w:tcPr>
          <w:p w14:paraId="0A7B19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51.8%</w:t>
            </w:r>
          </w:p>
        </w:tc>
        <w:tc>
          <w:tcPr>
            <w:tcW w:w="1374" w:type="dxa"/>
            <w:noWrap/>
            <w:hideMark/>
          </w:tcPr>
          <w:p w14:paraId="2F7D4A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69.4%</w:t>
            </w:r>
          </w:p>
        </w:tc>
        <w:tc>
          <w:tcPr>
            <w:tcW w:w="1602" w:type="dxa"/>
            <w:noWrap/>
            <w:hideMark/>
          </w:tcPr>
          <w:p w14:paraId="749B8E0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EA5A3F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3906F1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$39,870,088</w:t>
            </w:r>
          </w:p>
        </w:tc>
        <w:tc>
          <w:tcPr>
            <w:tcW w:w="1786" w:type="dxa"/>
            <w:noWrap/>
            <w:hideMark/>
          </w:tcPr>
          <w:p w14:paraId="57025A7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$24,776,700</w:t>
            </w:r>
          </w:p>
        </w:tc>
        <w:tc>
          <w:tcPr>
            <w:tcW w:w="901" w:type="dxa"/>
            <w:noWrap/>
            <w:hideMark/>
          </w:tcPr>
          <w:p w14:paraId="105629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48.2%</w:t>
            </w:r>
          </w:p>
        </w:tc>
        <w:tc>
          <w:tcPr>
            <w:tcW w:w="1374" w:type="dxa"/>
            <w:noWrap/>
            <w:hideMark/>
          </w:tcPr>
          <w:p w14:paraId="5480276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62.1%</w:t>
            </w:r>
          </w:p>
        </w:tc>
        <w:tc>
          <w:tcPr>
            <w:tcW w:w="1602" w:type="dxa"/>
            <w:noWrap/>
            <w:hideMark/>
          </w:tcPr>
          <w:p w14:paraId="53741DA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$4,430,551</w:t>
            </w:r>
          </w:p>
        </w:tc>
      </w:tr>
      <w:tr w:rsidR="008C6E34" w:rsidRPr="008C6E34" w14:paraId="5FD4852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7606516"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0801</w:t>
            </w:r>
          </w:p>
        </w:tc>
        <w:tc>
          <w:tcPr>
            <w:tcW w:w="2880" w:type="dxa"/>
            <w:noWrap/>
            <w:hideMark/>
          </w:tcPr>
          <w:p w14:paraId="7812E67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Assabet Valley</w:t>
            </w:r>
          </w:p>
        </w:tc>
        <w:tc>
          <w:tcPr>
            <w:tcW w:w="1148" w:type="dxa"/>
            <w:noWrap/>
            <w:hideMark/>
          </w:tcPr>
          <w:p w14:paraId="0821400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EA1EE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$9,303,432 </w:t>
            </w:r>
          </w:p>
        </w:tc>
        <w:tc>
          <w:tcPr>
            <w:tcW w:w="1786" w:type="dxa"/>
            <w:noWrap/>
            <w:hideMark/>
          </w:tcPr>
          <w:p w14:paraId="254130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$2,733,990 </w:t>
            </w:r>
          </w:p>
        </w:tc>
        <w:tc>
          <w:tcPr>
            <w:tcW w:w="901" w:type="dxa"/>
            <w:noWrap/>
            <w:hideMark/>
          </w:tcPr>
          <w:p w14:paraId="50DBA3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28.1%</w:t>
            </w:r>
          </w:p>
        </w:tc>
        <w:tc>
          <w:tcPr>
            <w:tcW w:w="1374" w:type="dxa"/>
            <w:noWrap/>
            <w:hideMark/>
          </w:tcPr>
          <w:p w14:paraId="1525F3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w:t>
            </w:r>
          </w:p>
        </w:tc>
        <w:tc>
          <w:tcPr>
            <w:tcW w:w="1602" w:type="dxa"/>
            <w:noWrap/>
            <w:hideMark/>
          </w:tcPr>
          <w:p w14:paraId="6BFE9E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$1,026,184</w:t>
            </w:r>
          </w:p>
        </w:tc>
        <w:tc>
          <w:tcPr>
            <w:tcW w:w="1264" w:type="dxa"/>
            <w:noWrap/>
            <w:hideMark/>
          </w:tcPr>
          <w:p w14:paraId="2212981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E62A3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$15,341,279</w:t>
            </w:r>
          </w:p>
        </w:tc>
        <w:tc>
          <w:tcPr>
            <w:tcW w:w="1786" w:type="dxa"/>
            <w:noWrap/>
            <w:hideMark/>
          </w:tcPr>
          <w:p w14:paraId="6914D4C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$5,955,175</w:t>
            </w:r>
          </w:p>
        </w:tc>
        <w:tc>
          <w:tcPr>
            <w:tcW w:w="901" w:type="dxa"/>
            <w:noWrap/>
            <w:hideMark/>
          </w:tcPr>
          <w:p w14:paraId="5F33A7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37.3%</w:t>
            </w:r>
          </w:p>
        </w:tc>
        <w:tc>
          <w:tcPr>
            <w:tcW w:w="1374" w:type="dxa"/>
            <w:noWrap/>
            <w:hideMark/>
          </w:tcPr>
          <w:p w14:paraId="5BB128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38.8%</w:t>
            </w:r>
          </w:p>
        </w:tc>
        <w:tc>
          <w:tcPr>
            <w:tcW w:w="1602" w:type="dxa"/>
            <w:noWrap/>
            <w:hideMark/>
          </w:tcPr>
          <w:p w14:paraId="3675CA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$14,568</w:t>
            </w:r>
          </w:p>
        </w:tc>
      </w:tr>
      <w:tr w:rsidR="008C6E34" w:rsidRPr="008C6E34" w14:paraId="2B8970B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704E063"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0805</w:t>
            </w:r>
          </w:p>
        </w:tc>
        <w:tc>
          <w:tcPr>
            <w:tcW w:w="2880" w:type="dxa"/>
            <w:noWrap/>
            <w:hideMark/>
          </w:tcPr>
          <w:p w14:paraId="1121312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Blackstone Valley</w:t>
            </w:r>
          </w:p>
        </w:tc>
        <w:tc>
          <w:tcPr>
            <w:tcW w:w="1148" w:type="dxa"/>
            <w:noWrap/>
            <w:hideMark/>
          </w:tcPr>
          <w:p w14:paraId="416749F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28D1C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$11,634,064 </w:t>
            </w:r>
          </w:p>
        </w:tc>
        <w:tc>
          <w:tcPr>
            <w:tcW w:w="1786" w:type="dxa"/>
            <w:noWrap/>
            <w:hideMark/>
          </w:tcPr>
          <w:p w14:paraId="6A9CE4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$5,972,403 </w:t>
            </w:r>
          </w:p>
        </w:tc>
        <w:tc>
          <w:tcPr>
            <w:tcW w:w="901" w:type="dxa"/>
            <w:noWrap/>
            <w:hideMark/>
          </w:tcPr>
          <w:p w14:paraId="200477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45.6%</w:t>
            </w:r>
          </w:p>
        </w:tc>
        <w:tc>
          <w:tcPr>
            <w:tcW w:w="1374" w:type="dxa"/>
            <w:noWrap/>
            <w:hideMark/>
          </w:tcPr>
          <w:p w14:paraId="66592C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51.3%</w:t>
            </w:r>
          </w:p>
        </w:tc>
        <w:tc>
          <w:tcPr>
            <w:tcW w:w="1602" w:type="dxa"/>
            <w:noWrap/>
            <w:hideMark/>
          </w:tcPr>
          <w:p w14:paraId="05FCF8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4C6A21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344F9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$20,173,356</w:t>
            </w:r>
          </w:p>
        </w:tc>
        <w:tc>
          <w:tcPr>
            <w:tcW w:w="1786" w:type="dxa"/>
            <w:noWrap/>
            <w:hideMark/>
          </w:tcPr>
          <w:p w14:paraId="6811CB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$8,264,744</w:t>
            </w:r>
          </w:p>
        </w:tc>
        <w:tc>
          <w:tcPr>
            <w:tcW w:w="901" w:type="dxa"/>
            <w:noWrap/>
            <w:hideMark/>
          </w:tcPr>
          <w:p w14:paraId="0DC508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38.9%</w:t>
            </w:r>
          </w:p>
        </w:tc>
        <w:tc>
          <w:tcPr>
            <w:tcW w:w="1374" w:type="dxa"/>
            <w:noWrap/>
            <w:hideMark/>
          </w:tcPr>
          <w:p w14:paraId="5AD320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41.0%</w:t>
            </w:r>
          </w:p>
        </w:tc>
        <w:tc>
          <w:tcPr>
            <w:tcW w:w="1602" w:type="dxa"/>
            <w:noWrap/>
            <w:hideMark/>
          </w:tcPr>
          <w:p w14:paraId="708B500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$29,246</w:t>
            </w:r>
          </w:p>
        </w:tc>
      </w:tr>
      <w:tr w:rsidR="008C6E34" w:rsidRPr="008C6E34" w14:paraId="065F346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2B5C611"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0806</w:t>
            </w:r>
          </w:p>
        </w:tc>
        <w:tc>
          <w:tcPr>
            <w:tcW w:w="2880" w:type="dxa"/>
            <w:noWrap/>
            <w:hideMark/>
          </w:tcPr>
          <w:p w14:paraId="227C4CC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Blue Hills</w:t>
            </w:r>
          </w:p>
        </w:tc>
        <w:tc>
          <w:tcPr>
            <w:tcW w:w="1148" w:type="dxa"/>
            <w:noWrap/>
            <w:hideMark/>
          </w:tcPr>
          <w:p w14:paraId="15991BA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DC758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$10,491,975 </w:t>
            </w:r>
          </w:p>
        </w:tc>
        <w:tc>
          <w:tcPr>
            <w:tcW w:w="1786" w:type="dxa"/>
            <w:noWrap/>
            <w:hideMark/>
          </w:tcPr>
          <w:p w14:paraId="539F9C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$3,600,320 </w:t>
            </w:r>
          </w:p>
        </w:tc>
        <w:tc>
          <w:tcPr>
            <w:tcW w:w="901" w:type="dxa"/>
            <w:noWrap/>
            <w:hideMark/>
          </w:tcPr>
          <w:p w14:paraId="2D30E72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30.0%</w:t>
            </w:r>
          </w:p>
        </w:tc>
        <w:tc>
          <w:tcPr>
            <w:tcW w:w="1374" w:type="dxa"/>
            <w:noWrap/>
            <w:hideMark/>
          </w:tcPr>
          <w:p w14:paraId="482152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34.3%</w:t>
            </w:r>
          </w:p>
        </w:tc>
        <w:tc>
          <w:tcPr>
            <w:tcW w:w="1602" w:type="dxa"/>
            <w:noWrap/>
            <w:hideMark/>
          </w:tcPr>
          <w:p w14:paraId="4171AD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$1,415,369</w:t>
            </w:r>
          </w:p>
        </w:tc>
        <w:tc>
          <w:tcPr>
            <w:tcW w:w="1264" w:type="dxa"/>
            <w:noWrap/>
            <w:hideMark/>
          </w:tcPr>
          <w:p w14:paraId="411FC83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B4FE8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$15,320,678</w:t>
            </w:r>
          </w:p>
        </w:tc>
        <w:tc>
          <w:tcPr>
            <w:tcW w:w="1786" w:type="dxa"/>
            <w:noWrap/>
            <w:hideMark/>
          </w:tcPr>
          <w:p w14:paraId="4399408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$5,255,709</w:t>
            </w:r>
          </w:p>
        </w:tc>
        <w:tc>
          <w:tcPr>
            <w:tcW w:w="901" w:type="dxa"/>
            <w:noWrap/>
            <w:hideMark/>
          </w:tcPr>
          <w:p w14:paraId="694CD2F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32.6%</w:t>
            </w:r>
          </w:p>
        </w:tc>
        <w:tc>
          <w:tcPr>
            <w:tcW w:w="1374" w:type="dxa"/>
            <w:noWrap/>
            <w:hideMark/>
          </w:tcPr>
          <w:p w14:paraId="4345D4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34.3%</w:t>
            </w:r>
          </w:p>
        </w:tc>
        <w:tc>
          <w:tcPr>
            <w:tcW w:w="1602" w:type="dxa"/>
            <w:noWrap/>
            <w:hideMark/>
          </w:tcPr>
          <w:p w14:paraId="68E3CD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C27FC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D6ABF5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0810</w:t>
            </w:r>
          </w:p>
        </w:tc>
        <w:tc>
          <w:tcPr>
            <w:tcW w:w="2880" w:type="dxa"/>
            <w:noWrap/>
            <w:hideMark/>
          </w:tcPr>
          <w:p w14:paraId="533C527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Bristol Plymouth</w:t>
            </w:r>
          </w:p>
        </w:tc>
        <w:tc>
          <w:tcPr>
            <w:tcW w:w="1148" w:type="dxa"/>
            <w:noWrap/>
            <w:hideMark/>
          </w:tcPr>
          <w:p w14:paraId="4C34667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14C994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$13,514,890 </w:t>
            </w:r>
          </w:p>
        </w:tc>
        <w:tc>
          <w:tcPr>
            <w:tcW w:w="1786" w:type="dxa"/>
            <w:noWrap/>
            <w:hideMark/>
          </w:tcPr>
          <w:p w14:paraId="42A151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$8,086,042 </w:t>
            </w:r>
          </w:p>
        </w:tc>
        <w:tc>
          <w:tcPr>
            <w:tcW w:w="901" w:type="dxa"/>
            <w:noWrap/>
            <w:hideMark/>
          </w:tcPr>
          <w:p w14:paraId="41B1F6A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52.9%</w:t>
            </w:r>
          </w:p>
        </w:tc>
        <w:tc>
          <w:tcPr>
            <w:tcW w:w="1374" w:type="dxa"/>
            <w:noWrap/>
            <w:hideMark/>
          </w:tcPr>
          <w:p w14:paraId="6350C0E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59.8%</w:t>
            </w:r>
          </w:p>
        </w:tc>
        <w:tc>
          <w:tcPr>
            <w:tcW w:w="1602" w:type="dxa"/>
            <w:noWrap/>
            <w:hideMark/>
          </w:tcPr>
          <w:p w14:paraId="2C0471D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$82,002</w:t>
            </w:r>
          </w:p>
        </w:tc>
        <w:tc>
          <w:tcPr>
            <w:tcW w:w="1264" w:type="dxa"/>
            <w:noWrap/>
            <w:hideMark/>
          </w:tcPr>
          <w:p w14:paraId="419154B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F6B24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$22,657,735</w:t>
            </w:r>
          </w:p>
        </w:tc>
        <w:tc>
          <w:tcPr>
            <w:tcW w:w="1786" w:type="dxa"/>
            <w:noWrap/>
            <w:hideMark/>
          </w:tcPr>
          <w:p w14:paraId="4C757AE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$12,043,180</w:t>
            </w:r>
          </w:p>
        </w:tc>
        <w:tc>
          <w:tcPr>
            <w:tcW w:w="901" w:type="dxa"/>
            <w:noWrap/>
            <w:hideMark/>
          </w:tcPr>
          <w:p w14:paraId="51F80CA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52.3%</w:t>
            </w:r>
          </w:p>
        </w:tc>
        <w:tc>
          <w:tcPr>
            <w:tcW w:w="1374" w:type="dxa"/>
            <w:noWrap/>
            <w:hideMark/>
          </w:tcPr>
          <w:p w14:paraId="3409AF9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w:t>
            </w:r>
          </w:p>
        </w:tc>
        <w:tc>
          <w:tcPr>
            <w:tcW w:w="1602" w:type="dxa"/>
            <w:noWrap/>
            <w:hideMark/>
          </w:tcPr>
          <w:p w14:paraId="72A12C2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27BB2B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512ACBD"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0815</w:t>
            </w:r>
          </w:p>
        </w:tc>
        <w:tc>
          <w:tcPr>
            <w:tcW w:w="2880" w:type="dxa"/>
            <w:noWrap/>
            <w:hideMark/>
          </w:tcPr>
          <w:p w14:paraId="08798DC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Cape Cod</w:t>
            </w:r>
          </w:p>
        </w:tc>
        <w:tc>
          <w:tcPr>
            <w:tcW w:w="1148" w:type="dxa"/>
            <w:noWrap/>
            <w:hideMark/>
          </w:tcPr>
          <w:p w14:paraId="3A3FD65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E0EAE6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$8,939,780 </w:t>
            </w:r>
          </w:p>
        </w:tc>
        <w:tc>
          <w:tcPr>
            <w:tcW w:w="1786" w:type="dxa"/>
            <w:noWrap/>
            <w:hideMark/>
          </w:tcPr>
          <w:p w14:paraId="5445ADB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$1,951,441 </w:t>
            </w:r>
          </w:p>
        </w:tc>
        <w:tc>
          <w:tcPr>
            <w:tcW w:w="901" w:type="dxa"/>
            <w:noWrap/>
            <w:hideMark/>
          </w:tcPr>
          <w:p w14:paraId="102608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1E1FA5E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w:t>
            </w:r>
          </w:p>
        </w:tc>
        <w:tc>
          <w:tcPr>
            <w:tcW w:w="1602" w:type="dxa"/>
            <w:noWrap/>
            <w:hideMark/>
          </w:tcPr>
          <w:p w14:paraId="3F2C85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$1,250,354</w:t>
            </w:r>
          </w:p>
        </w:tc>
        <w:tc>
          <w:tcPr>
            <w:tcW w:w="1264" w:type="dxa"/>
            <w:noWrap/>
            <w:hideMark/>
          </w:tcPr>
          <w:p w14:paraId="2A0E5A5C"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3AD47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$10,322,933</w:t>
            </w:r>
          </w:p>
        </w:tc>
        <w:tc>
          <w:tcPr>
            <w:tcW w:w="1786" w:type="dxa"/>
            <w:noWrap/>
            <w:hideMark/>
          </w:tcPr>
          <w:p w14:paraId="298D75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$2,184,147</w:t>
            </w:r>
          </w:p>
        </w:tc>
        <w:tc>
          <w:tcPr>
            <w:tcW w:w="901" w:type="dxa"/>
            <w:noWrap/>
            <w:hideMark/>
          </w:tcPr>
          <w:p w14:paraId="32DFC8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w:t>
            </w:r>
          </w:p>
        </w:tc>
        <w:tc>
          <w:tcPr>
            <w:tcW w:w="1374" w:type="dxa"/>
            <w:noWrap/>
            <w:hideMark/>
          </w:tcPr>
          <w:p w14:paraId="4E0E07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21.2%</w:t>
            </w:r>
          </w:p>
        </w:tc>
        <w:tc>
          <w:tcPr>
            <w:tcW w:w="1602" w:type="dxa"/>
            <w:noWrap/>
            <w:hideMark/>
          </w:tcPr>
          <w:p w14:paraId="0B45DEA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$237,298</w:t>
            </w:r>
          </w:p>
        </w:tc>
      </w:tr>
      <w:tr w:rsidR="008C6E34" w:rsidRPr="008C6E34" w14:paraId="38F3ABE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E83EE9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0817</w:t>
            </w:r>
          </w:p>
        </w:tc>
        <w:tc>
          <w:tcPr>
            <w:tcW w:w="2880" w:type="dxa"/>
            <w:noWrap/>
            <w:hideMark/>
          </w:tcPr>
          <w:p w14:paraId="16652E7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Essex North Shore</w:t>
            </w:r>
          </w:p>
        </w:tc>
        <w:tc>
          <w:tcPr>
            <w:tcW w:w="1148" w:type="dxa"/>
            <w:noWrap/>
            <w:hideMark/>
          </w:tcPr>
          <w:p w14:paraId="42B343C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w:t>
            </w:r>
          </w:p>
        </w:tc>
        <w:tc>
          <w:tcPr>
            <w:tcW w:w="1786" w:type="dxa"/>
            <w:noWrap/>
            <w:hideMark/>
          </w:tcPr>
          <w:p w14:paraId="723BC88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1786" w:type="dxa"/>
            <w:noWrap/>
            <w:hideMark/>
          </w:tcPr>
          <w:p w14:paraId="7A8926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$0 </w:t>
            </w:r>
          </w:p>
        </w:tc>
        <w:tc>
          <w:tcPr>
            <w:tcW w:w="901" w:type="dxa"/>
            <w:noWrap/>
            <w:hideMark/>
          </w:tcPr>
          <w:p w14:paraId="7A89A6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374" w:type="dxa"/>
            <w:noWrap/>
            <w:hideMark/>
          </w:tcPr>
          <w:p w14:paraId="0DB4DC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0.0%</w:t>
            </w:r>
          </w:p>
        </w:tc>
        <w:tc>
          <w:tcPr>
            <w:tcW w:w="1602" w:type="dxa"/>
            <w:noWrap/>
            <w:hideMark/>
          </w:tcPr>
          <w:p w14:paraId="6E8688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A3CBC6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714B8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$18,580,519</w:t>
            </w:r>
          </w:p>
        </w:tc>
        <w:tc>
          <w:tcPr>
            <w:tcW w:w="1786" w:type="dxa"/>
            <w:noWrap/>
            <w:hideMark/>
          </w:tcPr>
          <w:p w14:paraId="00E49A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$4,752,081</w:t>
            </w:r>
          </w:p>
        </w:tc>
        <w:tc>
          <w:tcPr>
            <w:tcW w:w="901" w:type="dxa"/>
            <w:noWrap/>
            <w:hideMark/>
          </w:tcPr>
          <w:p w14:paraId="5D0D64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24.3%</w:t>
            </w:r>
          </w:p>
        </w:tc>
        <w:tc>
          <w:tcPr>
            <w:tcW w:w="1374" w:type="dxa"/>
            <w:noWrap/>
            <w:hideMark/>
          </w:tcPr>
          <w:p w14:paraId="65E713F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w:t>
            </w:r>
          </w:p>
        </w:tc>
        <w:tc>
          <w:tcPr>
            <w:tcW w:w="1602" w:type="dxa"/>
            <w:noWrap/>
            <w:hideMark/>
          </w:tcPr>
          <w:p w14:paraId="6CF61E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36B063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716CCB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0818</w:t>
            </w:r>
          </w:p>
        </w:tc>
        <w:tc>
          <w:tcPr>
            <w:tcW w:w="2880" w:type="dxa"/>
            <w:noWrap/>
            <w:hideMark/>
          </w:tcPr>
          <w:p w14:paraId="40B8050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Franklin County</w:t>
            </w:r>
          </w:p>
        </w:tc>
        <w:tc>
          <w:tcPr>
            <w:tcW w:w="1148" w:type="dxa"/>
            <w:noWrap/>
            <w:hideMark/>
          </w:tcPr>
          <w:p w14:paraId="6EA5F69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FF30F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$6,238,167 </w:t>
            </w:r>
          </w:p>
        </w:tc>
        <w:tc>
          <w:tcPr>
            <w:tcW w:w="1786" w:type="dxa"/>
            <w:noWrap/>
            <w:hideMark/>
          </w:tcPr>
          <w:p w14:paraId="5A97FEB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$3,134,152 </w:t>
            </w:r>
          </w:p>
        </w:tc>
        <w:tc>
          <w:tcPr>
            <w:tcW w:w="901" w:type="dxa"/>
            <w:noWrap/>
            <w:hideMark/>
          </w:tcPr>
          <w:p w14:paraId="14128B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54.7%</w:t>
            </w:r>
          </w:p>
        </w:tc>
        <w:tc>
          <w:tcPr>
            <w:tcW w:w="1374" w:type="dxa"/>
            <w:noWrap/>
            <w:hideMark/>
          </w:tcPr>
          <w:p w14:paraId="267D32C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50.2%</w:t>
            </w:r>
          </w:p>
        </w:tc>
        <w:tc>
          <w:tcPr>
            <w:tcW w:w="1602" w:type="dxa"/>
            <w:noWrap/>
            <w:hideMark/>
          </w:tcPr>
          <w:p w14:paraId="2C12521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5E3121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33AEE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$8,190,176</w:t>
            </w:r>
          </w:p>
        </w:tc>
        <w:tc>
          <w:tcPr>
            <w:tcW w:w="1786" w:type="dxa"/>
            <w:noWrap/>
            <w:hideMark/>
          </w:tcPr>
          <w:p w14:paraId="06E529A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$3,974,409</w:t>
            </w:r>
          </w:p>
        </w:tc>
        <w:tc>
          <w:tcPr>
            <w:tcW w:w="901" w:type="dxa"/>
            <w:noWrap/>
            <w:hideMark/>
          </w:tcPr>
          <w:p w14:paraId="207B4AC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w:t>
            </w:r>
          </w:p>
        </w:tc>
        <w:tc>
          <w:tcPr>
            <w:tcW w:w="1374" w:type="dxa"/>
            <w:noWrap/>
            <w:hideMark/>
          </w:tcPr>
          <w:p w14:paraId="34F088B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48.5%</w:t>
            </w:r>
          </w:p>
        </w:tc>
        <w:tc>
          <w:tcPr>
            <w:tcW w:w="1602" w:type="dxa"/>
            <w:noWrap/>
            <w:hideMark/>
          </w:tcPr>
          <w:p w14:paraId="0ABA2D5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528CB47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BD946E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0821</w:t>
            </w:r>
          </w:p>
        </w:tc>
        <w:tc>
          <w:tcPr>
            <w:tcW w:w="2880" w:type="dxa"/>
            <w:noWrap/>
            <w:hideMark/>
          </w:tcPr>
          <w:p w14:paraId="3980E2F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Greater Fall River</w:t>
            </w:r>
          </w:p>
        </w:tc>
        <w:tc>
          <w:tcPr>
            <w:tcW w:w="1148" w:type="dxa"/>
            <w:noWrap/>
            <w:hideMark/>
          </w:tcPr>
          <w:p w14:paraId="209103B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6493E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$17,060,238 </w:t>
            </w:r>
          </w:p>
        </w:tc>
        <w:tc>
          <w:tcPr>
            <w:tcW w:w="1786" w:type="dxa"/>
            <w:noWrap/>
            <w:hideMark/>
          </w:tcPr>
          <w:p w14:paraId="72FD1F3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$12,983,299 </w:t>
            </w:r>
          </w:p>
        </w:tc>
        <w:tc>
          <w:tcPr>
            <w:tcW w:w="901" w:type="dxa"/>
            <w:noWrap/>
            <w:hideMark/>
          </w:tcPr>
          <w:p w14:paraId="73A2672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61.4%</w:t>
            </w:r>
          </w:p>
        </w:tc>
        <w:tc>
          <w:tcPr>
            <w:tcW w:w="1374" w:type="dxa"/>
            <w:noWrap/>
            <w:hideMark/>
          </w:tcPr>
          <w:p w14:paraId="385C20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76.1%</w:t>
            </w:r>
          </w:p>
        </w:tc>
        <w:tc>
          <w:tcPr>
            <w:tcW w:w="1602" w:type="dxa"/>
            <w:noWrap/>
            <w:hideMark/>
          </w:tcPr>
          <w:p w14:paraId="415BA1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$467,821</w:t>
            </w:r>
          </w:p>
        </w:tc>
        <w:tc>
          <w:tcPr>
            <w:tcW w:w="1264" w:type="dxa"/>
            <w:noWrap/>
            <w:hideMark/>
          </w:tcPr>
          <w:p w14:paraId="7346881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3DED04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$25,634,450</w:t>
            </w:r>
          </w:p>
        </w:tc>
        <w:tc>
          <w:tcPr>
            <w:tcW w:w="1786" w:type="dxa"/>
            <w:noWrap/>
            <w:hideMark/>
          </w:tcPr>
          <w:p w14:paraId="45E87D5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$17,516,885</w:t>
            </w:r>
          </w:p>
        </w:tc>
        <w:tc>
          <w:tcPr>
            <w:tcW w:w="901" w:type="dxa"/>
            <w:noWrap/>
            <w:hideMark/>
          </w:tcPr>
          <w:p w14:paraId="031C8AA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65.1%</w:t>
            </w:r>
          </w:p>
        </w:tc>
        <w:tc>
          <w:tcPr>
            <w:tcW w:w="1374" w:type="dxa"/>
            <w:noWrap/>
            <w:hideMark/>
          </w:tcPr>
          <w:p w14:paraId="7901118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68.3%</w:t>
            </w:r>
          </w:p>
        </w:tc>
        <w:tc>
          <w:tcPr>
            <w:tcW w:w="1602" w:type="dxa"/>
            <w:noWrap/>
            <w:hideMark/>
          </w:tcPr>
          <w:p w14:paraId="390A13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8CD6E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7AF47DD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0823</w:t>
            </w:r>
          </w:p>
        </w:tc>
        <w:tc>
          <w:tcPr>
            <w:tcW w:w="2880" w:type="dxa"/>
            <w:noWrap/>
            <w:hideMark/>
          </w:tcPr>
          <w:p w14:paraId="108C92ED"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Greater Lawrence</w:t>
            </w:r>
          </w:p>
        </w:tc>
        <w:tc>
          <w:tcPr>
            <w:tcW w:w="1148" w:type="dxa"/>
            <w:noWrap/>
            <w:hideMark/>
          </w:tcPr>
          <w:p w14:paraId="7BED3E46"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77AFB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$23,397,863 </w:t>
            </w:r>
          </w:p>
        </w:tc>
        <w:tc>
          <w:tcPr>
            <w:tcW w:w="1786" w:type="dxa"/>
            <w:noWrap/>
            <w:hideMark/>
          </w:tcPr>
          <w:p w14:paraId="24195D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$20,447,178 </w:t>
            </w:r>
          </w:p>
        </w:tc>
        <w:tc>
          <w:tcPr>
            <w:tcW w:w="901" w:type="dxa"/>
            <w:noWrap/>
            <w:hideMark/>
          </w:tcPr>
          <w:p w14:paraId="7C1B524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78.9%</w:t>
            </w:r>
          </w:p>
        </w:tc>
        <w:tc>
          <w:tcPr>
            <w:tcW w:w="1374" w:type="dxa"/>
            <w:noWrap/>
            <w:hideMark/>
          </w:tcPr>
          <w:p w14:paraId="3F30CC4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87.4%</w:t>
            </w:r>
          </w:p>
        </w:tc>
        <w:tc>
          <w:tcPr>
            <w:tcW w:w="1602" w:type="dxa"/>
            <w:noWrap/>
            <w:hideMark/>
          </w:tcPr>
          <w:p w14:paraId="4E18BEB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658676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884228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$31,698,688</w:t>
            </w:r>
          </w:p>
        </w:tc>
        <w:tc>
          <w:tcPr>
            <w:tcW w:w="1786" w:type="dxa"/>
            <w:noWrap/>
            <w:hideMark/>
          </w:tcPr>
          <w:p w14:paraId="702E5B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$27,096,714</w:t>
            </w:r>
          </w:p>
        </w:tc>
        <w:tc>
          <w:tcPr>
            <w:tcW w:w="901" w:type="dxa"/>
            <w:noWrap/>
            <w:hideMark/>
          </w:tcPr>
          <w:p w14:paraId="3D70ADC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78.2%</w:t>
            </w:r>
          </w:p>
        </w:tc>
        <w:tc>
          <w:tcPr>
            <w:tcW w:w="1374" w:type="dxa"/>
            <w:noWrap/>
            <w:hideMark/>
          </w:tcPr>
          <w:p w14:paraId="26C67B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85.5%</w:t>
            </w:r>
          </w:p>
        </w:tc>
        <w:tc>
          <w:tcPr>
            <w:tcW w:w="1602" w:type="dxa"/>
            <w:noWrap/>
            <w:hideMark/>
          </w:tcPr>
          <w:p w14:paraId="277A45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141FA7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C0C7642"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0825</w:t>
            </w:r>
          </w:p>
        </w:tc>
        <w:tc>
          <w:tcPr>
            <w:tcW w:w="2880" w:type="dxa"/>
            <w:noWrap/>
            <w:hideMark/>
          </w:tcPr>
          <w:p w14:paraId="25217B0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Greater New Bedford</w:t>
            </w:r>
          </w:p>
        </w:tc>
        <w:tc>
          <w:tcPr>
            <w:tcW w:w="1148" w:type="dxa"/>
            <w:noWrap/>
            <w:hideMark/>
          </w:tcPr>
          <w:p w14:paraId="10786B3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6B704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$25,632,190 </w:t>
            </w:r>
          </w:p>
        </w:tc>
        <w:tc>
          <w:tcPr>
            <w:tcW w:w="1786" w:type="dxa"/>
            <w:noWrap/>
            <w:hideMark/>
          </w:tcPr>
          <w:p w14:paraId="664255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$20,279,884 </w:t>
            </w:r>
          </w:p>
        </w:tc>
        <w:tc>
          <w:tcPr>
            <w:tcW w:w="901" w:type="dxa"/>
            <w:noWrap/>
            <w:hideMark/>
          </w:tcPr>
          <w:p w14:paraId="19E51F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65.9%</w:t>
            </w:r>
          </w:p>
        </w:tc>
        <w:tc>
          <w:tcPr>
            <w:tcW w:w="1374" w:type="dxa"/>
            <w:noWrap/>
            <w:hideMark/>
          </w:tcPr>
          <w:p w14:paraId="0603F83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79.1%</w:t>
            </w:r>
          </w:p>
        </w:tc>
        <w:tc>
          <w:tcPr>
            <w:tcW w:w="1602" w:type="dxa"/>
            <w:noWrap/>
            <w:hideMark/>
          </w:tcPr>
          <w:p w14:paraId="61561FC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$405,693</w:t>
            </w:r>
          </w:p>
        </w:tc>
        <w:tc>
          <w:tcPr>
            <w:tcW w:w="1264" w:type="dxa"/>
            <w:noWrap/>
            <w:hideMark/>
          </w:tcPr>
          <w:p w14:paraId="400E38A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C9F9E2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$38,180,026</w:t>
            </w:r>
          </w:p>
        </w:tc>
        <w:tc>
          <w:tcPr>
            <w:tcW w:w="1786" w:type="dxa"/>
            <w:noWrap/>
            <w:hideMark/>
          </w:tcPr>
          <w:p w14:paraId="12832F5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$26,940,155</w:t>
            </w:r>
          </w:p>
        </w:tc>
        <w:tc>
          <w:tcPr>
            <w:tcW w:w="901" w:type="dxa"/>
            <w:noWrap/>
            <w:hideMark/>
          </w:tcPr>
          <w:p w14:paraId="4DBACE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66.7%</w:t>
            </w:r>
          </w:p>
        </w:tc>
        <w:tc>
          <w:tcPr>
            <w:tcW w:w="1374" w:type="dxa"/>
            <w:noWrap/>
            <w:hideMark/>
          </w:tcPr>
          <w:p w14:paraId="128A442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70.6%</w:t>
            </w:r>
          </w:p>
        </w:tc>
        <w:tc>
          <w:tcPr>
            <w:tcW w:w="1602" w:type="dxa"/>
            <w:noWrap/>
            <w:hideMark/>
          </w:tcPr>
          <w:p w14:paraId="5D66867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16CD6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B339D8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0828</w:t>
            </w:r>
          </w:p>
        </w:tc>
        <w:tc>
          <w:tcPr>
            <w:tcW w:w="2880" w:type="dxa"/>
            <w:noWrap/>
            <w:hideMark/>
          </w:tcPr>
          <w:p w14:paraId="262DF64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Greater Lowell</w:t>
            </w:r>
          </w:p>
        </w:tc>
        <w:tc>
          <w:tcPr>
            <w:tcW w:w="1148" w:type="dxa"/>
            <w:noWrap/>
            <w:hideMark/>
          </w:tcPr>
          <w:p w14:paraId="4C4E56F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46B12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$27,036,778 </w:t>
            </w:r>
          </w:p>
        </w:tc>
        <w:tc>
          <w:tcPr>
            <w:tcW w:w="1786" w:type="dxa"/>
            <w:noWrap/>
            <w:hideMark/>
          </w:tcPr>
          <w:p w14:paraId="4AB7711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$19,430,653 </w:t>
            </w:r>
          </w:p>
        </w:tc>
        <w:tc>
          <w:tcPr>
            <w:tcW w:w="901" w:type="dxa"/>
            <w:noWrap/>
            <w:hideMark/>
          </w:tcPr>
          <w:p w14:paraId="7A7AC39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66.0%</w:t>
            </w:r>
          </w:p>
        </w:tc>
        <w:tc>
          <w:tcPr>
            <w:tcW w:w="1374" w:type="dxa"/>
            <w:noWrap/>
            <w:hideMark/>
          </w:tcPr>
          <w:p w14:paraId="52AE6D3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71.9%</w:t>
            </w:r>
          </w:p>
        </w:tc>
        <w:tc>
          <w:tcPr>
            <w:tcW w:w="1602" w:type="dxa"/>
            <w:noWrap/>
            <w:hideMark/>
          </w:tcPr>
          <w:p w14:paraId="089FDC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7C8A93E"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811B24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$42,372,429</w:t>
            </w:r>
          </w:p>
        </w:tc>
        <w:tc>
          <w:tcPr>
            <w:tcW w:w="1786" w:type="dxa"/>
            <w:noWrap/>
            <w:hideMark/>
          </w:tcPr>
          <w:p w14:paraId="09F0FFE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$28,831,510</w:t>
            </w:r>
          </w:p>
        </w:tc>
        <w:tc>
          <w:tcPr>
            <w:tcW w:w="901" w:type="dxa"/>
            <w:noWrap/>
            <w:hideMark/>
          </w:tcPr>
          <w:p w14:paraId="7D96C81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65.5%</w:t>
            </w:r>
          </w:p>
        </w:tc>
        <w:tc>
          <w:tcPr>
            <w:tcW w:w="1374" w:type="dxa"/>
            <w:noWrap/>
            <w:hideMark/>
          </w:tcPr>
          <w:p w14:paraId="1C860B0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68.0%</w:t>
            </w:r>
          </w:p>
        </w:tc>
        <w:tc>
          <w:tcPr>
            <w:tcW w:w="1602" w:type="dxa"/>
            <w:noWrap/>
            <w:hideMark/>
          </w:tcPr>
          <w:p w14:paraId="5D61865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1F3A0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764837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0829</w:t>
            </w:r>
          </w:p>
        </w:tc>
        <w:tc>
          <w:tcPr>
            <w:tcW w:w="2880" w:type="dxa"/>
            <w:noWrap/>
            <w:hideMark/>
          </w:tcPr>
          <w:p w14:paraId="76140568"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 Middlesex</w:t>
            </w:r>
          </w:p>
        </w:tc>
        <w:tc>
          <w:tcPr>
            <w:tcW w:w="1148" w:type="dxa"/>
            <w:noWrap/>
            <w:hideMark/>
          </w:tcPr>
          <w:p w14:paraId="79204D4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41AF9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$9,208,715 </w:t>
            </w:r>
          </w:p>
        </w:tc>
        <w:tc>
          <w:tcPr>
            <w:tcW w:w="1786" w:type="dxa"/>
            <w:noWrap/>
            <w:hideMark/>
          </w:tcPr>
          <w:p w14:paraId="5DF9944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$2,366,025 </w:t>
            </w:r>
          </w:p>
        </w:tc>
        <w:tc>
          <w:tcPr>
            <w:tcW w:w="901" w:type="dxa"/>
            <w:noWrap/>
            <w:hideMark/>
          </w:tcPr>
          <w:p w14:paraId="4ABB88D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26.1%</w:t>
            </w:r>
          </w:p>
        </w:tc>
        <w:tc>
          <w:tcPr>
            <w:tcW w:w="1374" w:type="dxa"/>
            <w:noWrap/>
            <w:hideMark/>
          </w:tcPr>
          <w:p w14:paraId="177DA0C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25.7%</w:t>
            </w:r>
          </w:p>
        </w:tc>
        <w:tc>
          <w:tcPr>
            <w:tcW w:w="1602" w:type="dxa"/>
            <w:noWrap/>
            <w:hideMark/>
          </w:tcPr>
          <w:p w14:paraId="498D07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$1,426,115</w:t>
            </w:r>
          </w:p>
        </w:tc>
        <w:tc>
          <w:tcPr>
            <w:tcW w:w="1264" w:type="dxa"/>
            <w:noWrap/>
            <w:hideMark/>
          </w:tcPr>
          <w:p w14:paraId="4269393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59C5F6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$13,895,820</w:t>
            </w:r>
          </w:p>
        </w:tc>
        <w:tc>
          <w:tcPr>
            <w:tcW w:w="1786" w:type="dxa"/>
            <w:noWrap/>
            <w:hideMark/>
          </w:tcPr>
          <w:p w14:paraId="1A89046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$5,327,429</w:t>
            </w:r>
          </w:p>
        </w:tc>
        <w:tc>
          <w:tcPr>
            <w:tcW w:w="901" w:type="dxa"/>
            <w:noWrap/>
            <w:hideMark/>
          </w:tcPr>
          <w:p w14:paraId="157AF39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37.0%</w:t>
            </w:r>
          </w:p>
        </w:tc>
        <w:tc>
          <w:tcPr>
            <w:tcW w:w="1374" w:type="dxa"/>
            <w:noWrap/>
            <w:hideMark/>
          </w:tcPr>
          <w:p w14:paraId="28DF60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38.3%</w:t>
            </w:r>
          </w:p>
        </w:tc>
        <w:tc>
          <w:tcPr>
            <w:tcW w:w="1602" w:type="dxa"/>
            <w:noWrap/>
            <w:hideMark/>
          </w:tcPr>
          <w:p w14:paraId="1C94C26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148BD26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A704E1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0830</w:t>
            </w:r>
          </w:p>
        </w:tc>
        <w:tc>
          <w:tcPr>
            <w:tcW w:w="2880" w:type="dxa"/>
            <w:noWrap/>
            <w:hideMark/>
          </w:tcPr>
          <w:p w14:paraId="51711E46"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Minuteman</w:t>
            </w:r>
          </w:p>
        </w:tc>
        <w:tc>
          <w:tcPr>
            <w:tcW w:w="1148" w:type="dxa"/>
            <w:noWrap/>
            <w:hideMark/>
          </w:tcPr>
          <w:p w14:paraId="7BA353A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43CDCB1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$6,914,249 </w:t>
            </w:r>
          </w:p>
        </w:tc>
        <w:tc>
          <w:tcPr>
            <w:tcW w:w="1786" w:type="dxa"/>
            <w:noWrap/>
            <w:hideMark/>
          </w:tcPr>
          <w:p w14:paraId="48F446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$2,248,003 </w:t>
            </w:r>
          </w:p>
        </w:tc>
        <w:tc>
          <w:tcPr>
            <w:tcW w:w="901" w:type="dxa"/>
            <w:noWrap/>
            <w:hideMark/>
          </w:tcPr>
          <w:p w14:paraId="5E3EE2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20.0%</w:t>
            </w:r>
          </w:p>
        </w:tc>
        <w:tc>
          <w:tcPr>
            <w:tcW w:w="1374" w:type="dxa"/>
            <w:noWrap/>
            <w:hideMark/>
          </w:tcPr>
          <w:p w14:paraId="2D820C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32.5%</w:t>
            </w:r>
          </w:p>
        </w:tc>
        <w:tc>
          <w:tcPr>
            <w:tcW w:w="1602" w:type="dxa"/>
            <w:noWrap/>
            <w:hideMark/>
          </w:tcPr>
          <w:p w14:paraId="711CCF1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$1,372,767</w:t>
            </w:r>
          </w:p>
        </w:tc>
        <w:tc>
          <w:tcPr>
            <w:tcW w:w="1264" w:type="dxa"/>
            <w:noWrap/>
            <w:hideMark/>
          </w:tcPr>
          <w:p w14:paraId="79425988"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171BA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$6,695,950</w:t>
            </w:r>
          </w:p>
        </w:tc>
        <w:tc>
          <w:tcPr>
            <w:tcW w:w="1786" w:type="dxa"/>
            <w:noWrap/>
            <w:hideMark/>
          </w:tcPr>
          <w:p w14:paraId="02FB8A7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$2,096,043</w:t>
            </w:r>
          </w:p>
        </w:tc>
        <w:tc>
          <w:tcPr>
            <w:tcW w:w="901" w:type="dxa"/>
            <w:noWrap/>
            <w:hideMark/>
          </w:tcPr>
          <w:p w14:paraId="06FC003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19.3%</w:t>
            </w:r>
          </w:p>
        </w:tc>
        <w:tc>
          <w:tcPr>
            <w:tcW w:w="1374" w:type="dxa"/>
            <w:noWrap/>
            <w:hideMark/>
          </w:tcPr>
          <w:p w14:paraId="0CA08B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31.3%</w:t>
            </w:r>
          </w:p>
        </w:tc>
        <w:tc>
          <w:tcPr>
            <w:tcW w:w="1602" w:type="dxa"/>
            <w:noWrap/>
            <w:hideMark/>
          </w:tcPr>
          <w:p w14:paraId="060F506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$644,484</w:t>
            </w:r>
          </w:p>
        </w:tc>
      </w:tr>
      <w:tr w:rsidR="008C6E34" w:rsidRPr="008C6E34" w14:paraId="2DB8CC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3134F6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0832</w:t>
            </w:r>
          </w:p>
        </w:tc>
        <w:tc>
          <w:tcPr>
            <w:tcW w:w="2880" w:type="dxa"/>
            <w:noWrap/>
            <w:hideMark/>
          </w:tcPr>
          <w:p w14:paraId="26DA9DB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Montachusett</w:t>
            </w:r>
          </w:p>
        </w:tc>
        <w:tc>
          <w:tcPr>
            <w:tcW w:w="1148" w:type="dxa"/>
            <w:noWrap/>
            <w:hideMark/>
          </w:tcPr>
          <w:p w14:paraId="2BE1CAF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033B91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$15,840,334 </w:t>
            </w:r>
          </w:p>
        </w:tc>
        <w:tc>
          <w:tcPr>
            <w:tcW w:w="1786" w:type="dxa"/>
            <w:noWrap/>
            <w:hideMark/>
          </w:tcPr>
          <w:p w14:paraId="2B4FDD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$10,543,502 </w:t>
            </w:r>
          </w:p>
        </w:tc>
        <w:tc>
          <w:tcPr>
            <w:tcW w:w="901" w:type="dxa"/>
            <w:noWrap/>
            <w:hideMark/>
          </w:tcPr>
          <w:p w14:paraId="31FEC6C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61.7%</w:t>
            </w:r>
          </w:p>
        </w:tc>
        <w:tc>
          <w:tcPr>
            <w:tcW w:w="1374" w:type="dxa"/>
            <w:noWrap/>
            <w:hideMark/>
          </w:tcPr>
          <w:p w14:paraId="161C2D7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66.6%</w:t>
            </w:r>
          </w:p>
        </w:tc>
        <w:tc>
          <w:tcPr>
            <w:tcW w:w="1602" w:type="dxa"/>
            <w:noWrap/>
            <w:hideMark/>
          </w:tcPr>
          <w:p w14:paraId="5209D7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E9EE61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10EE884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$25,030,257</w:t>
            </w:r>
          </w:p>
        </w:tc>
        <w:tc>
          <w:tcPr>
            <w:tcW w:w="1786" w:type="dxa"/>
            <w:noWrap/>
            <w:hideMark/>
          </w:tcPr>
          <w:p w14:paraId="29EDF5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$15,425,797</w:t>
            </w:r>
          </w:p>
        </w:tc>
        <w:tc>
          <w:tcPr>
            <w:tcW w:w="901" w:type="dxa"/>
            <w:noWrap/>
            <w:hideMark/>
          </w:tcPr>
          <w:p w14:paraId="28ECA8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59.8%</w:t>
            </w:r>
          </w:p>
        </w:tc>
        <w:tc>
          <w:tcPr>
            <w:tcW w:w="1374" w:type="dxa"/>
            <w:noWrap/>
            <w:hideMark/>
          </w:tcPr>
          <w:p w14:paraId="19FB55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61.6%</w:t>
            </w:r>
          </w:p>
        </w:tc>
        <w:tc>
          <w:tcPr>
            <w:tcW w:w="1602" w:type="dxa"/>
            <w:noWrap/>
            <w:hideMark/>
          </w:tcPr>
          <w:p w14:paraId="5A0FDDB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E25E60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259B9DEF"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0851</w:t>
            </w:r>
          </w:p>
        </w:tc>
        <w:tc>
          <w:tcPr>
            <w:tcW w:w="2880" w:type="dxa"/>
            <w:noWrap/>
            <w:hideMark/>
          </w:tcPr>
          <w:p w14:paraId="5E06A5E0"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Northern Berkshire</w:t>
            </w:r>
          </w:p>
        </w:tc>
        <w:tc>
          <w:tcPr>
            <w:tcW w:w="1148" w:type="dxa"/>
            <w:noWrap/>
            <w:hideMark/>
          </w:tcPr>
          <w:p w14:paraId="40166A3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6F6037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$5,410,246 </w:t>
            </w:r>
          </w:p>
        </w:tc>
        <w:tc>
          <w:tcPr>
            <w:tcW w:w="1786" w:type="dxa"/>
            <w:noWrap/>
            <w:hideMark/>
          </w:tcPr>
          <w:p w14:paraId="16EFE89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$3,877,986 </w:t>
            </w:r>
          </w:p>
        </w:tc>
        <w:tc>
          <w:tcPr>
            <w:tcW w:w="901" w:type="dxa"/>
            <w:noWrap/>
            <w:hideMark/>
          </w:tcPr>
          <w:p w14:paraId="0CBB96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67.9%</w:t>
            </w:r>
          </w:p>
        </w:tc>
        <w:tc>
          <w:tcPr>
            <w:tcW w:w="1374" w:type="dxa"/>
            <w:noWrap/>
            <w:hideMark/>
          </w:tcPr>
          <w:p w14:paraId="138D0A9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71.7%</w:t>
            </w:r>
          </w:p>
        </w:tc>
        <w:tc>
          <w:tcPr>
            <w:tcW w:w="1602" w:type="dxa"/>
            <w:noWrap/>
            <w:hideMark/>
          </w:tcPr>
          <w:p w14:paraId="24DC97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DAA1680"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12E07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$7,897,884</w:t>
            </w:r>
          </w:p>
        </w:tc>
        <w:tc>
          <w:tcPr>
            <w:tcW w:w="1786" w:type="dxa"/>
            <w:noWrap/>
            <w:hideMark/>
          </w:tcPr>
          <w:p w14:paraId="1DE407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$4,829,906</w:t>
            </w:r>
          </w:p>
        </w:tc>
        <w:tc>
          <w:tcPr>
            <w:tcW w:w="901" w:type="dxa"/>
            <w:noWrap/>
            <w:hideMark/>
          </w:tcPr>
          <w:p w14:paraId="4FF560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60.8%</w:t>
            </w:r>
          </w:p>
        </w:tc>
        <w:tc>
          <w:tcPr>
            <w:tcW w:w="1374" w:type="dxa"/>
            <w:noWrap/>
            <w:hideMark/>
          </w:tcPr>
          <w:p w14:paraId="138156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61.2%</w:t>
            </w:r>
          </w:p>
        </w:tc>
        <w:tc>
          <w:tcPr>
            <w:tcW w:w="1602" w:type="dxa"/>
            <w:noWrap/>
            <w:hideMark/>
          </w:tcPr>
          <w:p w14:paraId="63E1F2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7BCA23D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3EF75937"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0852</w:t>
            </w:r>
          </w:p>
        </w:tc>
        <w:tc>
          <w:tcPr>
            <w:tcW w:w="2880" w:type="dxa"/>
            <w:noWrap/>
            <w:hideMark/>
          </w:tcPr>
          <w:p w14:paraId="32265A6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Nashoba Valley</w:t>
            </w:r>
          </w:p>
        </w:tc>
        <w:tc>
          <w:tcPr>
            <w:tcW w:w="1148" w:type="dxa"/>
            <w:noWrap/>
            <w:hideMark/>
          </w:tcPr>
          <w:p w14:paraId="046665C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75B46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$5,389,599 </w:t>
            </w:r>
          </w:p>
        </w:tc>
        <w:tc>
          <w:tcPr>
            <w:tcW w:w="1786" w:type="dxa"/>
            <w:noWrap/>
            <w:hideMark/>
          </w:tcPr>
          <w:p w14:paraId="33B259D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$2,023,465 </w:t>
            </w:r>
          </w:p>
        </w:tc>
        <w:tc>
          <w:tcPr>
            <w:tcW w:w="901" w:type="dxa"/>
            <w:noWrap/>
            <w:hideMark/>
          </w:tcPr>
          <w:p w14:paraId="5C2CAF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40.1%</w:t>
            </w:r>
          </w:p>
        </w:tc>
        <w:tc>
          <w:tcPr>
            <w:tcW w:w="1374" w:type="dxa"/>
            <w:noWrap/>
            <w:hideMark/>
          </w:tcPr>
          <w:p w14:paraId="3950A0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37.5%</w:t>
            </w:r>
          </w:p>
        </w:tc>
        <w:tc>
          <w:tcPr>
            <w:tcW w:w="1602" w:type="dxa"/>
            <w:noWrap/>
            <w:hideMark/>
          </w:tcPr>
          <w:p w14:paraId="6527A2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$28,794</w:t>
            </w:r>
          </w:p>
        </w:tc>
        <w:tc>
          <w:tcPr>
            <w:tcW w:w="1264" w:type="dxa"/>
            <w:noWrap/>
            <w:hideMark/>
          </w:tcPr>
          <w:p w14:paraId="3C9BBD8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DC3923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$10,895,287</w:t>
            </w:r>
          </w:p>
        </w:tc>
        <w:tc>
          <w:tcPr>
            <w:tcW w:w="1786" w:type="dxa"/>
            <w:noWrap/>
            <w:hideMark/>
          </w:tcPr>
          <w:p w14:paraId="12CDAA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$3,717,284</w:t>
            </w:r>
          </w:p>
        </w:tc>
        <w:tc>
          <w:tcPr>
            <w:tcW w:w="901" w:type="dxa"/>
            <w:noWrap/>
            <w:hideMark/>
          </w:tcPr>
          <w:p w14:paraId="7709BB7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29.8%</w:t>
            </w:r>
          </w:p>
        </w:tc>
        <w:tc>
          <w:tcPr>
            <w:tcW w:w="1374" w:type="dxa"/>
            <w:noWrap/>
            <w:hideMark/>
          </w:tcPr>
          <w:p w14:paraId="4B695F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34.1%</w:t>
            </w:r>
          </w:p>
        </w:tc>
        <w:tc>
          <w:tcPr>
            <w:tcW w:w="1602" w:type="dxa"/>
            <w:noWrap/>
            <w:hideMark/>
          </w:tcPr>
          <w:p w14:paraId="2487761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$339,021</w:t>
            </w:r>
          </w:p>
        </w:tc>
      </w:tr>
      <w:tr w:rsidR="008C6E34" w:rsidRPr="008C6E34" w14:paraId="78D0085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4CD3CD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0853</w:t>
            </w:r>
          </w:p>
        </w:tc>
        <w:tc>
          <w:tcPr>
            <w:tcW w:w="2880" w:type="dxa"/>
            <w:noWrap/>
            <w:hideMark/>
          </w:tcPr>
          <w:p w14:paraId="20A36F81"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Northeast Metropolitan</w:t>
            </w:r>
          </w:p>
        </w:tc>
        <w:tc>
          <w:tcPr>
            <w:tcW w:w="1148" w:type="dxa"/>
            <w:noWrap/>
            <w:hideMark/>
          </w:tcPr>
          <w:p w14:paraId="38F95D37"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5179C70B"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$15,298,678 </w:t>
            </w:r>
          </w:p>
        </w:tc>
        <w:tc>
          <w:tcPr>
            <w:tcW w:w="1786" w:type="dxa"/>
            <w:noWrap/>
            <w:hideMark/>
          </w:tcPr>
          <w:p w14:paraId="47D5D6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$6,463,689 </w:t>
            </w:r>
          </w:p>
        </w:tc>
        <w:tc>
          <w:tcPr>
            <w:tcW w:w="901" w:type="dxa"/>
            <w:noWrap/>
            <w:hideMark/>
          </w:tcPr>
          <w:p w14:paraId="7190D15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40.7%</w:t>
            </w:r>
          </w:p>
        </w:tc>
        <w:tc>
          <w:tcPr>
            <w:tcW w:w="1374" w:type="dxa"/>
            <w:noWrap/>
            <w:hideMark/>
          </w:tcPr>
          <w:p w14:paraId="5BBCE9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42.2%</w:t>
            </w:r>
          </w:p>
        </w:tc>
        <w:tc>
          <w:tcPr>
            <w:tcW w:w="1602" w:type="dxa"/>
            <w:noWrap/>
            <w:hideMark/>
          </w:tcPr>
          <w:p w14:paraId="7967F13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239D679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89C67C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$22,663,144</w:t>
            </w:r>
          </w:p>
        </w:tc>
        <w:tc>
          <w:tcPr>
            <w:tcW w:w="1786" w:type="dxa"/>
            <w:noWrap/>
            <w:hideMark/>
          </w:tcPr>
          <w:p w14:paraId="5345CE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$10,565,448</w:t>
            </w:r>
          </w:p>
        </w:tc>
        <w:tc>
          <w:tcPr>
            <w:tcW w:w="901" w:type="dxa"/>
            <w:noWrap/>
            <w:hideMark/>
          </w:tcPr>
          <w:p w14:paraId="381C61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44.1%</w:t>
            </w:r>
          </w:p>
        </w:tc>
        <w:tc>
          <w:tcPr>
            <w:tcW w:w="1374" w:type="dxa"/>
            <w:noWrap/>
            <w:hideMark/>
          </w:tcPr>
          <w:p w14:paraId="33E1A8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46.6%</w:t>
            </w:r>
          </w:p>
        </w:tc>
        <w:tc>
          <w:tcPr>
            <w:tcW w:w="1602" w:type="dxa"/>
            <w:noWrap/>
            <w:hideMark/>
          </w:tcPr>
          <w:p w14:paraId="72F9EB9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459A926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FDE22E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0855</w:t>
            </w:r>
          </w:p>
        </w:tc>
        <w:tc>
          <w:tcPr>
            <w:tcW w:w="2880" w:type="dxa"/>
            <w:noWrap/>
            <w:hideMark/>
          </w:tcPr>
          <w:p w14:paraId="67EE555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Old Colony</w:t>
            </w:r>
          </w:p>
        </w:tc>
        <w:tc>
          <w:tcPr>
            <w:tcW w:w="1148" w:type="dxa"/>
            <w:noWrap/>
            <w:hideMark/>
          </w:tcPr>
          <w:p w14:paraId="3D4C6E0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826D0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$5,820,992 </w:t>
            </w:r>
          </w:p>
        </w:tc>
        <w:tc>
          <w:tcPr>
            <w:tcW w:w="1786" w:type="dxa"/>
            <w:noWrap/>
            <w:hideMark/>
          </w:tcPr>
          <w:p w14:paraId="440E087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$2,935,912 </w:t>
            </w:r>
          </w:p>
        </w:tc>
        <w:tc>
          <w:tcPr>
            <w:tcW w:w="901" w:type="dxa"/>
            <w:noWrap/>
            <w:hideMark/>
          </w:tcPr>
          <w:p w14:paraId="6966E80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46.8%</w:t>
            </w:r>
          </w:p>
        </w:tc>
        <w:tc>
          <w:tcPr>
            <w:tcW w:w="1374" w:type="dxa"/>
            <w:noWrap/>
            <w:hideMark/>
          </w:tcPr>
          <w:p w14:paraId="2BE08D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50.4%</w:t>
            </w:r>
          </w:p>
        </w:tc>
        <w:tc>
          <w:tcPr>
            <w:tcW w:w="1602" w:type="dxa"/>
            <w:noWrap/>
            <w:hideMark/>
          </w:tcPr>
          <w:p w14:paraId="609A33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$87,548</w:t>
            </w:r>
          </w:p>
        </w:tc>
        <w:tc>
          <w:tcPr>
            <w:tcW w:w="1264" w:type="dxa"/>
            <w:noWrap/>
            <w:hideMark/>
          </w:tcPr>
          <w:p w14:paraId="16B3654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B41A46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$7,752,984</w:t>
            </w:r>
          </w:p>
        </w:tc>
        <w:tc>
          <w:tcPr>
            <w:tcW w:w="1786" w:type="dxa"/>
            <w:noWrap/>
            <w:hideMark/>
          </w:tcPr>
          <w:p w14:paraId="204D833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$3,282,354</w:t>
            </w:r>
          </w:p>
        </w:tc>
        <w:tc>
          <w:tcPr>
            <w:tcW w:w="901" w:type="dxa"/>
            <w:noWrap/>
            <w:hideMark/>
          </w:tcPr>
          <w:p w14:paraId="58B000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38.1%</w:t>
            </w:r>
          </w:p>
        </w:tc>
        <w:tc>
          <w:tcPr>
            <w:tcW w:w="1374" w:type="dxa"/>
            <w:noWrap/>
            <w:hideMark/>
          </w:tcPr>
          <w:p w14:paraId="7309F3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42.3%</w:t>
            </w:r>
          </w:p>
        </w:tc>
        <w:tc>
          <w:tcPr>
            <w:tcW w:w="1602" w:type="dxa"/>
            <w:noWrap/>
            <w:hideMark/>
          </w:tcPr>
          <w:p w14:paraId="5FC5E2C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$201,928</w:t>
            </w:r>
          </w:p>
        </w:tc>
      </w:tr>
      <w:tr w:rsidR="008C6E34" w:rsidRPr="008C6E34" w14:paraId="482709C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5EEB77B"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0860</w:t>
            </w:r>
          </w:p>
        </w:tc>
        <w:tc>
          <w:tcPr>
            <w:tcW w:w="2880" w:type="dxa"/>
            <w:noWrap/>
            <w:hideMark/>
          </w:tcPr>
          <w:p w14:paraId="4201C98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Pathfinder</w:t>
            </w:r>
          </w:p>
        </w:tc>
        <w:tc>
          <w:tcPr>
            <w:tcW w:w="1148" w:type="dxa"/>
            <w:noWrap/>
            <w:hideMark/>
          </w:tcPr>
          <w:p w14:paraId="599CB30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B8C16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$6,802,165 </w:t>
            </w:r>
          </w:p>
        </w:tc>
        <w:tc>
          <w:tcPr>
            <w:tcW w:w="1786" w:type="dxa"/>
            <w:noWrap/>
            <w:hideMark/>
          </w:tcPr>
          <w:p w14:paraId="7841CD6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$4,079,757 </w:t>
            </w:r>
          </w:p>
        </w:tc>
        <w:tc>
          <w:tcPr>
            <w:tcW w:w="901" w:type="dxa"/>
            <w:noWrap/>
            <w:hideMark/>
          </w:tcPr>
          <w:p w14:paraId="0F7326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62.8%</w:t>
            </w:r>
          </w:p>
        </w:tc>
        <w:tc>
          <w:tcPr>
            <w:tcW w:w="1374" w:type="dxa"/>
            <w:noWrap/>
            <w:hideMark/>
          </w:tcPr>
          <w:p w14:paraId="4F9D48A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60.0%</w:t>
            </w:r>
          </w:p>
        </w:tc>
        <w:tc>
          <w:tcPr>
            <w:tcW w:w="1602" w:type="dxa"/>
            <w:noWrap/>
            <w:hideMark/>
          </w:tcPr>
          <w:p w14:paraId="5FF8EC8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B98052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4209EBB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$10,638,203</w:t>
            </w:r>
          </w:p>
        </w:tc>
        <w:tc>
          <w:tcPr>
            <w:tcW w:w="1786" w:type="dxa"/>
            <w:noWrap/>
            <w:hideMark/>
          </w:tcPr>
          <w:p w14:paraId="11A51A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$6,051,178</w:t>
            </w:r>
          </w:p>
        </w:tc>
        <w:tc>
          <w:tcPr>
            <w:tcW w:w="901" w:type="dxa"/>
            <w:noWrap/>
            <w:hideMark/>
          </w:tcPr>
          <w:p w14:paraId="05F6C23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w:t>
            </w:r>
          </w:p>
        </w:tc>
        <w:tc>
          <w:tcPr>
            <w:tcW w:w="1374" w:type="dxa"/>
            <w:noWrap/>
            <w:hideMark/>
          </w:tcPr>
          <w:p w14:paraId="6684D14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56.9%</w:t>
            </w:r>
          </w:p>
        </w:tc>
        <w:tc>
          <w:tcPr>
            <w:tcW w:w="1602" w:type="dxa"/>
            <w:noWrap/>
            <w:hideMark/>
          </w:tcPr>
          <w:p w14:paraId="105C83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CE0FE8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1CADFB9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0871</w:t>
            </w:r>
          </w:p>
        </w:tc>
        <w:tc>
          <w:tcPr>
            <w:tcW w:w="2880" w:type="dxa"/>
            <w:noWrap/>
            <w:hideMark/>
          </w:tcPr>
          <w:p w14:paraId="5999BED3"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Shawsheen Valley</w:t>
            </w:r>
          </w:p>
        </w:tc>
        <w:tc>
          <w:tcPr>
            <w:tcW w:w="1148" w:type="dxa"/>
            <w:noWrap/>
            <w:hideMark/>
          </w:tcPr>
          <w:p w14:paraId="7A3A7ED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3121D8C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$15,354,177 </w:t>
            </w:r>
          </w:p>
        </w:tc>
        <w:tc>
          <w:tcPr>
            <w:tcW w:w="1786" w:type="dxa"/>
            <w:noWrap/>
            <w:hideMark/>
          </w:tcPr>
          <w:p w14:paraId="7A86F55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$3,739,284 </w:t>
            </w:r>
          </w:p>
        </w:tc>
        <w:tc>
          <w:tcPr>
            <w:tcW w:w="901" w:type="dxa"/>
            <w:noWrap/>
            <w:hideMark/>
          </w:tcPr>
          <w:p w14:paraId="267E94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35.2%</w:t>
            </w:r>
          </w:p>
        </w:tc>
        <w:tc>
          <w:tcPr>
            <w:tcW w:w="1374" w:type="dxa"/>
            <w:noWrap/>
            <w:hideMark/>
          </w:tcPr>
          <w:p w14:paraId="6124E47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w:t>
            </w:r>
          </w:p>
        </w:tc>
        <w:tc>
          <w:tcPr>
            <w:tcW w:w="1602" w:type="dxa"/>
            <w:noWrap/>
            <w:hideMark/>
          </w:tcPr>
          <w:p w14:paraId="5F5CF62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0C5B2E7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112B3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$21,756,422</w:t>
            </w:r>
          </w:p>
        </w:tc>
        <w:tc>
          <w:tcPr>
            <w:tcW w:w="1786" w:type="dxa"/>
            <w:noWrap/>
            <w:hideMark/>
          </w:tcPr>
          <w:p w14:paraId="65838D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$6,470,511</w:t>
            </w:r>
          </w:p>
        </w:tc>
        <w:tc>
          <w:tcPr>
            <w:tcW w:w="901" w:type="dxa"/>
            <w:noWrap/>
            <w:hideMark/>
          </w:tcPr>
          <w:p w14:paraId="02DA195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20.4%</w:t>
            </w:r>
          </w:p>
        </w:tc>
        <w:tc>
          <w:tcPr>
            <w:tcW w:w="1374" w:type="dxa"/>
            <w:noWrap/>
            <w:hideMark/>
          </w:tcPr>
          <w:p w14:paraId="0409E9A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29.7%</w:t>
            </w:r>
          </w:p>
        </w:tc>
        <w:tc>
          <w:tcPr>
            <w:tcW w:w="1602" w:type="dxa"/>
            <w:noWrap/>
            <w:hideMark/>
          </w:tcPr>
          <w:p w14:paraId="0B55927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$1,855,636</w:t>
            </w:r>
          </w:p>
        </w:tc>
      </w:tr>
      <w:tr w:rsidR="008C6E34" w:rsidRPr="008C6E34" w14:paraId="0EB9214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E910558"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0872</w:t>
            </w:r>
          </w:p>
        </w:tc>
        <w:tc>
          <w:tcPr>
            <w:tcW w:w="2880" w:type="dxa"/>
            <w:noWrap/>
            <w:hideMark/>
          </w:tcPr>
          <w:p w14:paraId="6C86C96C"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Southeastern</w:t>
            </w:r>
          </w:p>
        </w:tc>
        <w:tc>
          <w:tcPr>
            <w:tcW w:w="1148" w:type="dxa"/>
            <w:noWrap/>
            <w:hideMark/>
          </w:tcPr>
          <w:p w14:paraId="09EA26E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6E235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$16,539,295 </w:t>
            </w:r>
          </w:p>
        </w:tc>
        <w:tc>
          <w:tcPr>
            <w:tcW w:w="1786" w:type="dxa"/>
            <w:noWrap/>
            <w:hideMark/>
          </w:tcPr>
          <w:p w14:paraId="5F3B4A5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$10,588,579 </w:t>
            </w:r>
          </w:p>
        </w:tc>
        <w:tc>
          <w:tcPr>
            <w:tcW w:w="901" w:type="dxa"/>
            <w:noWrap/>
            <w:hideMark/>
          </w:tcPr>
          <w:p w14:paraId="009FE10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60.1%</w:t>
            </w:r>
          </w:p>
        </w:tc>
        <w:tc>
          <w:tcPr>
            <w:tcW w:w="1374" w:type="dxa"/>
            <w:noWrap/>
            <w:hideMark/>
          </w:tcPr>
          <w:p w14:paraId="1088487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64.0%</w:t>
            </w:r>
          </w:p>
        </w:tc>
        <w:tc>
          <w:tcPr>
            <w:tcW w:w="1602" w:type="dxa"/>
            <w:noWrap/>
            <w:hideMark/>
          </w:tcPr>
          <w:p w14:paraId="5751F52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7E367CF1"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0B6432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$26,705,365</w:t>
            </w:r>
          </w:p>
        </w:tc>
        <w:tc>
          <w:tcPr>
            <w:tcW w:w="1786" w:type="dxa"/>
            <w:noWrap/>
            <w:hideMark/>
          </w:tcPr>
          <w:p w14:paraId="1DF8B38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$16,871,155</w:t>
            </w:r>
          </w:p>
        </w:tc>
        <w:tc>
          <w:tcPr>
            <w:tcW w:w="901" w:type="dxa"/>
            <w:noWrap/>
            <w:hideMark/>
          </w:tcPr>
          <w:p w14:paraId="690CCB2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61.2%</w:t>
            </w:r>
          </w:p>
        </w:tc>
        <w:tc>
          <w:tcPr>
            <w:tcW w:w="1374" w:type="dxa"/>
            <w:noWrap/>
            <w:hideMark/>
          </w:tcPr>
          <w:p w14:paraId="2AD9F04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63.2%</w:t>
            </w:r>
          </w:p>
        </w:tc>
        <w:tc>
          <w:tcPr>
            <w:tcW w:w="1602" w:type="dxa"/>
            <w:noWrap/>
            <w:hideMark/>
          </w:tcPr>
          <w:p w14:paraId="05E3C99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841303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F3EC44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0873</w:t>
            </w:r>
          </w:p>
        </w:tc>
        <w:tc>
          <w:tcPr>
            <w:tcW w:w="2880" w:type="dxa"/>
            <w:noWrap/>
            <w:hideMark/>
          </w:tcPr>
          <w:p w14:paraId="55FD0B65"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 Shore</w:t>
            </w:r>
          </w:p>
        </w:tc>
        <w:tc>
          <w:tcPr>
            <w:tcW w:w="1148" w:type="dxa"/>
            <w:noWrap/>
            <w:hideMark/>
          </w:tcPr>
          <w:p w14:paraId="67AB0AA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27C507F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$6,624,462 </w:t>
            </w:r>
          </w:p>
        </w:tc>
        <w:tc>
          <w:tcPr>
            <w:tcW w:w="1786" w:type="dxa"/>
            <w:noWrap/>
            <w:hideMark/>
          </w:tcPr>
          <w:p w14:paraId="4CCF009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$3,132,493 </w:t>
            </w:r>
          </w:p>
        </w:tc>
        <w:tc>
          <w:tcPr>
            <w:tcW w:w="901" w:type="dxa"/>
            <w:noWrap/>
            <w:hideMark/>
          </w:tcPr>
          <w:p w14:paraId="3C55AE3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42.5%</w:t>
            </w:r>
          </w:p>
        </w:tc>
        <w:tc>
          <w:tcPr>
            <w:tcW w:w="1374" w:type="dxa"/>
            <w:noWrap/>
            <w:hideMark/>
          </w:tcPr>
          <w:p w14:paraId="3E09514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47.3%</w:t>
            </w:r>
          </w:p>
        </w:tc>
        <w:tc>
          <w:tcPr>
            <w:tcW w:w="1602" w:type="dxa"/>
            <w:noWrap/>
            <w:hideMark/>
          </w:tcPr>
          <w:p w14:paraId="067F7D0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63EBB7B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4F43A0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$10,278,115</w:t>
            </w:r>
          </w:p>
        </w:tc>
        <w:tc>
          <w:tcPr>
            <w:tcW w:w="1786" w:type="dxa"/>
            <w:noWrap/>
            <w:hideMark/>
          </w:tcPr>
          <w:p w14:paraId="0863081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$4,442,848</w:t>
            </w:r>
          </w:p>
        </w:tc>
        <w:tc>
          <w:tcPr>
            <w:tcW w:w="901" w:type="dxa"/>
            <w:noWrap/>
            <w:hideMark/>
          </w:tcPr>
          <w:p w14:paraId="5A3B3E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41.7%</w:t>
            </w:r>
          </w:p>
        </w:tc>
        <w:tc>
          <w:tcPr>
            <w:tcW w:w="1374" w:type="dxa"/>
            <w:noWrap/>
            <w:hideMark/>
          </w:tcPr>
          <w:p w14:paraId="2DCAC8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43.2%</w:t>
            </w:r>
          </w:p>
        </w:tc>
        <w:tc>
          <w:tcPr>
            <w:tcW w:w="1602" w:type="dxa"/>
            <w:noWrap/>
            <w:hideMark/>
          </w:tcPr>
          <w:p w14:paraId="57887018"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789B6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7E2C215"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0876</w:t>
            </w:r>
          </w:p>
        </w:tc>
        <w:tc>
          <w:tcPr>
            <w:tcW w:w="2880" w:type="dxa"/>
            <w:noWrap/>
            <w:hideMark/>
          </w:tcPr>
          <w:p w14:paraId="013C8A42"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Southern Worcester</w:t>
            </w:r>
          </w:p>
        </w:tc>
        <w:tc>
          <w:tcPr>
            <w:tcW w:w="1148" w:type="dxa"/>
            <w:noWrap/>
            <w:hideMark/>
          </w:tcPr>
          <w:p w14:paraId="0A90A54D"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6A222B9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$12,372,691 </w:t>
            </w:r>
          </w:p>
        </w:tc>
        <w:tc>
          <w:tcPr>
            <w:tcW w:w="1786" w:type="dxa"/>
            <w:noWrap/>
            <w:hideMark/>
          </w:tcPr>
          <w:p w14:paraId="3BEF93D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$7,282,028 </w:t>
            </w:r>
          </w:p>
        </w:tc>
        <w:tc>
          <w:tcPr>
            <w:tcW w:w="901" w:type="dxa"/>
            <w:noWrap/>
            <w:hideMark/>
          </w:tcPr>
          <w:p w14:paraId="7108706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55.6%</w:t>
            </w:r>
          </w:p>
        </w:tc>
        <w:tc>
          <w:tcPr>
            <w:tcW w:w="1374" w:type="dxa"/>
            <w:noWrap/>
            <w:hideMark/>
          </w:tcPr>
          <w:p w14:paraId="6BCE22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58.9%</w:t>
            </w:r>
          </w:p>
        </w:tc>
        <w:tc>
          <w:tcPr>
            <w:tcW w:w="1602" w:type="dxa"/>
            <w:noWrap/>
            <w:hideMark/>
          </w:tcPr>
          <w:p w14:paraId="5E0B69D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$11,817</w:t>
            </w:r>
          </w:p>
        </w:tc>
        <w:tc>
          <w:tcPr>
            <w:tcW w:w="1264" w:type="dxa"/>
            <w:noWrap/>
            <w:hideMark/>
          </w:tcPr>
          <w:p w14:paraId="76E7560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3DB77D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$19,584,276</w:t>
            </w:r>
          </w:p>
        </w:tc>
        <w:tc>
          <w:tcPr>
            <w:tcW w:w="1786" w:type="dxa"/>
            <w:noWrap/>
            <w:hideMark/>
          </w:tcPr>
          <w:p w14:paraId="35909F1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$11,085,613</w:t>
            </w:r>
          </w:p>
        </w:tc>
        <w:tc>
          <w:tcPr>
            <w:tcW w:w="901" w:type="dxa"/>
            <w:noWrap/>
            <w:hideMark/>
          </w:tcPr>
          <w:p w14:paraId="0834DD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55.3%</w:t>
            </w:r>
          </w:p>
        </w:tc>
        <w:tc>
          <w:tcPr>
            <w:tcW w:w="1374" w:type="dxa"/>
            <w:noWrap/>
            <w:hideMark/>
          </w:tcPr>
          <w:p w14:paraId="6F26FE8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56.6%</w:t>
            </w:r>
          </w:p>
        </w:tc>
        <w:tc>
          <w:tcPr>
            <w:tcW w:w="1602" w:type="dxa"/>
            <w:noWrap/>
            <w:hideMark/>
          </w:tcPr>
          <w:p w14:paraId="45FFF5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28E413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91F921A"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0878</w:t>
            </w:r>
          </w:p>
        </w:tc>
        <w:tc>
          <w:tcPr>
            <w:tcW w:w="2880" w:type="dxa"/>
            <w:noWrap/>
            <w:hideMark/>
          </w:tcPr>
          <w:p w14:paraId="5B34C589"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Tri County</w:t>
            </w:r>
          </w:p>
        </w:tc>
        <w:tc>
          <w:tcPr>
            <w:tcW w:w="1148" w:type="dxa"/>
            <w:noWrap/>
            <w:hideMark/>
          </w:tcPr>
          <w:p w14:paraId="128B0DA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B97CDA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$10,212,901 </w:t>
            </w:r>
          </w:p>
        </w:tc>
        <w:tc>
          <w:tcPr>
            <w:tcW w:w="1786" w:type="dxa"/>
            <w:noWrap/>
            <w:hideMark/>
          </w:tcPr>
          <w:p w14:paraId="09B987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$4,288,313 </w:t>
            </w:r>
          </w:p>
        </w:tc>
        <w:tc>
          <w:tcPr>
            <w:tcW w:w="901" w:type="dxa"/>
            <w:noWrap/>
            <w:hideMark/>
          </w:tcPr>
          <w:p w14:paraId="2D9EF1F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38.0%</w:t>
            </w:r>
          </w:p>
        </w:tc>
        <w:tc>
          <w:tcPr>
            <w:tcW w:w="1374" w:type="dxa"/>
            <w:noWrap/>
            <w:hideMark/>
          </w:tcPr>
          <w:p w14:paraId="45B69802"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42.0%</w:t>
            </w:r>
          </w:p>
        </w:tc>
        <w:tc>
          <w:tcPr>
            <w:tcW w:w="1602" w:type="dxa"/>
            <w:noWrap/>
            <w:hideMark/>
          </w:tcPr>
          <w:p w14:paraId="08F24C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26B11A5"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7090C02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$17,150,335</w:t>
            </w:r>
          </w:p>
        </w:tc>
        <w:tc>
          <w:tcPr>
            <w:tcW w:w="1786" w:type="dxa"/>
            <w:noWrap/>
            <w:hideMark/>
          </w:tcPr>
          <w:p w14:paraId="7C298B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$5,716,838</w:t>
            </w:r>
          </w:p>
        </w:tc>
        <w:tc>
          <w:tcPr>
            <w:tcW w:w="901" w:type="dxa"/>
            <w:noWrap/>
            <w:hideMark/>
          </w:tcPr>
          <w:p w14:paraId="60D442E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31.6%</w:t>
            </w:r>
          </w:p>
        </w:tc>
        <w:tc>
          <w:tcPr>
            <w:tcW w:w="1374" w:type="dxa"/>
            <w:noWrap/>
            <w:hideMark/>
          </w:tcPr>
          <w:p w14:paraId="4A187DB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33.3%</w:t>
            </w:r>
          </w:p>
        </w:tc>
        <w:tc>
          <w:tcPr>
            <w:tcW w:w="1602" w:type="dxa"/>
            <w:noWrap/>
            <w:hideMark/>
          </w:tcPr>
          <w:p w14:paraId="289B22A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$244,372</w:t>
            </w:r>
          </w:p>
        </w:tc>
      </w:tr>
      <w:tr w:rsidR="008C6E34" w:rsidRPr="008C6E34" w14:paraId="09422F4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0668597C"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lastRenderedPageBreak/>
              <w:t>0879</w:t>
            </w:r>
          </w:p>
        </w:tc>
        <w:tc>
          <w:tcPr>
            <w:tcW w:w="2880" w:type="dxa"/>
            <w:noWrap/>
            <w:hideMark/>
          </w:tcPr>
          <w:p w14:paraId="6C3DAB9B"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Upper Cape Cod</w:t>
            </w:r>
          </w:p>
        </w:tc>
        <w:tc>
          <w:tcPr>
            <w:tcW w:w="1148" w:type="dxa"/>
            <w:noWrap/>
            <w:hideMark/>
          </w:tcPr>
          <w:p w14:paraId="14ED570B"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7030ECA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$7,871,760 </w:t>
            </w:r>
          </w:p>
        </w:tc>
        <w:tc>
          <w:tcPr>
            <w:tcW w:w="1786" w:type="dxa"/>
            <w:noWrap/>
            <w:hideMark/>
          </w:tcPr>
          <w:p w14:paraId="1FF4A51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$2,762,062 </w:t>
            </w:r>
          </w:p>
        </w:tc>
        <w:tc>
          <w:tcPr>
            <w:tcW w:w="901" w:type="dxa"/>
            <w:noWrap/>
            <w:hideMark/>
          </w:tcPr>
          <w:p w14:paraId="076DD06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29.4%</w:t>
            </w:r>
          </w:p>
        </w:tc>
        <w:tc>
          <w:tcPr>
            <w:tcW w:w="1374" w:type="dxa"/>
            <w:noWrap/>
            <w:hideMark/>
          </w:tcPr>
          <w:p w14:paraId="1AE0B49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35.1%</w:t>
            </w:r>
          </w:p>
        </w:tc>
        <w:tc>
          <w:tcPr>
            <w:tcW w:w="1602" w:type="dxa"/>
            <w:noWrap/>
            <w:hideMark/>
          </w:tcPr>
          <w:p w14:paraId="397DE9E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$1,065,715</w:t>
            </w:r>
          </w:p>
        </w:tc>
        <w:tc>
          <w:tcPr>
            <w:tcW w:w="1264" w:type="dxa"/>
            <w:noWrap/>
            <w:hideMark/>
          </w:tcPr>
          <w:p w14:paraId="2E829729"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62EDD6B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$12,375,568</w:t>
            </w:r>
          </w:p>
        </w:tc>
        <w:tc>
          <w:tcPr>
            <w:tcW w:w="1786" w:type="dxa"/>
            <w:noWrap/>
            <w:hideMark/>
          </w:tcPr>
          <w:p w14:paraId="5953D824"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$3,262,258</w:t>
            </w:r>
          </w:p>
        </w:tc>
        <w:tc>
          <w:tcPr>
            <w:tcW w:w="901" w:type="dxa"/>
            <w:noWrap/>
            <w:hideMark/>
          </w:tcPr>
          <w:p w14:paraId="0097C1D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25.5%</w:t>
            </w:r>
          </w:p>
        </w:tc>
        <w:tc>
          <w:tcPr>
            <w:tcW w:w="1374" w:type="dxa"/>
            <w:noWrap/>
            <w:hideMark/>
          </w:tcPr>
          <w:p w14:paraId="58F4D42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26.4%</w:t>
            </w:r>
          </w:p>
        </w:tc>
        <w:tc>
          <w:tcPr>
            <w:tcW w:w="1602" w:type="dxa"/>
            <w:noWrap/>
            <w:hideMark/>
          </w:tcPr>
          <w:p w14:paraId="437C0E6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$100,115</w:t>
            </w:r>
          </w:p>
        </w:tc>
      </w:tr>
      <w:tr w:rsidR="008C6E34" w:rsidRPr="008C6E34" w14:paraId="7F75D19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B1BD1A4"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0885</w:t>
            </w:r>
          </w:p>
        </w:tc>
        <w:tc>
          <w:tcPr>
            <w:tcW w:w="2880" w:type="dxa"/>
            <w:noWrap/>
            <w:hideMark/>
          </w:tcPr>
          <w:p w14:paraId="0546522E"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Whittier</w:t>
            </w:r>
          </w:p>
        </w:tc>
        <w:tc>
          <w:tcPr>
            <w:tcW w:w="1148" w:type="dxa"/>
            <w:noWrap/>
            <w:hideMark/>
          </w:tcPr>
          <w:p w14:paraId="75CB5AC4"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56609E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$11,990,774 </w:t>
            </w:r>
          </w:p>
        </w:tc>
        <w:tc>
          <w:tcPr>
            <w:tcW w:w="1786" w:type="dxa"/>
            <w:noWrap/>
            <w:hideMark/>
          </w:tcPr>
          <w:p w14:paraId="0697217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$5,032,319 </w:t>
            </w:r>
          </w:p>
        </w:tc>
        <w:tc>
          <w:tcPr>
            <w:tcW w:w="901" w:type="dxa"/>
            <w:noWrap/>
            <w:hideMark/>
          </w:tcPr>
          <w:p w14:paraId="6EEB825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44.5%</w:t>
            </w:r>
          </w:p>
        </w:tc>
        <w:tc>
          <w:tcPr>
            <w:tcW w:w="1374" w:type="dxa"/>
            <w:noWrap/>
            <w:hideMark/>
          </w:tcPr>
          <w:p w14:paraId="5BF3E83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42.0%</w:t>
            </w:r>
          </w:p>
        </w:tc>
        <w:tc>
          <w:tcPr>
            <w:tcW w:w="1602" w:type="dxa"/>
            <w:noWrap/>
            <w:hideMark/>
          </w:tcPr>
          <w:p w14:paraId="37218B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$16,494</w:t>
            </w:r>
          </w:p>
        </w:tc>
        <w:tc>
          <w:tcPr>
            <w:tcW w:w="1264" w:type="dxa"/>
            <w:noWrap/>
            <w:hideMark/>
          </w:tcPr>
          <w:p w14:paraId="1D0406E2"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E88D8C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$21,419,843</w:t>
            </w:r>
          </w:p>
        </w:tc>
        <w:tc>
          <w:tcPr>
            <w:tcW w:w="1786" w:type="dxa"/>
            <w:noWrap/>
            <w:hideMark/>
          </w:tcPr>
          <w:p w14:paraId="22F036F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$10,204,859</w:t>
            </w:r>
          </w:p>
        </w:tc>
        <w:tc>
          <w:tcPr>
            <w:tcW w:w="901" w:type="dxa"/>
            <w:noWrap/>
            <w:hideMark/>
          </w:tcPr>
          <w:p w14:paraId="747A375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46.5%</w:t>
            </w:r>
          </w:p>
        </w:tc>
        <w:tc>
          <w:tcPr>
            <w:tcW w:w="1374" w:type="dxa"/>
            <w:noWrap/>
            <w:hideMark/>
          </w:tcPr>
          <w:p w14:paraId="0FA9DDA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47.6%</w:t>
            </w:r>
          </w:p>
        </w:tc>
        <w:tc>
          <w:tcPr>
            <w:tcW w:w="1602" w:type="dxa"/>
            <w:noWrap/>
            <w:hideMark/>
          </w:tcPr>
          <w:p w14:paraId="02A7EE8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0AADC8E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65F63199"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0910</w:t>
            </w:r>
          </w:p>
        </w:tc>
        <w:tc>
          <w:tcPr>
            <w:tcW w:w="2880" w:type="dxa"/>
            <w:noWrap/>
            <w:hideMark/>
          </w:tcPr>
          <w:p w14:paraId="30D99DB7"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Bristol County</w:t>
            </w:r>
          </w:p>
        </w:tc>
        <w:tc>
          <w:tcPr>
            <w:tcW w:w="1148" w:type="dxa"/>
            <w:noWrap/>
            <w:hideMark/>
          </w:tcPr>
          <w:p w14:paraId="278434DF"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15ED1C1E"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$4,678,752 </w:t>
            </w:r>
          </w:p>
        </w:tc>
        <w:tc>
          <w:tcPr>
            <w:tcW w:w="1786" w:type="dxa"/>
            <w:noWrap/>
            <w:hideMark/>
          </w:tcPr>
          <w:p w14:paraId="445C5ADA"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$2,513,280 </w:t>
            </w:r>
          </w:p>
        </w:tc>
        <w:tc>
          <w:tcPr>
            <w:tcW w:w="901" w:type="dxa"/>
            <w:noWrap/>
            <w:hideMark/>
          </w:tcPr>
          <w:p w14:paraId="261640A1"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51.3%</w:t>
            </w:r>
          </w:p>
        </w:tc>
        <w:tc>
          <w:tcPr>
            <w:tcW w:w="1374" w:type="dxa"/>
            <w:noWrap/>
            <w:hideMark/>
          </w:tcPr>
          <w:p w14:paraId="3EBA156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53.7%</w:t>
            </w:r>
          </w:p>
        </w:tc>
        <w:tc>
          <w:tcPr>
            <w:tcW w:w="1602" w:type="dxa"/>
            <w:noWrap/>
            <w:hideMark/>
          </w:tcPr>
          <w:p w14:paraId="03D359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5E2E70BA"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36A78B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$6,469,201</w:t>
            </w:r>
          </w:p>
        </w:tc>
        <w:tc>
          <w:tcPr>
            <w:tcW w:w="1786" w:type="dxa"/>
            <w:noWrap/>
            <w:hideMark/>
          </w:tcPr>
          <w:p w14:paraId="5496F85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$3,238,896</w:t>
            </w:r>
          </w:p>
        </w:tc>
        <w:tc>
          <w:tcPr>
            <w:tcW w:w="901" w:type="dxa"/>
            <w:noWrap/>
            <w:hideMark/>
          </w:tcPr>
          <w:p w14:paraId="3EC2CBE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48.3%</w:t>
            </w:r>
          </w:p>
        </w:tc>
        <w:tc>
          <w:tcPr>
            <w:tcW w:w="1374" w:type="dxa"/>
            <w:noWrap/>
            <w:hideMark/>
          </w:tcPr>
          <w:p w14:paraId="5214EE4D"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50.1%</w:t>
            </w:r>
          </w:p>
        </w:tc>
        <w:tc>
          <w:tcPr>
            <w:tcW w:w="1602" w:type="dxa"/>
            <w:noWrap/>
            <w:hideMark/>
          </w:tcPr>
          <w:p w14:paraId="0806DF3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22E561D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4801E950" w14:textId="77777777" w:rsidR="008C6E34" w:rsidRPr="008C6E34" w:rsidRDefault="008C6E34" w:rsidP="008C6E34">
            <w:pPr>
              <w:rPr>
                <w:rFonts w:ascii="Calibri" w:hAnsi="Calibri" w:cs="Calibri"/>
                <w:color w:val="000000"/>
                <w:sz w:val="22"/>
                <w:szCs w:val="22"/>
              </w:rPr>
            </w:pPr>
            <w:r w:rsidRPr="008C6E34">
              <w:rPr>
                <w:rFonts w:ascii="Calibri" w:hAnsi="Calibri" w:cs="Calibri"/>
                <w:color w:val="000000"/>
                <w:sz w:val="22"/>
                <w:szCs w:val="22"/>
              </w:rPr>
              <w:t>0915</w:t>
            </w:r>
          </w:p>
        </w:tc>
        <w:tc>
          <w:tcPr>
            <w:tcW w:w="2880" w:type="dxa"/>
            <w:noWrap/>
            <w:hideMark/>
          </w:tcPr>
          <w:p w14:paraId="0C608B44" w14:textId="77777777" w:rsidR="008C6E34" w:rsidRPr="008C6E34"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Norfolk County</w:t>
            </w:r>
          </w:p>
        </w:tc>
        <w:tc>
          <w:tcPr>
            <w:tcW w:w="1148" w:type="dxa"/>
            <w:noWrap/>
            <w:hideMark/>
          </w:tcPr>
          <w:p w14:paraId="6ECB641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786" w:type="dxa"/>
            <w:noWrap/>
            <w:hideMark/>
          </w:tcPr>
          <w:p w14:paraId="0BCB2BD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$3,153,664 </w:t>
            </w:r>
          </w:p>
        </w:tc>
        <w:tc>
          <w:tcPr>
            <w:tcW w:w="1786" w:type="dxa"/>
            <w:noWrap/>
            <w:hideMark/>
          </w:tcPr>
          <w:p w14:paraId="0C5D58D5"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 xml:space="preserve">$777,426 </w:t>
            </w:r>
          </w:p>
        </w:tc>
        <w:tc>
          <w:tcPr>
            <w:tcW w:w="901" w:type="dxa"/>
            <w:noWrap/>
            <w:hideMark/>
          </w:tcPr>
          <w:p w14:paraId="74259DAC"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28.4%</w:t>
            </w:r>
          </w:p>
        </w:tc>
        <w:tc>
          <w:tcPr>
            <w:tcW w:w="1374" w:type="dxa"/>
            <w:noWrap/>
            <w:hideMark/>
          </w:tcPr>
          <w:p w14:paraId="621EB57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24.7%</w:t>
            </w:r>
          </w:p>
        </w:tc>
        <w:tc>
          <w:tcPr>
            <w:tcW w:w="1602" w:type="dxa"/>
            <w:noWrap/>
            <w:hideMark/>
          </w:tcPr>
          <w:p w14:paraId="4F2451F3"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c>
          <w:tcPr>
            <w:tcW w:w="1264" w:type="dxa"/>
            <w:noWrap/>
            <w:hideMark/>
          </w:tcPr>
          <w:p w14:paraId="3F68A833" w14:textId="77777777" w:rsidR="008C6E34" w:rsidRPr="008C6E34"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op</w:t>
            </w:r>
          </w:p>
        </w:tc>
        <w:tc>
          <w:tcPr>
            <w:tcW w:w="1909" w:type="dxa"/>
            <w:noWrap/>
            <w:hideMark/>
          </w:tcPr>
          <w:p w14:paraId="2D098CF6"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$4,971,876</w:t>
            </w:r>
          </w:p>
        </w:tc>
        <w:tc>
          <w:tcPr>
            <w:tcW w:w="1786" w:type="dxa"/>
            <w:noWrap/>
            <w:hideMark/>
          </w:tcPr>
          <w:p w14:paraId="62718A70"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$1,291,559</w:t>
            </w:r>
          </w:p>
        </w:tc>
        <w:tc>
          <w:tcPr>
            <w:tcW w:w="901" w:type="dxa"/>
            <w:noWrap/>
            <w:hideMark/>
          </w:tcPr>
          <w:p w14:paraId="38D8D90F"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24.6%</w:t>
            </w:r>
          </w:p>
        </w:tc>
        <w:tc>
          <w:tcPr>
            <w:tcW w:w="1374" w:type="dxa"/>
            <w:noWrap/>
            <w:hideMark/>
          </w:tcPr>
          <w:p w14:paraId="720BDD47"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26.0%</w:t>
            </w:r>
          </w:p>
        </w:tc>
        <w:tc>
          <w:tcPr>
            <w:tcW w:w="1602" w:type="dxa"/>
            <w:noWrap/>
            <w:hideMark/>
          </w:tcPr>
          <w:p w14:paraId="4C34DBE9" w14:textId="77777777" w:rsidR="008C6E34" w:rsidRPr="008C6E34"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C6E34">
              <w:rPr>
                <w:rFonts w:ascii="Calibri" w:hAnsi="Calibri" w:cs="Calibri"/>
                <w:color w:val="000000"/>
                <w:sz w:val="22"/>
                <w:szCs w:val="22"/>
              </w:rPr>
              <w:t>$0</w:t>
            </w:r>
          </w:p>
        </w:tc>
      </w:tr>
      <w:tr w:rsidR="008C6E34" w:rsidRPr="008C6E34" w14:paraId="6035206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747" w:type="dxa"/>
            <w:noWrap/>
            <w:hideMark/>
          </w:tcPr>
          <w:p w14:paraId="54E874E3" w14:textId="77777777" w:rsidR="008C6E34" w:rsidRPr="00EE30BC" w:rsidRDefault="008C6E34" w:rsidP="008C6E34">
            <w:pPr>
              <w:rPr>
                <w:rFonts w:ascii="Calibri" w:hAnsi="Calibri" w:cs="Calibri"/>
                <w:b/>
                <w:color w:val="000000"/>
                <w:sz w:val="22"/>
                <w:szCs w:val="22"/>
              </w:rPr>
            </w:pPr>
            <w:r w:rsidRPr="00EE30BC">
              <w:rPr>
                <w:rFonts w:ascii="Calibri" w:hAnsi="Calibri" w:cs="Calibri"/>
                <w:b/>
                <w:color w:val="000000"/>
                <w:sz w:val="22"/>
                <w:szCs w:val="22"/>
              </w:rPr>
              <w:t>0999</w:t>
            </w:r>
          </w:p>
        </w:tc>
        <w:tc>
          <w:tcPr>
            <w:tcW w:w="2880" w:type="dxa"/>
            <w:noWrap/>
            <w:hideMark/>
          </w:tcPr>
          <w:p w14:paraId="74D9103D" w14:textId="77777777" w:rsidR="008C6E34" w:rsidRPr="00EE30BC" w:rsidRDefault="008C6E34" w:rsidP="00EE30BC">
            <w:pPr>
              <w:jc w:val="lef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State total</w:t>
            </w:r>
          </w:p>
        </w:tc>
        <w:tc>
          <w:tcPr>
            <w:tcW w:w="1148" w:type="dxa"/>
            <w:noWrap/>
            <w:hideMark/>
          </w:tcPr>
          <w:p w14:paraId="4650E3F4" w14:textId="77777777" w:rsidR="008C6E34" w:rsidRPr="00EE30BC" w:rsidRDefault="008C6E34" w:rsidP="008C6E34">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p>
        </w:tc>
        <w:tc>
          <w:tcPr>
            <w:tcW w:w="1786" w:type="dxa"/>
            <w:noWrap/>
            <w:hideMark/>
          </w:tcPr>
          <w:p w14:paraId="2845E1C8"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 xml:space="preserve">$8,014,672,861 </w:t>
            </w:r>
          </w:p>
        </w:tc>
        <w:tc>
          <w:tcPr>
            <w:tcW w:w="1786" w:type="dxa"/>
            <w:noWrap/>
            <w:hideMark/>
          </w:tcPr>
          <w:p w14:paraId="1BF37CD7"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 xml:space="preserve">$3,505,192,039 </w:t>
            </w:r>
          </w:p>
        </w:tc>
        <w:tc>
          <w:tcPr>
            <w:tcW w:w="901" w:type="dxa"/>
            <w:noWrap/>
            <w:hideMark/>
          </w:tcPr>
          <w:p w14:paraId="67090D02"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41.0%</w:t>
            </w:r>
          </w:p>
        </w:tc>
        <w:tc>
          <w:tcPr>
            <w:tcW w:w="1374" w:type="dxa"/>
            <w:noWrap/>
            <w:hideMark/>
          </w:tcPr>
          <w:p w14:paraId="6144FBD0"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43.7%</w:t>
            </w:r>
          </w:p>
        </w:tc>
        <w:tc>
          <w:tcPr>
            <w:tcW w:w="1602" w:type="dxa"/>
            <w:noWrap/>
            <w:hideMark/>
          </w:tcPr>
          <w:p w14:paraId="2E7D3E98"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$269,159,644</w:t>
            </w:r>
          </w:p>
        </w:tc>
        <w:tc>
          <w:tcPr>
            <w:tcW w:w="1264" w:type="dxa"/>
            <w:noWrap/>
            <w:hideMark/>
          </w:tcPr>
          <w:p w14:paraId="15D71381"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p>
        </w:tc>
        <w:tc>
          <w:tcPr>
            <w:tcW w:w="1909" w:type="dxa"/>
            <w:noWrap/>
            <w:hideMark/>
          </w:tcPr>
          <w:p w14:paraId="7713FDDF"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$11,359,048,512</w:t>
            </w:r>
          </w:p>
        </w:tc>
        <w:tc>
          <w:tcPr>
            <w:tcW w:w="1786" w:type="dxa"/>
            <w:noWrap/>
            <w:hideMark/>
          </w:tcPr>
          <w:p w14:paraId="54FF5530"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$5,175,694,094</w:t>
            </w:r>
          </w:p>
        </w:tc>
        <w:tc>
          <w:tcPr>
            <w:tcW w:w="901" w:type="dxa"/>
            <w:noWrap/>
            <w:hideMark/>
          </w:tcPr>
          <w:p w14:paraId="6273F1F8"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41.0%</w:t>
            </w:r>
          </w:p>
        </w:tc>
        <w:tc>
          <w:tcPr>
            <w:tcW w:w="1374" w:type="dxa"/>
            <w:noWrap/>
            <w:hideMark/>
          </w:tcPr>
          <w:p w14:paraId="1516A7A4"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45.6%</w:t>
            </w:r>
          </w:p>
        </w:tc>
        <w:tc>
          <w:tcPr>
            <w:tcW w:w="1602" w:type="dxa"/>
            <w:noWrap/>
            <w:hideMark/>
          </w:tcPr>
          <w:p w14:paraId="2129EB50" w14:textId="77777777" w:rsidR="008C6E34" w:rsidRPr="00EE30BC" w:rsidRDefault="008C6E34" w:rsidP="008C6E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EE30BC">
              <w:rPr>
                <w:rFonts w:ascii="Calibri" w:hAnsi="Calibri" w:cs="Calibri"/>
                <w:b/>
                <w:color w:val="000000"/>
                <w:sz w:val="22"/>
                <w:szCs w:val="22"/>
              </w:rPr>
              <w:t>$330,252,955</w:t>
            </w:r>
          </w:p>
        </w:tc>
      </w:tr>
    </w:tbl>
    <w:p w14:paraId="7E4B62DB" w14:textId="77777777" w:rsidR="002C37D0" w:rsidRDefault="002C37D0" w:rsidP="002C37D0"/>
    <w:p w14:paraId="0ECAF1EB" w14:textId="77777777" w:rsidR="00D37043" w:rsidRDefault="00D37043" w:rsidP="00BD4241"/>
    <w:p w14:paraId="5EAA4B1B" w14:textId="77777777" w:rsidR="00D37043" w:rsidRDefault="00D37043">
      <w:pPr>
        <w:spacing w:after="160" w:line="259" w:lineRule="auto"/>
        <w:rPr>
          <w:color w:val="000000"/>
        </w:rPr>
      </w:pPr>
      <w:r>
        <w:rPr>
          <w:color w:val="000000"/>
        </w:rPr>
        <w:br w:type="page"/>
      </w:r>
    </w:p>
    <w:p w14:paraId="768E2CA0" w14:textId="77777777" w:rsidR="00D37043" w:rsidRDefault="00D37043" w:rsidP="00CF16E8">
      <w:pPr>
        <w:pStyle w:val="NormalWeb"/>
        <w:spacing w:before="0" w:beforeAutospacing="0" w:after="0" w:afterAutospacing="0"/>
        <w:rPr>
          <w:color w:val="000000"/>
        </w:rPr>
        <w:sectPr w:rsidR="00D37043" w:rsidSect="00C534B6">
          <w:pgSz w:w="24480" w:h="15840" w:orient="landscape" w:code="3"/>
          <w:pgMar w:top="1440" w:right="1440" w:bottom="1440" w:left="1440" w:header="720" w:footer="720" w:gutter="0"/>
          <w:cols w:space="720"/>
          <w:docGrid w:linePitch="360"/>
        </w:sectPr>
      </w:pPr>
    </w:p>
    <w:p w14:paraId="4AB4EB06" w14:textId="13122A5C" w:rsidR="00A8004C" w:rsidRPr="00CF16E8" w:rsidRDefault="008D6239" w:rsidP="00C61457">
      <w:pPr>
        <w:pStyle w:val="Heading1"/>
      </w:pPr>
      <w:bookmarkStart w:id="37" w:name="_Toc57725139"/>
      <w:r>
        <w:lastRenderedPageBreak/>
        <w:t xml:space="preserve">Appendix </w:t>
      </w:r>
      <w:r w:rsidR="009023F7">
        <w:t>D</w:t>
      </w:r>
      <w:r>
        <w:t>:</w:t>
      </w:r>
      <w:r w:rsidR="009023F7">
        <w:t xml:space="preserve"> </w:t>
      </w:r>
      <w:r w:rsidR="00A8004C" w:rsidRPr="00CF16E8">
        <w:t>Individuals</w:t>
      </w:r>
      <w:r w:rsidR="00457FF0">
        <w:t xml:space="preserve"> and </w:t>
      </w:r>
      <w:r w:rsidR="00A8004C" w:rsidRPr="00CF16E8">
        <w:t>groups submitting public comments</w:t>
      </w:r>
      <w:bookmarkEnd w:id="37"/>
    </w:p>
    <w:p w14:paraId="415528DB" w14:textId="77777777" w:rsidR="00121D12" w:rsidRDefault="00121D12" w:rsidP="00CF16E8">
      <w:pPr>
        <w:rPr>
          <w:u w:val="single"/>
        </w:rPr>
      </w:pPr>
    </w:p>
    <w:tbl>
      <w:tblPr>
        <w:tblStyle w:val="ESETablesGridStyle"/>
        <w:tblW w:w="0" w:type="auto"/>
        <w:tblLook w:val="04A0" w:firstRow="1" w:lastRow="0" w:firstColumn="1" w:lastColumn="0" w:noHBand="0" w:noVBand="1"/>
      </w:tblPr>
      <w:tblGrid>
        <w:gridCol w:w="4377"/>
        <w:gridCol w:w="2353"/>
        <w:gridCol w:w="7973"/>
      </w:tblGrid>
      <w:tr w:rsidR="00B82F30" w:rsidRPr="007F2293" w14:paraId="4DB118AB" w14:textId="77777777" w:rsidTr="00C534B6">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B1B9606" w14:textId="057436AC" w:rsidR="007F2293" w:rsidRPr="007F2293" w:rsidRDefault="007F2293" w:rsidP="007F2293">
            <w:pPr>
              <w:rPr>
                <w:rFonts w:ascii="Calibri" w:hAnsi="Calibri" w:cs="Calibri"/>
                <w:color w:val="000000"/>
                <w:sz w:val="22"/>
                <w:szCs w:val="22"/>
              </w:rPr>
            </w:pPr>
            <w:r w:rsidRPr="007F2293">
              <w:rPr>
                <w:rFonts w:ascii="Calibri" w:hAnsi="Calibri" w:cs="Calibri"/>
                <w:color w:val="000000"/>
                <w:sz w:val="22"/>
                <w:szCs w:val="22"/>
              </w:rPr>
              <w:t>Name</w:t>
            </w:r>
          </w:p>
        </w:tc>
        <w:tc>
          <w:tcPr>
            <w:tcW w:w="0" w:type="auto"/>
            <w:noWrap/>
            <w:hideMark/>
          </w:tcPr>
          <w:p w14:paraId="3C5712EF" w14:textId="34E45826" w:rsidR="007F2293" w:rsidRPr="007F2293" w:rsidRDefault="007F2293" w:rsidP="0050115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 xml:space="preserve">City/Town of </w:t>
            </w:r>
            <w:r w:rsidR="0050115A">
              <w:rPr>
                <w:rFonts w:ascii="Calibri" w:hAnsi="Calibri" w:cs="Calibri"/>
                <w:color w:val="000000"/>
                <w:sz w:val="22"/>
                <w:szCs w:val="22"/>
              </w:rPr>
              <w:t>r</w:t>
            </w:r>
            <w:r w:rsidRPr="007F2293">
              <w:rPr>
                <w:rFonts w:ascii="Calibri" w:hAnsi="Calibri" w:cs="Calibri"/>
                <w:color w:val="000000"/>
                <w:sz w:val="22"/>
                <w:szCs w:val="22"/>
              </w:rPr>
              <w:t>esidence</w:t>
            </w:r>
          </w:p>
        </w:tc>
        <w:tc>
          <w:tcPr>
            <w:tcW w:w="0" w:type="auto"/>
            <w:noWrap/>
            <w:hideMark/>
          </w:tcPr>
          <w:p w14:paraId="737E41D9" w14:textId="0F471459" w:rsidR="007F2293" w:rsidRPr="007F2293" w:rsidRDefault="007F2293" w:rsidP="0050115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 xml:space="preserve">Organizational </w:t>
            </w:r>
            <w:r w:rsidR="0050115A">
              <w:rPr>
                <w:rFonts w:ascii="Calibri" w:hAnsi="Calibri" w:cs="Calibri"/>
                <w:color w:val="000000"/>
                <w:sz w:val="22"/>
                <w:szCs w:val="22"/>
              </w:rPr>
              <w:t>a</w:t>
            </w:r>
            <w:r w:rsidRPr="007F2293">
              <w:rPr>
                <w:rFonts w:ascii="Calibri" w:hAnsi="Calibri" w:cs="Calibri"/>
                <w:color w:val="000000"/>
                <w:sz w:val="22"/>
                <w:szCs w:val="22"/>
              </w:rPr>
              <w:t>ffiliation (optional)</w:t>
            </w:r>
          </w:p>
        </w:tc>
      </w:tr>
      <w:tr w:rsidR="007F2293" w:rsidRPr="007F2293" w14:paraId="3A522E5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E0C3542" w14:textId="77777777" w:rsidR="007F2293" w:rsidRPr="007F2293" w:rsidRDefault="007F2293" w:rsidP="007F2293">
            <w:pPr>
              <w:rPr>
                <w:rFonts w:ascii="Calibri" w:hAnsi="Calibri" w:cs="Calibri"/>
                <w:color w:val="000000"/>
                <w:sz w:val="22"/>
                <w:szCs w:val="22"/>
              </w:rPr>
            </w:pPr>
            <w:r w:rsidRPr="007F2293">
              <w:rPr>
                <w:rFonts w:ascii="Calibri" w:hAnsi="Calibri" w:cs="Calibri"/>
                <w:color w:val="000000"/>
                <w:sz w:val="22"/>
                <w:szCs w:val="22"/>
              </w:rPr>
              <w:t>Wayne M. Adams</w:t>
            </w:r>
          </w:p>
        </w:tc>
        <w:tc>
          <w:tcPr>
            <w:tcW w:w="0" w:type="auto"/>
            <w:shd w:val="clear" w:color="auto" w:fill="auto"/>
            <w:noWrap/>
            <w:hideMark/>
          </w:tcPr>
          <w:p w14:paraId="5563F659" w14:textId="77777777" w:rsidR="007F2293" w:rsidRPr="007F2293" w:rsidRDefault="007F2293" w:rsidP="00C61457">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Princeton</w:t>
            </w:r>
          </w:p>
        </w:tc>
        <w:tc>
          <w:tcPr>
            <w:tcW w:w="0" w:type="auto"/>
            <w:shd w:val="clear" w:color="auto" w:fill="auto"/>
            <w:noWrap/>
            <w:hideMark/>
          </w:tcPr>
          <w:p w14:paraId="76EE9835" w14:textId="77777777" w:rsidR="007F2293" w:rsidRPr="007F2293" w:rsidRDefault="007F2293" w:rsidP="00C61457">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Advisory Committee (Chair)</w:t>
            </w:r>
          </w:p>
        </w:tc>
      </w:tr>
      <w:tr w:rsidR="007F2293" w:rsidRPr="007F2293" w14:paraId="5C12A8F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DC816C4" w14:textId="77777777" w:rsidR="007F2293" w:rsidRPr="007F2293" w:rsidRDefault="007F2293" w:rsidP="007F2293">
            <w:pPr>
              <w:rPr>
                <w:rFonts w:ascii="Calibri" w:hAnsi="Calibri" w:cs="Calibri"/>
                <w:color w:val="000000"/>
                <w:sz w:val="22"/>
                <w:szCs w:val="22"/>
              </w:rPr>
            </w:pPr>
            <w:r w:rsidRPr="007F2293">
              <w:rPr>
                <w:rFonts w:ascii="Calibri" w:hAnsi="Calibri" w:cs="Calibri"/>
                <w:color w:val="000000"/>
                <w:sz w:val="22"/>
                <w:szCs w:val="22"/>
              </w:rPr>
              <w:t>Brian E. Allen</w:t>
            </w:r>
          </w:p>
        </w:tc>
        <w:tc>
          <w:tcPr>
            <w:tcW w:w="0" w:type="auto"/>
            <w:shd w:val="clear" w:color="auto" w:fill="auto"/>
            <w:noWrap/>
            <w:hideMark/>
          </w:tcPr>
          <w:p w14:paraId="001E5DA2" w14:textId="77777777" w:rsidR="007F2293" w:rsidRPr="007F2293" w:rsidRDefault="007F2293" w:rsidP="00C61457">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Holden</w:t>
            </w:r>
          </w:p>
        </w:tc>
        <w:tc>
          <w:tcPr>
            <w:tcW w:w="0" w:type="auto"/>
            <w:shd w:val="clear" w:color="auto" w:fill="auto"/>
            <w:noWrap/>
            <w:hideMark/>
          </w:tcPr>
          <w:p w14:paraId="27FAD037" w14:textId="77777777" w:rsidR="007F2293" w:rsidRPr="007F2293" w:rsidRDefault="007F2293" w:rsidP="00C61457">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Worcester Public Schools</w:t>
            </w:r>
          </w:p>
        </w:tc>
      </w:tr>
      <w:tr w:rsidR="00D1150C" w:rsidRPr="007F2293" w14:paraId="78164C9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5BD8A662" w14:textId="28071724" w:rsidR="00D1150C" w:rsidRPr="007F2293" w:rsidRDefault="00D1150C" w:rsidP="00D1150C">
            <w:pPr>
              <w:rPr>
                <w:rFonts w:ascii="Calibri" w:hAnsi="Calibri" w:cs="Calibri"/>
                <w:color w:val="000000"/>
                <w:sz w:val="22"/>
                <w:szCs w:val="22"/>
              </w:rPr>
            </w:pPr>
            <w:r>
              <w:rPr>
                <w:rFonts w:ascii="Calibri" w:hAnsi="Calibri" w:cs="Calibri"/>
                <w:color w:val="000000"/>
                <w:sz w:val="22"/>
                <w:szCs w:val="22"/>
              </w:rPr>
              <w:t>Joan Arnold</w:t>
            </w:r>
          </w:p>
        </w:tc>
        <w:tc>
          <w:tcPr>
            <w:tcW w:w="0" w:type="auto"/>
            <w:shd w:val="clear" w:color="auto" w:fill="auto"/>
            <w:noWrap/>
          </w:tcPr>
          <w:p w14:paraId="2173E9F3" w14:textId="330F8264" w:rsidR="00D1150C" w:rsidRPr="007F2293" w:rsidRDefault="00D1150C" w:rsidP="007A30C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Hanson</w:t>
            </w:r>
          </w:p>
        </w:tc>
        <w:tc>
          <w:tcPr>
            <w:tcW w:w="0" w:type="auto"/>
            <w:shd w:val="clear" w:color="auto" w:fill="auto"/>
            <w:noWrap/>
          </w:tcPr>
          <w:p w14:paraId="76E2DBC7" w14:textId="77777777" w:rsidR="00D1150C" w:rsidRPr="007F2293" w:rsidRDefault="00D1150C" w:rsidP="00D1150C">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3CFD949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2E8216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Jen Audley</w:t>
            </w:r>
          </w:p>
        </w:tc>
        <w:tc>
          <w:tcPr>
            <w:tcW w:w="0" w:type="auto"/>
            <w:shd w:val="clear" w:color="auto" w:fill="auto"/>
            <w:noWrap/>
            <w:hideMark/>
          </w:tcPr>
          <w:p w14:paraId="2E56764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Montague</w:t>
            </w:r>
          </w:p>
        </w:tc>
        <w:tc>
          <w:tcPr>
            <w:tcW w:w="0" w:type="auto"/>
            <w:shd w:val="clear" w:color="auto" w:fill="auto"/>
            <w:noWrap/>
            <w:hideMark/>
          </w:tcPr>
          <w:p w14:paraId="4604B0C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Finance Committee</w:t>
            </w:r>
          </w:p>
        </w:tc>
      </w:tr>
      <w:tr w:rsidR="00D1150C" w:rsidRPr="007F2293" w14:paraId="1294A7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73AFCDC"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Andrew Baker</w:t>
            </w:r>
          </w:p>
        </w:tc>
        <w:tc>
          <w:tcPr>
            <w:tcW w:w="0" w:type="auto"/>
            <w:shd w:val="clear" w:color="auto" w:fill="auto"/>
            <w:noWrap/>
            <w:hideMark/>
          </w:tcPr>
          <w:p w14:paraId="5D037C1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Shelburne</w:t>
            </w:r>
          </w:p>
        </w:tc>
        <w:tc>
          <w:tcPr>
            <w:tcW w:w="0" w:type="auto"/>
            <w:shd w:val="clear" w:color="auto" w:fill="auto"/>
            <w:noWrap/>
            <w:hideMark/>
          </w:tcPr>
          <w:p w14:paraId="69BCFF2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of Shelburne</w:t>
            </w:r>
          </w:p>
        </w:tc>
      </w:tr>
      <w:tr w:rsidR="00D1150C" w:rsidRPr="007F2293" w14:paraId="4F789ED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BF24A8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Roberta Bartholdson</w:t>
            </w:r>
          </w:p>
        </w:tc>
        <w:tc>
          <w:tcPr>
            <w:tcW w:w="0" w:type="auto"/>
            <w:shd w:val="clear" w:color="auto" w:fill="auto"/>
            <w:noWrap/>
            <w:hideMark/>
          </w:tcPr>
          <w:p w14:paraId="4922085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39A6CFA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A08A84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1729D4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Johanna Bartlett</w:t>
            </w:r>
          </w:p>
        </w:tc>
        <w:tc>
          <w:tcPr>
            <w:tcW w:w="0" w:type="auto"/>
            <w:shd w:val="clear" w:color="auto" w:fill="auto"/>
            <w:noWrap/>
            <w:hideMark/>
          </w:tcPr>
          <w:p w14:paraId="0507D02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Wendell</w:t>
            </w:r>
          </w:p>
        </w:tc>
        <w:tc>
          <w:tcPr>
            <w:tcW w:w="0" w:type="auto"/>
            <w:shd w:val="clear" w:color="auto" w:fill="auto"/>
            <w:noWrap/>
            <w:hideMark/>
          </w:tcPr>
          <w:p w14:paraId="17CA616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Swift River Regional School Committee</w:t>
            </w:r>
          </w:p>
        </w:tc>
      </w:tr>
      <w:tr w:rsidR="00D1150C" w:rsidRPr="007F2293" w14:paraId="6AD616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92D8F0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Christine Bennett</w:t>
            </w:r>
          </w:p>
        </w:tc>
        <w:tc>
          <w:tcPr>
            <w:tcW w:w="0" w:type="auto"/>
            <w:shd w:val="clear" w:color="auto" w:fill="auto"/>
            <w:noWrap/>
            <w:hideMark/>
          </w:tcPr>
          <w:p w14:paraId="73D4DF7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Phillipston</w:t>
            </w:r>
          </w:p>
        </w:tc>
        <w:tc>
          <w:tcPr>
            <w:tcW w:w="0" w:type="auto"/>
            <w:shd w:val="clear" w:color="auto" w:fill="auto"/>
            <w:noWrap/>
            <w:hideMark/>
          </w:tcPr>
          <w:p w14:paraId="488D2BC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8E45A7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2184AC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Jean Bjerke</w:t>
            </w:r>
          </w:p>
        </w:tc>
        <w:tc>
          <w:tcPr>
            <w:tcW w:w="0" w:type="auto"/>
            <w:shd w:val="clear" w:color="auto" w:fill="auto"/>
            <w:noWrap/>
            <w:hideMark/>
          </w:tcPr>
          <w:p w14:paraId="68FAC4A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Dunstable</w:t>
            </w:r>
          </w:p>
        </w:tc>
        <w:tc>
          <w:tcPr>
            <w:tcW w:w="0" w:type="auto"/>
            <w:shd w:val="clear" w:color="auto" w:fill="auto"/>
            <w:noWrap/>
            <w:hideMark/>
          </w:tcPr>
          <w:p w14:paraId="7756681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Groton-Dunstable Schools</w:t>
            </w:r>
          </w:p>
        </w:tc>
      </w:tr>
      <w:tr w:rsidR="00D1150C" w:rsidRPr="007F2293" w14:paraId="028A59D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B6FDA9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Paul Bockelman</w:t>
            </w:r>
          </w:p>
        </w:tc>
        <w:tc>
          <w:tcPr>
            <w:tcW w:w="0" w:type="auto"/>
            <w:shd w:val="clear" w:color="auto" w:fill="auto"/>
            <w:noWrap/>
            <w:hideMark/>
          </w:tcPr>
          <w:p w14:paraId="0D222F7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7382F8A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of Amherst</w:t>
            </w:r>
          </w:p>
        </w:tc>
      </w:tr>
      <w:tr w:rsidR="00D1150C" w:rsidRPr="007F2293" w14:paraId="63646BD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0A55D0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Susan Bogosian</w:t>
            </w:r>
          </w:p>
        </w:tc>
        <w:tc>
          <w:tcPr>
            <w:tcW w:w="0" w:type="auto"/>
            <w:shd w:val="clear" w:color="auto" w:fill="auto"/>
            <w:noWrap/>
            <w:hideMark/>
          </w:tcPr>
          <w:p w14:paraId="32EFB4A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Rehoboth</w:t>
            </w:r>
          </w:p>
        </w:tc>
        <w:tc>
          <w:tcPr>
            <w:tcW w:w="0" w:type="auto"/>
            <w:shd w:val="clear" w:color="auto" w:fill="auto"/>
            <w:noWrap/>
            <w:hideMark/>
          </w:tcPr>
          <w:p w14:paraId="30F2885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1BD35F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E8AA7F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Louis Bordeaux</w:t>
            </w:r>
          </w:p>
        </w:tc>
        <w:tc>
          <w:tcPr>
            <w:tcW w:w="0" w:type="auto"/>
            <w:shd w:val="clear" w:color="auto" w:fill="auto"/>
            <w:noWrap/>
            <w:hideMark/>
          </w:tcPr>
          <w:p w14:paraId="485BA9A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7F87E7C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of Bernardston</w:t>
            </w:r>
          </w:p>
        </w:tc>
      </w:tr>
      <w:tr w:rsidR="00D1150C" w:rsidRPr="007F2293" w14:paraId="797F229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70AA4C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Robin Bousquet</w:t>
            </w:r>
          </w:p>
        </w:tc>
        <w:tc>
          <w:tcPr>
            <w:tcW w:w="0" w:type="auto"/>
            <w:shd w:val="clear" w:color="auto" w:fill="auto"/>
            <w:noWrap/>
            <w:hideMark/>
          </w:tcPr>
          <w:p w14:paraId="0E61195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3E16531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6B41556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D5F481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Deborah Boyd</w:t>
            </w:r>
          </w:p>
        </w:tc>
        <w:tc>
          <w:tcPr>
            <w:tcW w:w="0" w:type="auto"/>
            <w:shd w:val="clear" w:color="auto" w:fill="auto"/>
            <w:noWrap/>
            <w:hideMark/>
          </w:tcPr>
          <w:p w14:paraId="6B5D3B3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Fiskdale</w:t>
            </w:r>
          </w:p>
        </w:tc>
        <w:tc>
          <w:tcPr>
            <w:tcW w:w="0" w:type="auto"/>
            <w:shd w:val="clear" w:color="auto" w:fill="auto"/>
            <w:noWrap/>
            <w:hideMark/>
          </w:tcPr>
          <w:p w14:paraId="72B6D61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Tantasqua Regional School District</w:t>
            </w:r>
          </w:p>
        </w:tc>
      </w:tr>
      <w:tr w:rsidR="00D1150C" w:rsidRPr="007F2293" w14:paraId="658FF49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475364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Allen Tupper Brown</w:t>
            </w:r>
          </w:p>
        </w:tc>
        <w:tc>
          <w:tcPr>
            <w:tcW w:w="0" w:type="auto"/>
            <w:shd w:val="clear" w:color="auto" w:fill="auto"/>
            <w:noWrap/>
            <w:hideMark/>
          </w:tcPr>
          <w:p w14:paraId="5FB09CC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Gill</w:t>
            </w:r>
          </w:p>
        </w:tc>
        <w:tc>
          <w:tcPr>
            <w:tcW w:w="0" w:type="auto"/>
            <w:shd w:val="clear" w:color="auto" w:fill="auto"/>
            <w:noWrap/>
            <w:hideMark/>
          </w:tcPr>
          <w:p w14:paraId="157C889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Finance Committee</w:t>
            </w:r>
          </w:p>
        </w:tc>
      </w:tr>
      <w:tr w:rsidR="00D1150C" w:rsidRPr="007F2293" w14:paraId="6D6165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EA6735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Patricia Brown</w:t>
            </w:r>
          </w:p>
        </w:tc>
        <w:tc>
          <w:tcPr>
            <w:tcW w:w="0" w:type="auto"/>
            <w:shd w:val="clear" w:color="auto" w:fill="auto"/>
            <w:noWrap/>
            <w:hideMark/>
          </w:tcPr>
          <w:p w14:paraId="32A36C1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Sudbury</w:t>
            </w:r>
          </w:p>
        </w:tc>
        <w:tc>
          <w:tcPr>
            <w:tcW w:w="0" w:type="auto"/>
            <w:shd w:val="clear" w:color="auto" w:fill="auto"/>
            <w:noWrap/>
            <w:hideMark/>
          </w:tcPr>
          <w:p w14:paraId="427714A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A14CD0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C79F720"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Jane Burke</w:t>
            </w:r>
          </w:p>
        </w:tc>
        <w:tc>
          <w:tcPr>
            <w:tcW w:w="0" w:type="auto"/>
            <w:shd w:val="clear" w:color="auto" w:fill="auto"/>
            <w:noWrap/>
            <w:hideMark/>
          </w:tcPr>
          <w:p w14:paraId="7E0A60C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New Marlborough</w:t>
            </w:r>
          </w:p>
        </w:tc>
        <w:tc>
          <w:tcPr>
            <w:tcW w:w="0" w:type="auto"/>
            <w:shd w:val="clear" w:color="auto" w:fill="auto"/>
            <w:noWrap/>
            <w:hideMark/>
          </w:tcPr>
          <w:p w14:paraId="6F2F066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SBRSD School Committee Chair</w:t>
            </w:r>
          </w:p>
        </w:tc>
      </w:tr>
      <w:tr w:rsidR="00D1150C" w:rsidRPr="007F2293" w14:paraId="46318D5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B0A168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Dawn Byers</w:t>
            </w:r>
          </w:p>
        </w:tc>
        <w:tc>
          <w:tcPr>
            <w:tcW w:w="0" w:type="auto"/>
            <w:shd w:val="clear" w:color="auto" w:fill="auto"/>
            <w:noWrap/>
            <w:hideMark/>
          </w:tcPr>
          <w:p w14:paraId="1D10020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Whitman</w:t>
            </w:r>
          </w:p>
        </w:tc>
        <w:tc>
          <w:tcPr>
            <w:tcW w:w="0" w:type="auto"/>
            <w:shd w:val="clear" w:color="auto" w:fill="auto"/>
            <w:noWrap/>
            <w:hideMark/>
          </w:tcPr>
          <w:p w14:paraId="0A2B9CF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Whitman-Hanson Regional School District</w:t>
            </w:r>
          </w:p>
        </w:tc>
      </w:tr>
      <w:tr w:rsidR="00D1150C" w:rsidRPr="007F2293" w14:paraId="53CC4D3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607313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Lisha Cabral</w:t>
            </w:r>
          </w:p>
        </w:tc>
        <w:tc>
          <w:tcPr>
            <w:tcW w:w="0" w:type="auto"/>
            <w:shd w:val="clear" w:color="auto" w:fill="auto"/>
            <w:noWrap/>
            <w:hideMark/>
          </w:tcPr>
          <w:p w14:paraId="0CF9090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East Freetown</w:t>
            </w:r>
          </w:p>
        </w:tc>
        <w:tc>
          <w:tcPr>
            <w:tcW w:w="0" w:type="auto"/>
            <w:shd w:val="clear" w:color="auto" w:fill="auto"/>
            <w:noWrap/>
            <w:hideMark/>
          </w:tcPr>
          <w:p w14:paraId="48DCA5A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Easton Public Schools Superintendent</w:t>
            </w:r>
          </w:p>
        </w:tc>
      </w:tr>
      <w:tr w:rsidR="00D1150C" w:rsidRPr="007F2293" w14:paraId="6B929E0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FBB0461"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William Cameron</w:t>
            </w:r>
          </w:p>
        </w:tc>
        <w:tc>
          <w:tcPr>
            <w:tcW w:w="0" w:type="auto"/>
            <w:shd w:val="clear" w:color="auto" w:fill="auto"/>
            <w:noWrap/>
            <w:hideMark/>
          </w:tcPr>
          <w:p w14:paraId="24A3EF6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Pittsfield</w:t>
            </w:r>
          </w:p>
        </w:tc>
        <w:tc>
          <w:tcPr>
            <w:tcW w:w="0" w:type="auto"/>
            <w:shd w:val="clear" w:color="auto" w:fill="auto"/>
            <w:noWrap/>
            <w:hideMark/>
          </w:tcPr>
          <w:p w14:paraId="402521E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Pittsfield School Committee</w:t>
            </w:r>
          </w:p>
        </w:tc>
      </w:tr>
      <w:tr w:rsidR="00D4038B" w:rsidRPr="007F2293" w14:paraId="6338DA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2A763568" w14:textId="3B292C2E" w:rsidR="00D4038B" w:rsidRPr="00C534B6" w:rsidRDefault="00D4038B" w:rsidP="00FB2185">
            <w:pPr>
              <w:rPr>
                <w:rFonts w:ascii="Calibri" w:hAnsi="Calibri" w:cs="Calibri"/>
                <w:color w:val="000000"/>
                <w:sz w:val="22"/>
                <w:szCs w:val="22"/>
              </w:rPr>
            </w:pPr>
            <w:r w:rsidRPr="00C534B6">
              <w:rPr>
                <w:rFonts w:ascii="Calibri" w:hAnsi="Calibri" w:cs="Calibri"/>
                <w:color w:val="000000"/>
                <w:sz w:val="22"/>
                <w:szCs w:val="22"/>
              </w:rPr>
              <w:t>Scott Carpenter</w:t>
            </w:r>
          </w:p>
        </w:tc>
        <w:tc>
          <w:tcPr>
            <w:tcW w:w="0" w:type="auto"/>
            <w:shd w:val="clear" w:color="auto" w:fill="auto"/>
            <w:noWrap/>
          </w:tcPr>
          <w:p w14:paraId="13EBA05D" w14:textId="5ACAAF96" w:rsidR="00D4038B" w:rsidRPr="00C534B6" w:rsidRDefault="00D4038B" w:rsidP="00BF34F6">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534B6">
              <w:rPr>
                <w:rFonts w:ascii="Calibri" w:hAnsi="Calibri" w:cs="Calibri"/>
                <w:color w:val="000000"/>
                <w:sz w:val="22"/>
                <w:szCs w:val="22"/>
              </w:rPr>
              <w:t>Hyannis</w:t>
            </w:r>
          </w:p>
        </w:tc>
        <w:tc>
          <w:tcPr>
            <w:tcW w:w="0" w:type="auto"/>
            <w:shd w:val="clear" w:color="auto" w:fill="auto"/>
            <w:noWrap/>
          </w:tcPr>
          <w:p w14:paraId="5173D17F" w14:textId="77BD980F" w:rsidR="00D4038B" w:rsidRPr="00C534B6" w:rsidRDefault="00150507" w:rsidP="00BF34F6">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534B6">
              <w:rPr>
                <w:rFonts w:ascii="Calibri" w:hAnsi="Calibri" w:cs="Calibri"/>
                <w:color w:val="000000"/>
                <w:sz w:val="22"/>
                <w:szCs w:val="22"/>
              </w:rPr>
              <w:t xml:space="preserve">Superintendent, </w:t>
            </w:r>
            <w:r w:rsidR="00D4038B" w:rsidRPr="00C534B6">
              <w:rPr>
                <w:rFonts w:ascii="Calibri" w:hAnsi="Calibri" w:cs="Calibri"/>
                <w:color w:val="000000"/>
                <w:sz w:val="22"/>
                <w:szCs w:val="22"/>
              </w:rPr>
              <w:t>Monomoy Regional Schools</w:t>
            </w:r>
          </w:p>
        </w:tc>
      </w:tr>
      <w:tr w:rsidR="00D1150C" w:rsidRPr="007F2293" w14:paraId="3B98852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2C5E0E3"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Claire Chang</w:t>
            </w:r>
          </w:p>
        </w:tc>
        <w:tc>
          <w:tcPr>
            <w:tcW w:w="0" w:type="auto"/>
            <w:shd w:val="clear" w:color="auto" w:fill="auto"/>
            <w:noWrap/>
            <w:hideMark/>
          </w:tcPr>
          <w:p w14:paraId="2C515D0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Gill</w:t>
            </w:r>
          </w:p>
        </w:tc>
        <w:tc>
          <w:tcPr>
            <w:tcW w:w="0" w:type="auto"/>
            <w:shd w:val="clear" w:color="auto" w:fill="auto"/>
            <w:noWrap/>
            <w:hideMark/>
          </w:tcPr>
          <w:p w14:paraId="486A930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Gill Finance Committee Chair</w:t>
            </w:r>
          </w:p>
        </w:tc>
      </w:tr>
      <w:tr w:rsidR="00D1150C" w:rsidRPr="007F2293" w14:paraId="7089801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539402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Eileen Claveloux</w:t>
            </w:r>
          </w:p>
        </w:tc>
        <w:tc>
          <w:tcPr>
            <w:tcW w:w="0" w:type="auto"/>
            <w:shd w:val="clear" w:color="auto" w:fill="auto"/>
            <w:noWrap/>
            <w:hideMark/>
          </w:tcPr>
          <w:p w14:paraId="605ECBD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Sunderland</w:t>
            </w:r>
          </w:p>
        </w:tc>
        <w:tc>
          <w:tcPr>
            <w:tcW w:w="0" w:type="auto"/>
            <w:shd w:val="clear" w:color="auto" w:fill="auto"/>
            <w:noWrap/>
            <w:hideMark/>
          </w:tcPr>
          <w:p w14:paraId="2FBFEA3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2C8A5B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6040E6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Allan Clemons</w:t>
            </w:r>
          </w:p>
        </w:tc>
        <w:tc>
          <w:tcPr>
            <w:tcW w:w="0" w:type="auto"/>
            <w:shd w:val="clear" w:color="auto" w:fill="auto"/>
            <w:noWrap/>
            <w:hideMark/>
          </w:tcPr>
          <w:p w14:paraId="44AA799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5B07515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2C793BB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68A23E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Theresa Cocio</w:t>
            </w:r>
          </w:p>
        </w:tc>
        <w:tc>
          <w:tcPr>
            <w:tcW w:w="0" w:type="auto"/>
            <w:shd w:val="clear" w:color="auto" w:fill="auto"/>
            <w:noWrap/>
            <w:hideMark/>
          </w:tcPr>
          <w:p w14:paraId="1C9097F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7222649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7C9624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1F3922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Craig Cohen</w:t>
            </w:r>
          </w:p>
        </w:tc>
        <w:tc>
          <w:tcPr>
            <w:tcW w:w="0" w:type="auto"/>
            <w:shd w:val="clear" w:color="auto" w:fill="auto"/>
            <w:noWrap/>
            <w:hideMark/>
          </w:tcPr>
          <w:p w14:paraId="383A930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Leverett</w:t>
            </w:r>
          </w:p>
        </w:tc>
        <w:tc>
          <w:tcPr>
            <w:tcW w:w="0" w:type="auto"/>
            <w:shd w:val="clear" w:color="auto" w:fill="auto"/>
            <w:noWrap/>
            <w:hideMark/>
          </w:tcPr>
          <w:p w14:paraId="3A27112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Leverett School Committee</w:t>
            </w:r>
          </w:p>
        </w:tc>
      </w:tr>
      <w:tr w:rsidR="00D1150C" w:rsidRPr="007F2293" w14:paraId="2A046F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3CB18B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Jo Comerford</w:t>
            </w:r>
          </w:p>
        </w:tc>
        <w:tc>
          <w:tcPr>
            <w:tcW w:w="0" w:type="auto"/>
            <w:shd w:val="clear" w:color="auto" w:fill="auto"/>
            <w:noWrap/>
            <w:hideMark/>
          </w:tcPr>
          <w:p w14:paraId="31806B7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Northampton</w:t>
            </w:r>
          </w:p>
        </w:tc>
        <w:tc>
          <w:tcPr>
            <w:tcW w:w="0" w:type="auto"/>
            <w:shd w:val="clear" w:color="auto" w:fill="auto"/>
            <w:noWrap/>
            <w:hideMark/>
          </w:tcPr>
          <w:p w14:paraId="26A8850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MA State Senate</w:t>
            </w:r>
          </w:p>
        </w:tc>
      </w:tr>
      <w:tr w:rsidR="00D1150C" w:rsidRPr="007F2293" w14:paraId="79A91F4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747BAA3"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David Conlon</w:t>
            </w:r>
          </w:p>
        </w:tc>
        <w:tc>
          <w:tcPr>
            <w:tcW w:w="0" w:type="auto"/>
            <w:shd w:val="clear" w:color="auto" w:fill="auto"/>
            <w:noWrap/>
            <w:hideMark/>
          </w:tcPr>
          <w:p w14:paraId="65CFAE4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Colrain</w:t>
            </w:r>
          </w:p>
        </w:tc>
        <w:tc>
          <w:tcPr>
            <w:tcW w:w="0" w:type="auto"/>
            <w:shd w:val="clear" w:color="auto" w:fill="auto"/>
            <w:noWrap/>
            <w:hideMark/>
          </w:tcPr>
          <w:p w14:paraId="6B5D699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Mohawk Trail Regional School District</w:t>
            </w:r>
          </w:p>
        </w:tc>
      </w:tr>
      <w:tr w:rsidR="00D1150C" w:rsidRPr="007F2293" w14:paraId="57570CB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822853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Zoë Crabtree</w:t>
            </w:r>
          </w:p>
        </w:tc>
        <w:tc>
          <w:tcPr>
            <w:tcW w:w="0" w:type="auto"/>
            <w:shd w:val="clear" w:color="auto" w:fill="auto"/>
            <w:noWrap/>
            <w:hideMark/>
          </w:tcPr>
          <w:p w14:paraId="0F5E854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382AA70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6DE82F1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18F996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lastRenderedPageBreak/>
              <w:t>Jay Crandall</w:t>
            </w:r>
          </w:p>
        </w:tc>
        <w:tc>
          <w:tcPr>
            <w:tcW w:w="0" w:type="auto"/>
            <w:shd w:val="clear" w:color="auto" w:fill="auto"/>
            <w:noWrap/>
            <w:hideMark/>
          </w:tcPr>
          <w:p w14:paraId="3CFCE4D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Rehoboth</w:t>
            </w:r>
          </w:p>
        </w:tc>
        <w:tc>
          <w:tcPr>
            <w:tcW w:w="0" w:type="auto"/>
            <w:shd w:val="clear" w:color="auto" w:fill="auto"/>
            <w:noWrap/>
            <w:hideMark/>
          </w:tcPr>
          <w:p w14:paraId="4CE4504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4894A2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F62B4B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Suzanne Crawford</w:t>
            </w:r>
          </w:p>
        </w:tc>
        <w:tc>
          <w:tcPr>
            <w:tcW w:w="0" w:type="auto"/>
            <w:shd w:val="clear" w:color="auto" w:fill="auto"/>
            <w:noWrap/>
            <w:hideMark/>
          </w:tcPr>
          <w:p w14:paraId="08BC590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Hawley</w:t>
            </w:r>
          </w:p>
        </w:tc>
        <w:tc>
          <w:tcPr>
            <w:tcW w:w="0" w:type="auto"/>
            <w:shd w:val="clear" w:color="auto" w:fill="auto"/>
            <w:noWrap/>
            <w:hideMark/>
          </w:tcPr>
          <w:p w14:paraId="3CB12FF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School committee member and small business owner</w:t>
            </w:r>
          </w:p>
        </w:tc>
      </w:tr>
      <w:tr w:rsidR="00D1150C" w:rsidRPr="007F2293" w14:paraId="3CD65F3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1EEA1F1"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Peter Cross</w:t>
            </w:r>
          </w:p>
        </w:tc>
        <w:tc>
          <w:tcPr>
            <w:tcW w:w="0" w:type="auto"/>
            <w:shd w:val="clear" w:color="auto" w:fill="auto"/>
            <w:noWrap/>
            <w:hideMark/>
          </w:tcPr>
          <w:p w14:paraId="4AC78A6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64160BF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Chair, R.C. Mahar Regional School Committee</w:t>
            </w:r>
          </w:p>
        </w:tc>
      </w:tr>
      <w:tr w:rsidR="00D1150C" w:rsidRPr="007F2293" w14:paraId="09A7536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710BD2C"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Karen Cruise</w:t>
            </w:r>
          </w:p>
        </w:tc>
        <w:tc>
          <w:tcPr>
            <w:tcW w:w="0" w:type="auto"/>
            <w:shd w:val="clear" w:color="auto" w:fill="auto"/>
            <w:noWrap/>
            <w:hideMark/>
          </w:tcPr>
          <w:p w14:paraId="2835E6D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Princeton</w:t>
            </w:r>
          </w:p>
        </w:tc>
        <w:tc>
          <w:tcPr>
            <w:tcW w:w="0" w:type="auto"/>
            <w:shd w:val="clear" w:color="auto" w:fill="auto"/>
            <w:noWrap/>
            <w:hideMark/>
          </w:tcPr>
          <w:p w14:paraId="36E4FC1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Chair, Selectboard</w:t>
            </w:r>
          </w:p>
        </w:tc>
      </w:tr>
      <w:tr w:rsidR="00D1150C" w:rsidRPr="007F2293" w14:paraId="78480B8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3382D00"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Barbara D'Arthenay</w:t>
            </w:r>
          </w:p>
        </w:tc>
        <w:tc>
          <w:tcPr>
            <w:tcW w:w="0" w:type="auto"/>
            <w:shd w:val="clear" w:color="auto" w:fill="auto"/>
            <w:noWrap/>
            <w:hideMark/>
          </w:tcPr>
          <w:p w14:paraId="4D233FE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Leverett</w:t>
            </w:r>
          </w:p>
        </w:tc>
        <w:tc>
          <w:tcPr>
            <w:tcW w:w="0" w:type="auto"/>
            <w:shd w:val="clear" w:color="auto" w:fill="auto"/>
            <w:noWrap/>
            <w:hideMark/>
          </w:tcPr>
          <w:p w14:paraId="5C565D5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6A0ED6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EEF1EF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Patrick Davis</w:t>
            </w:r>
          </w:p>
        </w:tc>
        <w:tc>
          <w:tcPr>
            <w:tcW w:w="0" w:type="auto"/>
            <w:shd w:val="clear" w:color="auto" w:fill="auto"/>
            <w:noWrap/>
            <w:hideMark/>
          </w:tcPr>
          <w:p w14:paraId="368403B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018F1B1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Mahar Regional School Committee</w:t>
            </w:r>
          </w:p>
        </w:tc>
      </w:tr>
      <w:tr w:rsidR="00D1150C" w:rsidRPr="007F2293" w14:paraId="3E4FD1E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652B4E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Peter Demling</w:t>
            </w:r>
          </w:p>
        </w:tc>
        <w:tc>
          <w:tcPr>
            <w:tcW w:w="0" w:type="auto"/>
            <w:shd w:val="clear" w:color="auto" w:fill="auto"/>
            <w:noWrap/>
            <w:hideMark/>
          </w:tcPr>
          <w:p w14:paraId="3DF3366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367B96A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 and Amherst-Pelham Regional School Committees</w:t>
            </w:r>
          </w:p>
        </w:tc>
      </w:tr>
      <w:tr w:rsidR="00D1150C" w:rsidRPr="007F2293" w14:paraId="0EF6591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7342BB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Linda Dunlavy</w:t>
            </w:r>
          </w:p>
        </w:tc>
        <w:tc>
          <w:tcPr>
            <w:tcW w:w="0" w:type="auto"/>
            <w:shd w:val="clear" w:color="auto" w:fill="auto"/>
            <w:noWrap/>
            <w:hideMark/>
          </w:tcPr>
          <w:p w14:paraId="477EBA9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Deerfield</w:t>
            </w:r>
          </w:p>
        </w:tc>
        <w:tc>
          <w:tcPr>
            <w:tcW w:w="0" w:type="auto"/>
            <w:shd w:val="clear" w:color="auto" w:fill="auto"/>
            <w:noWrap/>
            <w:hideMark/>
          </w:tcPr>
          <w:p w14:paraId="63C81C6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Rural Policy Advisory Commission</w:t>
            </w:r>
          </w:p>
        </w:tc>
      </w:tr>
      <w:tr w:rsidR="00D1150C" w:rsidRPr="007F2293" w14:paraId="3DBB44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BC4674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Linda Dunlavy</w:t>
            </w:r>
          </w:p>
        </w:tc>
        <w:tc>
          <w:tcPr>
            <w:tcW w:w="0" w:type="auto"/>
            <w:shd w:val="clear" w:color="auto" w:fill="auto"/>
            <w:noWrap/>
            <w:hideMark/>
          </w:tcPr>
          <w:p w14:paraId="58BAD0C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Deerfield</w:t>
            </w:r>
          </w:p>
        </w:tc>
        <w:tc>
          <w:tcPr>
            <w:tcW w:w="0" w:type="auto"/>
            <w:shd w:val="clear" w:color="auto" w:fill="auto"/>
            <w:noWrap/>
            <w:hideMark/>
          </w:tcPr>
          <w:p w14:paraId="11E949A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Franklin Regional Council of Governments</w:t>
            </w:r>
          </w:p>
        </w:tc>
      </w:tr>
      <w:tr w:rsidR="00F50168" w:rsidRPr="007F2293" w14:paraId="22A02BA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496CDFE6" w14:textId="21D3036C" w:rsidR="00F50168" w:rsidRPr="007F2293" w:rsidRDefault="00F50168" w:rsidP="00D1150C">
            <w:pPr>
              <w:rPr>
                <w:rFonts w:ascii="Calibri" w:hAnsi="Calibri" w:cs="Calibri"/>
                <w:color w:val="000000"/>
                <w:sz w:val="22"/>
                <w:szCs w:val="22"/>
              </w:rPr>
            </w:pPr>
            <w:r>
              <w:rPr>
                <w:rFonts w:ascii="Calibri" w:hAnsi="Calibri" w:cs="Calibri"/>
                <w:color w:val="000000"/>
                <w:sz w:val="22"/>
                <w:szCs w:val="22"/>
              </w:rPr>
              <w:t>Mary Dunne</w:t>
            </w:r>
          </w:p>
        </w:tc>
        <w:tc>
          <w:tcPr>
            <w:tcW w:w="0" w:type="auto"/>
            <w:shd w:val="clear" w:color="auto" w:fill="auto"/>
            <w:noWrap/>
          </w:tcPr>
          <w:p w14:paraId="70D65571" w14:textId="251815D3" w:rsidR="00F50168" w:rsidRPr="007F2293" w:rsidRDefault="00F50168" w:rsidP="007A30C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Holden</w:t>
            </w:r>
          </w:p>
        </w:tc>
        <w:tc>
          <w:tcPr>
            <w:tcW w:w="0" w:type="auto"/>
            <w:shd w:val="clear" w:color="auto" w:fill="auto"/>
            <w:noWrap/>
          </w:tcPr>
          <w:p w14:paraId="6998B68D" w14:textId="76D0DB7E" w:rsidR="00F50168" w:rsidRPr="007F2293" w:rsidRDefault="00F50168" w:rsidP="007A30C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Parent</w:t>
            </w:r>
          </w:p>
        </w:tc>
      </w:tr>
      <w:tr w:rsidR="00D1150C" w:rsidRPr="007F2293" w14:paraId="437AAEF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44CB64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Jane Dutcher</w:t>
            </w:r>
          </w:p>
        </w:tc>
        <w:tc>
          <w:tcPr>
            <w:tcW w:w="0" w:type="auto"/>
            <w:shd w:val="clear" w:color="auto" w:fill="auto"/>
            <w:noWrap/>
            <w:hideMark/>
          </w:tcPr>
          <w:p w14:paraId="1DF9E19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16512EB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 Finance Committee, Chairman</w:t>
            </w:r>
          </w:p>
        </w:tc>
      </w:tr>
      <w:tr w:rsidR="00D1150C" w:rsidRPr="007F2293" w14:paraId="6885EB5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496732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Cheryl Duval</w:t>
            </w:r>
          </w:p>
        </w:tc>
        <w:tc>
          <w:tcPr>
            <w:tcW w:w="0" w:type="auto"/>
            <w:shd w:val="clear" w:color="auto" w:fill="auto"/>
            <w:noWrap/>
            <w:hideMark/>
          </w:tcPr>
          <w:p w14:paraId="2ACC4E9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Petersham</w:t>
            </w:r>
          </w:p>
        </w:tc>
        <w:tc>
          <w:tcPr>
            <w:tcW w:w="0" w:type="auto"/>
            <w:shd w:val="clear" w:color="auto" w:fill="auto"/>
            <w:noWrap/>
            <w:hideMark/>
          </w:tcPr>
          <w:p w14:paraId="7AF01C9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Quabbin Regional School District</w:t>
            </w:r>
          </w:p>
        </w:tc>
      </w:tr>
      <w:tr w:rsidR="00D1150C" w:rsidRPr="007F2293" w14:paraId="5597B20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4A1D5F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Ellen E Edge</w:t>
            </w:r>
          </w:p>
        </w:tc>
        <w:tc>
          <w:tcPr>
            <w:tcW w:w="0" w:type="auto"/>
            <w:shd w:val="clear" w:color="auto" w:fill="auto"/>
            <w:noWrap/>
            <w:hideMark/>
          </w:tcPr>
          <w:p w14:paraId="7F999C5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Leverett</w:t>
            </w:r>
          </w:p>
        </w:tc>
        <w:tc>
          <w:tcPr>
            <w:tcW w:w="0" w:type="auto"/>
            <w:shd w:val="clear" w:color="auto" w:fill="auto"/>
            <w:noWrap/>
            <w:hideMark/>
          </w:tcPr>
          <w:p w14:paraId="430FF0D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F84134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795F11E" w14:textId="7CD22C8C"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 xml:space="preserve">Massachusetts Business Alliance </w:t>
            </w:r>
            <w:r>
              <w:rPr>
                <w:rFonts w:ascii="Calibri" w:hAnsi="Calibri" w:cs="Calibri"/>
                <w:color w:val="000000"/>
                <w:sz w:val="22"/>
                <w:szCs w:val="22"/>
              </w:rPr>
              <w:t>f</w:t>
            </w:r>
            <w:r w:rsidRPr="007F2293">
              <w:rPr>
                <w:rFonts w:ascii="Calibri" w:hAnsi="Calibri" w:cs="Calibri"/>
                <w:color w:val="000000"/>
                <w:sz w:val="22"/>
                <w:szCs w:val="22"/>
              </w:rPr>
              <w:t>or Education</w:t>
            </w:r>
          </w:p>
        </w:tc>
        <w:tc>
          <w:tcPr>
            <w:tcW w:w="0" w:type="auto"/>
            <w:shd w:val="clear" w:color="auto" w:fill="auto"/>
            <w:noWrap/>
            <w:hideMark/>
          </w:tcPr>
          <w:p w14:paraId="0E4FCA5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Boston</w:t>
            </w:r>
          </w:p>
        </w:tc>
        <w:tc>
          <w:tcPr>
            <w:tcW w:w="0" w:type="auto"/>
            <w:shd w:val="clear" w:color="auto" w:fill="auto"/>
            <w:noWrap/>
            <w:hideMark/>
          </w:tcPr>
          <w:p w14:paraId="261144AB" w14:textId="4974E789"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 xml:space="preserve">Massachusetts Business Alliance </w:t>
            </w:r>
            <w:r w:rsidR="0054151E">
              <w:rPr>
                <w:rFonts w:ascii="Calibri" w:hAnsi="Calibri" w:cs="Calibri"/>
                <w:color w:val="000000"/>
                <w:sz w:val="22"/>
                <w:szCs w:val="22"/>
              </w:rPr>
              <w:t>f</w:t>
            </w:r>
            <w:r w:rsidRPr="007F2293">
              <w:rPr>
                <w:rFonts w:ascii="Calibri" w:hAnsi="Calibri" w:cs="Calibri"/>
                <w:color w:val="000000"/>
                <w:sz w:val="22"/>
                <w:szCs w:val="22"/>
              </w:rPr>
              <w:t>or Education</w:t>
            </w:r>
          </w:p>
        </w:tc>
      </w:tr>
      <w:tr w:rsidR="00D1150C" w:rsidRPr="007F2293" w14:paraId="585D22F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8E4B61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Mary Jane Else</w:t>
            </w:r>
          </w:p>
        </w:tc>
        <w:tc>
          <w:tcPr>
            <w:tcW w:w="0" w:type="auto"/>
            <w:shd w:val="clear" w:color="auto" w:fill="auto"/>
            <w:noWrap/>
            <w:hideMark/>
          </w:tcPr>
          <w:p w14:paraId="492A001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South Hadley</w:t>
            </w:r>
          </w:p>
        </w:tc>
        <w:tc>
          <w:tcPr>
            <w:tcW w:w="0" w:type="auto"/>
            <w:shd w:val="clear" w:color="auto" w:fill="auto"/>
            <w:noWrap/>
            <w:hideMark/>
          </w:tcPr>
          <w:p w14:paraId="6B5288F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3BF7CA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812BF8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Geoffrey Epstein</w:t>
            </w:r>
          </w:p>
        </w:tc>
        <w:tc>
          <w:tcPr>
            <w:tcW w:w="0" w:type="auto"/>
            <w:shd w:val="clear" w:color="auto" w:fill="auto"/>
            <w:noWrap/>
            <w:hideMark/>
          </w:tcPr>
          <w:p w14:paraId="524ABCE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Framingham</w:t>
            </w:r>
          </w:p>
        </w:tc>
        <w:tc>
          <w:tcPr>
            <w:tcW w:w="0" w:type="auto"/>
            <w:shd w:val="clear" w:color="auto" w:fill="auto"/>
            <w:noWrap/>
            <w:hideMark/>
          </w:tcPr>
          <w:p w14:paraId="183D53A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School Committee</w:t>
            </w:r>
          </w:p>
        </w:tc>
      </w:tr>
      <w:tr w:rsidR="00D1150C" w:rsidRPr="007F2293" w14:paraId="6491AB9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41CADC3"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Kimberly Ferguson</w:t>
            </w:r>
          </w:p>
        </w:tc>
        <w:tc>
          <w:tcPr>
            <w:tcW w:w="0" w:type="auto"/>
            <w:shd w:val="clear" w:color="auto" w:fill="auto"/>
            <w:noWrap/>
            <w:hideMark/>
          </w:tcPr>
          <w:p w14:paraId="3B42EF0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Holden</w:t>
            </w:r>
          </w:p>
        </w:tc>
        <w:tc>
          <w:tcPr>
            <w:tcW w:w="0" w:type="auto"/>
            <w:shd w:val="clear" w:color="auto" w:fill="auto"/>
            <w:noWrap/>
            <w:hideMark/>
          </w:tcPr>
          <w:p w14:paraId="11D99E1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State Representative</w:t>
            </w:r>
          </w:p>
        </w:tc>
      </w:tr>
      <w:tr w:rsidR="00D1150C" w:rsidRPr="007F2293" w14:paraId="10E5333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36FDF20"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Felice Ferreer</w:t>
            </w:r>
          </w:p>
        </w:tc>
        <w:tc>
          <w:tcPr>
            <w:tcW w:w="0" w:type="auto"/>
            <w:shd w:val="clear" w:color="auto" w:fill="auto"/>
            <w:noWrap/>
            <w:hideMark/>
          </w:tcPr>
          <w:p w14:paraId="35CF955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w:t>
            </w:r>
          </w:p>
        </w:tc>
        <w:tc>
          <w:tcPr>
            <w:tcW w:w="0" w:type="auto"/>
            <w:shd w:val="clear" w:color="auto" w:fill="auto"/>
            <w:noWrap/>
            <w:hideMark/>
          </w:tcPr>
          <w:p w14:paraId="77A1AFE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Parent</w:t>
            </w:r>
          </w:p>
        </w:tc>
      </w:tr>
      <w:tr w:rsidR="00D1150C" w:rsidRPr="007F2293" w14:paraId="6CBB64F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3E99A5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Michael F. Fitzpatrick</w:t>
            </w:r>
          </w:p>
        </w:tc>
        <w:tc>
          <w:tcPr>
            <w:tcW w:w="0" w:type="auto"/>
            <w:shd w:val="clear" w:color="auto" w:fill="auto"/>
            <w:noWrap/>
            <w:hideMark/>
          </w:tcPr>
          <w:p w14:paraId="73D3F17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Monson</w:t>
            </w:r>
          </w:p>
        </w:tc>
        <w:tc>
          <w:tcPr>
            <w:tcW w:w="0" w:type="auto"/>
            <w:shd w:val="clear" w:color="auto" w:fill="auto"/>
            <w:noWrap/>
            <w:hideMark/>
          </w:tcPr>
          <w:p w14:paraId="24E47DD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Superintendent-Director, Blackstone Valley Vocational Regional School District</w:t>
            </w:r>
          </w:p>
        </w:tc>
      </w:tr>
      <w:tr w:rsidR="00D1150C" w:rsidRPr="007F2293" w14:paraId="33FDC12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C1D076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Wendy Flaherty</w:t>
            </w:r>
          </w:p>
        </w:tc>
        <w:tc>
          <w:tcPr>
            <w:tcW w:w="0" w:type="auto"/>
            <w:shd w:val="clear" w:color="auto" w:fill="auto"/>
            <w:noWrap/>
            <w:hideMark/>
          </w:tcPr>
          <w:p w14:paraId="30B1288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w:t>
            </w:r>
          </w:p>
        </w:tc>
        <w:tc>
          <w:tcPr>
            <w:tcW w:w="0" w:type="auto"/>
            <w:shd w:val="clear" w:color="auto" w:fill="auto"/>
            <w:noWrap/>
            <w:hideMark/>
          </w:tcPr>
          <w:p w14:paraId="176C622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1A8E43A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8E84A0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Stanley Garland</w:t>
            </w:r>
          </w:p>
        </w:tc>
        <w:tc>
          <w:tcPr>
            <w:tcW w:w="0" w:type="auto"/>
            <w:shd w:val="clear" w:color="auto" w:fill="auto"/>
            <w:noWrap/>
            <w:hideMark/>
          </w:tcPr>
          <w:p w14:paraId="726D3D0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63CBBFE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Selectboard</w:t>
            </w:r>
          </w:p>
        </w:tc>
      </w:tr>
      <w:tr w:rsidR="00D1150C" w:rsidRPr="007F2293" w14:paraId="33A621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4D95B31"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Tanya Gaylord</w:t>
            </w:r>
          </w:p>
        </w:tc>
        <w:tc>
          <w:tcPr>
            <w:tcW w:w="0" w:type="auto"/>
            <w:shd w:val="clear" w:color="auto" w:fill="auto"/>
            <w:noWrap/>
            <w:hideMark/>
          </w:tcPr>
          <w:p w14:paraId="418C344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Clearwater, FL</w:t>
            </w:r>
          </w:p>
        </w:tc>
        <w:tc>
          <w:tcPr>
            <w:tcW w:w="0" w:type="auto"/>
            <w:shd w:val="clear" w:color="auto" w:fill="auto"/>
            <w:noWrap/>
            <w:hideMark/>
          </w:tcPr>
          <w:p w14:paraId="3ABE5A9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Pioneer Valley Regional School District</w:t>
            </w:r>
          </w:p>
        </w:tc>
      </w:tr>
      <w:tr w:rsidR="00D1150C" w:rsidRPr="007F2293" w14:paraId="77DEBEC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766ED5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Michele Giarusso</w:t>
            </w:r>
          </w:p>
        </w:tc>
        <w:tc>
          <w:tcPr>
            <w:tcW w:w="0" w:type="auto"/>
            <w:shd w:val="clear" w:color="auto" w:fill="auto"/>
            <w:noWrap/>
            <w:hideMark/>
          </w:tcPr>
          <w:p w14:paraId="12AC40B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Leyden</w:t>
            </w:r>
          </w:p>
        </w:tc>
        <w:tc>
          <w:tcPr>
            <w:tcW w:w="0" w:type="auto"/>
            <w:shd w:val="clear" w:color="auto" w:fill="auto"/>
            <w:noWrap/>
            <w:hideMark/>
          </w:tcPr>
          <w:p w14:paraId="753B1D4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Verizon Communications</w:t>
            </w:r>
          </w:p>
        </w:tc>
      </w:tr>
      <w:tr w:rsidR="00D1150C" w:rsidRPr="007F2293" w14:paraId="281385F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749A28C"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Marlena Gilbert</w:t>
            </w:r>
          </w:p>
        </w:tc>
        <w:tc>
          <w:tcPr>
            <w:tcW w:w="0" w:type="auto"/>
            <w:shd w:val="clear" w:color="auto" w:fill="auto"/>
            <w:noWrap/>
            <w:hideMark/>
          </w:tcPr>
          <w:p w14:paraId="1EEDAF0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w:t>
            </w:r>
          </w:p>
        </w:tc>
        <w:tc>
          <w:tcPr>
            <w:tcW w:w="0" w:type="auto"/>
            <w:shd w:val="clear" w:color="auto" w:fill="auto"/>
            <w:noWrap/>
            <w:hideMark/>
          </w:tcPr>
          <w:p w14:paraId="1F5F5A2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GDRSC</w:t>
            </w:r>
          </w:p>
        </w:tc>
      </w:tr>
      <w:tr w:rsidR="00D1150C" w:rsidRPr="007F2293" w14:paraId="224C885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007BDE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Paul Goldner</w:t>
            </w:r>
          </w:p>
        </w:tc>
        <w:tc>
          <w:tcPr>
            <w:tcW w:w="0" w:type="auto"/>
            <w:shd w:val="clear" w:color="auto" w:fill="auto"/>
            <w:noWrap/>
            <w:hideMark/>
          </w:tcPr>
          <w:p w14:paraId="140D515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Byfield</w:t>
            </w:r>
          </w:p>
        </w:tc>
        <w:tc>
          <w:tcPr>
            <w:tcW w:w="0" w:type="auto"/>
            <w:shd w:val="clear" w:color="auto" w:fill="auto"/>
            <w:noWrap/>
            <w:hideMark/>
          </w:tcPr>
          <w:p w14:paraId="5DF5305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50C1F2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D1772C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Dr. J Lynn Griesemer</w:t>
            </w:r>
          </w:p>
        </w:tc>
        <w:tc>
          <w:tcPr>
            <w:tcW w:w="0" w:type="auto"/>
            <w:shd w:val="clear" w:color="auto" w:fill="auto"/>
            <w:noWrap/>
            <w:hideMark/>
          </w:tcPr>
          <w:p w14:paraId="379B423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5A471C0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 Town Council</w:t>
            </w:r>
          </w:p>
        </w:tc>
      </w:tr>
      <w:tr w:rsidR="00D1150C" w:rsidRPr="007F2293" w14:paraId="1DF6B90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D13DB61"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Maleah Gustafson</w:t>
            </w:r>
          </w:p>
        </w:tc>
        <w:tc>
          <w:tcPr>
            <w:tcW w:w="0" w:type="auto"/>
            <w:shd w:val="clear" w:color="auto" w:fill="auto"/>
            <w:noWrap/>
            <w:hideMark/>
          </w:tcPr>
          <w:p w14:paraId="2DD40BB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Jefferson</w:t>
            </w:r>
          </w:p>
        </w:tc>
        <w:tc>
          <w:tcPr>
            <w:tcW w:w="0" w:type="auto"/>
            <w:shd w:val="clear" w:color="auto" w:fill="auto"/>
            <w:noWrap/>
            <w:hideMark/>
          </w:tcPr>
          <w:p w14:paraId="3AD1CEC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4B8E3E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D26253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Ginny Hamilton</w:t>
            </w:r>
          </w:p>
        </w:tc>
        <w:tc>
          <w:tcPr>
            <w:tcW w:w="0" w:type="auto"/>
            <w:shd w:val="clear" w:color="auto" w:fill="auto"/>
            <w:noWrap/>
            <w:hideMark/>
          </w:tcPr>
          <w:p w14:paraId="5B6F056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4D2FFAE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61AF459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40CF8E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Roger Hatch</w:t>
            </w:r>
          </w:p>
        </w:tc>
        <w:tc>
          <w:tcPr>
            <w:tcW w:w="0" w:type="auto"/>
            <w:shd w:val="clear" w:color="auto" w:fill="auto"/>
            <w:noWrap/>
            <w:hideMark/>
          </w:tcPr>
          <w:p w14:paraId="00B58EC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Littleton</w:t>
            </w:r>
          </w:p>
        </w:tc>
        <w:tc>
          <w:tcPr>
            <w:tcW w:w="0" w:type="auto"/>
            <w:shd w:val="clear" w:color="auto" w:fill="auto"/>
            <w:noWrap/>
            <w:hideMark/>
          </w:tcPr>
          <w:p w14:paraId="503378D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Retired</w:t>
            </w:r>
          </w:p>
        </w:tc>
      </w:tr>
      <w:tr w:rsidR="00D1150C" w:rsidRPr="007F2293" w14:paraId="42B3DF5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C0E933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Geraldine Herlihy</w:t>
            </w:r>
          </w:p>
        </w:tc>
        <w:tc>
          <w:tcPr>
            <w:tcW w:w="0" w:type="auto"/>
            <w:shd w:val="clear" w:color="auto" w:fill="auto"/>
            <w:noWrap/>
            <w:hideMark/>
          </w:tcPr>
          <w:p w14:paraId="7632967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Holden</w:t>
            </w:r>
          </w:p>
        </w:tc>
        <w:tc>
          <w:tcPr>
            <w:tcW w:w="0" w:type="auto"/>
            <w:shd w:val="clear" w:color="auto" w:fill="auto"/>
            <w:noWrap/>
            <w:hideMark/>
          </w:tcPr>
          <w:p w14:paraId="0DC4671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Holden Board of Selectmen</w:t>
            </w:r>
          </w:p>
        </w:tc>
      </w:tr>
      <w:tr w:rsidR="00D1150C" w:rsidRPr="007F2293" w14:paraId="73C4EA4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98C858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David B. Hopson</w:t>
            </w:r>
          </w:p>
        </w:tc>
        <w:tc>
          <w:tcPr>
            <w:tcW w:w="0" w:type="auto"/>
            <w:shd w:val="clear" w:color="auto" w:fill="auto"/>
            <w:noWrap/>
            <w:hideMark/>
          </w:tcPr>
          <w:p w14:paraId="6EEB028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Blandford</w:t>
            </w:r>
          </w:p>
        </w:tc>
        <w:tc>
          <w:tcPr>
            <w:tcW w:w="0" w:type="auto"/>
            <w:shd w:val="clear" w:color="auto" w:fill="auto"/>
            <w:noWrap/>
            <w:hideMark/>
          </w:tcPr>
          <w:p w14:paraId="48CCCC4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Gateway Regional School District</w:t>
            </w:r>
          </w:p>
        </w:tc>
      </w:tr>
      <w:tr w:rsidR="00D1150C" w:rsidRPr="007F2293" w14:paraId="2113227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45D5C2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Hallie Hughes</w:t>
            </w:r>
          </w:p>
        </w:tc>
        <w:tc>
          <w:tcPr>
            <w:tcW w:w="0" w:type="auto"/>
            <w:shd w:val="clear" w:color="auto" w:fill="auto"/>
            <w:noWrap/>
            <w:hideMark/>
          </w:tcPr>
          <w:p w14:paraId="6CA4DF1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0C0E710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508CA34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61CF70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lastRenderedPageBreak/>
              <w:t>Ellen James</w:t>
            </w:r>
          </w:p>
        </w:tc>
        <w:tc>
          <w:tcPr>
            <w:tcW w:w="0" w:type="auto"/>
            <w:shd w:val="clear" w:color="auto" w:fill="auto"/>
            <w:noWrap/>
            <w:hideMark/>
          </w:tcPr>
          <w:p w14:paraId="503EC22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Northampton</w:t>
            </w:r>
          </w:p>
        </w:tc>
        <w:tc>
          <w:tcPr>
            <w:tcW w:w="0" w:type="auto"/>
            <w:shd w:val="clear" w:color="auto" w:fill="auto"/>
            <w:noWrap/>
            <w:hideMark/>
          </w:tcPr>
          <w:p w14:paraId="12AB4BE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3FAC810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E61C9D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Roberto A. Jimenez-Rivera</w:t>
            </w:r>
          </w:p>
        </w:tc>
        <w:tc>
          <w:tcPr>
            <w:tcW w:w="0" w:type="auto"/>
            <w:shd w:val="clear" w:color="auto" w:fill="auto"/>
            <w:noWrap/>
            <w:hideMark/>
          </w:tcPr>
          <w:p w14:paraId="488A1E0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Chelsea</w:t>
            </w:r>
          </w:p>
        </w:tc>
        <w:tc>
          <w:tcPr>
            <w:tcW w:w="0" w:type="auto"/>
            <w:shd w:val="clear" w:color="auto" w:fill="auto"/>
            <w:noWrap/>
            <w:hideMark/>
          </w:tcPr>
          <w:p w14:paraId="75AE6D8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Chelsea School Committee</w:t>
            </w:r>
          </w:p>
        </w:tc>
      </w:tr>
      <w:tr w:rsidR="00D1150C" w:rsidRPr="007F2293" w14:paraId="712C444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7DDB63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John Kalemkeridis</w:t>
            </w:r>
          </w:p>
        </w:tc>
        <w:tc>
          <w:tcPr>
            <w:tcW w:w="0" w:type="auto"/>
            <w:shd w:val="clear" w:color="auto" w:fill="auto"/>
            <w:noWrap/>
            <w:hideMark/>
          </w:tcPr>
          <w:p w14:paraId="6FA528C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2E1B878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32FF60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A433A2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Russ Kaubris</w:t>
            </w:r>
          </w:p>
        </w:tc>
        <w:tc>
          <w:tcPr>
            <w:tcW w:w="0" w:type="auto"/>
            <w:shd w:val="clear" w:color="auto" w:fill="auto"/>
            <w:noWrap/>
            <w:hideMark/>
          </w:tcPr>
          <w:p w14:paraId="101A70B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Greenfield</w:t>
            </w:r>
          </w:p>
        </w:tc>
        <w:tc>
          <w:tcPr>
            <w:tcW w:w="0" w:type="auto"/>
            <w:shd w:val="clear" w:color="auto" w:fill="auto"/>
            <w:noWrap/>
            <w:hideMark/>
          </w:tcPr>
          <w:p w14:paraId="6161E23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Franklin County Technical School District</w:t>
            </w:r>
          </w:p>
        </w:tc>
      </w:tr>
      <w:tr w:rsidR="00D1150C" w:rsidRPr="007F2293" w14:paraId="4C0B990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1FE3E2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Jessica Keegan</w:t>
            </w:r>
          </w:p>
        </w:tc>
        <w:tc>
          <w:tcPr>
            <w:tcW w:w="0" w:type="auto"/>
            <w:shd w:val="clear" w:color="auto" w:fill="auto"/>
            <w:noWrap/>
            <w:hideMark/>
          </w:tcPr>
          <w:p w14:paraId="71A3A00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2D3E59E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116EA5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3FB9961"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Maura E Keene</w:t>
            </w:r>
          </w:p>
        </w:tc>
        <w:tc>
          <w:tcPr>
            <w:tcW w:w="0" w:type="auto"/>
            <w:shd w:val="clear" w:color="auto" w:fill="auto"/>
            <w:noWrap/>
            <w:hideMark/>
          </w:tcPr>
          <w:p w14:paraId="163822A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02959F8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020196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729110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Brian Keir</w:t>
            </w:r>
          </w:p>
        </w:tc>
        <w:tc>
          <w:tcPr>
            <w:tcW w:w="0" w:type="auto"/>
            <w:shd w:val="clear" w:color="auto" w:fill="auto"/>
            <w:noWrap/>
            <w:hideMark/>
          </w:tcPr>
          <w:p w14:paraId="6D8023D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67EB120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Selectboard</w:t>
            </w:r>
          </w:p>
        </w:tc>
      </w:tr>
      <w:tr w:rsidR="00D1150C" w:rsidRPr="007F2293" w14:paraId="76E06D2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A7C0D84"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Laura Kirshenbaum</w:t>
            </w:r>
          </w:p>
        </w:tc>
        <w:tc>
          <w:tcPr>
            <w:tcW w:w="0" w:type="auto"/>
            <w:shd w:val="clear" w:color="auto" w:fill="auto"/>
            <w:noWrap/>
            <w:hideMark/>
          </w:tcPr>
          <w:p w14:paraId="741F4D2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Holden</w:t>
            </w:r>
          </w:p>
        </w:tc>
        <w:tc>
          <w:tcPr>
            <w:tcW w:w="0" w:type="auto"/>
            <w:shd w:val="clear" w:color="auto" w:fill="auto"/>
            <w:noWrap/>
            <w:hideMark/>
          </w:tcPr>
          <w:p w14:paraId="6FDFC6F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5CF0F40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AC894B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Linda Long-Bellil</w:t>
            </w:r>
          </w:p>
        </w:tc>
        <w:tc>
          <w:tcPr>
            <w:tcW w:w="0" w:type="auto"/>
            <w:shd w:val="clear" w:color="auto" w:fill="auto"/>
            <w:noWrap/>
            <w:hideMark/>
          </w:tcPr>
          <w:p w14:paraId="1BFEDE3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Holden</w:t>
            </w:r>
          </w:p>
        </w:tc>
        <w:tc>
          <w:tcPr>
            <w:tcW w:w="0" w:type="auto"/>
            <w:shd w:val="clear" w:color="auto" w:fill="auto"/>
            <w:noWrap/>
            <w:hideMark/>
          </w:tcPr>
          <w:p w14:paraId="1B9FCFB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Wachusett Regional School District Committee</w:t>
            </w:r>
          </w:p>
        </w:tc>
      </w:tr>
      <w:tr w:rsidR="00D1150C" w:rsidRPr="007F2293" w14:paraId="48D8EA0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72096B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Shannon Lovett</w:t>
            </w:r>
          </w:p>
        </w:tc>
        <w:tc>
          <w:tcPr>
            <w:tcW w:w="0" w:type="auto"/>
            <w:shd w:val="clear" w:color="auto" w:fill="auto"/>
            <w:noWrap/>
            <w:hideMark/>
          </w:tcPr>
          <w:p w14:paraId="0843DE2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Charlemont</w:t>
            </w:r>
          </w:p>
        </w:tc>
        <w:tc>
          <w:tcPr>
            <w:tcW w:w="0" w:type="auto"/>
            <w:shd w:val="clear" w:color="auto" w:fill="auto"/>
            <w:noWrap/>
            <w:hideMark/>
          </w:tcPr>
          <w:p w14:paraId="2EAD491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C4FD92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4976BC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Leiha Maldonado</w:t>
            </w:r>
          </w:p>
        </w:tc>
        <w:tc>
          <w:tcPr>
            <w:tcW w:w="0" w:type="auto"/>
            <w:shd w:val="clear" w:color="auto" w:fill="auto"/>
            <w:noWrap/>
            <w:hideMark/>
          </w:tcPr>
          <w:p w14:paraId="000FA67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Shelburne</w:t>
            </w:r>
          </w:p>
        </w:tc>
        <w:tc>
          <w:tcPr>
            <w:tcW w:w="0" w:type="auto"/>
            <w:shd w:val="clear" w:color="auto" w:fill="auto"/>
            <w:noWrap/>
            <w:hideMark/>
          </w:tcPr>
          <w:p w14:paraId="7370E00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MTRSD School Committee</w:t>
            </w:r>
          </w:p>
        </w:tc>
      </w:tr>
      <w:tr w:rsidR="00D1150C" w:rsidRPr="007F2293" w14:paraId="1747EBE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E4B1FB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Barbara Malkas</w:t>
            </w:r>
          </w:p>
        </w:tc>
        <w:tc>
          <w:tcPr>
            <w:tcW w:w="0" w:type="auto"/>
            <w:shd w:val="clear" w:color="auto" w:fill="auto"/>
            <w:noWrap/>
            <w:hideMark/>
          </w:tcPr>
          <w:p w14:paraId="130C61D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Clarksburg</w:t>
            </w:r>
          </w:p>
        </w:tc>
        <w:tc>
          <w:tcPr>
            <w:tcW w:w="0" w:type="auto"/>
            <w:shd w:val="clear" w:color="auto" w:fill="auto"/>
            <w:noWrap/>
            <w:hideMark/>
          </w:tcPr>
          <w:p w14:paraId="5D12049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North Adams Public Schools</w:t>
            </w:r>
          </w:p>
        </w:tc>
      </w:tr>
      <w:tr w:rsidR="00D1150C" w:rsidRPr="007F2293" w14:paraId="07817FD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D30DF5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Sean Mangano</w:t>
            </w:r>
          </w:p>
        </w:tc>
        <w:tc>
          <w:tcPr>
            <w:tcW w:w="0" w:type="auto"/>
            <w:shd w:val="clear" w:color="auto" w:fill="auto"/>
            <w:noWrap/>
            <w:hideMark/>
          </w:tcPr>
          <w:p w14:paraId="16F50D2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Belchertown</w:t>
            </w:r>
          </w:p>
        </w:tc>
        <w:tc>
          <w:tcPr>
            <w:tcW w:w="0" w:type="auto"/>
            <w:shd w:val="clear" w:color="auto" w:fill="auto"/>
            <w:noWrap/>
            <w:hideMark/>
          </w:tcPr>
          <w:p w14:paraId="5207923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71C393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E12C4A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Alison Manugian</w:t>
            </w:r>
          </w:p>
        </w:tc>
        <w:tc>
          <w:tcPr>
            <w:tcW w:w="0" w:type="auto"/>
            <w:shd w:val="clear" w:color="auto" w:fill="auto"/>
            <w:noWrap/>
            <w:hideMark/>
          </w:tcPr>
          <w:p w14:paraId="010F418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w:t>
            </w:r>
          </w:p>
        </w:tc>
        <w:tc>
          <w:tcPr>
            <w:tcW w:w="0" w:type="auto"/>
            <w:shd w:val="clear" w:color="auto" w:fill="auto"/>
            <w:noWrap/>
            <w:hideMark/>
          </w:tcPr>
          <w:p w14:paraId="4152232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Selectboard</w:t>
            </w:r>
          </w:p>
        </w:tc>
      </w:tr>
      <w:tr w:rsidR="00D1150C" w:rsidRPr="007F2293" w14:paraId="32D2B4C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0CC877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Kate Martineau</w:t>
            </w:r>
          </w:p>
        </w:tc>
        <w:tc>
          <w:tcPr>
            <w:tcW w:w="0" w:type="auto"/>
            <w:shd w:val="clear" w:color="auto" w:fill="auto"/>
            <w:noWrap/>
            <w:hideMark/>
          </w:tcPr>
          <w:p w14:paraId="2175C3D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Millers Falls</w:t>
            </w:r>
          </w:p>
        </w:tc>
        <w:tc>
          <w:tcPr>
            <w:tcW w:w="0" w:type="auto"/>
            <w:shd w:val="clear" w:color="auto" w:fill="auto"/>
            <w:noWrap/>
            <w:hideMark/>
          </w:tcPr>
          <w:p w14:paraId="3DE5C56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LES PTO</w:t>
            </w:r>
          </w:p>
        </w:tc>
      </w:tr>
      <w:tr w:rsidR="00D1150C" w:rsidRPr="007F2293" w14:paraId="1B64681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86EA84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Thomas Matuszko</w:t>
            </w:r>
          </w:p>
        </w:tc>
        <w:tc>
          <w:tcPr>
            <w:tcW w:w="0" w:type="auto"/>
            <w:shd w:val="clear" w:color="auto" w:fill="auto"/>
            <w:noWrap/>
            <w:hideMark/>
          </w:tcPr>
          <w:p w14:paraId="283BD35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Berkshire County</w:t>
            </w:r>
          </w:p>
        </w:tc>
        <w:tc>
          <w:tcPr>
            <w:tcW w:w="0" w:type="auto"/>
            <w:shd w:val="clear" w:color="auto" w:fill="auto"/>
            <w:noWrap/>
            <w:hideMark/>
          </w:tcPr>
          <w:p w14:paraId="1A28698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Berkshire Regional Planning Commission</w:t>
            </w:r>
          </w:p>
        </w:tc>
      </w:tr>
      <w:tr w:rsidR="00D1150C" w:rsidRPr="007F2293" w14:paraId="1651C4E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5F9CEE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Susan Mcbride</w:t>
            </w:r>
          </w:p>
        </w:tc>
        <w:tc>
          <w:tcPr>
            <w:tcW w:w="0" w:type="auto"/>
            <w:shd w:val="clear" w:color="auto" w:fill="auto"/>
            <w:noWrap/>
            <w:hideMark/>
          </w:tcPr>
          <w:p w14:paraId="0B82AB7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Rehoboth</w:t>
            </w:r>
          </w:p>
        </w:tc>
        <w:tc>
          <w:tcPr>
            <w:tcW w:w="0" w:type="auto"/>
            <w:shd w:val="clear" w:color="auto" w:fill="auto"/>
            <w:noWrap/>
            <w:hideMark/>
          </w:tcPr>
          <w:p w14:paraId="2EF8B55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Finance Committee</w:t>
            </w:r>
          </w:p>
        </w:tc>
      </w:tr>
      <w:tr w:rsidR="00D1150C" w:rsidRPr="007F2293" w14:paraId="5F71B48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9FB231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Michael Mcbride</w:t>
            </w:r>
          </w:p>
        </w:tc>
        <w:tc>
          <w:tcPr>
            <w:tcW w:w="0" w:type="auto"/>
            <w:shd w:val="clear" w:color="auto" w:fill="auto"/>
            <w:noWrap/>
            <w:hideMark/>
          </w:tcPr>
          <w:p w14:paraId="127DEF0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Rehoboth</w:t>
            </w:r>
          </w:p>
        </w:tc>
        <w:tc>
          <w:tcPr>
            <w:tcW w:w="0" w:type="auto"/>
            <w:shd w:val="clear" w:color="auto" w:fill="auto"/>
            <w:noWrap/>
            <w:hideMark/>
          </w:tcPr>
          <w:p w14:paraId="044829A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8E60E9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828150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Darryll Mccall</w:t>
            </w:r>
          </w:p>
        </w:tc>
        <w:tc>
          <w:tcPr>
            <w:tcW w:w="0" w:type="auto"/>
            <w:shd w:val="clear" w:color="auto" w:fill="auto"/>
            <w:noWrap/>
            <w:hideMark/>
          </w:tcPr>
          <w:p w14:paraId="24BBBA4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Rutland</w:t>
            </w:r>
          </w:p>
        </w:tc>
        <w:tc>
          <w:tcPr>
            <w:tcW w:w="0" w:type="auto"/>
            <w:shd w:val="clear" w:color="auto" w:fill="auto"/>
            <w:noWrap/>
            <w:hideMark/>
          </w:tcPr>
          <w:p w14:paraId="50E5547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Superintendent of Wachusett Regional School District</w:t>
            </w:r>
          </w:p>
        </w:tc>
      </w:tr>
      <w:tr w:rsidR="00D1150C" w:rsidRPr="007F2293" w14:paraId="021C498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CCA2A30"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Gerald Mccue</w:t>
            </w:r>
          </w:p>
        </w:tc>
        <w:tc>
          <w:tcPr>
            <w:tcW w:w="0" w:type="auto"/>
            <w:shd w:val="clear" w:color="auto" w:fill="auto"/>
            <w:noWrap/>
            <w:hideMark/>
          </w:tcPr>
          <w:p w14:paraId="72C17F4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Somerville</w:t>
            </w:r>
          </w:p>
        </w:tc>
        <w:tc>
          <w:tcPr>
            <w:tcW w:w="0" w:type="auto"/>
            <w:shd w:val="clear" w:color="auto" w:fill="auto"/>
            <w:noWrap/>
            <w:hideMark/>
          </w:tcPr>
          <w:p w14:paraId="043BB85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Chelsea Public Schools</w:t>
            </w:r>
          </w:p>
        </w:tc>
      </w:tr>
      <w:tr w:rsidR="00D1150C" w:rsidRPr="007F2293" w14:paraId="7350C0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23CE0E3"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Helen Miller</w:t>
            </w:r>
          </w:p>
        </w:tc>
        <w:tc>
          <w:tcPr>
            <w:tcW w:w="0" w:type="auto"/>
            <w:shd w:val="clear" w:color="auto" w:fill="auto"/>
            <w:noWrap/>
            <w:hideMark/>
          </w:tcPr>
          <w:p w14:paraId="448C241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Northampton</w:t>
            </w:r>
          </w:p>
        </w:tc>
        <w:tc>
          <w:tcPr>
            <w:tcW w:w="0" w:type="auto"/>
            <w:shd w:val="clear" w:color="auto" w:fill="auto"/>
            <w:noWrap/>
            <w:hideMark/>
          </w:tcPr>
          <w:p w14:paraId="4F510C4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Ralph C. Mahar Regional School</w:t>
            </w:r>
          </w:p>
        </w:tc>
      </w:tr>
      <w:tr w:rsidR="00D1150C" w:rsidRPr="007F2293" w14:paraId="51374D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BFCB89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Margaret D. Miller</w:t>
            </w:r>
          </w:p>
        </w:tc>
        <w:tc>
          <w:tcPr>
            <w:tcW w:w="0" w:type="auto"/>
            <w:shd w:val="clear" w:color="auto" w:fill="auto"/>
            <w:noWrap/>
            <w:hideMark/>
          </w:tcPr>
          <w:p w14:paraId="2942498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Florence</w:t>
            </w:r>
          </w:p>
        </w:tc>
        <w:tc>
          <w:tcPr>
            <w:tcW w:w="0" w:type="auto"/>
            <w:shd w:val="clear" w:color="auto" w:fill="auto"/>
            <w:noWrap/>
            <w:hideMark/>
          </w:tcPr>
          <w:p w14:paraId="6F0C983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57A6B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1B21A3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Darius Modestow</w:t>
            </w:r>
          </w:p>
        </w:tc>
        <w:tc>
          <w:tcPr>
            <w:tcW w:w="0" w:type="auto"/>
            <w:shd w:val="clear" w:color="auto" w:fill="auto"/>
            <w:noWrap/>
            <w:hideMark/>
          </w:tcPr>
          <w:p w14:paraId="38A51D3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South Deerfield</w:t>
            </w:r>
          </w:p>
        </w:tc>
        <w:tc>
          <w:tcPr>
            <w:tcW w:w="0" w:type="auto"/>
            <w:shd w:val="clear" w:color="auto" w:fill="auto"/>
            <w:noWrap/>
            <w:hideMark/>
          </w:tcPr>
          <w:p w14:paraId="315E309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Frontier Regional School &amp; Union #38</w:t>
            </w:r>
          </w:p>
        </w:tc>
      </w:tr>
      <w:tr w:rsidR="00D1150C" w:rsidRPr="007F2293" w14:paraId="0A698D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4823B8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Michael Naughton</w:t>
            </w:r>
          </w:p>
        </w:tc>
        <w:tc>
          <w:tcPr>
            <w:tcW w:w="0" w:type="auto"/>
            <w:shd w:val="clear" w:color="auto" w:fill="auto"/>
            <w:noWrap/>
            <w:hideMark/>
          </w:tcPr>
          <w:p w14:paraId="53331FF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Montague</w:t>
            </w:r>
          </w:p>
        </w:tc>
        <w:tc>
          <w:tcPr>
            <w:tcW w:w="0" w:type="auto"/>
            <w:shd w:val="clear" w:color="auto" w:fill="auto"/>
            <w:noWrap/>
            <w:hideMark/>
          </w:tcPr>
          <w:p w14:paraId="6B5DD96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Six-Town Regional Planning Board, former member Montague Finance Committee</w:t>
            </w:r>
          </w:p>
        </w:tc>
      </w:tr>
      <w:tr w:rsidR="00D1150C" w:rsidRPr="007F2293" w14:paraId="4928F7B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756A3A4"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Stephen H. Nestanpower</w:t>
            </w:r>
          </w:p>
        </w:tc>
        <w:tc>
          <w:tcPr>
            <w:tcW w:w="0" w:type="auto"/>
            <w:shd w:val="clear" w:color="auto" w:fill="auto"/>
            <w:noWrap/>
            <w:hideMark/>
          </w:tcPr>
          <w:p w14:paraId="41D09C5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7B09FC8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Finance Committee, Bernardston</w:t>
            </w:r>
          </w:p>
        </w:tc>
      </w:tr>
      <w:tr w:rsidR="00D1150C" w:rsidRPr="007F2293" w14:paraId="64EC463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3B333D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Tracy O'Connell Novick</w:t>
            </w:r>
          </w:p>
        </w:tc>
        <w:tc>
          <w:tcPr>
            <w:tcW w:w="0" w:type="auto"/>
            <w:shd w:val="clear" w:color="auto" w:fill="auto"/>
            <w:noWrap/>
            <w:hideMark/>
          </w:tcPr>
          <w:p w14:paraId="4CD99B1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Worcester</w:t>
            </w:r>
          </w:p>
        </w:tc>
        <w:tc>
          <w:tcPr>
            <w:tcW w:w="0" w:type="auto"/>
            <w:shd w:val="clear" w:color="auto" w:fill="auto"/>
            <w:noWrap/>
            <w:hideMark/>
          </w:tcPr>
          <w:p w14:paraId="531EF00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Worcester School Committee</w:t>
            </w:r>
          </w:p>
        </w:tc>
      </w:tr>
      <w:tr w:rsidR="00D1150C" w:rsidRPr="007F2293" w14:paraId="45366C0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74E92D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Walter Nutter</w:t>
            </w:r>
          </w:p>
        </w:tc>
        <w:tc>
          <w:tcPr>
            <w:tcW w:w="0" w:type="auto"/>
            <w:shd w:val="clear" w:color="auto" w:fill="auto"/>
            <w:noWrap/>
            <w:hideMark/>
          </w:tcPr>
          <w:p w14:paraId="7C64C47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Oakham</w:t>
            </w:r>
          </w:p>
        </w:tc>
        <w:tc>
          <w:tcPr>
            <w:tcW w:w="0" w:type="auto"/>
            <w:shd w:val="clear" w:color="auto" w:fill="auto"/>
            <w:noWrap/>
            <w:hideMark/>
          </w:tcPr>
          <w:p w14:paraId="40D1A1B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Quabbin RSD</w:t>
            </w:r>
          </w:p>
        </w:tc>
      </w:tr>
      <w:tr w:rsidR="00D1150C" w:rsidRPr="007F2293" w14:paraId="54F5559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3DC4F3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Kathleen Anne Ottina</w:t>
            </w:r>
          </w:p>
        </w:tc>
        <w:tc>
          <w:tcPr>
            <w:tcW w:w="0" w:type="auto"/>
            <w:shd w:val="clear" w:color="auto" w:fill="auto"/>
            <w:noWrap/>
            <w:hideMark/>
          </w:tcPr>
          <w:p w14:paraId="45D7F40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Whitman</w:t>
            </w:r>
          </w:p>
        </w:tc>
        <w:tc>
          <w:tcPr>
            <w:tcW w:w="0" w:type="auto"/>
            <w:shd w:val="clear" w:color="auto" w:fill="auto"/>
            <w:noWrap/>
            <w:hideMark/>
          </w:tcPr>
          <w:p w14:paraId="08B9A4D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85F4BB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2E2913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Karl Ottmar</w:t>
            </w:r>
          </w:p>
        </w:tc>
        <w:tc>
          <w:tcPr>
            <w:tcW w:w="0" w:type="auto"/>
            <w:shd w:val="clear" w:color="auto" w:fill="auto"/>
            <w:noWrap/>
            <w:hideMark/>
          </w:tcPr>
          <w:p w14:paraId="28EA171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Paxton</w:t>
            </w:r>
          </w:p>
        </w:tc>
        <w:tc>
          <w:tcPr>
            <w:tcW w:w="0" w:type="auto"/>
            <w:shd w:val="clear" w:color="auto" w:fill="auto"/>
            <w:noWrap/>
            <w:hideMark/>
          </w:tcPr>
          <w:p w14:paraId="3784AFF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73BBDF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AE8225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Susan Pimental</w:t>
            </w:r>
          </w:p>
        </w:tc>
        <w:tc>
          <w:tcPr>
            <w:tcW w:w="0" w:type="auto"/>
            <w:shd w:val="clear" w:color="auto" w:fill="auto"/>
            <w:noWrap/>
            <w:hideMark/>
          </w:tcPr>
          <w:p w14:paraId="367A377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Rehoboth</w:t>
            </w:r>
          </w:p>
        </w:tc>
        <w:tc>
          <w:tcPr>
            <w:tcW w:w="0" w:type="auto"/>
            <w:shd w:val="clear" w:color="auto" w:fill="auto"/>
            <w:noWrap/>
            <w:hideMark/>
          </w:tcPr>
          <w:p w14:paraId="09AE1A8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541A48D1"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9F4D87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Tracey Pinkham</w:t>
            </w:r>
          </w:p>
        </w:tc>
        <w:tc>
          <w:tcPr>
            <w:tcW w:w="0" w:type="auto"/>
            <w:shd w:val="clear" w:color="auto" w:fill="auto"/>
            <w:noWrap/>
            <w:hideMark/>
          </w:tcPr>
          <w:p w14:paraId="5122598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Ashfield</w:t>
            </w:r>
          </w:p>
        </w:tc>
        <w:tc>
          <w:tcPr>
            <w:tcW w:w="0" w:type="auto"/>
            <w:shd w:val="clear" w:color="auto" w:fill="auto"/>
            <w:noWrap/>
            <w:hideMark/>
          </w:tcPr>
          <w:p w14:paraId="2DD15E4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15AE70BC"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F686C4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Ray Purington</w:t>
            </w:r>
          </w:p>
        </w:tc>
        <w:tc>
          <w:tcPr>
            <w:tcW w:w="0" w:type="auto"/>
            <w:shd w:val="clear" w:color="auto" w:fill="auto"/>
            <w:noWrap/>
            <w:hideMark/>
          </w:tcPr>
          <w:p w14:paraId="340E4D9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Gill</w:t>
            </w:r>
          </w:p>
        </w:tc>
        <w:tc>
          <w:tcPr>
            <w:tcW w:w="0" w:type="auto"/>
            <w:shd w:val="clear" w:color="auto" w:fill="auto"/>
            <w:noWrap/>
            <w:hideMark/>
          </w:tcPr>
          <w:p w14:paraId="23C3480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of Gill</w:t>
            </w:r>
          </w:p>
        </w:tc>
      </w:tr>
      <w:tr w:rsidR="00D1150C" w:rsidRPr="007F2293" w14:paraId="765E6A5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027A760"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lastRenderedPageBreak/>
              <w:t>Robert R. Raymond</w:t>
            </w:r>
          </w:p>
        </w:tc>
        <w:tc>
          <w:tcPr>
            <w:tcW w:w="0" w:type="auto"/>
            <w:shd w:val="clear" w:color="auto" w:fill="auto"/>
            <w:noWrap/>
            <w:hideMark/>
          </w:tcPr>
          <w:p w14:paraId="6C4CE7D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5D67E8E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Selectboard</w:t>
            </w:r>
          </w:p>
        </w:tc>
      </w:tr>
      <w:tr w:rsidR="00D1150C" w:rsidRPr="007F2293" w14:paraId="4463AD3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F225A9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Linda M. Raymond</w:t>
            </w:r>
          </w:p>
        </w:tc>
        <w:tc>
          <w:tcPr>
            <w:tcW w:w="0" w:type="auto"/>
            <w:shd w:val="clear" w:color="auto" w:fill="auto"/>
            <w:noWrap/>
            <w:hideMark/>
          </w:tcPr>
          <w:p w14:paraId="03F9CAF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Bernardston</w:t>
            </w:r>
          </w:p>
        </w:tc>
        <w:tc>
          <w:tcPr>
            <w:tcW w:w="0" w:type="auto"/>
            <w:shd w:val="clear" w:color="auto" w:fill="auto"/>
            <w:noWrap/>
            <w:hideMark/>
          </w:tcPr>
          <w:p w14:paraId="20ED22F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10CF35D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467F24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Kevin Regan</w:t>
            </w:r>
          </w:p>
        </w:tc>
        <w:tc>
          <w:tcPr>
            <w:tcW w:w="0" w:type="auto"/>
            <w:shd w:val="clear" w:color="auto" w:fill="auto"/>
            <w:noWrap/>
            <w:hideMark/>
          </w:tcPr>
          <w:p w14:paraId="02C6880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155C4BA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3C1EF7C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851405C"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John Robertson</w:t>
            </w:r>
          </w:p>
        </w:tc>
        <w:tc>
          <w:tcPr>
            <w:tcW w:w="0" w:type="auto"/>
            <w:shd w:val="clear" w:color="auto" w:fill="auto"/>
            <w:noWrap/>
            <w:hideMark/>
          </w:tcPr>
          <w:p w14:paraId="601EFFA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Boston</w:t>
            </w:r>
          </w:p>
        </w:tc>
        <w:tc>
          <w:tcPr>
            <w:tcW w:w="0" w:type="auto"/>
            <w:shd w:val="clear" w:color="auto" w:fill="auto"/>
            <w:noWrap/>
            <w:hideMark/>
          </w:tcPr>
          <w:p w14:paraId="2042C22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Massachusetts Municipal Association</w:t>
            </w:r>
          </w:p>
        </w:tc>
      </w:tr>
      <w:tr w:rsidR="00D1150C" w:rsidRPr="007F2293" w14:paraId="65D1AA2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B14948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James E. Rooney</w:t>
            </w:r>
          </w:p>
        </w:tc>
        <w:tc>
          <w:tcPr>
            <w:tcW w:w="0" w:type="auto"/>
            <w:shd w:val="clear" w:color="auto" w:fill="auto"/>
            <w:noWrap/>
            <w:hideMark/>
          </w:tcPr>
          <w:p w14:paraId="2F9346A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Boston</w:t>
            </w:r>
          </w:p>
        </w:tc>
        <w:tc>
          <w:tcPr>
            <w:tcW w:w="0" w:type="auto"/>
            <w:shd w:val="clear" w:color="auto" w:fill="auto"/>
            <w:noWrap/>
            <w:hideMark/>
          </w:tcPr>
          <w:p w14:paraId="400A4A5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Greater Boston Chamber of Commerce</w:t>
            </w:r>
          </w:p>
        </w:tc>
      </w:tr>
      <w:tr w:rsidR="00D1150C" w:rsidRPr="007F2293" w14:paraId="408B789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7790111"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Kate-Marie Roycroft</w:t>
            </w:r>
          </w:p>
        </w:tc>
        <w:tc>
          <w:tcPr>
            <w:tcW w:w="0" w:type="auto"/>
            <w:shd w:val="clear" w:color="auto" w:fill="auto"/>
            <w:noWrap/>
            <w:hideMark/>
          </w:tcPr>
          <w:p w14:paraId="382AC8C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Malden</w:t>
            </w:r>
          </w:p>
        </w:tc>
        <w:tc>
          <w:tcPr>
            <w:tcW w:w="0" w:type="auto"/>
            <w:shd w:val="clear" w:color="auto" w:fill="auto"/>
            <w:noWrap/>
            <w:hideMark/>
          </w:tcPr>
          <w:p w14:paraId="5C65982A" w14:textId="24E340C6"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 xml:space="preserve">Alliance </w:t>
            </w:r>
            <w:r w:rsidR="00213517">
              <w:rPr>
                <w:rFonts w:ascii="Calibri" w:hAnsi="Calibri" w:cs="Calibri"/>
                <w:color w:val="000000"/>
                <w:sz w:val="22"/>
                <w:szCs w:val="22"/>
              </w:rPr>
              <w:t>o</w:t>
            </w:r>
            <w:r w:rsidRPr="007F2293">
              <w:rPr>
                <w:rFonts w:ascii="Calibri" w:hAnsi="Calibri" w:cs="Calibri"/>
                <w:color w:val="000000"/>
                <w:sz w:val="22"/>
                <w:szCs w:val="22"/>
              </w:rPr>
              <w:t>f Massachusetts YMCAS</w:t>
            </w:r>
          </w:p>
        </w:tc>
      </w:tr>
      <w:tr w:rsidR="00D1150C" w:rsidRPr="007F2293" w14:paraId="6CC51F9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19E4A4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Lindi Russell</w:t>
            </w:r>
          </w:p>
        </w:tc>
        <w:tc>
          <w:tcPr>
            <w:tcW w:w="0" w:type="auto"/>
            <w:shd w:val="clear" w:color="auto" w:fill="auto"/>
            <w:noWrap/>
            <w:hideMark/>
          </w:tcPr>
          <w:p w14:paraId="7094E86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Ashfield</w:t>
            </w:r>
          </w:p>
        </w:tc>
        <w:tc>
          <w:tcPr>
            <w:tcW w:w="0" w:type="auto"/>
            <w:shd w:val="clear" w:color="auto" w:fill="auto"/>
            <w:noWrap/>
            <w:hideMark/>
          </w:tcPr>
          <w:p w14:paraId="1BA38F8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Mohawk</w:t>
            </w:r>
          </w:p>
        </w:tc>
      </w:tr>
      <w:tr w:rsidR="00D1150C" w:rsidRPr="007F2293" w14:paraId="5149841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15A4BA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Kimberly L. Russo</w:t>
            </w:r>
          </w:p>
        </w:tc>
        <w:tc>
          <w:tcPr>
            <w:tcW w:w="0" w:type="auto"/>
            <w:shd w:val="clear" w:color="auto" w:fill="auto"/>
            <w:noWrap/>
            <w:hideMark/>
          </w:tcPr>
          <w:p w14:paraId="6016526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53647E2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A0934B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C5DA7A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Dianne Salcedo</w:t>
            </w:r>
          </w:p>
        </w:tc>
        <w:tc>
          <w:tcPr>
            <w:tcW w:w="0" w:type="auto"/>
            <w:shd w:val="clear" w:color="auto" w:fill="auto"/>
            <w:noWrap/>
            <w:hideMark/>
          </w:tcPr>
          <w:p w14:paraId="7FF63D3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2498192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 Elementary School Committee and Ralph C. Mahar Regional School Committee</w:t>
            </w:r>
          </w:p>
        </w:tc>
      </w:tr>
      <w:tr w:rsidR="00D1150C" w:rsidRPr="007F2293" w14:paraId="14C438D6"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E3965D8"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Elaine Sanfilippo</w:t>
            </w:r>
          </w:p>
        </w:tc>
        <w:tc>
          <w:tcPr>
            <w:tcW w:w="0" w:type="auto"/>
            <w:shd w:val="clear" w:color="auto" w:fill="auto"/>
            <w:noWrap/>
            <w:hideMark/>
          </w:tcPr>
          <w:p w14:paraId="0B04DD0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Stow</w:t>
            </w:r>
          </w:p>
        </w:tc>
        <w:tc>
          <w:tcPr>
            <w:tcW w:w="0" w:type="auto"/>
            <w:shd w:val="clear" w:color="auto" w:fill="auto"/>
            <w:noWrap/>
            <w:hideMark/>
          </w:tcPr>
          <w:p w14:paraId="549FE29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0D9DE7A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6C520E4"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Joseph Sawyer</w:t>
            </w:r>
          </w:p>
        </w:tc>
        <w:tc>
          <w:tcPr>
            <w:tcW w:w="0" w:type="auto"/>
            <w:shd w:val="clear" w:color="auto" w:fill="auto"/>
            <w:noWrap/>
            <w:hideMark/>
          </w:tcPr>
          <w:p w14:paraId="138B98A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Shrewsbury</w:t>
            </w:r>
          </w:p>
        </w:tc>
        <w:tc>
          <w:tcPr>
            <w:tcW w:w="0" w:type="auto"/>
            <w:shd w:val="clear" w:color="auto" w:fill="auto"/>
            <w:noWrap/>
            <w:hideMark/>
          </w:tcPr>
          <w:p w14:paraId="6D6D1A7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Superintendent, Shrewsbury Public Schools</w:t>
            </w:r>
          </w:p>
        </w:tc>
      </w:tr>
      <w:tr w:rsidR="00D1150C" w:rsidRPr="007F2293" w14:paraId="716C446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DCBEA9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Alexandre A. Schwanz</w:t>
            </w:r>
          </w:p>
        </w:tc>
        <w:tc>
          <w:tcPr>
            <w:tcW w:w="0" w:type="auto"/>
            <w:shd w:val="clear" w:color="auto" w:fill="auto"/>
            <w:noWrap/>
            <w:hideMark/>
          </w:tcPr>
          <w:p w14:paraId="12F2D02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0827942D" w14:textId="40C984A2"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 xml:space="preserve">Board </w:t>
            </w:r>
            <w:r w:rsidR="00643EA0">
              <w:rPr>
                <w:rFonts w:ascii="Calibri" w:hAnsi="Calibri" w:cs="Calibri"/>
                <w:color w:val="000000"/>
                <w:sz w:val="22"/>
                <w:szCs w:val="22"/>
              </w:rPr>
              <w:t>o</w:t>
            </w:r>
            <w:r w:rsidR="00F952D9">
              <w:rPr>
                <w:rFonts w:ascii="Calibri" w:hAnsi="Calibri" w:cs="Calibri"/>
                <w:color w:val="000000"/>
                <w:sz w:val="22"/>
                <w:szCs w:val="22"/>
              </w:rPr>
              <w:t>f</w:t>
            </w:r>
            <w:r w:rsidRPr="007F2293">
              <w:rPr>
                <w:rFonts w:ascii="Calibri" w:hAnsi="Calibri" w:cs="Calibri"/>
                <w:color w:val="000000"/>
                <w:sz w:val="22"/>
                <w:szCs w:val="22"/>
              </w:rPr>
              <w:t xml:space="preserve"> Selectman</w:t>
            </w:r>
          </w:p>
        </w:tc>
      </w:tr>
      <w:tr w:rsidR="00D1150C" w:rsidRPr="007F2293" w14:paraId="29FE9BC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18A381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Leverett Selectboard</w:t>
            </w:r>
          </w:p>
        </w:tc>
        <w:tc>
          <w:tcPr>
            <w:tcW w:w="0" w:type="auto"/>
            <w:shd w:val="clear" w:color="auto" w:fill="auto"/>
            <w:noWrap/>
            <w:hideMark/>
          </w:tcPr>
          <w:p w14:paraId="0E973F4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Leverett</w:t>
            </w:r>
          </w:p>
        </w:tc>
        <w:tc>
          <w:tcPr>
            <w:tcW w:w="0" w:type="auto"/>
            <w:shd w:val="clear" w:color="auto" w:fill="auto"/>
            <w:noWrap/>
            <w:hideMark/>
          </w:tcPr>
          <w:p w14:paraId="5B64182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of Leverett</w:t>
            </w:r>
          </w:p>
        </w:tc>
      </w:tr>
      <w:tr w:rsidR="00D1150C" w:rsidRPr="007F2293" w14:paraId="5DB570D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7AC044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Petersham Selectboard</w:t>
            </w:r>
          </w:p>
        </w:tc>
        <w:tc>
          <w:tcPr>
            <w:tcW w:w="0" w:type="auto"/>
            <w:shd w:val="clear" w:color="auto" w:fill="auto"/>
            <w:noWrap/>
            <w:hideMark/>
          </w:tcPr>
          <w:p w14:paraId="0D2DEF5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Petersham</w:t>
            </w:r>
          </w:p>
        </w:tc>
        <w:tc>
          <w:tcPr>
            <w:tcW w:w="0" w:type="auto"/>
            <w:shd w:val="clear" w:color="auto" w:fill="auto"/>
            <w:noWrap/>
            <w:hideMark/>
          </w:tcPr>
          <w:p w14:paraId="3643AFA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Selectboard</w:t>
            </w:r>
          </w:p>
        </w:tc>
      </w:tr>
      <w:tr w:rsidR="00D1150C" w:rsidRPr="007F2293" w14:paraId="0B29CC1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4B7525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Megan Shulda</w:t>
            </w:r>
          </w:p>
        </w:tc>
        <w:tc>
          <w:tcPr>
            <w:tcW w:w="0" w:type="auto"/>
            <w:shd w:val="clear" w:color="auto" w:fill="auto"/>
            <w:noWrap/>
            <w:hideMark/>
          </w:tcPr>
          <w:p w14:paraId="57DE596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Ashfield</w:t>
            </w:r>
          </w:p>
        </w:tc>
        <w:tc>
          <w:tcPr>
            <w:tcW w:w="0" w:type="auto"/>
            <w:shd w:val="clear" w:color="auto" w:fill="auto"/>
            <w:noWrap/>
            <w:hideMark/>
          </w:tcPr>
          <w:p w14:paraId="0817913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30C66B1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D862B5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Jeff Singleton</w:t>
            </w:r>
          </w:p>
        </w:tc>
        <w:tc>
          <w:tcPr>
            <w:tcW w:w="0" w:type="auto"/>
            <w:shd w:val="clear" w:color="auto" w:fill="auto"/>
            <w:noWrap/>
            <w:hideMark/>
          </w:tcPr>
          <w:p w14:paraId="7F38DAC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Montague</w:t>
            </w:r>
          </w:p>
        </w:tc>
        <w:tc>
          <w:tcPr>
            <w:tcW w:w="0" w:type="auto"/>
            <w:shd w:val="clear" w:color="auto" w:fill="auto"/>
            <w:noWrap/>
            <w:hideMark/>
          </w:tcPr>
          <w:p w14:paraId="432D028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Former Fin Com, School Committee</w:t>
            </w:r>
          </w:p>
        </w:tc>
      </w:tr>
      <w:tr w:rsidR="00D1150C" w:rsidRPr="007F2293" w14:paraId="703F8BB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706B20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Emily Slater</w:t>
            </w:r>
          </w:p>
        </w:tc>
        <w:tc>
          <w:tcPr>
            <w:tcW w:w="0" w:type="auto"/>
            <w:shd w:val="clear" w:color="auto" w:fill="auto"/>
            <w:noWrap/>
            <w:hideMark/>
          </w:tcPr>
          <w:p w14:paraId="66E8DFF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w:t>
            </w:r>
          </w:p>
        </w:tc>
        <w:tc>
          <w:tcPr>
            <w:tcW w:w="0" w:type="auto"/>
            <w:shd w:val="clear" w:color="auto" w:fill="auto"/>
            <w:noWrap/>
            <w:hideMark/>
          </w:tcPr>
          <w:p w14:paraId="0EE487EF"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Groton Dunstable School District</w:t>
            </w:r>
          </w:p>
        </w:tc>
      </w:tr>
      <w:tr w:rsidR="00D1150C" w:rsidRPr="007F2293" w14:paraId="3D64B9A2"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0DF54DA"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Frederick M. Small</w:t>
            </w:r>
          </w:p>
        </w:tc>
        <w:tc>
          <w:tcPr>
            <w:tcW w:w="0" w:type="auto"/>
            <w:shd w:val="clear" w:color="auto" w:fill="auto"/>
            <w:noWrap/>
            <w:hideMark/>
          </w:tcPr>
          <w:p w14:paraId="22C70EB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Whitman</w:t>
            </w:r>
          </w:p>
        </w:tc>
        <w:tc>
          <w:tcPr>
            <w:tcW w:w="0" w:type="auto"/>
            <w:shd w:val="clear" w:color="auto" w:fill="auto"/>
            <w:noWrap/>
            <w:hideMark/>
          </w:tcPr>
          <w:p w14:paraId="498CE61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Whitman Hanson Regional Committee</w:t>
            </w:r>
          </w:p>
        </w:tc>
      </w:tr>
      <w:tr w:rsidR="00D1150C" w:rsidRPr="007F2293" w14:paraId="307045DD"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C32402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Christopher Smith</w:t>
            </w:r>
          </w:p>
        </w:tc>
        <w:tc>
          <w:tcPr>
            <w:tcW w:w="0" w:type="auto"/>
            <w:shd w:val="clear" w:color="auto" w:fill="auto"/>
            <w:noWrap/>
            <w:hideMark/>
          </w:tcPr>
          <w:p w14:paraId="0ED53E1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Hanson</w:t>
            </w:r>
          </w:p>
        </w:tc>
        <w:tc>
          <w:tcPr>
            <w:tcW w:w="0" w:type="auto"/>
            <w:shd w:val="clear" w:color="auto" w:fill="auto"/>
            <w:noWrap/>
            <w:hideMark/>
          </w:tcPr>
          <w:p w14:paraId="25BBCB3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D6FF6F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E35084C"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Patricia A. Smith</w:t>
            </w:r>
          </w:p>
        </w:tc>
        <w:tc>
          <w:tcPr>
            <w:tcW w:w="0" w:type="auto"/>
            <w:shd w:val="clear" w:color="auto" w:fill="auto"/>
            <w:noWrap/>
            <w:hideMark/>
          </w:tcPr>
          <w:p w14:paraId="338C43B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270ECA3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Vice Chair, Ralph C. Mahar Regional School District School Committee</w:t>
            </w:r>
          </w:p>
        </w:tc>
      </w:tr>
      <w:tr w:rsidR="00D1150C" w:rsidRPr="007F2293" w14:paraId="686E5EE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B6360C3"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Greg Snedeker</w:t>
            </w:r>
          </w:p>
        </w:tc>
        <w:tc>
          <w:tcPr>
            <w:tcW w:w="0" w:type="auto"/>
            <w:shd w:val="clear" w:color="auto" w:fill="auto"/>
            <w:noWrap/>
            <w:hideMark/>
          </w:tcPr>
          <w:p w14:paraId="3E8407A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Gill</w:t>
            </w:r>
          </w:p>
        </w:tc>
        <w:tc>
          <w:tcPr>
            <w:tcW w:w="0" w:type="auto"/>
            <w:shd w:val="clear" w:color="auto" w:fill="auto"/>
            <w:noWrap/>
            <w:hideMark/>
          </w:tcPr>
          <w:p w14:paraId="6A26AAA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Gill Selectboard, Six Town Regionalization Planning Board</w:t>
            </w:r>
          </w:p>
        </w:tc>
      </w:tr>
      <w:tr w:rsidR="00B61298" w:rsidRPr="007F2293" w14:paraId="01EAD02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14:paraId="2276DD1B" w14:textId="2FDE6C19" w:rsidR="00B61298" w:rsidRPr="007F2293" w:rsidRDefault="00B61298" w:rsidP="00D1150C">
            <w:pPr>
              <w:rPr>
                <w:rFonts w:ascii="Calibri" w:hAnsi="Calibri" w:cs="Calibri"/>
                <w:color w:val="000000"/>
                <w:sz w:val="22"/>
                <w:szCs w:val="22"/>
              </w:rPr>
            </w:pPr>
            <w:r>
              <w:rPr>
                <w:rFonts w:ascii="Calibri" w:hAnsi="Calibri" w:cs="Calibri"/>
                <w:color w:val="000000"/>
                <w:sz w:val="22"/>
                <w:szCs w:val="22"/>
              </w:rPr>
              <w:t>Todd Soucy</w:t>
            </w:r>
          </w:p>
        </w:tc>
        <w:tc>
          <w:tcPr>
            <w:tcW w:w="0" w:type="auto"/>
            <w:shd w:val="clear" w:color="auto" w:fill="auto"/>
            <w:noWrap/>
          </w:tcPr>
          <w:p w14:paraId="450D2881" w14:textId="308D590E" w:rsidR="00B61298" w:rsidRPr="007F2293" w:rsidRDefault="00336FFC" w:rsidP="007A30C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Orange</w:t>
            </w:r>
          </w:p>
        </w:tc>
        <w:tc>
          <w:tcPr>
            <w:tcW w:w="0" w:type="auto"/>
            <w:shd w:val="clear" w:color="auto" w:fill="auto"/>
            <w:noWrap/>
          </w:tcPr>
          <w:p w14:paraId="24D7B295" w14:textId="77777777" w:rsidR="00B61298" w:rsidRPr="007F2293" w:rsidRDefault="00B61298" w:rsidP="007A30CF">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56FE266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D3AA1C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Rebecca Spencer</w:t>
            </w:r>
          </w:p>
        </w:tc>
        <w:tc>
          <w:tcPr>
            <w:tcW w:w="0" w:type="auto"/>
            <w:shd w:val="clear" w:color="auto" w:fill="auto"/>
            <w:noWrap/>
            <w:hideMark/>
          </w:tcPr>
          <w:p w14:paraId="7D5D001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Amherst</w:t>
            </w:r>
          </w:p>
        </w:tc>
        <w:tc>
          <w:tcPr>
            <w:tcW w:w="0" w:type="auto"/>
            <w:shd w:val="clear" w:color="auto" w:fill="auto"/>
            <w:noWrap/>
            <w:hideMark/>
          </w:tcPr>
          <w:p w14:paraId="73D895F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6BEF8224"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F1533F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Emma Stamas</w:t>
            </w:r>
          </w:p>
        </w:tc>
        <w:tc>
          <w:tcPr>
            <w:tcW w:w="0" w:type="auto"/>
            <w:shd w:val="clear" w:color="auto" w:fill="auto"/>
            <w:noWrap/>
            <w:hideMark/>
          </w:tcPr>
          <w:p w14:paraId="1B78253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Colrain</w:t>
            </w:r>
          </w:p>
        </w:tc>
        <w:tc>
          <w:tcPr>
            <w:tcW w:w="0" w:type="auto"/>
            <w:shd w:val="clear" w:color="auto" w:fill="auto"/>
            <w:noWrap/>
            <w:hideMark/>
          </w:tcPr>
          <w:p w14:paraId="6B385A5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131DD7B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E608FB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Sara Stanley</w:t>
            </w:r>
          </w:p>
        </w:tc>
        <w:tc>
          <w:tcPr>
            <w:tcW w:w="0" w:type="auto"/>
            <w:shd w:val="clear" w:color="auto" w:fill="auto"/>
            <w:noWrap/>
            <w:hideMark/>
          </w:tcPr>
          <w:p w14:paraId="397579C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Rowley</w:t>
            </w:r>
          </w:p>
        </w:tc>
        <w:tc>
          <w:tcPr>
            <w:tcW w:w="0" w:type="auto"/>
            <w:shd w:val="clear" w:color="auto" w:fill="auto"/>
            <w:noWrap/>
            <w:hideMark/>
          </w:tcPr>
          <w:p w14:paraId="6ACE9B0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3A405BEF"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D745EE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Douglas Tanner</w:t>
            </w:r>
          </w:p>
        </w:tc>
        <w:tc>
          <w:tcPr>
            <w:tcW w:w="0" w:type="auto"/>
            <w:shd w:val="clear" w:color="auto" w:fill="auto"/>
            <w:noWrap/>
            <w:hideMark/>
          </w:tcPr>
          <w:p w14:paraId="246A4A8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Wendell</w:t>
            </w:r>
          </w:p>
        </w:tc>
        <w:tc>
          <w:tcPr>
            <w:tcW w:w="0" w:type="auto"/>
            <w:shd w:val="clear" w:color="auto" w:fill="auto"/>
            <w:noWrap/>
            <w:hideMark/>
          </w:tcPr>
          <w:p w14:paraId="1CBA830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Finance Committee</w:t>
            </w:r>
          </w:p>
        </w:tc>
      </w:tr>
      <w:tr w:rsidR="00D1150C" w:rsidRPr="007F2293" w14:paraId="116C374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213BDDC"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Adam Tarquini</w:t>
            </w:r>
          </w:p>
        </w:tc>
        <w:tc>
          <w:tcPr>
            <w:tcW w:w="0" w:type="auto"/>
            <w:shd w:val="clear" w:color="auto" w:fill="auto"/>
            <w:noWrap/>
            <w:hideMark/>
          </w:tcPr>
          <w:p w14:paraId="5A67793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Springfield</w:t>
            </w:r>
          </w:p>
        </w:tc>
        <w:tc>
          <w:tcPr>
            <w:tcW w:w="0" w:type="auto"/>
            <w:shd w:val="clear" w:color="auto" w:fill="auto"/>
            <w:noWrap/>
            <w:hideMark/>
          </w:tcPr>
          <w:p w14:paraId="4EA0FF3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Director of Finance - Granby</w:t>
            </w:r>
          </w:p>
        </w:tc>
      </w:tr>
      <w:tr w:rsidR="00D1150C" w:rsidRPr="007F2293" w14:paraId="264D71C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F916526"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Rebecca Tew</w:t>
            </w:r>
          </w:p>
        </w:tc>
        <w:tc>
          <w:tcPr>
            <w:tcW w:w="0" w:type="auto"/>
            <w:shd w:val="clear" w:color="auto" w:fill="auto"/>
            <w:noWrap/>
            <w:hideMark/>
          </w:tcPr>
          <w:p w14:paraId="07E2522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Leverett</w:t>
            </w:r>
          </w:p>
        </w:tc>
        <w:tc>
          <w:tcPr>
            <w:tcW w:w="0" w:type="auto"/>
            <w:shd w:val="clear" w:color="auto" w:fill="auto"/>
            <w:noWrap/>
            <w:hideMark/>
          </w:tcPr>
          <w:p w14:paraId="107652A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4CF9F68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41310C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Martha Thurber</w:t>
            </w:r>
          </w:p>
        </w:tc>
        <w:tc>
          <w:tcPr>
            <w:tcW w:w="0" w:type="auto"/>
            <w:shd w:val="clear" w:color="auto" w:fill="auto"/>
            <w:noWrap/>
            <w:hideMark/>
          </w:tcPr>
          <w:p w14:paraId="6A7847B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Buckland</w:t>
            </w:r>
          </w:p>
        </w:tc>
        <w:tc>
          <w:tcPr>
            <w:tcW w:w="0" w:type="auto"/>
            <w:shd w:val="clear" w:color="auto" w:fill="auto"/>
            <w:noWrap/>
            <w:hideMark/>
          </w:tcPr>
          <w:p w14:paraId="2363F6A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Mohawk Trail Regional School Committee</w:t>
            </w:r>
          </w:p>
        </w:tc>
      </w:tr>
      <w:tr w:rsidR="00D1150C" w:rsidRPr="007F2293" w14:paraId="073F2B3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C726F2F"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Joseph Tierney</w:t>
            </w:r>
          </w:p>
        </w:tc>
        <w:tc>
          <w:tcPr>
            <w:tcW w:w="0" w:type="auto"/>
            <w:shd w:val="clear" w:color="auto" w:fill="auto"/>
            <w:noWrap/>
            <w:hideMark/>
          </w:tcPr>
          <w:p w14:paraId="3D201A04"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Yarmouth Port</w:t>
            </w:r>
          </w:p>
        </w:tc>
        <w:tc>
          <w:tcPr>
            <w:tcW w:w="0" w:type="auto"/>
            <w:shd w:val="clear" w:color="auto" w:fill="auto"/>
            <w:noWrap/>
            <w:hideMark/>
          </w:tcPr>
          <w:p w14:paraId="1392F14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Dennis Yarmouth. School Committee</w:t>
            </w:r>
          </w:p>
        </w:tc>
      </w:tr>
      <w:tr w:rsidR="00D1150C" w:rsidRPr="007F2293" w14:paraId="00A1207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D6A224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Rebecca Torres</w:t>
            </w:r>
          </w:p>
        </w:tc>
        <w:tc>
          <w:tcPr>
            <w:tcW w:w="0" w:type="auto"/>
            <w:shd w:val="clear" w:color="auto" w:fill="auto"/>
            <w:noWrap/>
            <w:hideMark/>
          </w:tcPr>
          <w:p w14:paraId="0BB16E83"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Shutesbury</w:t>
            </w:r>
          </w:p>
        </w:tc>
        <w:tc>
          <w:tcPr>
            <w:tcW w:w="0" w:type="auto"/>
            <w:shd w:val="clear" w:color="auto" w:fill="auto"/>
            <w:noWrap/>
            <w:hideMark/>
          </w:tcPr>
          <w:p w14:paraId="30E948F8"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Administrator</w:t>
            </w:r>
          </w:p>
        </w:tc>
      </w:tr>
      <w:tr w:rsidR="00D1150C" w:rsidRPr="007F2293" w14:paraId="658D6A9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067754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Maria Tucker</w:t>
            </w:r>
          </w:p>
        </w:tc>
        <w:tc>
          <w:tcPr>
            <w:tcW w:w="0" w:type="auto"/>
            <w:shd w:val="clear" w:color="auto" w:fill="auto"/>
            <w:noWrap/>
            <w:hideMark/>
          </w:tcPr>
          <w:p w14:paraId="5C0B3541"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North Brookfield</w:t>
            </w:r>
          </w:p>
        </w:tc>
        <w:tc>
          <w:tcPr>
            <w:tcW w:w="0" w:type="auto"/>
            <w:shd w:val="clear" w:color="auto" w:fill="auto"/>
            <w:noWrap/>
            <w:hideMark/>
          </w:tcPr>
          <w:p w14:paraId="3506EBB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NB School Committee</w:t>
            </w:r>
          </w:p>
        </w:tc>
      </w:tr>
      <w:tr w:rsidR="00D1150C" w:rsidRPr="007F2293" w14:paraId="3D2B9339"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7D3E71D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lastRenderedPageBreak/>
              <w:t>Natasha Ushomirsky</w:t>
            </w:r>
          </w:p>
        </w:tc>
        <w:tc>
          <w:tcPr>
            <w:tcW w:w="0" w:type="auto"/>
            <w:shd w:val="clear" w:color="auto" w:fill="auto"/>
            <w:noWrap/>
            <w:hideMark/>
          </w:tcPr>
          <w:p w14:paraId="5FA299F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Boston</w:t>
            </w:r>
          </w:p>
        </w:tc>
        <w:tc>
          <w:tcPr>
            <w:tcW w:w="0" w:type="auto"/>
            <w:shd w:val="clear" w:color="auto" w:fill="auto"/>
            <w:noWrap/>
            <w:hideMark/>
          </w:tcPr>
          <w:p w14:paraId="7BF9E74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The Education Trust (Massachusetts Team)</w:t>
            </w:r>
          </w:p>
        </w:tc>
      </w:tr>
      <w:tr w:rsidR="00D1150C" w:rsidRPr="007F2293" w14:paraId="63056E7A"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BBBBD2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Gabriele H Voelker</w:t>
            </w:r>
          </w:p>
        </w:tc>
        <w:tc>
          <w:tcPr>
            <w:tcW w:w="0" w:type="auto"/>
            <w:shd w:val="clear" w:color="auto" w:fill="auto"/>
            <w:noWrap/>
            <w:hideMark/>
          </w:tcPr>
          <w:p w14:paraId="7C54A45C"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New Salem</w:t>
            </w:r>
          </w:p>
        </w:tc>
        <w:tc>
          <w:tcPr>
            <w:tcW w:w="0" w:type="auto"/>
            <w:shd w:val="clear" w:color="auto" w:fill="auto"/>
            <w:noWrap/>
            <w:hideMark/>
          </w:tcPr>
          <w:p w14:paraId="56324ECA"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Town of Orange</w:t>
            </w:r>
          </w:p>
        </w:tc>
      </w:tr>
      <w:tr w:rsidR="00D1150C" w:rsidRPr="007F2293" w14:paraId="71073A05"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626C2904"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Nerissa Wallen</w:t>
            </w:r>
          </w:p>
        </w:tc>
        <w:tc>
          <w:tcPr>
            <w:tcW w:w="0" w:type="auto"/>
            <w:shd w:val="clear" w:color="auto" w:fill="auto"/>
            <w:noWrap/>
            <w:hideMark/>
          </w:tcPr>
          <w:p w14:paraId="6A6E717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Rowley</w:t>
            </w:r>
          </w:p>
        </w:tc>
        <w:tc>
          <w:tcPr>
            <w:tcW w:w="0" w:type="auto"/>
            <w:shd w:val="clear" w:color="auto" w:fill="auto"/>
            <w:noWrap/>
            <w:hideMark/>
          </w:tcPr>
          <w:p w14:paraId="2A03DB7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Triton Regional</w:t>
            </w:r>
          </w:p>
        </w:tc>
      </w:tr>
      <w:tr w:rsidR="00D1150C" w:rsidRPr="007F2293" w14:paraId="6689CB7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D49D132"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Megan K. Weeks</w:t>
            </w:r>
          </w:p>
        </w:tc>
        <w:tc>
          <w:tcPr>
            <w:tcW w:w="0" w:type="auto"/>
            <w:shd w:val="clear" w:color="auto" w:fill="auto"/>
            <w:noWrap/>
            <w:hideMark/>
          </w:tcPr>
          <w:p w14:paraId="53EB3CE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Princeton</w:t>
            </w:r>
          </w:p>
        </w:tc>
        <w:tc>
          <w:tcPr>
            <w:tcW w:w="0" w:type="auto"/>
            <w:shd w:val="clear" w:color="auto" w:fill="auto"/>
            <w:noWrap/>
            <w:hideMark/>
          </w:tcPr>
          <w:p w14:paraId="028C9702"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WRSD</w:t>
            </w:r>
          </w:p>
        </w:tc>
      </w:tr>
      <w:tr w:rsidR="00D1150C" w:rsidRPr="007F2293" w14:paraId="7D128118"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F4F86B9"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David B. Welenc</w:t>
            </w:r>
          </w:p>
        </w:tc>
        <w:tc>
          <w:tcPr>
            <w:tcW w:w="0" w:type="auto"/>
            <w:shd w:val="clear" w:color="auto" w:fill="auto"/>
            <w:noWrap/>
            <w:hideMark/>
          </w:tcPr>
          <w:p w14:paraId="38F046AB"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74D3D154" w14:textId="7D20B511"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FINCOM</w:t>
            </w:r>
          </w:p>
        </w:tc>
      </w:tr>
      <w:tr w:rsidR="00D1150C" w:rsidRPr="007F2293" w14:paraId="48B9D80B"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49EF600B"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Amy White</w:t>
            </w:r>
          </w:p>
        </w:tc>
        <w:tc>
          <w:tcPr>
            <w:tcW w:w="0" w:type="auto"/>
            <w:shd w:val="clear" w:color="auto" w:fill="auto"/>
            <w:noWrap/>
            <w:hideMark/>
          </w:tcPr>
          <w:p w14:paraId="7F44563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7BAD76F7"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D1150C" w:rsidRPr="007F2293" w14:paraId="7FBA2F50"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CA1F0A5"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Terry Wiggin</w:t>
            </w:r>
          </w:p>
        </w:tc>
        <w:tc>
          <w:tcPr>
            <w:tcW w:w="0" w:type="auto"/>
            <w:shd w:val="clear" w:color="auto" w:fill="auto"/>
            <w:noWrap/>
            <w:hideMark/>
          </w:tcPr>
          <w:p w14:paraId="0B99AAD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Milford</w:t>
            </w:r>
          </w:p>
        </w:tc>
        <w:tc>
          <w:tcPr>
            <w:tcW w:w="0" w:type="auto"/>
            <w:shd w:val="clear" w:color="auto" w:fill="auto"/>
            <w:noWrap/>
            <w:hideMark/>
          </w:tcPr>
          <w:p w14:paraId="213B6C65"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Millis Public Schools</w:t>
            </w:r>
          </w:p>
        </w:tc>
      </w:tr>
      <w:tr w:rsidR="00D1150C" w:rsidRPr="007F2293" w14:paraId="281A1D63"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24B5FAFD"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Alice Wozniak</w:t>
            </w:r>
          </w:p>
        </w:tc>
        <w:tc>
          <w:tcPr>
            <w:tcW w:w="0" w:type="auto"/>
            <w:shd w:val="clear" w:color="auto" w:fill="auto"/>
            <w:noWrap/>
            <w:hideMark/>
          </w:tcPr>
          <w:p w14:paraId="746A772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Heath</w:t>
            </w:r>
          </w:p>
        </w:tc>
        <w:tc>
          <w:tcPr>
            <w:tcW w:w="0" w:type="auto"/>
            <w:shd w:val="clear" w:color="auto" w:fill="auto"/>
            <w:noWrap/>
            <w:hideMark/>
          </w:tcPr>
          <w:p w14:paraId="336AED30"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Finance Committee &amp; Assistant Assessor</w:t>
            </w:r>
          </w:p>
        </w:tc>
      </w:tr>
      <w:tr w:rsidR="00D1150C" w:rsidRPr="007F2293" w14:paraId="54D717B7"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0CE6155E"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Dr. Elizabeth Zielinski</w:t>
            </w:r>
          </w:p>
        </w:tc>
        <w:tc>
          <w:tcPr>
            <w:tcW w:w="0" w:type="auto"/>
            <w:shd w:val="clear" w:color="auto" w:fill="auto"/>
            <w:noWrap/>
            <w:hideMark/>
          </w:tcPr>
          <w:p w14:paraId="71CE65AD"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Ludlow</w:t>
            </w:r>
          </w:p>
        </w:tc>
        <w:tc>
          <w:tcPr>
            <w:tcW w:w="0" w:type="auto"/>
            <w:shd w:val="clear" w:color="auto" w:fill="auto"/>
            <w:noWrap/>
            <w:hideMark/>
          </w:tcPr>
          <w:p w14:paraId="161F9656"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 C. Mahar Regional and School Union 73 Districts</w:t>
            </w:r>
          </w:p>
        </w:tc>
      </w:tr>
      <w:tr w:rsidR="00D1150C" w:rsidRPr="007F2293" w14:paraId="2963E7AE" w14:textId="77777777" w:rsidTr="00C534B6">
        <w:trPr>
          <w:trHeight w:val="29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AB5A357" w14:textId="77777777" w:rsidR="00D1150C" w:rsidRPr="007F2293" w:rsidRDefault="00D1150C" w:rsidP="00D1150C">
            <w:pPr>
              <w:rPr>
                <w:rFonts w:ascii="Calibri" w:hAnsi="Calibri" w:cs="Calibri"/>
                <w:color w:val="000000"/>
                <w:sz w:val="22"/>
                <w:szCs w:val="22"/>
              </w:rPr>
            </w:pPr>
            <w:r w:rsidRPr="007F2293">
              <w:rPr>
                <w:rFonts w:ascii="Calibri" w:hAnsi="Calibri" w:cs="Calibri"/>
                <w:color w:val="000000"/>
                <w:sz w:val="22"/>
                <w:szCs w:val="22"/>
              </w:rPr>
              <w:t>Tom Ziniti</w:t>
            </w:r>
          </w:p>
        </w:tc>
        <w:tc>
          <w:tcPr>
            <w:tcW w:w="0" w:type="auto"/>
            <w:shd w:val="clear" w:color="auto" w:fill="auto"/>
            <w:noWrap/>
            <w:hideMark/>
          </w:tcPr>
          <w:p w14:paraId="054834F9"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Orange</w:t>
            </w:r>
          </w:p>
        </w:tc>
        <w:tc>
          <w:tcPr>
            <w:tcW w:w="0" w:type="auto"/>
            <w:shd w:val="clear" w:color="auto" w:fill="auto"/>
            <w:noWrap/>
            <w:hideMark/>
          </w:tcPr>
          <w:p w14:paraId="3E24EB4E" w14:textId="77777777" w:rsidR="00D1150C" w:rsidRPr="007F2293" w:rsidRDefault="00D1150C" w:rsidP="00D1150C">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7F2293">
              <w:rPr>
                <w:rFonts w:ascii="Calibri" w:hAnsi="Calibri" w:cs="Calibri"/>
                <w:color w:val="000000"/>
                <w:sz w:val="22"/>
                <w:szCs w:val="22"/>
              </w:rPr>
              <w:t>Retired teacher, Warwick</w:t>
            </w:r>
          </w:p>
        </w:tc>
      </w:tr>
    </w:tbl>
    <w:p w14:paraId="2CDADE30" w14:textId="77777777" w:rsidR="00277ABB" w:rsidRPr="00CF16E8" w:rsidRDefault="00277ABB" w:rsidP="00C534B6">
      <w:pPr>
        <w:rPr>
          <w:u w:val="single"/>
        </w:rPr>
      </w:pPr>
    </w:p>
    <w:sectPr w:rsidR="00277ABB" w:rsidRPr="00CF16E8" w:rsidSect="00C534B6">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97D5E" w14:textId="77777777" w:rsidR="009F7D31" w:rsidRDefault="009F7D31" w:rsidP="00AE3AA5">
      <w:r>
        <w:separator/>
      </w:r>
    </w:p>
  </w:endnote>
  <w:endnote w:type="continuationSeparator" w:id="0">
    <w:p w14:paraId="5AB3F82A" w14:textId="77777777" w:rsidR="009F7D31" w:rsidRDefault="009F7D31" w:rsidP="00AE3AA5">
      <w:r>
        <w:continuationSeparator/>
      </w:r>
    </w:p>
  </w:endnote>
  <w:endnote w:type="continuationNotice" w:id="1">
    <w:p w14:paraId="6616B7AF" w14:textId="77777777" w:rsidR="009F7D31" w:rsidRDefault="009F7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974003"/>
      <w:docPartObj>
        <w:docPartGallery w:val="Page Numbers (Bottom of Page)"/>
        <w:docPartUnique/>
      </w:docPartObj>
    </w:sdtPr>
    <w:sdtEndPr>
      <w:rPr>
        <w:noProof/>
      </w:rPr>
    </w:sdtEndPr>
    <w:sdtContent>
      <w:p w14:paraId="2A8DD1C7" w14:textId="3C41018A" w:rsidR="00A416A2" w:rsidRDefault="00A41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CE4F8" w14:textId="77777777" w:rsidR="00DE31E8" w:rsidRDefault="00DE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DE7C6" w14:textId="77777777" w:rsidR="009F7D31" w:rsidRDefault="009F7D31" w:rsidP="00AE3AA5">
      <w:r>
        <w:separator/>
      </w:r>
    </w:p>
  </w:footnote>
  <w:footnote w:type="continuationSeparator" w:id="0">
    <w:p w14:paraId="79A19D7B" w14:textId="77777777" w:rsidR="009F7D31" w:rsidRDefault="009F7D31" w:rsidP="00AE3AA5">
      <w:r>
        <w:continuationSeparator/>
      </w:r>
    </w:p>
  </w:footnote>
  <w:footnote w:type="continuationNotice" w:id="1">
    <w:p w14:paraId="10A774A6" w14:textId="77777777" w:rsidR="009F7D31" w:rsidRDefault="009F7D31"/>
  </w:footnote>
  <w:footnote w:id="2">
    <w:p w14:paraId="3F89E5AA" w14:textId="3C228102" w:rsidR="00DE31E8" w:rsidRPr="0091706A" w:rsidRDefault="00DE31E8">
      <w:pPr>
        <w:pStyle w:val="FootnoteText"/>
      </w:pPr>
      <w:r>
        <w:rPr>
          <w:rStyle w:val="FootnoteReference"/>
        </w:rPr>
        <w:footnoteRef/>
      </w:r>
      <w:r>
        <w:t xml:space="preserve"> </w:t>
      </w:r>
      <w:r>
        <w:rPr>
          <w:i/>
          <w:iCs/>
        </w:rPr>
        <w:t xml:space="preserve">McDuffy v. Secretary of Education, </w:t>
      </w:r>
      <w:r>
        <w:t>415 Mass. 545</w:t>
      </w:r>
    </w:p>
  </w:footnote>
  <w:footnote w:id="3">
    <w:p w14:paraId="4614702B" w14:textId="31887C9D" w:rsidR="00DE31E8" w:rsidRDefault="00DE31E8">
      <w:pPr>
        <w:pStyle w:val="FootnoteText"/>
      </w:pPr>
      <w:r>
        <w:rPr>
          <w:rStyle w:val="FootnoteReference"/>
        </w:rPr>
        <w:footnoteRef/>
      </w:r>
      <w:r>
        <w:t xml:space="preserve"> Chapter 71 of the acts of 1993.</w:t>
      </w:r>
    </w:p>
  </w:footnote>
  <w:footnote w:id="4">
    <w:p w14:paraId="59BE06C9" w14:textId="0CD8389B" w:rsidR="00DE31E8" w:rsidRDefault="00DE31E8">
      <w:pPr>
        <w:pStyle w:val="FootnoteText"/>
      </w:pPr>
      <w:r>
        <w:rPr>
          <w:rStyle w:val="FootnoteReference"/>
        </w:rPr>
        <w:footnoteRef/>
      </w:r>
      <w:r>
        <w:t xml:space="preserve"> This framework is informally referred to as Chapter 70 because it is codified in chapter 70 of the general laws. </w:t>
      </w:r>
    </w:p>
  </w:footnote>
  <w:footnote w:id="5">
    <w:p w14:paraId="6676443D" w14:textId="55665587" w:rsidR="00DE31E8" w:rsidRDefault="00DE31E8">
      <w:pPr>
        <w:pStyle w:val="FootnoteText"/>
      </w:pPr>
      <w:r>
        <w:rPr>
          <w:rStyle w:val="FootnoteReference"/>
        </w:rPr>
        <w:footnoteRef/>
      </w:r>
      <w:r>
        <w:t xml:space="preserve"> For a complete description of the foundation budget calculation, see </w:t>
      </w:r>
      <w:hyperlink r:id="rId1" w:history="1">
        <w:r w:rsidR="00AC28A2" w:rsidRPr="0061228E">
          <w:rPr>
            <w:rStyle w:val="Hyperlink"/>
          </w:rPr>
          <w:t>https://www.doe.mass.edu/finance/chapter70/fy2020/chapter-20-whitepaper.docx</w:t>
        </w:r>
      </w:hyperlink>
    </w:p>
  </w:footnote>
  <w:footnote w:id="6">
    <w:p w14:paraId="7EDC4526" w14:textId="0A41243A" w:rsidR="00DE31E8" w:rsidRDefault="00DE31E8">
      <w:pPr>
        <w:pStyle w:val="FootnoteText"/>
      </w:pPr>
      <w:r>
        <w:rPr>
          <w:rStyle w:val="FootnoteReference"/>
        </w:rPr>
        <w:footnoteRef/>
      </w:r>
      <w:r>
        <w:t xml:space="preserve"> Prior to the Education Reform Law, cities and towns could spend as much, or as little, as they chose on public schools</w:t>
      </w:r>
      <w:r w:rsidR="002A7F1B">
        <w:t>, though some individual federal and state grants may have had maintenance of effort requirements</w:t>
      </w:r>
      <w:r>
        <w:t>.</w:t>
      </w:r>
    </w:p>
  </w:footnote>
  <w:footnote w:id="7">
    <w:p w14:paraId="21723FC3" w14:textId="72EB4F83" w:rsidR="00DE31E8" w:rsidRDefault="00DE31E8">
      <w:pPr>
        <w:pStyle w:val="FootnoteText"/>
      </w:pPr>
      <w:r>
        <w:rPr>
          <w:rStyle w:val="FootnoteReference"/>
        </w:rPr>
        <w:footnoteRef/>
      </w:r>
      <w:r>
        <w:t xml:space="preserve"> The new calculation was introduced in the </w:t>
      </w:r>
      <w:r w:rsidR="000278A4">
        <w:t>FY</w:t>
      </w:r>
      <w:r>
        <w:t>07 general appropriations act, chapter 139 of the acts of 2006.</w:t>
      </w:r>
    </w:p>
  </w:footnote>
  <w:footnote w:id="8">
    <w:p w14:paraId="2FC0C6F7" w14:textId="0ACBCEA1" w:rsidR="00DE31E8" w:rsidRDefault="00DE31E8">
      <w:pPr>
        <w:pStyle w:val="FootnoteText"/>
      </w:pPr>
      <w:r>
        <w:rPr>
          <w:rStyle w:val="FootnoteReference"/>
        </w:rPr>
        <w:footnoteRef/>
      </w:r>
      <w:r>
        <w:t xml:space="preserve"> Chapter 132 of the acts of 2019.</w:t>
      </w:r>
    </w:p>
  </w:footnote>
  <w:footnote w:id="9">
    <w:p w14:paraId="09BE4D34" w14:textId="27371247" w:rsidR="00FB32BD" w:rsidRDefault="00FB32BD">
      <w:pPr>
        <w:pStyle w:val="FootnoteText"/>
      </w:pPr>
      <w:r>
        <w:rPr>
          <w:rStyle w:val="FootnoteReference"/>
        </w:rPr>
        <w:footnoteRef/>
      </w:r>
      <w:r>
        <w:t xml:space="preserve"> Available at: </w:t>
      </w:r>
      <w:hyperlink r:id="rId2" w:history="1">
        <w:r w:rsidR="006503DB" w:rsidRPr="0061228E">
          <w:rPr>
            <w:rStyle w:val="Hyperlink"/>
          </w:rPr>
          <w:t>https://www.doe.mass.edu/finance/chapter70/local-contribution-study.html</w:t>
        </w:r>
      </w:hyperlink>
      <w:r w:rsidR="006503DB">
        <w:t xml:space="preserve"> </w:t>
      </w:r>
    </w:p>
  </w:footnote>
  <w:footnote w:id="10">
    <w:p w14:paraId="12750243" w14:textId="3A795AB5" w:rsidR="00DE31E8" w:rsidRPr="00D647D2" w:rsidRDefault="00DE31E8" w:rsidP="003D3069">
      <w:pPr>
        <w:pStyle w:val="FootnoteText"/>
        <w:rPr>
          <w:b/>
          <w:bCs/>
        </w:rPr>
      </w:pPr>
      <w:r>
        <w:rPr>
          <w:rStyle w:val="FootnoteReference"/>
        </w:rPr>
        <w:footnoteRef/>
      </w:r>
      <w:r w:rsidRPr="00CF16E8">
        <w:rPr>
          <w:i/>
          <w:iCs/>
        </w:rPr>
        <w:t>Missing</w:t>
      </w:r>
      <w:r>
        <w:rPr>
          <w:i/>
          <w:iCs/>
        </w:rPr>
        <w:t xml:space="preserve"> the Mark: How Chapter 70 Education Aid Distributions Benefits Wealthier School Districts and Widens Equity Gaps,</w:t>
      </w:r>
      <w:r>
        <w:t xml:space="preserve"> available at </w:t>
      </w:r>
      <w:hyperlink r:id="rId3" w:history="1">
        <w:r w:rsidR="0027717E" w:rsidRPr="0061228E">
          <w:rPr>
            <w:rStyle w:val="Hyperlink"/>
          </w:rPr>
          <w:t>https://www.mbae.org/initiatives/missing-the-mark/</w:t>
        </w:r>
      </w:hyperlink>
      <w:r w:rsidR="0027717E">
        <w:t xml:space="preserve"> </w:t>
      </w:r>
    </w:p>
  </w:footnote>
  <w:footnote w:id="11">
    <w:p w14:paraId="6B20DEC9" w14:textId="5ADEC382" w:rsidR="00DE31E8" w:rsidRDefault="00DE31E8">
      <w:pPr>
        <w:pStyle w:val="FootnoteText"/>
      </w:pPr>
      <w:r>
        <w:rPr>
          <w:rStyle w:val="FootnoteReference"/>
        </w:rPr>
        <w:footnoteRef/>
      </w:r>
      <w:r>
        <w:t xml:space="preserve"> This report is focused on the local contribution requirement in the Chapter 70 formula, so it does not </w:t>
      </w:r>
      <w:r w:rsidR="002A7F1B">
        <w:t xml:space="preserve">explicitly </w:t>
      </w:r>
      <w:r>
        <w:t>address any of the state aid calculations.</w:t>
      </w:r>
      <w:r w:rsidR="002A7F1B">
        <w:t xml:space="preserve"> There is clearly a strong relationship between contribution requirements and the level of state aid sent to a district</w:t>
      </w:r>
      <w:r w:rsidR="004F09E9">
        <w:t>,</w:t>
      </w:r>
      <w:r w:rsidR="002A7F1B">
        <w:t xml:space="preserve"> but that relationship is not determinative in many districts.</w:t>
      </w:r>
    </w:p>
  </w:footnote>
  <w:footnote w:id="12">
    <w:p w14:paraId="46243A2F" w14:textId="485655D7" w:rsidR="00DE31E8" w:rsidRDefault="00DE31E8">
      <w:pPr>
        <w:pStyle w:val="FootnoteText"/>
      </w:pPr>
      <w:r>
        <w:rPr>
          <w:rStyle w:val="FootnoteReference"/>
        </w:rPr>
        <w:footnoteRef/>
      </w:r>
      <w:r>
        <w:t xml:space="preserve"> It should be noted that most of the FY07 reforms were implemented via budget language in the annual general appropriations acts; they were not codified in chapter 70 until the </w:t>
      </w:r>
      <w:r w:rsidR="00C60CB0">
        <w:t>SOA</w:t>
      </w:r>
      <w:r>
        <w:t xml:space="preserve"> was passed.</w:t>
      </w:r>
    </w:p>
  </w:footnote>
  <w:footnote w:id="13">
    <w:p w14:paraId="54545D83" w14:textId="58C7C746" w:rsidR="002A7F1B" w:rsidRDefault="002A7F1B" w:rsidP="0040257C">
      <w:pPr>
        <w:pStyle w:val="FootnoteText"/>
      </w:pPr>
      <w:r>
        <w:rPr>
          <w:rStyle w:val="FootnoteReference"/>
        </w:rPr>
        <w:footnoteRef/>
      </w:r>
      <w:r>
        <w:t xml:space="preserve"> Equalized Valuation (EQV) is the determination of an estimate of the full and fair cash value (FFCV) of all property in the Commonwealth as of a certain taxable date. EQVs have historically been used as a variable in distributing some state aid accounts and for determining county assessments and other costs. The Commissioner of Revenue, in accordance with MGL Ch. 58 §10C, is charged with the responsibility of biennially determining an EQV for each city and town in the Commonwealth.</w:t>
      </w:r>
    </w:p>
  </w:footnote>
  <w:footnote w:id="14">
    <w:p w14:paraId="2DA3E812" w14:textId="66BBCFFD" w:rsidR="00DE31E8" w:rsidRDefault="00DE31E8" w:rsidP="00A07F8F">
      <w:pPr>
        <w:pStyle w:val="FootnoteText"/>
      </w:pPr>
      <w:r>
        <w:rPr>
          <w:rStyle w:val="FootnoteReference"/>
        </w:rPr>
        <w:footnoteRef/>
      </w:r>
      <w:r>
        <w:t xml:space="preserve"> Uniform meaning that the same factor is applied to each of the state’s 351 cities and towns.</w:t>
      </w:r>
    </w:p>
  </w:footnote>
  <w:footnote w:id="15">
    <w:p w14:paraId="3BE20717" w14:textId="19378033" w:rsidR="00DE31E8" w:rsidRDefault="00DE31E8">
      <w:pPr>
        <w:pStyle w:val="FootnoteText"/>
      </w:pPr>
      <w:r>
        <w:rPr>
          <w:rStyle w:val="FootnoteReference"/>
        </w:rPr>
        <w:footnoteRef/>
      </w:r>
      <w:r>
        <w:t xml:space="preserve"> An iterative process is used to ensure that the factors in step 1 produce 59% of the statewide foundation budget, taking into account the capping of some local contributions in step 2.</w:t>
      </w:r>
    </w:p>
  </w:footnote>
  <w:footnote w:id="16">
    <w:p w14:paraId="0AAEB77C" w14:textId="4E270596" w:rsidR="00EE30BC" w:rsidRDefault="00EE30BC" w:rsidP="00EE30BC">
      <w:pPr>
        <w:pStyle w:val="FootnoteText"/>
      </w:pPr>
      <w:r>
        <w:rPr>
          <w:rStyle w:val="FootnoteReference"/>
        </w:rPr>
        <w:footnoteRef/>
      </w:r>
      <w:r w:rsidR="003A02DC">
        <w:t xml:space="preserve"> </w:t>
      </w:r>
      <w:r w:rsidR="003A02DC" w:rsidRPr="003A02DC">
        <w:t>Some towns MRGF’s are based on a new growth average of the last 4 years in instances where a tax rate has not been approved prior to the Chapter 70 budget filing.</w:t>
      </w:r>
      <w:r>
        <w:t xml:space="preserve"> </w:t>
      </w:r>
    </w:p>
  </w:footnote>
  <w:footnote w:id="17">
    <w:p w14:paraId="026501A6" w14:textId="4A0E1BD1" w:rsidR="003A02DC" w:rsidRDefault="00610BE9" w:rsidP="003A02DC">
      <w:pPr>
        <w:pStyle w:val="FootnoteText"/>
      </w:pPr>
      <w:r>
        <w:rPr>
          <w:rStyle w:val="FootnoteReference"/>
        </w:rPr>
        <w:footnoteRef/>
      </w:r>
      <w:r>
        <w:t xml:space="preserve"> </w:t>
      </w:r>
      <w:hyperlink r:id="rId4" w:history="1">
        <w:r w:rsidR="00BE5577" w:rsidRPr="00BE5577">
          <w:rPr>
            <w:rStyle w:val="Hyperlink"/>
          </w:rPr>
          <w:t>https://www.mass.gov/service-details/cherry-sheet-estimates-local-aid-payments-and-municipal-revenue-growth-factors-mrgf</w:t>
        </w:r>
      </w:hyperlink>
    </w:p>
    <w:p w14:paraId="022EA268" w14:textId="13258BD0" w:rsidR="00610BE9" w:rsidRDefault="00610BE9">
      <w:pPr>
        <w:pStyle w:val="FootnoteText"/>
      </w:pPr>
    </w:p>
  </w:footnote>
  <w:footnote w:id="18">
    <w:p w14:paraId="51AF0D18" w14:textId="1C680653" w:rsidR="007814E5" w:rsidRDefault="007814E5">
      <w:pPr>
        <w:pStyle w:val="FootnoteText"/>
      </w:pPr>
      <w:r>
        <w:rPr>
          <w:rStyle w:val="FootnoteReference"/>
        </w:rPr>
        <w:footnoteRef/>
      </w:r>
      <w:r>
        <w:t xml:space="preserve"> </w:t>
      </w:r>
      <w:r w:rsidR="006B1CC3">
        <w:t xml:space="preserve">The education spending in </w:t>
      </w:r>
      <w:r w:rsidR="00170F15">
        <w:t>Table 3</w:t>
      </w:r>
      <w:r w:rsidR="00696A07">
        <w:t xml:space="preserve"> </w:t>
      </w:r>
      <w:r w:rsidR="00170F15">
        <w:t xml:space="preserve">includes spending </w:t>
      </w:r>
      <w:r w:rsidR="00C5782B">
        <w:t xml:space="preserve">categories </w:t>
      </w:r>
      <w:r w:rsidR="000069B9">
        <w:t>that</w:t>
      </w:r>
      <w:r w:rsidR="00C5782B">
        <w:t xml:space="preserve"> meet</w:t>
      </w:r>
      <w:r w:rsidR="000069B9">
        <w:t xml:space="preserve"> </w:t>
      </w:r>
      <w:r w:rsidR="0091632E">
        <w:t xml:space="preserve">the </w:t>
      </w:r>
      <w:r w:rsidR="00170F15">
        <w:t xml:space="preserve">net school spending </w:t>
      </w:r>
      <w:r w:rsidR="000069B9">
        <w:t xml:space="preserve">requirements </w:t>
      </w:r>
      <w:r w:rsidR="00C5782B">
        <w:t>of the Chapter 70 program</w:t>
      </w:r>
      <w:r w:rsidR="00170F15">
        <w:t xml:space="preserve">, </w:t>
      </w:r>
      <w:r w:rsidR="0091632E">
        <w:t xml:space="preserve">which </w:t>
      </w:r>
      <w:r w:rsidR="00170F15">
        <w:t>exclud</w:t>
      </w:r>
      <w:r w:rsidR="0091632E">
        <w:t>es</w:t>
      </w:r>
      <w:r w:rsidR="00170F15">
        <w:t xml:space="preserve"> transportation and capital costs</w:t>
      </w:r>
      <w:r w:rsidR="00DA3713">
        <w:t>. This</w:t>
      </w:r>
      <w:r w:rsidR="00FC002F">
        <w:t xml:space="preserve"> amount </w:t>
      </w:r>
      <w:r w:rsidR="007754F6">
        <w:t xml:space="preserve">is </w:t>
      </w:r>
      <w:r w:rsidR="00DA3713">
        <w:t>included in</w:t>
      </w:r>
      <w:r w:rsidR="00696A07">
        <w:t xml:space="preserve"> both the education spending and total general fund spending columns</w:t>
      </w:r>
      <w:r w:rsidR="001D4872">
        <w:t>.</w:t>
      </w:r>
    </w:p>
  </w:footnote>
  <w:footnote w:id="19">
    <w:p w14:paraId="4752126D" w14:textId="5AFB8CCD" w:rsidR="00DE31E8" w:rsidRDefault="00DE31E8">
      <w:pPr>
        <w:pStyle w:val="FootnoteText"/>
      </w:pPr>
      <w:r>
        <w:rPr>
          <w:rStyle w:val="FootnoteReference"/>
        </w:rPr>
        <w:footnoteRef/>
      </w:r>
      <w:r>
        <w:t xml:space="preserve"> Although the WAF applies to the foundation budget, it was not addressed in the 2015 FBRC report. </w:t>
      </w:r>
      <w:r w:rsidR="002A7F1B">
        <w:t>The Legislative charge for this report directed</w:t>
      </w:r>
      <w:r>
        <w:t xml:space="preserve"> that it be addressed </w:t>
      </w:r>
      <w:r w:rsidR="00196CA0">
        <w:t>in</w:t>
      </w:r>
      <w:r>
        <w:t xml:space="preserve"> this report.</w:t>
      </w:r>
    </w:p>
  </w:footnote>
  <w:footnote w:id="20">
    <w:p w14:paraId="0A687B95" w14:textId="77777777" w:rsidR="00DE31E8" w:rsidRDefault="00DE31E8" w:rsidP="0019497B">
      <w:pPr>
        <w:pStyle w:val="FootnoteText"/>
      </w:pPr>
      <w:r>
        <w:rPr>
          <w:rStyle w:val="FootnoteReference"/>
        </w:rPr>
        <w:footnoteRef/>
      </w:r>
      <w:r>
        <w:t xml:space="preserve"> In the wealthiest communities, the fiscal capacity exceeds the foundation budget, but we assume no community would be required to raise more than the foundation.</w:t>
      </w:r>
    </w:p>
  </w:footnote>
  <w:footnote w:id="21">
    <w:p w14:paraId="0086E7EB" w14:textId="722B8456" w:rsidR="000A7B2C" w:rsidRDefault="000A7B2C">
      <w:pPr>
        <w:pStyle w:val="FootnoteText"/>
      </w:pPr>
      <w:r>
        <w:rPr>
          <w:rStyle w:val="FootnoteReference"/>
        </w:rPr>
        <w:footnoteRef/>
      </w:r>
      <w:r>
        <w:t xml:space="preserve"> Some of these communities also benefit from the floor set on WAFs</w:t>
      </w:r>
    </w:p>
  </w:footnote>
  <w:footnote w:id="22">
    <w:p w14:paraId="79C86F5D" w14:textId="207A34D5" w:rsidR="00DE31E8" w:rsidRDefault="00DE31E8">
      <w:pPr>
        <w:pStyle w:val="FootnoteText"/>
      </w:pPr>
      <w:r>
        <w:rPr>
          <w:rStyle w:val="FootnoteReference"/>
        </w:rPr>
        <w:footnoteRef/>
      </w:r>
      <w:r>
        <w:t xml:space="preserve"> Chapter 132 of the Acts of 2019, s.22.</w:t>
      </w:r>
    </w:p>
  </w:footnote>
  <w:footnote w:id="23">
    <w:p w14:paraId="77352791" w14:textId="77777777" w:rsidR="00DE31E8" w:rsidRDefault="00DE31E8" w:rsidP="0051583F">
      <w:pPr>
        <w:pStyle w:val="FootnoteText"/>
      </w:pPr>
      <w:r>
        <w:rPr>
          <w:rStyle w:val="FootnoteReference"/>
        </w:rPr>
        <w:footnoteRef/>
      </w:r>
      <w:r>
        <w:t xml:space="preserve"> Prior to the 1993 Education Reform Law, most regional district assessments were strictly on a per pupil basis; the poorest community in a district paid as much as the richest. The change to a progressive, wealth based regional funding formula had, and continues to have, opponents.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0B8A0E46"/>
    <w:lvl w:ilvl="0" w:tplc="DE9EEDD2">
      <w:start w:val="1"/>
      <w:numFmt w:val="decimal"/>
      <w:lvlText w:val="%1."/>
      <w:lvlJc w:val="left"/>
      <w:pPr>
        <w:tabs>
          <w:tab w:val="num" w:pos="1440"/>
        </w:tabs>
        <w:ind w:left="1440" w:hanging="360"/>
      </w:pPr>
    </w:lvl>
    <w:lvl w:ilvl="1" w:tplc="4A3C3F36">
      <w:numFmt w:val="decimal"/>
      <w:lvlText w:val=""/>
      <w:lvlJc w:val="left"/>
    </w:lvl>
    <w:lvl w:ilvl="2" w:tplc="8DDCD696">
      <w:numFmt w:val="decimal"/>
      <w:lvlText w:val=""/>
      <w:lvlJc w:val="left"/>
    </w:lvl>
    <w:lvl w:ilvl="3" w:tplc="DAE8AFCE">
      <w:numFmt w:val="decimal"/>
      <w:lvlText w:val=""/>
      <w:lvlJc w:val="left"/>
    </w:lvl>
    <w:lvl w:ilvl="4" w:tplc="E7CAB1EE">
      <w:numFmt w:val="decimal"/>
      <w:lvlText w:val=""/>
      <w:lvlJc w:val="left"/>
    </w:lvl>
    <w:lvl w:ilvl="5" w:tplc="9594CEA4">
      <w:numFmt w:val="decimal"/>
      <w:lvlText w:val=""/>
      <w:lvlJc w:val="left"/>
    </w:lvl>
    <w:lvl w:ilvl="6" w:tplc="16B69F88">
      <w:numFmt w:val="decimal"/>
      <w:lvlText w:val=""/>
      <w:lvlJc w:val="left"/>
    </w:lvl>
    <w:lvl w:ilvl="7" w:tplc="94B8CC36">
      <w:numFmt w:val="decimal"/>
      <w:lvlText w:val=""/>
      <w:lvlJc w:val="left"/>
    </w:lvl>
    <w:lvl w:ilvl="8" w:tplc="A6FA3470">
      <w:numFmt w:val="decimal"/>
      <w:lvlText w:val=""/>
      <w:lvlJc w:val="left"/>
    </w:lvl>
  </w:abstractNum>
  <w:abstractNum w:abstractNumId="2" w15:restartNumberingAfterBreak="0">
    <w:nsid w:val="FFFFFF7E"/>
    <w:multiLevelType w:val="hybridMultilevel"/>
    <w:tmpl w:val="2F461D6C"/>
    <w:lvl w:ilvl="0" w:tplc="0C3225A8">
      <w:start w:val="1"/>
      <w:numFmt w:val="decimal"/>
      <w:lvlText w:val="%1."/>
      <w:lvlJc w:val="left"/>
      <w:pPr>
        <w:tabs>
          <w:tab w:val="num" w:pos="1080"/>
        </w:tabs>
        <w:ind w:left="1080" w:hanging="360"/>
      </w:pPr>
    </w:lvl>
    <w:lvl w:ilvl="1" w:tplc="15D60E06">
      <w:numFmt w:val="decimal"/>
      <w:lvlText w:val=""/>
      <w:lvlJc w:val="left"/>
    </w:lvl>
    <w:lvl w:ilvl="2" w:tplc="516AC11E">
      <w:numFmt w:val="decimal"/>
      <w:lvlText w:val=""/>
      <w:lvlJc w:val="left"/>
    </w:lvl>
    <w:lvl w:ilvl="3" w:tplc="2CBEC162">
      <w:numFmt w:val="decimal"/>
      <w:lvlText w:val=""/>
      <w:lvlJc w:val="left"/>
    </w:lvl>
    <w:lvl w:ilvl="4" w:tplc="702257DC">
      <w:numFmt w:val="decimal"/>
      <w:lvlText w:val=""/>
      <w:lvlJc w:val="left"/>
    </w:lvl>
    <w:lvl w:ilvl="5" w:tplc="1C460B9E">
      <w:numFmt w:val="decimal"/>
      <w:lvlText w:val=""/>
      <w:lvlJc w:val="left"/>
    </w:lvl>
    <w:lvl w:ilvl="6" w:tplc="1584C924">
      <w:numFmt w:val="decimal"/>
      <w:lvlText w:val=""/>
      <w:lvlJc w:val="left"/>
    </w:lvl>
    <w:lvl w:ilvl="7" w:tplc="E67E29C6">
      <w:numFmt w:val="decimal"/>
      <w:lvlText w:val=""/>
      <w:lvlJc w:val="left"/>
    </w:lvl>
    <w:lvl w:ilvl="8" w:tplc="E89E8BA6">
      <w:numFmt w:val="decimal"/>
      <w:lvlText w:val=""/>
      <w:lvlJc w:val="left"/>
    </w:lvl>
  </w:abstractNum>
  <w:abstractNum w:abstractNumId="3" w15:restartNumberingAfterBreak="0">
    <w:nsid w:val="FFFFFF7F"/>
    <w:multiLevelType w:val="hybridMultilevel"/>
    <w:tmpl w:val="89E47EE8"/>
    <w:lvl w:ilvl="0" w:tplc="DA24361C">
      <w:start w:val="1"/>
      <w:numFmt w:val="decimal"/>
      <w:lvlText w:val="%1."/>
      <w:lvlJc w:val="left"/>
      <w:pPr>
        <w:tabs>
          <w:tab w:val="num" w:pos="720"/>
        </w:tabs>
        <w:ind w:left="720" w:hanging="360"/>
      </w:pPr>
    </w:lvl>
    <w:lvl w:ilvl="1" w:tplc="4ED0F23A">
      <w:numFmt w:val="decimal"/>
      <w:lvlText w:val=""/>
      <w:lvlJc w:val="left"/>
    </w:lvl>
    <w:lvl w:ilvl="2" w:tplc="6524B39C">
      <w:numFmt w:val="decimal"/>
      <w:lvlText w:val=""/>
      <w:lvlJc w:val="left"/>
    </w:lvl>
    <w:lvl w:ilvl="3" w:tplc="F8AEF072">
      <w:numFmt w:val="decimal"/>
      <w:lvlText w:val=""/>
      <w:lvlJc w:val="left"/>
    </w:lvl>
    <w:lvl w:ilvl="4" w:tplc="CEDC6612">
      <w:numFmt w:val="decimal"/>
      <w:lvlText w:val=""/>
      <w:lvlJc w:val="left"/>
    </w:lvl>
    <w:lvl w:ilvl="5" w:tplc="1C30E250">
      <w:numFmt w:val="decimal"/>
      <w:lvlText w:val=""/>
      <w:lvlJc w:val="left"/>
    </w:lvl>
    <w:lvl w:ilvl="6" w:tplc="D9B81044">
      <w:numFmt w:val="decimal"/>
      <w:lvlText w:val=""/>
      <w:lvlJc w:val="left"/>
    </w:lvl>
    <w:lvl w:ilvl="7" w:tplc="5FCCA762">
      <w:numFmt w:val="decimal"/>
      <w:lvlText w:val=""/>
      <w:lvlJc w:val="left"/>
    </w:lvl>
    <w:lvl w:ilvl="8" w:tplc="C99E41DA">
      <w:numFmt w:val="decimal"/>
      <w:lvlText w:val=""/>
      <w:lvlJc w:val="left"/>
    </w:lvl>
  </w:abstractNum>
  <w:abstractNum w:abstractNumId="4" w15:restartNumberingAfterBreak="0">
    <w:nsid w:val="FFFFFF80"/>
    <w:multiLevelType w:val="hybridMultilevel"/>
    <w:tmpl w:val="99027182"/>
    <w:lvl w:ilvl="0" w:tplc="C93CB326">
      <w:start w:val="1"/>
      <w:numFmt w:val="bullet"/>
      <w:lvlText w:val=""/>
      <w:lvlJc w:val="left"/>
      <w:pPr>
        <w:tabs>
          <w:tab w:val="num" w:pos="1800"/>
        </w:tabs>
        <w:ind w:left="1800" w:hanging="360"/>
      </w:pPr>
      <w:rPr>
        <w:rFonts w:ascii="Symbol" w:hAnsi="Symbol" w:hint="default"/>
      </w:rPr>
    </w:lvl>
    <w:lvl w:ilvl="1" w:tplc="447E13D2">
      <w:numFmt w:val="decimal"/>
      <w:lvlText w:val=""/>
      <w:lvlJc w:val="left"/>
    </w:lvl>
    <w:lvl w:ilvl="2" w:tplc="B91C0FD8">
      <w:numFmt w:val="decimal"/>
      <w:lvlText w:val=""/>
      <w:lvlJc w:val="left"/>
    </w:lvl>
    <w:lvl w:ilvl="3" w:tplc="1D6E6352">
      <w:numFmt w:val="decimal"/>
      <w:lvlText w:val=""/>
      <w:lvlJc w:val="left"/>
    </w:lvl>
    <w:lvl w:ilvl="4" w:tplc="A6A0E690">
      <w:numFmt w:val="decimal"/>
      <w:lvlText w:val=""/>
      <w:lvlJc w:val="left"/>
    </w:lvl>
    <w:lvl w:ilvl="5" w:tplc="C6728D88">
      <w:numFmt w:val="decimal"/>
      <w:lvlText w:val=""/>
      <w:lvlJc w:val="left"/>
    </w:lvl>
    <w:lvl w:ilvl="6" w:tplc="FB16281A">
      <w:numFmt w:val="decimal"/>
      <w:lvlText w:val=""/>
      <w:lvlJc w:val="left"/>
    </w:lvl>
    <w:lvl w:ilvl="7" w:tplc="FAB4799C">
      <w:numFmt w:val="decimal"/>
      <w:lvlText w:val=""/>
      <w:lvlJc w:val="left"/>
    </w:lvl>
    <w:lvl w:ilvl="8" w:tplc="E85CB8E0">
      <w:numFmt w:val="decimal"/>
      <w:lvlText w:val=""/>
      <w:lvlJc w:val="left"/>
    </w:lvl>
  </w:abstractNum>
  <w:abstractNum w:abstractNumId="5" w15:restartNumberingAfterBreak="0">
    <w:nsid w:val="FFFFFF81"/>
    <w:multiLevelType w:val="hybridMultilevel"/>
    <w:tmpl w:val="19205A54"/>
    <w:lvl w:ilvl="0" w:tplc="02A013CE">
      <w:start w:val="1"/>
      <w:numFmt w:val="bullet"/>
      <w:lvlText w:val=""/>
      <w:lvlJc w:val="left"/>
      <w:pPr>
        <w:tabs>
          <w:tab w:val="num" w:pos="1440"/>
        </w:tabs>
        <w:ind w:left="1440" w:hanging="360"/>
      </w:pPr>
      <w:rPr>
        <w:rFonts w:ascii="Symbol" w:hAnsi="Symbol" w:hint="default"/>
      </w:rPr>
    </w:lvl>
    <w:lvl w:ilvl="1" w:tplc="27BCDA88">
      <w:numFmt w:val="decimal"/>
      <w:lvlText w:val=""/>
      <w:lvlJc w:val="left"/>
    </w:lvl>
    <w:lvl w:ilvl="2" w:tplc="28DAAEA0">
      <w:numFmt w:val="decimal"/>
      <w:lvlText w:val=""/>
      <w:lvlJc w:val="left"/>
    </w:lvl>
    <w:lvl w:ilvl="3" w:tplc="B842417A">
      <w:numFmt w:val="decimal"/>
      <w:lvlText w:val=""/>
      <w:lvlJc w:val="left"/>
    </w:lvl>
    <w:lvl w:ilvl="4" w:tplc="7B62C79E">
      <w:numFmt w:val="decimal"/>
      <w:lvlText w:val=""/>
      <w:lvlJc w:val="left"/>
    </w:lvl>
    <w:lvl w:ilvl="5" w:tplc="89F064EE">
      <w:numFmt w:val="decimal"/>
      <w:lvlText w:val=""/>
      <w:lvlJc w:val="left"/>
    </w:lvl>
    <w:lvl w:ilvl="6" w:tplc="76841F18">
      <w:numFmt w:val="decimal"/>
      <w:lvlText w:val=""/>
      <w:lvlJc w:val="left"/>
    </w:lvl>
    <w:lvl w:ilvl="7" w:tplc="551EE916">
      <w:numFmt w:val="decimal"/>
      <w:lvlText w:val=""/>
      <w:lvlJc w:val="left"/>
    </w:lvl>
    <w:lvl w:ilvl="8" w:tplc="921EF828">
      <w:numFmt w:val="decimal"/>
      <w:lvlText w:val=""/>
      <w:lvlJc w:val="left"/>
    </w:lvl>
  </w:abstractNum>
  <w:abstractNum w:abstractNumId="6" w15:restartNumberingAfterBreak="0">
    <w:nsid w:val="FFFFFF82"/>
    <w:multiLevelType w:val="hybridMultilevel"/>
    <w:tmpl w:val="BE8CB494"/>
    <w:lvl w:ilvl="0" w:tplc="9CA04A0E">
      <w:start w:val="1"/>
      <w:numFmt w:val="bullet"/>
      <w:lvlText w:val=""/>
      <w:lvlJc w:val="left"/>
      <w:pPr>
        <w:tabs>
          <w:tab w:val="num" w:pos="1080"/>
        </w:tabs>
        <w:ind w:left="1080" w:hanging="360"/>
      </w:pPr>
      <w:rPr>
        <w:rFonts w:ascii="Symbol" w:hAnsi="Symbol" w:hint="default"/>
      </w:rPr>
    </w:lvl>
    <w:lvl w:ilvl="1" w:tplc="48566B88">
      <w:numFmt w:val="decimal"/>
      <w:lvlText w:val=""/>
      <w:lvlJc w:val="left"/>
    </w:lvl>
    <w:lvl w:ilvl="2" w:tplc="A97EE3C2">
      <w:numFmt w:val="decimal"/>
      <w:lvlText w:val=""/>
      <w:lvlJc w:val="left"/>
    </w:lvl>
    <w:lvl w:ilvl="3" w:tplc="25743E14">
      <w:numFmt w:val="decimal"/>
      <w:lvlText w:val=""/>
      <w:lvlJc w:val="left"/>
    </w:lvl>
    <w:lvl w:ilvl="4" w:tplc="0D861F46">
      <w:numFmt w:val="decimal"/>
      <w:lvlText w:val=""/>
      <w:lvlJc w:val="left"/>
    </w:lvl>
    <w:lvl w:ilvl="5" w:tplc="20EE8AA6">
      <w:numFmt w:val="decimal"/>
      <w:lvlText w:val=""/>
      <w:lvlJc w:val="left"/>
    </w:lvl>
    <w:lvl w:ilvl="6" w:tplc="9AEE29C0">
      <w:numFmt w:val="decimal"/>
      <w:lvlText w:val=""/>
      <w:lvlJc w:val="left"/>
    </w:lvl>
    <w:lvl w:ilvl="7" w:tplc="1A5A6E90">
      <w:numFmt w:val="decimal"/>
      <w:lvlText w:val=""/>
      <w:lvlJc w:val="left"/>
    </w:lvl>
    <w:lvl w:ilvl="8" w:tplc="0D5A94C8">
      <w:numFmt w:val="decimal"/>
      <w:lvlText w:val=""/>
      <w:lvlJc w:val="left"/>
    </w:lvl>
  </w:abstractNum>
  <w:abstractNum w:abstractNumId="7" w15:restartNumberingAfterBreak="0">
    <w:nsid w:val="FFFFFF83"/>
    <w:multiLevelType w:val="hybridMultilevel"/>
    <w:tmpl w:val="8CB69D36"/>
    <w:lvl w:ilvl="0" w:tplc="4FE222FE">
      <w:start w:val="1"/>
      <w:numFmt w:val="bullet"/>
      <w:lvlText w:val=""/>
      <w:lvlJc w:val="left"/>
      <w:pPr>
        <w:tabs>
          <w:tab w:val="num" w:pos="720"/>
        </w:tabs>
        <w:ind w:left="720" w:hanging="360"/>
      </w:pPr>
      <w:rPr>
        <w:rFonts w:ascii="Symbol" w:hAnsi="Symbol" w:hint="default"/>
      </w:rPr>
    </w:lvl>
    <w:lvl w:ilvl="1" w:tplc="CB3E86EE">
      <w:numFmt w:val="decimal"/>
      <w:lvlText w:val=""/>
      <w:lvlJc w:val="left"/>
    </w:lvl>
    <w:lvl w:ilvl="2" w:tplc="E2C07A52">
      <w:numFmt w:val="decimal"/>
      <w:lvlText w:val=""/>
      <w:lvlJc w:val="left"/>
    </w:lvl>
    <w:lvl w:ilvl="3" w:tplc="3D762C28">
      <w:numFmt w:val="decimal"/>
      <w:lvlText w:val=""/>
      <w:lvlJc w:val="left"/>
    </w:lvl>
    <w:lvl w:ilvl="4" w:tplc="66A8ACB6">
      <w:numFmt w:val="decimal"/>
      <w:lvlText w:val=""/>
      <w:lvlJc w:val="left"/>
    </w:lvl>
    <w:lvl w:ilvl="5" w:tplc="32E835D2">
      <w:numFmt w:val="decimal"/>
      <w:lvlText w:val=""/>
      <w:lvlJc w:val="left"/>
    </w:lvl>
    <w:lvl w:ilvl="6" w:tplc="3F76EF7A">
      <w:numFmt w:val="decimal"/>
      <w:lvlText w:val=""/>
      <w:lvlJc w:val="left"/>
    </w:lvl>
    <w:lvl w:ilvl="7" w:tplc="B12A1936">
      <w:numFmt w:val="decimal"/>
      <w:lvlText w:val=""/>
      <w:lvlJc w:val="left"/>
    </w:lvl>
    <w:lvl w:ilvl="8" w:tplc="A470D5C8">
      <w:numFmt w:val="decimal"/>
      <w:lvlText w:val=""/>
      <w:lvlJc w:val="left"/>
    </w:lvl>
  </w:abstractNum>
  <w:abstractNum w:abstractNumId="8" w15:restartNumberingAfterBreak="0">
    <w:nsid w:val="FFFFFF88"/>
    <w:multiLevelType w:val="hybridMultilevel"/>
    <w:tmpl w:val="E25214DC"/>
    <w:lvl w:ilvl="0" w:tplc="E89A019E">
      <w:start w:val="1"/>
      <w:numFmt w:val="upperRoman"/>
      <w:lvlText w:val="%1."/>
      <w:lvlJc w:val="right"/>
      <w:pPr>
        <w:tabs>
          <w:tab w:val="num" w:pos="720"/>
        </w:tabs>
        <w:ind w:left="720" w:hanging="360"/>
      </w:pPr>
      <w:rPr>
        <w:rFonts w:hint="default"/>
        <w:strike w:val="0"/>
        <w:dstrike w:val="0"/>
      </w:rPr>
    </w:lvl>
    <w:lvl w:ilvl="1" w:tplc="8A16F23C">
      <w:numFmt w:val="decimal"/>
      <w:lvlText w:val=""/>
      <w:lvlJc w:val="left"/>
    </w:lvl>
    <w:lvl w:ilvl="2" w:tplc="7A581BA2">
      <w:numFmt w:val="decimal"/>
      <w:lvlText w:val=""/>
      <w:lvlJc w:val="left"/>
    </w:lvl>
    <w:lvl w:ilvl="3" w:tplc="890639DC">
      <w:numFmt w:val="decimal"/>
      <w:lvlText w:val=""/>
      <w:lvlJc w:val="left"/>
    </w:lvl>
    <w:lvl w:ilvl="4" w:tplc="3A76485C">
      <w:numFmt w:val="decimal"/>
      <w:lvlText w:val=""/>
      <w:lvlJc w:val="left"/>
    </w:lvl>
    <w:lvl w:ilvl="5" w:tplc="66380AE4">
      <w:numFmt w:val="decimal"/>
      <w:lvlText w:val=""/>
      <w:lvlJc w:val="left"/>
    </w:lvl>
    <w:lvl w:ilvl="6" w:tplc="2272E98C">
      <w:numFmt w:val="decimal"/>
      <w:lvlText w:val=""/>
      <w:lvlJc w:val="left"/>
    </w:lvl>
    <w:lvl w:ilvl="7" w:tplc="391AF068">
      <w:numFmt w:val="decimal"/>
      <w:lvlText w:val=""/>
      <w:lvlJc w:val="left"/>
    </w:lvl>
    <w:lvl w:ilvl="8" w:tplc="79C8574A">
      <w:numFmt w:val="decimal"/>
      <w:lvlText w:val=""/>
      <w:lvlJc w:val="left"/>
    </w:lvl>
  </w:abstractNum>
  <w:abstractNum w:abstractNumId="9" w15:restartNumberingAfterBreak="0">
    <w:nsid w:val="FFFFFF89"/>
    <w:multiLevelType w:val="hybridMultilevel"/>
    <w:tmpl w:val="F9B8AB20"/>
    <w:lvl w:ilvl="0" w:tplc="4154B190">
      <w:start w:val="1"/>
      <w:numFmt w:val="bullet"/>
      <w:pStyle w:val="ESEBullet-Lev1"/>
      <w:lvlText w:val=""/>
      <w:lvlJc w:val="left"/>
      <w:pPr>
        <w:tabs>
          <w:tab w:val="num" w:pos="720"/>
        </w:tabs>
        <w:ind w:left="720" w:hanging="360"/>
      </w:pPr>
      <w:rPr>
        <w:rFonts w:ascii="Symbol" w:hAnsi="Symbol" w:hint="default"/>
      </w:rPr>
    </w:lvl>
    <w:lvl w:ilvl="1" w:tplc="6EA2A96A">
      <w:numFmt w:val="decimal"/>
      <w:lvlText w:val=""/>
      <w:lvlJc w:val="left"/>
    </w:lvl>
    <w:lvl w:ilvl="2" w:tplc="B7385AC2">
      <w:numFmt w:val="decimal"/>
      <w:lvlText w:val=""/>
      <w:lvlJc w:val="left"/>
    </w:lvl>
    <w:lvl w:ilvl="3" w:tplc="2F728FDA">
      <w:numFmt w:val="decimal"/>
      <w:lvlText w:val=""/>
      <w:lvlJc w:val="left"/>
    </w:lvl>
    <w:lvl w:ilvl="4" w:tplc="FFD68232">
      <w:numFmt w:val="decimal"/>
      <w:lvlText w:val=""/>
      <w:lvlJc w:val="left"/>
    </w:lvl>
    <w:lvl w:ilvl="5" w:tplc="3054965A">
      <w:numFmt w:val="decimal"/>
      <w:lvlText w:val=""/>
      <w:lvlJc w:val="left"/>
    </w:lvl>
    <w:lvl w:ilvl="6" w:tplc="704CABAE">
      <w:numFmt w:val="decimal"/>
      <w:lvlText w:val=""/>
      <w:lvlJc w:val="left"/>
    </w:lvl>
    <w:lvl w:ilvl="7" w:tplc="DCD6B14A">
      <w:numFmt w:val="decimal"/>
      <w:lvlText w:val=""/>
      <w:lvlJc w:val="left"/>
    </w:lvl>
    <w:lvl w:ilvl="8" w:tplc="FF4CA842">
      <w:numFmt w:val="decimal"/>
      <w:lvlText w:val=""/>
      <w:lvlJc w:val="left"/>
    </w:lvl>
  </w:abstractNum>
  <w:abstractNum w:abstractNumId="10" w15:restartNumberingAfterBreak="0">
    <w:nsid w:val="008778E7"/>
    <w:multiLevelType w:val="hybridMultilevel"/>
    <w:tmpl w:val="01C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A3ABE"/>
    <w:multiLevelType w:val="hybridMultilevel"/>
    <w:tmpl w:val="03622BB8"/>
    <w:lvl w:ilvl="0" w:tplc="81C6F958">
      <w:start w:val="1"/>
      <w:numFmt w:val="bullet"/>
      <w:lvlText w:val="o"/>
      <w:lvlJc w:val="left"/>
      <w:pPr>
        <w:ind w:left="1080" w:hanging="360"/>
      </w:pPr>
      <w:rPr>
        <w:rFonts w:ascii="Courier New" w:hAnsi="Courier New" w:cs="Courier New" w:hint="default"/>
      </w:rPr>
    </w:lvl>
    <w:lvl w:ilvl="1" w:tplc="5064A3D2">
      <w:start w:val="1"/>
      <w:numFmt w:val="bullet"/>
      <w:lvlText w:val="o"/>
      <w:lvlJc w:val="left"/>
      <w:pPr>
        <w:ind w:left="2160" w:hanging="360"/>
      </w:pPr>
      <w:rPr>
        <w:rFonts w:ascii="Courier New" w:hAnsi="Courier New" w:cs="Courier New" w:hint="default"/>
      </w:rPr>
    </w:lvl>
    <w:lvl w:ilvl="2" w:tplc="50D68CA2">
      <w:start w:val="1"/>
      <w:numFmt w:val="bullet"/>
      <w:lvlText w:val=""/>
      <w:lvlJc w:val="left"/>
      <w:pPr>
        <w:ind w:left="2880" w:hanging="360"/>
      </w:pPr>
      <w:rPr>
        <w:rFonts w:ascii="Wingdings" w:hAnsi="Wingdings" w:hint="default"/>
      </w:rPr>
    </w:lvl>
    <w:lvl w:ilvl="3" w:tplc="B3FC74D8">
      <w:start w:val="1"/>
      <w:numFmt w:val="bullet"/>
      <w:lvlText w:val=""/>
      <w:lvlJc w:val="left"/>
      <w:pPr>
        <w:ind w:left="3600" w:hanging="360"/>
      </w:pPr>
      <w:rPr>
        <w:rFonts w:ascii="Symbol" w:hAnsi="Symbol" w:hint="default"/>
      </w:rPr>
    </w:lvl>
    <w:lvl w:ilvl="4" w:tplc="F7F89E3E">
      <w:start w:val="1"/>
      <w:numFmt w:val="bullet"/>
      <w:lvlText w:val="o"/>
      <w:lvlJc w:val="left"/>
      <w:pPr>
        <w:ind w:left="4320" w:hanging="360"/>
      </w:pPr>
      <w:rPr>
        <w:rFonts w:ascii="Courier New" w:hAnsi="Courier New" w:cs="Courier New" w:hint="default"/>
      </w:rPr>
    </w:lvl>
    <w:lvl w:ilvl="5" w:tplc="3A148BAA">
      <w:start w:val="1"/>
      <w:numFmt w:val="bullet"/>
      <w:lvlText w:val=""/>
      <w:lvlJc w:val="left"/>
      <w:pPr>
        <w:ind w:left="5040" w:hanging="360"/>
      </w:pPr>
      <w:rPr>
        <w:rFonts w:ascii="Wingdings" w:hAnsi="Wingdings" w:hint="default"/>
      </w:rPr>
    </w:lvl>
    <w:lvl w:ilvl="6" w:tplc="A1805546">
      <w:start w:val="1"/>
      <w:numFmt w:val="bullet"/>
      <w:lvlText w:val=""/>
      <w:lvlJc w:val="left"/>
      <w:pPr>
        <w:ind w:left="5760" w:hanging="360"/>
      </w:pPr>
      <w:rPr>
        <w:rFonts w:ascii="Symbol" w:hAnsi="Symbol" w:hint="default"/>
      </w:rPr>
    </w:lvl>
    <w:lvl w:ilvl="7" w:tplc="E1A89FF4">
      <w:start w:val="1"/>
      <w:numFmt w:val="bullet"/>
      <w:lvlText w:val="o"/>
      <w:lvlJc w:val="left"/>
      <w:pPr>
        <w:ind w:left="6480" w:hanging="360"/>
      </w:pPr>
      <w:rPr>
        <w:rFonts w:ascii="Courier New" w:hAnsi="Courier New" w:cs="Courier New" w:hint="default"/>
      </w:rPr>
    </w:lvl>
    <w:lvl w:ilvl="8" w:tplc="C0562620">
      <w:start w:val="1"/>
      <w:numFmt w:val="bullet"/>
      <w:lvlText w:val=""/>
      <w:lvlJc w:val="left"/>
      <w:pPr>
        <w:ind w:left="7200" w:hanging="360"/>
      </w:pPr>
      <w:rPr>
        <w:rFonts w:ascii="Wingdings" w:hAnsi="Wingdings" w:hint="default"/>
      </w:rPr>
    </w:lvl>
  </w:abstractNum>
  <w:abstractNum w:abstractNumId="12" w15:restartNumberingAfterBreak="0">
    <w:nsid w:val="0D3A0F25"/>
    <w:multiLevelType w:val="hybridMultilevel"/>
    <w:tmpl w:val="59E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06BAD"/>
    <w:multiLevelType w:val="hybridMultilevel"/>
    <w:tmpl w:val="59CED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73788"/>
    <w:multiLevelType w:val="hybridMultilevel"/>
    <w:tmpl w:val="2C90094C"/>
    <w:numStyleLink w:val="ESEList-Bullets"/>
  </w:abstractNum>
  <w:abstractNum w:abstractNumId="15" w15:restartNumberingAfterBreak="0">
    <w:nsid w:val="14FF2B23"/>
    <w:multiLevelType w:val="hybridMultilevel"/>
    <w:tmpl w:val="1E9A58FC"/>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60128F"/>
    <w:multiLevelType w:val="hybridMultilevel"/>
    <w:tmpl w:val="726C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CF4CE2"/>
    <w:multiLevelType w:val="hybridMultilevel"/>
    <w:tmpl w:val="A24EFE54"/>
    <w:lvl w:ilvl="0" w:tplc="66F2B59A">
      <w:start w:val="1"/>
      <w:numFmt w:val="decimal"/>
      <w:lvlText w:val="%1."/>
      <w:lvlJc w:val="left"/>
      <w:pPr>
        <w:tabs>
          <w:tab w:val="num" w:pos="1080"/>
        </w:tabs>
        <w:ind w:left="720" w:hanging="360"/>
      </w:pPr>
      <w:rPr>
        <w:rFonts w:hint="default"/>
      </w:rPr>
    </w:lvl>
    <w:lvl w:ilvl="1" w:tplc="536E3CEE">
      <w:start w:val="1"/>
      <w:numFmt w:val="lowerLetter"/>
      <w:lvlText w:val="%2."/>
      <w:lvlJc w:val="left"/>
      <w:pPr>
        <w:tabs>
          <w:tab w:val="num" w:pos="1800"/>
        </w:tabs>
        <w:ind w:left="1440" w:hanging="360"/>
      </w:pPr>
      <w:rPr>
        <w:rFonts w:hint="default"/>
      </w:rPr>
    </w:lvl>
    <w:lvl w:ilvl="2" w:tplc="04603284">
      <w:start w:val="1"/>
      <w:numFmt w:val="decimal"/>
      <w:lvlText w:val="%3."/>
      <w:lvlJc w:val="left"/>
      <w:pPr>
        <w:tabs>
          <w:tab w:val="num" w:pos="2520"/>
        </w:tabs>
        <w:ind w:left="2160" w:hanging="360"/>
      </w:pPr>
      <w:rPr>
        <w:rFonts w:hint="default"/>
      </w:rPr>
    </w:lvl>
    <w:lvl w:ilvl="3" w:tplc="4B0A14D4">
      <w:start w:val="1"/>
      <w:numFmt w:val="decimal"/>
      <w:lvlText w:val="%4."/>
      <w:lvlJc w:val="left"/>
      <w:pPr>
        <w:tabs>
          <w:tab w:val="num" w:pos="3240"/>
        </w:tabs>
        <w:ind w:left="2880" w:hanging="360"/>
      </w:pPr>
      <w:rPr>
        <w:rFonts w:hint="default"/>
      </w:rPr>
    </w:lvl>
    <w:lvl w:ilvl="4" w:tplc="6D0CC6DE">
      <w:start w:val="1"/>
      <w:numFmt w:val="lowerLetter"/>
      <w:lvlText w:val="%5."/>
      <w:lvlJc w:val="left"/>
      <w:pPr>
        <w:tabs>
          <w:tab w:val="num" w:pos="3960"/>
        </w:tabs>
        <w:ind w:left="3600" w:hanging="360"/>
      </w:pPr>
      <w:rPr>
        <w:rFonts w:hint="default"/>
      </w:rPr>
    </w:lvl>
    <w:lvl w:ilvl="5" w:tplc="B638212C">
      <w:start w:val="1"/>
      <w:numFmt w:val="lowerRoman"/>
      <w:lvlText w:val="%6."/>
      <w:lvlJc w:val="right"/>
      <w:pPr>
        <w:tabs>
          <w:tab w:val="num" w:pos="4680"/>
        </w:tabs>
        <w:ind w:left="4320" w:hanging="360"/>
      </w:pPr>
      <w:rPr>
        <w:rFonts w:hint="default"/>
      </w:rPr>
    </w:lvl>
    <w:lvl w:ilvl="6" w:tplc="F44E04AC">
      <w:start w:val="1"/>
      <w:numFmt w:val="decimal"/>
      <w:lvlText w:val="%7."/>
      <w:lvlJc w:val="left"/>
      <w:pPr>
        <w:tabs>
          <w:tab w:val="num" w:pos="5400"/>
        </w:tabs>
        <w:ind w:left="5040" w:hanging="360"/>
      </w:pPr>
      <w:rPr>
        <w:rFonts w:hint="default"/>
      </w:rPr>
    </w:lvl>
    <w:lvl w:ilvl="7" w:tplc="97D8DD76">
      <w:start w:val="1"/>
      <w:numFmt w:val="lowerLetter"/>
      <w:lvlText w:val="%8."/>
      <w:lvlJc w:val="left"/>
      <w:pPr>
        <w:tabs>
          <w:tab w:val="num" w:pos="6120"/>
        </w:tabs>
        <w:ind w:left="5760" w:hanging="360"/>
      </w:pPr>
      <w:rPr>
        <w:rFonts w:hint="default"/>
      </w:rPr>
    </w:lvl>
    <w:lvl w:ilvl="8" w:tplc="A222911E">
      <w:start w:val="1"/>
      <w:numFmt w:val="lowerRoman"/>
      <w:lvlText w:val="%9."/>
      <w:lvlJc w:val="right"/>
      <w:pPr>
        <w:tabs>
          <w:tab w:val="num" w:pos="6840"/>
        </w:tabs>
        <w:ind w:left="6480" w:hanging="360"/>
      </w:pPr>
      <w:rPr>
        <w:rFonts w:hint="default"/>
      </w:rPr>
    </w:lvl>
  </w:abstractNum>
  <w:abstractNum w:abstractNumId="19" w15:restartNumberingAfterBreak="0">
    <w:nsid w:val="24E40888"/>
    <w:multiLevelType w:val="hybridMultilevel"/>
    <w:tmpl w:val="DA9E70E4"/>
    <w:lvl w:ilvl="0" w:tplc="1D6AF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29753916"/>
    <w:multiLevelType w:val="hybridMultilevel"/>
    <w:tmpl w:val="1A00D806"/>
    <w:lvl w:ilvl="0" w:tplc="C54C933E">
      <w:start w:val="1"/>
      <w:numFmt w:val="decimal"/>
      <w:lvlText w:val="%1."/>
      <w:lvlJc w:val="left"/>
      <w:pPr>
        <w:tabs>
          <w:tab w:val="num" w:pos="360"/>
        </w:tabs>
        <w:ind w:left="720" w:hanging="360"/>
      </w:pPr>
      <w:rPr>
        <w:rFonts w:hint="default"/>
      </w:rPr>
    </w:lvl>
    <w:lvl w:ilvl="1" w:tplc="1B525910">
      <w:start w:val="1"/>
      <w:numFmt w:val="lowerLetter"/>
      <w:lvlText w:val="%2."/>
      <w:lvlJc w:val="left"/>
      <w:pPr>
        <w:tabs>
          <w:tab w:val="num" w:pos="1080"/>
        </w:tabs>
        <w:ind w:left="1080" w:hanging="360"/>
      </w:pPr>
      <w:rPr>
        <w:rFonts w:hint="default"/>
      </w:rPr>
    </w:lvl>
    <w:lvl w:ilvl="2" w:tplc="1ECA8E5A">
      <w:start w:val="1"/>
      <w:numFmt w:val="lowerRoman"/>
      <w:lvlText w:val="%3."/>
      <w:lvlJc w:val="left"/>
      <w:pPr>
        <w:tabs>
          <w:tab w:val="num" w:pos="1440"/>
        </w:tabs>
        <w:ind w:left="1440" w:hanging="360"/>
      </w:pPr>
      <w:rPr>
        <w:rFonts w:hint="default"/>
      </w:rPr>
    </w:lvl>
    <w:lvl w:ilvl="3" w:tplc="B6CE6C3E">
      <w:start w:val="1"/>
      <w:numFmt w:val="decimal"/>
      <w:lvlText w:val="(%4)"/>
      <w:lvlJc w:val="left"/>
      <w:pPr>
        <w:tabs>
          <w:tab w:val="num" w:pos="1800"/>
        </w:tabs>
        <w:ind w:left="1800" w:hanging="360"/>
      </w:pPr>
      <w:rPr>
        <w:rFonts w:hint="default"/>
      </w:rPr>
    </w:lvl>
    <w:lvl w:ilvl="4" w:tplc="195ACF90">
      <w:start w:val="1"/>
      <w:numFmt w:val="lowerLetter"/>
      <w:lvlText w:val="(%5)"/>
      <w:lvlJc w:val="left"/>
      <w:pPr>
        <w:tabs>
          <w:tab w:val="num" w:pos="1800"/>
        </w:tabs>
        <w:ind w:left="1800" w:hanging="360"/>
      </w:pPr>
      <w:rPr>
        <w:rFonts w:hint="default"/>
      </w:rPr>
    </w:lvl>
    <w:lvl w:ilvl="5" w:tplc="4830CC40">
      <w:start w:val="1"/>
      <w:numFmt w:val="lowerRoman"/>
      <w:lvlText w:val="(%6)"/>
      <w:lvlJc w:val="left"/>
      <w:pPr>
        <w:tabs>
          <w:tab w:val="num" w:pos="2160"/>
        </w:tabs>
        <w:ind w:left="2160" w:hanging="360"/>
      </w:pPr>
      <w:rPr>
        <w:rFonts w:hint="default"/>
      </w:rPr>
    </w:lvl>
    <w:lvl w:ilvl="6" w:tplc="2C2AAF3C">
      <w:start w:val="1"/>
      <w:numFmt w:val="decimal"/>
      <w:lvlText w:val="%7."/>
      <w:lvlJc w:val="left"/>
      <w:pPr>
        <w:tabs>
          <w:tab w:val="num" w:pos="2520"/>
        </w:tabs>
        <w:ind w:left="2520" w:hanging="360"/>
      </w:pPr>
      <w:rPr>
        <w:rFonts w:hint="default"/>
      </w:rPr>
    </w:lvl>
    <w:lvl w:ilvl="7" w:tplc="45C6401A">
      <w:start w:val="1"/>
      <w:numFmt w:val="lowerLetter"/>
      <w:lvlText w:val="%8."/>
      <w:lvlJc w:val="left"/>
      <w:pPr>
        <w:tabs>
          <w:tab w:val="num" w:pos="2880"/>
        </w:tabs>
        <w:ind w:left="2880" w:hanging="360"/>
      </w:pPr>
      <w:rPr>
        <w:rFonts w:hint="default"/>
      </w:rPr>
    </w:lvl>
    <w:lvl w:ilvl="8" w:tplc="75A48A82">
      <w:start w:val="1"/>
      <w:numFmt w:val="lowerRoman"/>
      <w:lvlText w:val="%9."/>
      <w:lvlJc w:val="left"/>
      <w:pPr>
        <w:tabs>
          <w:tab w:val="num" w:pos="3240"/>
        </w:tabs>
        <w:ind w:left="3240" w:hanging="360"/>
      </w:pPr>
      <w:rPr>
        <w:rFonts w:hint="default"/>
      </w:rPr>
    </w:lvl>
  </w:abstractNum>
  <w:abstractNum w:abstractNumId="22" w15:restartNumberingAfterBreak="0">
    <w:nsid w:val="2DA55676"/>
    <w:multiLevelType w:val="hybridMultilevel"/>
    <w:tmpl w:val="1A00D806"/>
    <w:lvl w:ilvl="0" w:tplc="0B260B60">
      <w:start w:val="1"/>
      <w:numFmt w:val="decimal"/>
      <w:lvlText w:val="%1."/>
      <w:lvlJc w:val="left"/>
      <w:pPr>
        <w:tabs>
          <w:tab w:val="num" w:pos="360"/>
        </w:tabs>
        <w:ind w:left="720" w:hanging="360"/>
      </w:pPr>
      <w:rPr>
        <w:rFonts w:hint="default"/>
      </w:rPr>
    </w:lvl>
    <w:lvl w:ilvl="1" w:tplc="CC34A29C">
      <w:start w:val="1"/>
      <w:numFmt w:val="lowerLetter"/>
      <w:lvlText w:val="%2."/>
      <w:lvlJc w:val="left"/>
      <w:pPr>
        <w:tabs>
          <w:tab w:val="num" w:pos="1080"/>
        </w:tabs>
        <w:ind w:left="1080" w:hanging="360"/>
      </w:pPr>
      <w:rPr>
        <w:rFonts w:hint="default"/>
      </w:rPr>
    </w:lvl>
    <w:lvl w:ilvl="2" w:tplc="CD163B68">
      <w:start w:val="1"/>
      <w:numFmt w:val="lowerRoman"/>
      <w:lvlText w:val="%3."/>
      <w:lvlJc w:val="left"/>
      <w:pPr>
        <w:tabs>
          <w:tab w:val="num" w:pos="1440"/>
        </w:tabs>
        <w:ind w:left="1440" w:hanging="360"/>
      </w:pPr>
      <w:rPr>
        <w:rFonts w:hint="default"/>
      </w:rPr>
    </w:lvl>
    <w:lvl w:ilvl="3" w:tplc="5BE61AC2">
      <w:start w:val="1"/>
      <w:numFmt w:val="decimal"/>
      <w:lvlText w:val="(%4)"/>
      <w:lvlJc w:val="left"/>
      <w:pPr>
        <w:tabs>
          <w:tab w:val="num" w:pos="1800"/>
        </w:tabs>
        <w:ind w:left="1800" w:hanging="360"/>
      </w:pPr>
      <w:rPr>
        <w:rFonts w:hint="default"/>
      </w:rPr>
    </w:lvl>
    <w:lvl w:ilvl="4" w:tplc="F914FE3A">
      <w:start w:val="1"/>
      <w:numFmt w:val="lowerLetter"/>
      <w:lvlText w:val="(%5)"/>
      <w:lvlJc w:val="left"/>
      <w:pPr>
        <w:tabs>
          <w:tab w:val="num" w:pos="1800"/>
        </w:tabs>
        <w:ind w:left="1800" w:hanging="360"/>
      </w:pPr>
      <w:rPr>
        <w:rFonts w:hint="default"/>
      </w:rPr>
    </w:lvl>
    <w:lvl w:ilvl="5" w:tplc="BE1229B2">
      <w:start w:val="1"/>
      <w:numFmt w:val="lowerRoman"/>
      <w:lvlText w:val="(%6)"/>
      <w:lvlJc w:val="left"/>
      <w:pPr>
        <w:tabs>
          <w:tab w:val="num" w:pos="2160"/>
        </w:tabs>
        <w:ind w:left="2160" w:hanging="360"/>
      </w:pPr>
      <w:rPr>
        <w:rFonts w:hint="default"/>
      </w:rPr>
    </w:lvl>
    <w:lvl w:ilvl="6" w:tplc="1472A98A">
      <w:start w:val="1"/>
      <w:numFmt w:val="decimal"/>
      <w:lvlText w:val="%7."/>
      <w:lvlJc w:val="left"/>
      <w:pPr>
        <w:tabs>
          <w:tab w:val="num" w:pos="2520"/>
        </w:tabs>
        <w:ind w:left="2520" w:hanging="360"/>
      </w:pPr>
      <w:rPr>
        <w:rFonts w:hint="default"/>
      </w:rPr>
    </w:lvl>
    <w:lvl w:ilvl="7" w:tplc="A9C45298">
      <w:start w:val="1"/>
      <w:numFmt w:val="lowerLetter"/>
      <w:lvlText w:val="%8."/>
      <w:lvlJc w:val="left"/>
      <w:pPr>
        <w:tabs>
          <w:tab w:val="num" w:pos="2880"/>
        </w:tabs>
        <w:ind w:left="2880" w:hanging="360"/>
      </w:pPr>
      <w:rPr>
        <w:rFonts w:hint="default"/>
      </w:rPr>
    </w:lvl>
    <w:lvl w:ilvl="8" w:tplc="08CE1CE6">
      <w:start w:val="1"/>
      <w:numFmt w:val="lowerRoman"/>
      <w:lvlText w:val="%9."/>
      <w:lvlJc w:val="left"/>
      <w:pPr>
        <w:tabs>
          <w:tab w:val="num" w:pos="3240"/>
        </w:tabs>
        <w:ind w:left="3240" w:hanging="360"/>
      </w:pPr>
      <w:rPr>
        <w:rFonts w:hint="default"/>
      </w:rPr>
    </w:lvl>
  </w:abstractNum>
  <w:abstractNum w:abstractNumId="23" w15:restartNumberingAfterBreak="0">
    <w:nsid w:val="2F9B1AF2"/>
    <w:multiLevelType w:val="hybridMultilevel"/>
    <w:tmpl w:val="384E6C8C"/>
    <w:numStyleLink w:val="ESEList-Numbers"/>
  </w:abstractNum>
  <w:abstractNum w:abstractNumId="24" w15:restartNumberingAfterBreak="0">
    <w:nsid w:val="316D6B0E"/>
    <w:multiLevelType w:val="hybridMultilevel"/>
    <w:tmpl w:val="1A00D806"/>
    <w:lvl w:ilvl="0" w:tplc="1EF61078">
      <w:start w:val="1"/>
      <w:numFmt w:val="decimal"/>
      <w:lvlText w:val="%1."/>
      <w:lvlJc w:val="left"/>
      <w:pPr>
        <w:tabs>
          <w:tab w:val="num" w:pos="360"/>
        </w:tabs>
        <w:ind w:left="720" w:hanging="360"/>
      </w:pPr>
      <w:rPr>
        <w:rFonts w:hint="default"/>
      </w:rPr>
    </w:lvl>
    <w:lvl w:ilvl="1" w:tplc="37923DEC">
      <w:start w:val="1"/>
      <w:numFmt w:val="lowerLetter"/>
      <w:lvlText w:val="%2."/>
      <w:lvlJc w:val="left"/>
      <w:pPr>
        <w:tabs>
          <w:tab w:val="num" w:pos="1080"/>
        </w:tabs>
        <w:ind w:left="1080" w:hanging="360"/>
      </w:pPr>
      <w:rPr>
        <w:rFonts w:hint="default"/>
      </w:rPr>
    </w:lvl>
    <w:lvl w:ilvl="2" w:tplc="D3060740">
      <w:start w:val="1"/>
      <w:numFmt w:val="lowerRoman"/>
      <w:lvlText w:val="%3."/>
      <w:lvlJc w:val="left"/>
      <w:pPr>
        <w:tabs>
          <w:tab w:val="num" w:pos="1440"/>
        </w:tabs>
        <w:ind w:left="1440" w:hanging="360"/>
      </w:pPr>
      <w:rPr>
        <w:rFonts w:hint="default"/>
      </w:rPr>
    </w:lvl>
    <w:lvl w:ilvl="3" w:tplc="627CC32A">
      <w:start w:val="1"/>
      <w:numFmt w:val="decimal"/>
      <w:lvlText w:val="(%4)"/>
      <w:lvlJc w:val="left"/>
      <w:pPr>
        <w:tabs>
          <w:tab w:val="num" w:pos="1800"/>
        </w:tabs>
        <w:ind w:left="1800" w:hanging="360"/>
      </w:pPr>
      <w:rPr>
        <w:rFonts w:hint="default"/>
      </w:rPr>
    </w:lvl>
    <w:lvl w:ilvl="4" w:tplc="CBF62984">
      <w:start w:val="1"/>
      <w:numFmt w:val="lowerLetter"/>
      <w:lvlText w:val="(%5)"/>
      <w:lvlJc w:val="left"/>
      <w:pPr>
        <w:tabs>
          <w:tab w:val="num" w:pos="1800"/>
        </w:tabs>
        <w:ind w:left="1800" w:hanging="360"/>
      </w:pPr>
      <w:rPr>
        <w:rFonts w:hint="default"/>
      </w:rPr>
    </w:lvl>
    <w:lvl w:ilvl="5" w:tplc="07A6B492">
      <w:start w:val="1"/>
      <w:numFmt w:val="lowerRoman"/>
      <w:lvlText w:val="(%6)"/>
      <w:lvlJc w:val="left"/>
      <w:pPr>
        <w:tabs>
          <w:tab w:val="num" w:pos="2160"/>
        </w:tabs>
        <w:ind w:left="2160" w:hanging="360"/>
      </w:pPr>
      <w:rPr>
        <w:rFonts w:hint="default"/>
      </w:rPr>
    </w:lvl>
    <w:lvl w:ilvl="6" w:tplc="B444015E">
      <w:start w:val="1"/>
      <w:numFmt w:val="decimal"/>
      <w:lvlText w:val="%7."/>
      <w:lvlJc w:val="left"/>
      <w:pPr>
        <w:tabs>
          <w:tab w:val="num" w:pos="2520"/>
        </w:tabs>
        <w:ind w:left="2520" w:hanging="360"/>
      </w:pPr>
      <w:rPr>
        <w:rFonts w:hint="default"/>
      </w:rPr>
    </w:lvl>
    <w:lvl w:ilvl="7" w:tplc="E54AC3DC">
      <w:start w:val="1"/>
      <w:numFmt w:val="lowerLetter"/>
      <w:lvlText w:val="%8."/>
      <w:lvlJc w:val="left"/>
      <w:pPr>
        <w:tabs>
          <w:tab w:val="num" w:pos="2880"/>
        </w:tabs>
        <w:ind w:left="2880" w:hanging="360"/>
      </w:pPr>
      <w:rPr>
        <w:rFonts w:hint="default"/>
      </w:rPr>
    </w:lvl>
    <w:lvl w:ilvl="8" w:tplc="6FCE9DF0">
      <w:start w:val="1"/>
      <w:numFmt w:val="lowerRoman"/>
      <w:lvlText w:val="%9."/>
      <w:lvlJc w:val="left"/>
      <w:pPr>
        <w:tabs>
          <w:tab w:val="num" w:pos="3240"/>
        </w:tabs>
        <w:ind w:left="3240" w:hanging="360"/>
      </w:pPr>
      <w:rPr>
        <w:rFonts w:hint="default"/>
      </w:rPr>
    </w:lvl>
  </w:abstractNum>
  <w:abstractNum w:abstractNumId="25" w15:restartNumberingAfterBreak="0">
    <w:nsid w:val="35151552"/>
    <w:multiLevelType w:val="hybridMultilevel"/>
    <w:tmpl w:val="2C90094C"/>
    <w:styleLink w:val="ESEList-Bullets"/>
    <w:lvl w:ilvl="0" w:tplc="23F243E4">
      <w:start w:val="1"/>
      <w:numFmt w:val="bullet"/>
      <w:lvlText w:val=""/>
      <w:lvlJc w:val="left"/>
      <w:pPr>
        <w:tabs>
          <w:tab w:val="num" w:pos="720"/>
        </w:tabs>
        <w:ind w:left="720" w:hanging="360"/>
      </w:pPr>
      <w:rPr>
        <w:rFonts w:ascii="Symbol" w:hAnsi="Symbol" w:hint="default"/>
        <w:color w:val="auto"/>
      </w:rPr>
    </w:lvl>
    <w:lvl w:ilvl="1" w:tplc="144043B4">
      <w:start w:val="1"/>
      <w:numFmt w:val="bullet"/>
      <w:lvlText w:val="o"/>
      <w:lvlJc w:val="left"/>
      <w:pPr>
        <w:tabs>
          <w:tab w:val="num" w:pos="1080"/>
        </w:tabs>
        <w:ind w:left="1080" w:hanging="360"/>
      </w:pPr>
      <w:rPr>
        <w:rFonts w:ascii="Courier New" w:hAnsi="Courier New" w:hint="default"/>
      </w:rPr>
    </w:lvl>
    <w:lvl w:ilvl="2" w:tplc="B7DAC2E8">
      <w:start w:val="1"/>
      <w:numFmt w:val="bullet"/>
      <w:lvlText w:val=""/>
      <w:lvlJc w:val="left"/>
      <w:pPr>
        <w:tabs>
          <w:tab w:val="num" w:pos="1440"/>
        </w:tabs>
        <w:ind w:left="1440" w:hanging="360"/>
      </w:pPr>
      <w:rPr>
        <w:rFonts w:ascii="Symbol" w:hAnsi="Symbol" w:hint="default"/>
        <w:color w:val="auto"/>
      </w:rPr>
    </w:lvl>
    <w:lvl w:ilvl="3" w:tplc="E4DA273E">
      <w:start w:val="1"/>
      <w:numFmt w:val="bullet"/>
      <w:lvlText w:val="o"/>
      <w:lvlJc w:val="left"/>
      <w:pPr>
        <w:tabs>
          <w:tab w:val="num" w:pos="1800"/>
        </w:tabs>
        <w:ind w:left="1800" w:hanging="360"/>
      </w:pPr>
      <w:rPr>
        <w:rFonts w:ascii="Courier New" w:hAnsi="Courier New" w:hint="default"/>
      </w:rPr>
    </w:lvl>
    <w:lvl w:ilvl="4" w:tplc="C814603E">
      <w:start w:val="1"/>
      <w:numFmt w:val="bullet"/>
      <w:lvlText w:val=""/>
      <w:lvlJc w:val="left"/>
      <w:pPr>
        <w:tabs>
          <w:tab w:val="num" w:pos="2520"/>
        </w:tabs>
        <w:ind w:left="2520" w:hanging="360"/>
      </w:pPr>
      <w:rPr>
        <w:rFonts w:ascii="Symbol" w:hAnsi="Symbol" w:hint="default"/>
        <w:color w:val="auto"/>
      </w:rPr>
    </w:lvl>
    <w:lvl w:ilvl="5" w:tplc="B4884670">
      <w:start w:val="1"/>
      <w:numFmt w:val="bullet"/>
      <w:lvlText w:val=""/>
      <w:lvlJc w:val="left"/>
      <w:pPr>
        <w:tabs>
          <w:tab w:val="num" w:pos="2880"/>
        </w:tabs>
        <w:ind w:left="2880" w:hanging="360"/>
      </w:pPr>
      <w:rPr>
        <w:rFonts w:ascii="Symbol" w:hAnsi="Symbol" w:hint="default"/>
        <w:color w:val="auto"/>
      </w:rPr>
    </w:lvl>
    <w:lvl w:ilvl="6" w:tplc="B88C4376">
      <w:start w:val="1"/>
      <w:numFmt w:val="decimal"/>
      <w:lvlText w:val="%7."/>
      <w:lvlJc w:val="left"/>
      <w:pPr>
        <w:tabs>
          <w:tab w:val="num" w:pos="3240"/>
        </w:tabs>
        <w:ind w:left="3240" w:hanging="360"/>
      </w:pPr>
      <w:rPr>
        <w:rFonts w:hint="default"/>
      </w:rPr>
    </w:lvl>
    <w:lvl w:ilvl="7" w:tplc="548A8962">
      <w:start w:val="1"/>
      <w:numFmt w:val="lowerLetter"/>
      <w:lvlText w:val="%8."/>
      <w:lvlJc w:val="left"/>
      <w:pPr>
        <w:tabs>
          <w:tab w:val="num" w:pos="3600"/>
        </w:tabs>
        <w:ind w:left="3600" w:hanging="360"/>
      </w:pPr>
      <w:rPr>
        <w:rFonts w:hint="default"/>
      </w:rPr>
    </w:lvl>
    <w:lvl w:ilvl="8" w:tplc="132E142E">
      <w:start w:val="1"/>
      <w:numFmt w:val="lowerRoman"/>
      <w:lvlText w:val="%9."/>
      <w:lvlJc w:val="left"/>
      <w:pPr>
        <w:tabs>
          <w:tab w:val="num" w:pos="3960"/>
        </w:tabs>
        <w:ind w:left="3960" w:hanging="360"/>
      </w:pPr>
      <w:rPr>
        <w:rFonts w:hint="default"/>
      </w:rPr>
    </w:lvl>
  </w:abstractNum>
  <w:abstractNum w:abstractNumId="26" w15:restartNumberingAfterBreak="0">
    <w:nsid w:val="376C7318"/>
    <w:multiLevelType w:val="hybridMultilevel"/>
    <w:tmpl w:val="1A00D806"/>
    <w:lvl w:ilvl="0" w:tplc="A8C89754">
      <w:start w:val="1"/>
      <w:numFmt w:val="decimal"/>
      <w:lvlText w:val="%1."/>
      <w:lvlJc w:val="left"/>
      <w:pPr>
        <w:tabs>
          <w:tab w:val="num" w:pos="360"/>
        </w:tabs>
        <w:ind w:left="720" w:hanging="360"/>
      </w:pPr>
      <w:rPr>
        <w:rFonts w:hint="default"/>
      </w:rPr>
    </w:lvl>
    <w:lvl w:ilvl="1" w:tplc="F1C6F876">
      <w:start w:val="1"/>
      <w:numFmt w:val="lowerLetter"/>
      <w:lvlText w:val="%2."/>
      <w:lvlJc w:val="left"/>
      <w:pPr>
        <w:tabs>
          <w:tab w:val="num" w:pos="1080"/>
        </w:tabs>
        <w:ind w:left="1080" w:hanging="360"/>
      </w:pPr>
      <w:rPr>
        <w:rFonts w:hint="default"/>
      </w:rPr>
    </w:lvl>
    <w:lvl w:ilvl="2" w:tplc="665A04A0">
      <w:start w:val="1"/>
      <w:numFmt w:val="lowerRoman"/>
      <w:lvlText w:val="%3."/>
      <w:lvlJc w:val="left"/>
      <w:pPr>
        <w:tabs>
          <w:tab w:val="num" w:pos="1440"/>
        </w:tabs>
        <w:ind w:left="1440" w:hanging="360"/>
      </w:pPr>
      <w:rPr>
        <w:rFonts w:hint="default"/>
      </w:rPr>
    </w:lvl>
    <w:lvl w:ilvl="3" w:tplc="D50CD0A4">
      <w:start w:val="1"/>
      <w:numFmt w:val="decimal"/>
      <w:lvlText w:val="(%4)"/>
      <w:lvlJc w:val="left"/>
      <w:pPr>
        <w:tabs>
          <w:tab w:val="num" w:pos="1800"/>
        </w:tabs>
        <w:ind w:left="1800" w:hanging="360"/>
      </w:pPr>
      <w:rPr>
        <w:rFonts w:hint="default"/>
      </w:rPr>
    </w:lvl>
    <w:lvl w:ilvl="4" w:tplc="A93CDC4A">
      <w:start w:val="1"/>
      <w:numFmt w:val="lowerLetter"/>
      <w:lvlText w:val="(%5)"/>
      <w:lvlJc w:val="left"/>
      <w:pPr>
        <w:tabs>
          <w:tab w:val="num" w:pos="1800"/>
        </w:tabs>
        <w:ind w:left="1800" w:hanging="360"/>
      </w:pPr>
      <w:rPr>
        <w:rFonts w:hint="default"/>
      </w:rPr>
    </w:lvl>
    <w:lvl w:ilvl="5" w:tplc="9BACC4F6">
      <w:start w:val="1"/>
      <w:numFmt w:val="lowerRoman"/>
      <w:lvlText w:val="(%6)"/>
      <w:lvlJc w:val="left"/>
      <w:pPr>
        <w:tabs>
          <w:tab w:val="num" w:pos="2160"/>
        </w:tabs>
        <w:ind w:left="2160" w:hanging="360"/>
      </w:pPr>
      <w:rPr>
        <w:rFonts w:hint="default"/>
      </w:rPr>
    </w:lvl>
    <w:lvl w:ilvl="6" w:tplc="896EDBFE">
      <w:start w:val="1"/>
      <w:numFmt w:val="decimal"/>
      <w:lvlText w:val="%7."/>
      <w:lvlJc w:val="left"/>
      <w:pPr>
        <w:tabs>
          <w:tab w:val="num" w:pos="2520"/>
        </w:tabs>
        <w:ind w:left="2520" w:hanging="360"/>
      </w:pPr>
      <w:rPr>
        <w:rFonts w:hint="default"/>
      </w:rPr>
    </w:lvl>
    <w:lvl w:ilvl="7" w:tplc="531A747E">
      <w:start w:val="1"/>
      <w:numFmt w:val="lowerLetter"/>
      <w:lvlText w:val="%8."/>
      <w:lvlJc w:val="left"/>
      <w:pPr>
        <w:tabs>
          <w:tab w:val="num" w:pos="2880"/>
        </w:tabs>
        <w:ind w:left="2880" w:hanging="360"/>
      </w:pPr>
      <w:rPr>
        <w:rFonts w:hint="default"/>
      </w:rPr>
    </w:lvl>
    <w:lvl w:ilvl="8" w:tplc="6F72D180">
      <w:start w:val="1"/>
      <w:numFmt w:val="lowerRoman"/>
      <w:lvlText w:val="%9."/>
      <w:lvlJc w:val="left"/>
      <w:pPr>
        <w:tabs>
          <w:tab w:val="num" w:pos="3240"/>
        </w:tabs>
        <w:ind w:left="3240" w:hanging="360"/>
      </w:pPr>
      <w:rPr>
        <w:rFonts w:hint="default"/>
      </w:rPr>
    </w:lvl>
  </w:abstractNum>
  <w:abstractNum w:abstractNumId="27" w15:restartNumberingAfterBreak="0">
    <w:nsid w:val="37E2064C"/>
    <w:multiLevelType w:val="hybridMultilevel"/>
    <w:tmpl w:val="CDE0B20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E351F0"/>
    <w:multiLevelType w:val="hybridMultilevel"/>
    <w:tmpl w:val="42E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8708F"/>
    <w:multiLevelType w:val="hybridMultilevel"/>
    <w:tmpl w:val="9B2EB6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5D3692"/>
    <w:multiLevelType w:val="hybridMultilevel"/>
    <w:tmpl w:val="4C2E06EE"/>
    <w:lvl w:ilvl="0" w:tplc="88BE8CBA">
      <w:start w:val="1"/>
      <w:numFmt w:val="lowerRoman"/>
      <w:lvlText w:val="(%1)"/>
      <w:lvlJc w:val="left"/>
      <w:pPr>
        <w:ind w:left="1080" w:hanging="720"/>
      </w:pPr>
      <w:rPr>
        <w:rFonts w:ascii="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A57273"/>
    <w:multiLevelType w:val="hybridMultilevel"/>
    <w:tmpl w:val="CC683F98"/>
    <w:lvl w:ilvl="0" w:tplc="4092B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17A19E9"/>
    <w:multiLevelType w:val="hybridMultilevel"/>
    <w:tmpl w:val="384E6C8C"/>
    <w:numStyleLink w:val="ESEList-Numbers"/>
  </w:abstractNum>
  <w:abstractNum w:abstractNumId="36" w15:restartNumberingAfterBreak="0">
    <w:nsid w:val="42D65A86"/>
    <w:multiLevelType w:val="hybridMultilevel"/>
    <w:tmpl w:val="15E2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8"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C261DA8"/>
    <w:multiLevelType w:val="multilevel"/>
    <w:tmpl w:val="384E6C8C"/>
    <w:numStyleLink w:val="ESEList-Numbers"/>
  </w:abstractNum>
  <w:abstractNum w:abstractNumId="41"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E431CFB"/>
    <w:multiLevelType w:val="hybridMultilevel"/>
    <w:tmpl w:val="1BF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6314C6F"/>
    <w:multiLevelType w:val="hybridMultilevel"/>
    <w:tmpl w:val="0409001D"/>
    <w:lvl w:ilvl="0" w:tplc="F9A865E6">
      <w:start w:val="1"/>
      <w:numFmt w:val="decimal"/>
      <w:lvlText w:val="%1)"/>
      <w:lvlJc w:val="left"/>
      <w:pPr>
        <w:tabs>
          <w:tab w:val="num" w:pos="360"/>
        </w:tabs>
        <w:ind w:left="360" w:hanging="360"/>
      </w:pPr>
    </w:lvl>
    <w:lvl w:ilvl="1" w:tplc="C454506A">
      <w:start w:val="1"/>
      <w:numFmt w:val="lowerLetter"/>
      <w:lvlText w:val="%2)"/>
      <w:lvlJc w:val="left"/>
      <w:pPr>
        <w:tabs>
          <w:tab w:val="num" w:pos="720"/>
        </w:tabs>
        <w:ind w:left="720" w:hanging="360"/>
      </w:pPr>
    </w:lvl>
    <w:lvl w:ilvl="2" w:tplc="85CA322C">
      <w:start w:val="1"/>
      <w:numFmt w:val="lowerRoman"/>
      <w:lvlText w:val="%3)"/>
      <w:lvlJc w:val="left"/>
      <w:pPr>
        <w:tabs>
          <w:tab w:val="num" w:pos="1080"/>
        </w:tabs>
        <w:ind w:left="1080" w:hanging="360"/>
      </w:pPr>
    </w:lvl>
    <w:lvl w:ilvl="3" w:tplc="285A7BC6">
      <w:start w:val="1"/>
      <w:numFmt w:val="decimal"/>
      <w:lvlText w:val="(%4)"/>
      <w:lvlJc w:val="left"/>
      <w:pPr>
        <w:tabs>
          <w:tab w:val="num" w:pos="1440"/>
        </w:tabs>
        <w:ind w:left="1440" w:hanging="360"/>
      </w:pPr>
    </w:lvl>
    <w:lvl w:ilvl="4" w:tplc="DA10405C">
      <w:start w:val="1"/>
      <w:numFmt w:val="lowerLetter"/>
      <w:lvlText w:val="(%5)"/>
      <w:lvlJc w:val="left"/>
      <w:pPr>
        <w:tabs>
          <w:tab w:val="num" w:pos="1800"/>
        </w:tabs>
        <w:ind w:left="1800" w:hanging="360"/>
      </w:pPr>
    </w:lvl>
    <w:lvl w:ilvl="5" w:tplc="9A5C31E4">
      <w:start w:val="1"/>
      <w:numFmt w:val="lowerRoman"/>
      <w:lvlText w:val="(%6)"/>
      <w:lvlJc w:val="left"/>
      <w:pPr>
        <w:tabs>
          <w:tab w:val="num" w:pos="2160"/>
        </w:tabs>
        <w:ind w:left="2160" w:hanging="360"/>
      </w:pPr>
    </w:lvl>
    <w:lvl w:ilvl="6" w:tplc="559EE0DA">
      <w:start w:val="1"/>
      <w:numFmt w:val="decimal"/>
      <w:lvlText w:val="%7."/>
      <w:lvlJc w:val="left"/>
      <w:pPr>
        <w:tabs>
          <w:tab w:val="num" w:pos="2520"/>
        </w:tabs>
        <w:ind w:left="2520" w:hanging="360"/>
      </w:pPr>
    </w:lvl>
    <w:lvl w:ilvl="7" w:tplc="9AF6456E">
      <w:start w:val="1"/>
      <w:numFmt w:val="lowerLetter"/>
      <w:lvlText w:val="%8."/>
      <w:lvlJc w:val="left"/>
      <w:pPr>
        <w:tabs>
          <w:tab w:val="num" w:pos="2880"/>
        </w:tabs>
        <w:ind w:left="2880" w:hanging="360"/>
      </w:pPr>
    </w:lvl>
    <w:lvl w:ilvl="8" w:tplc="0A1AFA3A">
      <w:start w:val="1"/>
      <w:numFmt w:val="lowerRoman"/>
      <w:lvlText w:val="%9."/>
      <w:lvlJc w:val="left"/>
      <w:pPr>
        <w:tabs>
          <w:tab w:val="num" w:pos="3240"/>
        </w:tabs>
        <w:ind w:left="3240" w:hanging="360"/>
      </w:pPr>
    </w:lvl>
  </w:abstractNum>
  <w:abstractNum w:abstractNumId="4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79419A0"/>
    <w:multiLevelType w:val="hybridMultilevel"/>
    <w:tmpl w:val="A62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833E08"/>
    <w:multiLevelType w:val="hybridMultilevel"/>
    <w:tmpl w:val="ABF8D702"/>
    <w:lvl w:ilvl="0" w:tplc="383E0554">
      <w:start w:val="1"/>
      <w:numFmt w:val="low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F977CD"/>
    <w:multiLevelType w:val="hybridMultilevel"/>
    <w:tmpl w:val="384E6C8C"/>
    <w:numStyleLink w:val="ESEList-Numbers"/>
  </w:abstractNum>
  <w:abstractNum w:abstractNumId="50" w15:restartNumberingAfterBreak="0">
    <w:nsid w:val="5E1F17F4"/>
    <w:multiLevelType w:val="hybridMultilevel"/>
    <w:tmpl w:val="5B94D514"/>
    <w:lvl w:ilvl="0" w:tplc="03067124">
      <w:start w:val="1"/>
      <w:numFmt w:val="bullet"/>
      <w:lvlText w:val=""/>
      <w:lvlJc w:val="left"/>
      <w:pPr>
        <w:ind w:left="720" w:hanging="360"/>
      </w:pPr>
      <w:rPr>
        <w:rFonts w:ascii="Symbol" w:hAnsi="Symbol" w:hint="default"/>
      </w:rPr>
    </w:lvl>
    <w:lvl w:ilvl="1" w:tplc="0E16D2BC">
      <w:start w:val="1"/>
      <w:numFmt w:val="bullet"/>
      <w:lvlText w:val="o"/>
      <w:lvlJc w:val="left"/>
      <w:pPr>
        <w:ind w:left="1440" w:hanging="360"/>
      </w:pPr>
      <w:rPr>
        <w:rFonts w:ascii="Courier New" w:hAnsi="Courier New" w:hint="default"/>
      </w:rPr>
    </w:lvl>
    <w:lvl w:ilvl="2" w:tplc="1C10DD64">
      <w:start w:val="1"/>
      <w:numFmt w:val="bullet"/>
      <w:lvlText w:val=""/>
      <w:lvlJc w:val="left"/>
      <w:pPr>
        <w:ind w:left="2160" w:hanging="360"/>
      </w:pPr>
      <w:rPr>
        <w:rFonts w:ascii="Wingdings" w:hAnsi="Wingdings" w:hint="default"/>
      </w:rPr>
    </w:lvl>
    <w:lvl w:ilvl="3" w:tplc="F6720FE2">
      <w:start w:val="1"/>
      <w:numFmt w:val="bullet"/>
      <w:lvlText w:val=""/>
      <w:lvlJc w:val="left"/>
      <w:pPr>
        <w:ind w:left="2880" w:hanging="360"/>
      </w:pPr>
      <w:rPr>
        <w:rFonts w:ascii="Symbol" w:hAnsi="Symbol" w:hint="default"/>
      </w:rPr>
    </w:lvl>
    <w:lvl w:ilvl="4" w:tplc="BA0CCE34">
      <w:start w:val="1"/>
      <w:numFmt w:val="bullet"/>
      <w:lvlText w:val="o"/>
      <w:lvlJc w:val="left"/>
      <w:pPr>
        <w:ind w:left="3600" w:hanging="360"/>
      </w:pPr>
      <w:rPr>
        <w:rFonts w:ascii="Courier New" w:hAnsi="Courier New" w:hint="default"/>
      </w:rPr>
    </w:lvl>
    <w:lvl w:ilvl="5" w:tplc="267E3BA4">
      <w:start w:val="1"/>
      <w:numFmt w:val="bullet"/>
      <w:lvlText w:val=""/>
      <w:lvlJc w:val="left"/>
      <w:pPr>
        <w:ind w:left="4320" w:hanging="360"/>
      </w:pPr>
      <w:rPr>
        <w:rFonts w:ascii="Wingdings" w:hAnsi="Wingdings" w:hint="default"/>
      </w:rPr>
    </w:lvl>
    <w:lvl w:ilvl="6" w:tplc="9520908C">
      <w:start w:val="1"/>
      <w:numFmt w:val="bullet"/>
      <w:lvlText w:val=""/>
      <w:lvlJc w:val="left"/>
      <w:pPr>
        <w:ind w:left="5040" w:hanging="360"/>
      </w:pPr>
      <w:rPr>
        <w:rFonts w:ascii="Symbol" w:hAnsi="Symbol" w:hint="default"/>
      </w:rPr>
    </w:lvl>
    <w:lvl w:ilvl="7" w:tplc="EF680D22">
      <w:start w:val="1"/>
      <w:numFmt w:val="bullet"/>
      <w:lvlText w:val="o"/>
      <w:lvlJc w:val="left"/>
      <w:pPr>
        <w:ind w:left="5760" w:hanging="360"/>
      </w:pPr>
      <w:rPr>
        <w:rFonts w:ascii="Courier New" w:hAnsi="Courier New" w:hint="default"/>
      </w:rPr>
    </w:lvl>
    <w:lvl w:ilvl="8" w:tplc="2CCE561C">
      <w:start w:val="1"/>
      <w:numFmt w:val="bullet"/>
      <w:lvlText w:val=""/>
      <w:lvlJc w:val="left"/>
      <w:pPr>
        <w:ind w:left="6480" w:hanging="360"/>
      </w:pPr>
      <w:rPr>
        <w:rFonts w:ascii="Wingdings" w:hAnsi="Wingdings" w:hint="default"/>
      </w:rPr>
    </w:lvl>
  </w:abstractNum>
  <w:abstractNum w:abstractNumId="51"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2EE1137"/>
    <w:multiLevelType w:val="hybridMultilevel"/>
    <w:tmpl w:val="AC1A0828"/>
    <w:lvl w:ilvl="0" w:tplc="7084E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8D59D0"/>
    <w:multiLevelType w:val="hybridMultilevel"/>
    <w:tmpl w:val="7872353E"/>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A42CE3"/>
    <w:multiLevelType w:val="hybridMultilevel"/>
    <w:tmpl w:val="6F0A7114"/>
    <w:lvl w:ilvl="0" w:tplc="7BEA29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91E0378"/>
    <w:multiLevelType w:val="hybridMultilevel"/>
    <w:tmpl w:val="89A86282"/>
    <w:lvl w:ilvl="0" w:tplc="73061996">
      <w:start w:val="1"/>
      <w:numFmt w:val="bullet"/>
      <w:lvlText w:val=""/>
      <w:lvlJc w:val="left"/>
      <w:pPr>
        <w:ind w:left="720" w:hanging="360"/>
      </w:pPr>
      <w:rPr>
        <w:rFonts w:ascii="Symbol" w:hAnsi="Symbol" w:hint="default"/>
      </w:rPr>
    </w:lvl>
    <w:lvl w:ilvl="1" w:tplc="E122563C">
      <w:start w:val="1"/>
      <w:numFmt w:val="bullet"/>
      <w:lvlText w:val="o"/>
      <w:lvlJc w:val="left"/>
      <w:pPr>
        <w:ind w:left="1440" w:hanging="360"/>
      </w:pPr>
      <w:rPr>
        <w:rFonts w:ascii="Courier New" w:hAnsi="Courier New" w:hint="default"/>
      </w:rPr>
    </w:lvl>
    <w:lvl w:ilvl="2" w:tplc="D56641CE">
      <w:start w:val="1"/>
      <w:numFmt w:val="bullet"/>
      <w:lvlText w:val=""/>
      <w:lvlJc w:val="left"/>
      <w:pPr>
        <w:ind w:left="2160" w:hanging="360"/>
      </w:pPr>
      <w:rPr>
        <w:rFonts w:ascii="Wingdings" w:hAnsi="Wingdings" w:hint="default"/>
      </w:rPr>
    </w:lvl>
    <w:lvl w:ilvl="3" w:tplc="09622EF2">
      <w:start w:val="1"/>
      <w:numFmt w:val="bullet"/>
      <w:lvlText w:val=""/>
      <w:lvlJc w:val="left"/>
      <w:pPr>
        <w:ind w:left="2880" w:hanging="360"/>
      </w:pPr>
      <w:rPr>
        <w:rFonts w:ascii="Symbol" w:hAnsi="Symbol" w:hint="default"/>
      </w:rPr>
    </w:lvl>
    <w:lvl w:ilvl="4" w:tplc="3F806822">
      <w:start w:val="1"/>
      <w:numFmt w:val="bullet"/>
      <w:lvlText w:val="o"/>
      <w:lvlJc w:val="left"/>
      <w:pPr>
        <w:ind w:left="3600" w:hanging="360"/>
      </w:pPr>
      <w:rPr>
        <w:rFonts w:ascii="Courier New" w:hAnsi="Courier New" w:hint="default"/>
      </w:rPr>
    </w:lvl>
    <w:lvl w:ilvl="5" w:tplc="399C9100">
      <w:start w:val="1"/>
      <w:numFmt w:val="bullet"/>
      <w:lvlText w:val=""/>
      <w:lvlJc w:val="left"/>
      <w:pPr>
        <w:ind w:left="4320" w:hanging="360"/>
      </w:pPr>
      <w:rPr>
        <w:rFonts w:ascii="Wingdings" w:hAnsi="Wingdings" w:hint="default"/>
      </w:rPr>
    </w:lvl>
    <w:lvl w:ilvl="6" w:tplc="48DEFB46">
      <w:start w:val="1"/>
      <w:numFmt w:val="bullet"/>
      <w:lvlText w:val=""/>
      <w:lvlJc w:val="left"/>
      <w:pPr>
        <w:ind w:left="5040" w:hanging="360"/>
      </w:pPr>
      <w:rPr>
        <w:rFonts w:ascii="Symbol" w:hAnsi="Symbol" w:hint="default"/>
      </w:rPr>
    </w:lvl>
    <w:lvl w:ilvl="7" w:tplc="6D1C43D2">
      <w:start w:val="1"/>
      <w:numFmt w:val="bullet"/>
      <w:lvlText w:val="o"/>
      <w:lvlJc w:val="left"/>
      <w:pPr>
        <w:ind w:left="5760" w:hanging="360"/>
      </w:pPr>
      <w:rPr>
        <w:rFonts w:ascii="Courier New" w:hAnsi="Courier New" w:hint="default"/>
      </w:rPr>
    </w:lvl>
    <w:lvl w:ilvl="8" w:tplc="5E78976E">
      <w:start w:val="1"/>
      <w:numFmt w:val="bullet"/>
      <w:lvlText w:val=""/>
      <w:lvlJc w:val="left"/>
      <w:pPr>
        <w:ind w:left="6480" w:hanging="360"/>
      </w:pPr>
      <w:rPr>
        <w:rFonts w:ascii="Wingdings" w:hAnsi="Wingdings" w:hint="default"/>
      </w:rPr>
    </w:lvl>
  </w:abstractNum>
  <w:abstractNum w:abstractNumId="57" w15:restartNumberingAfterBreak="0">
    <w:nsid w:val="69B77274"/>
    <w:multiLevelType w:val="hybridMultilevel"/>
    <w:tmpl w:val="D37487D6"/>
    <w:lvl w:ilvl="0" w:tplc="D48A600C">
      <w:start w:val="1"/>
      <w:numFmt w:val="decimal"/>
      <w:lvlText w:val="%1."/>
      <w:lvlJc w:val="left"/>
      <w:pPr>
        <w:ind w:left="720" w:hanging="360"/>
      </w:pPr>
      <w:rPr>
        <w:rFonts w:hint="default"/>
      </w:rPr>
    </w:lvl>
    <w:lvl w:ilvl="1" w:tplc="FF9EEACE">
      <w:start w:val="1"/>
      <w:numFmt w:val="lowerLetter"/>
      <w:lvlText w:val="%2."/>
      <w:lvlJc w:val="left"/>
      <w:pPr>
        <w:tabs>
          <w:tab w:val="num" w:pos="1800"/>
        </w:tabs>
        <w:ind w:left="1440" w:hanging="360"/>
      </w:pPr>
      <w:rPr>
        <w:rFonts w:hint="default"/>
      </w:rPr>
    </w:lvl>
    <w:lvl w:ilvl="2" w:tplc="A2507A66">
      <w:start w:val="1"/>
      <w:numFmt w:val="decimal"/>
      <w:lvlText w:val="%3."/>
      <w:lvlJc w:val="left"/>
      <w:pPr>
        <w:tabs>
          <w:tab w:val="num" w:pos="2520"/>
        </w:tabs>
        <w:ind w:left="2160" w:hanging="360"/>
      </w:pPr>
      <w:rPr>
        <w:rFonts w:hint="default"/>
        <w:sz w:val="24"/>
      </w:rPr>
    </w:lvl>
    <w:lvl w:ilvl="3" w:tplc="16284186">
      <w:start w:val="1"/>
      <w:numFmt w:val="decimal"/>
      <w:lvlText w:val="%4."/>
      <w:lvlJc w:val="left"/>
      <w:pPr>
        <w:tabs>
          <w:tab w:val="num" w:pos="3240"/>
        </w:tabs>
        <w:ind w:left="2880" w:hanging="360"/>
      </w:pPr>
      <w:rPr>
        <w:rFonts w:hint="default"/>
      </w:rPr>
    </w:lvl>
    <w:lvl w:ilvl="4" w:tplc="2DC2F17A">
      <w:start w:val="1"/>
      <w:numFmt w:val="lowerLetter"/>
      <w:lvlText w:val="%5."/>
      <w:lvlJc w:val="left"/>
      <w:pPr>
        <w:tabs>
          <w:tab w:val="num" w:pos="3960"/>
        </w:tabs>
        <w:ind w:left="3600" w:hanging="360"/>
      </w:pPr>
      <w:rPr>
        <w:rFonts w:hint="default"/>
      </w:rPr>
    </w:lvl>
    <w:lvl w:ilvl="5" w:tplc="7AB029B0">
      <w:start w:val="1"/>
      <w:numFmt w:val="lowerRoman"/>
      <w:lvlText w:val="%6."/>
      <w:lvlJc w:val="right"/>
      <w:pPr>
        <w:tabs>
          <w:tab w:val="num" w:pos="4680"/>
        </w:tabs>
        <w:ind w:left="4320" w:hanging="360"/>
      </w:pPr>
      <w:rPr>
        <w:rFonts w:hint="default"/>
      </w:rPr>
    </w:lvl>
    <w:lvl w:ilvl="6" w:tplc="ABDA4B2E">
      <w:start w:val="1"/>
      <w:numFmt w:val="decimal"/>
      <w:lvlText w:val="%7."/>
      <w:lvlJc w:val="left"/>
      <w:pPr>
        <w:tabs>
          <w:tab w:val="num" w:pos="5400"/>
        </w:tabs>
        <w:ind w:left="5040" w:hanging="360"/>
      </w:pPr>
      <w:rPr>
        <w:rFonts w:hint="default"/>
      </w:rPr>
    </w:lvl>
    <w:lvl w:ilvl="7" w:tplc="82D223DC">
      <w:start w:val="1"/>
      <w:numFmt w:val="lowerLetter"/>
      <w:lvlText w:val="%8."/>
      <w:lvlJc w:val="left"/>
      <w:pPr>
        <w:tabs>
          <w:tab w:val="num" w:pos="6120"/>
        </w:tabs>
        <w:ind w:left="5760" w:hanging="360"/>
      </w:pPr>
      <w:rPr>
        <w:rFonts w:hint="default"/>
      </w:rPr>
    </w:lvl>
    <w:lvl w:ilvl="8" w:tplc="2A1E0CA6">
      <w:start w:val="1"/>
      <w:numFmt w:val="lowerRoman"/>
      <w:lvlText w:val="%9."/>
      <w:lvlJc w:val="right"/>
      <w:pPr>
        <w:tabs>
          <w:tab w:val="num" w:pos="6840"/>
        </w:tabs>
        <w:ind w:left="6480" w:hanging="360"/>
      </w:pPr>
      <w:rPr>
        <w:rFonts w:hint="default"/>
      </w:rPr>
    </w:lvl>
  </w:abstractNum>
  <w:abstractNum w:abstractNumId="58" w15:restartNumberingAfterBreak="0">
    <w:nsid w:val="6AC42922"/>
    <w:multiLevelType w:val="hybridMultilevel"/>
    <w:tmpl w:val="384E6C8C"/>
    <w:numStyleLink w:val="ESEList-Numbers"/>
  </w:abstractNum>
  <w:abstractNum w:abstractNumId="59"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0D66E4"/>
    <w:multiLevelType w:val="hybridMultilevel"/>
    <w:tmpl w:val="2C1212C2"/>
    <w:lvl w:ilvl="0" w:tplc="5A60A35C">
      <w:start w:val="1"/>
      <w:numFmt w:val="upperRoman"/>
      <w:lvlText w:val="%1."/>
      <w:lvlJc w:val="left"/>
      <w:pPr>
        <w:tabs>
          <w:tab w:val="num" w:pos="1080"/>
        </w:tabs>
        <w:ind w:left="1080" w:hanging="720"/>
      </w:pPr>
      <w:rPr>
        <w:rFonts w:hint="default"/>
      </w:rPr>
    </w:lvl>
    <w:lvl w:ilvl="1" w:tplc="718212C8">
      <w:start w:val="1"/>
      <w:numFmt w:val="lowerLetter"/>
      <w:lvlText w:val="%2."/>
      <w:lvlJc w:val="left"/>
      <w:pPr>
        <w:tabs>
          <w:tab w:val="num" w:pos="1440"/>
        </w:tabs>
        <w:ind w:left="1440" w:hanging="360"/>
      </w:pPr>
      <w:rPr>
        <w:rFonts w:hint="default"/>
      </w:rPr>
    </w:lvl>
    <w:lvl w:ilvl="2" w:tplc="0B1A40FC">
      <w:start w:val="1"/>
      <w:numFmt w:val="decimal"/>
      <w:lvlText w:val="%3."/>
      <w:lvlJc w:val="left"/>
      <w:pPr>
        <w:tabs>
          <w:tab w:val="num" w:pos="2340"/>
        </w:tabs>
        <w:ind w:left="2340" w:hanging="360"/>
      </w:pPr>
      <w:rPr>
        <w:sz w:val="24"/>
      </w:rPr>
    </w:lvl>
    <w:lvl w:ilvl="3" w:tplc="9086FB8E">
      <w:start w:val="1"/>
      <w:numFmt w:val="decimal"/>
      <w:lvlText w:val="%4."/>
      <w:lvlJc w:val="left"/>
      <w:pPr>
        <w:tabs>
          <w:tab w:val="num" w:pos="2880"/>
        </w:tabs>
        <w:ind w:left="2880" w:hanging="360"/>
      </w:pPr>
    </w:lvl>
    <w:lvl w:ilvl="4" w:tplc="1F38FAC6">
      <w:start w:val="1"/>
      <w:numFmt w:val="lowerLetter"/>
      <w:lvlText w:val="%5."/>
      <w:lvlJc w:val="left"/>
      <w:pPr>
        <w:tabs>
          <w:tab w:val="num" w:pos="3600"/>
        </w:tabs>
        <w:ind w:left="3600" w:hanging="360"/>
      </w:pPr>
    </w:lvl>
    <w:lvl w:ilvl="5" w:tplc="39442D64">
      <w:start w:val="1"/>
      <w:numFmt w:val="lowerRoman"/>
      <w:lvlText w:val="%6."/>
      <w:lvlJc w:val="right"/>
      <w:pPr>
        <w:tabs>
          <w:tab w:val="num" w:pos="4320"/>
        </w:tabs>
        <w:ind w:left="4320" w:hanging="180"/>
      </w:pPr>
    </w:lvl>
    <w:lvl w:ilvl="6" w:tplc="C28E76D2">
      <w:start w:val="1"/>
      <w:numFmt w:val="decimal"/>
      <w:lvlText w:val="%7."/>
      <w:lvlJc w:val="left"/>
      <w:pPr>
        <w:tabs>
          <w:tab w:val="num" w:pos="5040"/>
        </w:tabs>
        <w:ind w:left="5040" w:hanging="360"/>
      </w:pPr>
    </w:lvl>
    <w:lvl w:ilvl="7" w:tplc="ECA897FE">
      <w:start w:val="1"/>
      <w:numFmt w:val="lowerLetter"/>
      <w:lvlText w:val="%8."/>
      <w:lvlJc w:val="left"/>
      <w:pPr>
        <w:tabs>
          <w:tab w:val="num" w:pos="5760"/>
        </w:tabs>
        <w:ind w:left="5760" w:hanging="360"/>
      </w:pPr>
    </w:lvl>
    <w:lvl w:ilvl="8" w:tplc="724AE87C">
      <w:start w:val="1"/>
      <w:numFmt w:val="lowerRoman"/>
      <w:lvlText w:val="%9."/>
      <w:lvlJc w:val="right"/>
      <w:pPr>
        <w:tabs>
          <w:tab w:val="num" w:pos="6480"/>
        </w:tabs>
        <w:ind w:left="6480" w:hanging="180"/>
      </w:pPr>
    </w:lvl>
  </w:abstractNum>
  <w:abstractNum w:abstractNumId="61" w15:restartNumberingAfterBreak="0">
    <w:nsid w:val="6DFD4992"/>
    <w:multiLevelType w:val="hybridMultilevel"/>
    <w:tmpl w:val="384E6C8C"/>
    <w:numStyleLink w:val="ESEList-Numbers"/>
  </w:abstractNum>
  <w:abstractNum w:abstractNumId="62" w15:restartNumberingAfterBreak="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76B84752"/>
    <w:multiLevelType w:val="hybridMultilevel"/>
    <w:tmpl w:val="BF20C6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9B90A65"/>
    <w:multiLevelType w:val="hybridMultilevel"/>
    <w:tmpl w:val="10AE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56"/>
  </w:num>
  <w:num w:numId="3">
    <w:abstractNumId w:val="65"/>
  </w:num>
  <w:num w:numId="4">
    <w:abstractNumId w:val="52"/>
  </w:num>
  <w:num w:numId="5">
    <w:abstractNumId w:val="10"/>
  </w:num>
  <w:num w:numId="6">
    <w:abstractNumId w:val="17"/>
  </w:num>
  <w:num w:numId="7">
    <w:abstractNumId w:val="31"/>
  </w:num>
  <w:num w:numId="8">
    <w:abstractNumId w:val="27"/>
  </w:num>
  <w:num w:numId="9">
    <w:abstractNumId w:val="19"/>
  </w:num>
  <w:num w:numId="10">
    <w:abstractNumId w:val="48"/>
  </w:num>
  <w:num w:numId="11">
    <w:abstractNumId w:val="32"/>
  </w:num>
  <w:num w:numId="12">
    <w:abstractNumId w:val="62"/>
  </w:num>
  <w:num w:numId="13">
    <w:abstractNumId w:val="9"/>
  </w:num>
  <w:num w:numId="14">
    <w:abstractNumId w:val="59"/>
  </w:num>
  <w:num w:numId="15">
    <w:abstractNumId w:val="28"/>
  </w:num>
  <w:num w:numId="16">
    <w:abstractNumId w:val="29"/>
  </w:num>
  <w:num w:numId="17">
    <w:abstractNumId w:val="8"/>
  </w:num>
  <w:num w:numId="18">
    <w:abstractNumId w:val="63"/>
  </w:num>
  <w:num w:numId="19">
    <w:abstractNumId w:val="44"/>
  </w:num>
  <w:num w:numId="20">
    <w:abstractNumId w:val="39"/>
  </w:num>
  <w:num w:numId="21">
    <w:abstractNumId w:val="34"/>
  </w:num>
  <w:num w:numId="22">
    <w:abstractNumId w:val="55"/>
  </w:num>
  <w:num w:numId="23">
    <w:abstractNumId w:val="51"/>
  </w:num>
  <w:num w:numId="24">
    <w:abstractNumId w:val="3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6"/>
  </w:num>
  <w:num w:numId="34">
    <w:abstractNumId w:val="57"/>
  </w:num>
  <w:num w:numId="35">
    <w:abstractNumId w:val="60"/>
  </w:num>
  <w:num w:numId="36">
    <w:abstractNumId w:val="18"/>
  </w:num>
  <w:num w:numId="37">
    <w:abstractNumId w:val="3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2"/>
  </w:num>
  <w:num w:numId="43">
    <w:abstractNumId w:val="24"/>
  </w:num>
  <w:num w:numId="44">
    <w:abstractNumId w:val="26"/>
  </w:num>
  <w:num w:numId="45">
    <w:abstractNumId w:val="21"/>
  </w:num>
  <w:num w:numId="46">
    <w:abstractNumId w:val="22"/>
  </w:num>
  <w:num w:numId="47">
    <w:abstractNumId w:val="41"/>
  </w:num>
  <w:num w:numId="48">
    <w:abstractNumId w:val="58"/>
  </w:num>
  <w:num w:numId="49">
    <w:abstractNumId w:val="23"/>
  </w:num>
  <w:num w:numId="50">
    <w:abstractNumId w:val="20"/>
  </w:num>
  <w:num w:numId="51">
    <w:abstractNumId w:val="35"/>
  </w:num>
  <w:num w:numId="52">
    <w:abstractNumId w:val="49"/>
  </w:num>
  <w:num w:numId="53">
    <w:abstractNumId w:val="40"/>
  </w:num>
  <w:num w:numId="54">
    <w:abstractNumId w:val="25"/>
  </w:num>
  <w:num w:numId="55">
    <w:abstractNumId w:val="11"/>
  </w:num>
  <w:num w:numId="56">
    <w:abstractNumId w:val="46"/>
  </w:num>
  <w:num w:numId="57">
    <w:abstractNumId w:val="14"/>
  </w:num>
  <w:num w:numId="58">
    <w:abstractNumId w:val="61"/>
  </w:num>
  <w:num w:numId="59">
    <w:abstractNumId w:val="54"/>
  </w:num>
  <w:num w:numId="60">
    <w:abstractNumId w:val="13"/>
  </w:num>
  <w:num w:numId="61">
    <w:abstractNumId w:val="12"/>
  </w:num>
  <w:num w:numId="62">
    <w:abstractNumId w:val="43"/>
  </w:num>
  <w:num w:numId="63">
    <w:abstractNumId w:val="30"/>
  </w:num>
  <w:num w:numId="64">
    <w:abstractNumId w:val="64"/>
  </w:num>
  <w:num w:numId="65">
    <w:abstractNumId w:val="36"/>
  </w:num>
  <w:num w:numId="66">
    <w:abstractNumId w:val="33"/>
  </w:num>
  <w:num w:numId="67">
    <w:abstractNumId w:val="47"/>
  </w:num>
  <w:num w:numId="68">
    <w:abstractNumId w:val="53"/>
  </w:num>
  <w:num w:numId="69">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linkStyle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C"/>
    <w:rsid w:val="000000E3"/>
    <w:rsid w:val="000001A7"/>
    <w:rsid w:val="00001CD6"/>
    <w:rsid w:val="00002751"/>
    <w:rsid w:val="0000305B"/>
    <w:rsid w:val="000055AB"/>
    <w:rsid w:val="00005926"/>
    <w:rsid w:val="000062E0"/>
    <w:rsid w:val="000063F2"/>
    <w:rsid w:val="0000651D"/>
    <w:rsid w:val="000067E9"/>
    <w:rsid w:val="000069B9"/>
    <w:rsid w:val="00006DFE"/>
    <w:rsid w:val="000115A0"/>
    <w:rsid w:val="0001207B"/>
    <w:rsid w:val="000122BF"/>
    <w:rsid w:val="00012469"/>
    <w:rsid w:val="000127BD"/>
    <w:rsid w:val="000129C4"/>
    <w:rsid w:val="000136DE"/>
    <w:rsid w:val="00013B13"/>
    <w:rsid w:val="000143D1"/>
    <w:rsid w:val="0001472C"/>
    <w:rsid w:val="00014BB1"/>
    <w:rsid w:val="00014BDD"/>
    <w:rsid w:val="00015FC4"/>
    <w:rsid w:val="00016081"/>
    <w:rsid w:val="00016499"/>
    <w:rsid w:val="0001718F"/>
    <w:rsid w:val="00017FD1"/>
    <w:rsid w:val="000201EA"/>
    <w:rsid w:val="000204CF"/>
    <w:rsid w:val="00020930"/>
    <w:rsid w:val="00022868"/>
    <w:rsid w:val="00022A6F"/>
    <w:rsid w:val="00022F28"/>
    <w:rsid w:val="00023350"/>
    <w:rsid w:val="0002522E"/>
    <w:rsid w:val="000256C8"/>
    <w:rsid w:val="00025876"/>
    <w:rsid w:val="00026439"/>
    <w:rsid w:val="00026643"/>
    <w:rsid w:val="0002668B"/>
    <w:rsid w:val="000278A4"/>
    <w:rsid w:val="000303B6"/>
    <w:rsid w:val="00030AB9"/>
    <w:rsid w:val="0003167D"/>
    <w:rsid w:val="00032359"/>
    <w:rsid w:val="00032C32"/>
    <w:rsid w:val="00033354"/>
    <w:rsid w:val="00033678"/>
    <w:rsid w:val="000338A6"/>
    <w:rsid w:val="00034694"/>
    <w:rsid w:val="0003475E"/>
    <w:rsid w:val="00034BBA"/>
    <w:rsid w:val="00034CBD"/>
    <w:rsid w:val="00035255"/>
    <w:rsid w:val="000352BA"/>
    <w:rsid w:val="000353EE"/>
    <w:rsid w:val="00035CEC"/>
    <w:rsid w:val="00035D62"/>
    <w:rsid w:val="0003602D"/>
    <w:rsid w:val="000366DA"/>
    <w:rsid w:val="00036FF4"/>
    <w:rsid w:val="000376A9"/>
    <w:rsid w:val="00037A73"/>
    <w:rsid w:val="00040120"/>
    <w:rsid w:val="00040375"/>
    <w:rsid w:val="00040A24"/>
    <w:rsid w:val="00040A46"/>
    <w:rsid w:val="00040D05"/>
    <w:rsid w:val="00041C59"/>
    <w:rsid w:val="00041EA4"/>
    <w:rsid w:val="000421AE"/>
    <w:rsid w:val="0004250B"/>
    <w:rsid w:val="000432FE"/>
    <w:rsid w:val="0004352E"/>
    <w:rsid w:val="00043AA1"/>
    <w:rsid w:val="00043B2B"/>
    <w:rsid w:val="00043F2C"/>
    <w:rsid w:val="000442E9"/>
    <w:rsid w:val="00044956"/>
    <w:rsid w:val="00045478"/>
    <w:rsid w:val="00045537"/>
    <w:rsid w:val="00045A00"/>
    <w:rsid w:val="00046167"/>
    <w:rsid w:val="0004627B"/>
    <w:rsid w:val="000464A4"/>
    <w:rsid w:val="000469DA"/>
    <w:rsid w:val="00046BB4"/>
    <w:rsid w:val="00047E87"/>
    <w:rsid w:val="00050315"/>
    <w:rsid w:val="000506EF"/>
    <w:rsid w:val="000515B6"/>
    <w:rsid w:val="00051D11"/>
    <w:rsid w:val="00051F50"/>
    <w:rsid w:val="0005210F"/>
    <w:rsid w:val="0005242B"/>
    <w:rsid w:val="00052434"/>
    <w:rsid w:val="00052A48"/>
    <w:rsid w:val="00052E76"/>
    <w:rsid w:val="000531D8"/>
    <w:rsid w:val="000543A0"/>
    <w:rsid w:val="00054792"/>
    <w:rsid w:val="00054C86"/>
    <w:rsid w:val="00054D60"/>
    <w:rsid w:val="00056C26"/>
    <w:rsid w:val="00057582"/>
    <w:rsid w:val="00057E5F"/>
    <w:rsid w:val="00057EA8"/>
    <w:rsid w:val="00060B6C"/>
    <w:rsid w:val="00061132"/>
    <w:rsid w:val="00061136"/>
    <w:rsid w:val="0006165F"/>
    <w:rsid w:val="00061AFA"/>
    <w:rsid w:val="00062954"/>
    <w:rsid w:val="0006296D"/>
    <w:rsid w:val="000629D0"/>
    <w:rsid w:val="00062DF3"/>
    <w:rsid w:val="000631E4"/>
    <w:rsid w:val="00063C75"/>
    <w:rsid w:val="000641C5"/>
    <w:rsid w:val="0006425D"/>
    <w:rsid w:val="000642BA"/>
    <w:rsid w:val="000655D4"/>
    <w:rsid w:val="00065A4C"/>
    <w:rsid w:val="0006797D"/>
    <w:rsid w:val="00070286"/>
    <w:rsid w:val="00071012"/>
    <w:rsid w:val="0007165D"/>
    <w:rsid w:val="00071949"/>
    <w:rsid w:val="00071CDE"/>
    <w:rsid w:val="000721F2"/>
    <w:rsid w:val="00072417"/>
    <w:rsid w:val="00072DB4"/>
    <w:rsid w:val="0007383E"/>
    <w:rsid w:val="00073D55"/>
    <w:rsid w:val="00075BC9"/>
    <w:rsid w:val="00075E6A"/>
    <w:rsid w:val="00075F05"/>
    <w:rsid w:val="000767CF"/>
    <w:rsid w:val="00076B49"/>
    <w:rsid w:val="0007726A"/>
    <w:rsid w:val="000772BD"/>
    <w:rsid w:val="00077879"/>
    <w:rsid w:val="00077F35"/>
    <w:rsid w:val="000802BF"/>
    <w:rsid w:val="0008062B"/>
    <w:rsid w:val="00080F11"/>
    <w:rsid w:val="000811A7"/>
    <w:rsid w:val="000818AA"/>
    <w:rsid w:val="00081B01"/>
    <w:rsid w:val="00083569"/>
    <w:rsid w:val="00083A08"/>
    <w:rsid w:val="0008409D"/>
    <w:rsid w:val="0008450F"/>
    <w:rsid w:val="0008453E"/>
    <w:rsid w:val="00084AFA"/>
    <w:rsid w:val="00084BD6"/>
    <w:rsid w:val="00084F9E"/>
    <w:rsid w:val="000863D5"/>
    <w:rsid w:val="0008647E"/>
    <w:rsid w:val="000865E7"/>
    <w:rsid w:val="00087D7C"/>
    <w:rsid w:val="00090A06"/>
    <w:rsid w:val="00090E37"/>
    <w:rsid w:val="000917DF"/>
    <w:rsid w:val="00091DAC"/>
    <w:rsid w:val="00092314"/>
    <w:rsid w:val="00093E9C"/>
    <w:rsid w:val="000941ED"/>
    <w:rsid w:val="00094BFB"/>
    <w:rsid w:val="00094DFB"/>
    <w:rsid w:val="000953FE"/>
    <w:rsid w:val="00095FA9"/>
    <w:rsid w:val="00096154"/>
    <w:rsid w:val="000966D2"/>
    <w:rsid w:val="000967F4"/>
    <w:rsid w:val="00096EA8"/>
    <w:rsid w:val="000971E2"/>
    <w:rsid w:val="000A0988"/>
    <w:rsid w:val="000A1019"/>
    <w:rsid w:val="000A1888"/>
    <w:rsid w:val="000A230A"/>
    <w:rsid w:val="000A3779"/>
    <w:rsid w:val="000A3872"/>
    <w:rsid w:val="000A3F2E"/>
    <w:rsid w:val="000A4238"/>
    <w:rsid w:val="000A4561"/>
    <w:rsid w:val="000A6586"/>
    <w:rsid w:val="000A739C"/>
    <w:rsid w:val="000A7470"/>
    <w:rsid w:val="000A7B2C"/>
    <w:rsid w:val="000B03B3"/>
    <w:rsid w:val="000B0C99"/>
    <w:rsid w:val="000B1083"/>
    <w:rsid w:val="000B12C8"/>
    <w:rsid w:val="000B1AE0"/>
    <w:rsid w:val="000B1E27"/>
    <w:rsid w:val="000B211F"/>
    <w:rsid w:val="000B30F1"/>
    <w:rsid w:val="000B3394"/>
    <w:rsid w:val="000B3512"/>
    <w:rsid w:val="000B3529"/>
    <w:rsid w:val="000B384F"/>
    <w:rsid w:val="000B4A47"/>
    <w:rsid w:val="000B4CEC"/>
    <w:rsid w:val="000B68B4"/>
    <w:rsid w:val="000B6B82"/>
    <w:rsid w:val="000B703A"/>
    <w:rsid w:val="000B7278"/>
    <w:rsid w:val="000C1507"/>
    <w:rsid w:val="000C1B64"/>
    <w:rsid w:val="000C2511"/>
    <w:rsid w:val="000C2D19"/>
    <w:rsid w:val="000C3137"/>
    <w:rsid w:val="000C357C"/>
    <w:rsid w:val="000C369F"/>
    <w:rsid w:val="000C37D6"/>
    <w:rsid w:val="000C39C1"/>
    <w:rsid w:val="000C4812"/>
    <w:rsid w:val="000C4B8F"/>
    <w:rsid w:val="000C4DC7"/>
    <w:rsid w:val="000C54E8"/>
    <w:rsid w:val="000C5CDB"/>
    <w:rsid w:val="000C64A2"/>
    <w:rsid w:val="000C667D"/>
    <w:rsid w:val="000C6D09"/>
    <w:rsid w:val="000D118D"/>
    <w:rsid w:val="000D2096"/>
    <w:rsid w:val="000D21AF"/>
    <w:rsid w:val="000D2377"/>
    <w:rsid w:val="000D3474"/>
    <w:rsid w:val="000D3AA9"/>
    <w:rsid w:val="000D5052"/>
    <w:rsid w:val="000D54FC"/>
    <w:rsid w:val="000D5D40"/>
    <w:rsid w:val="000D741D"/>
    <w:rsid w:val="000D75D2"/>
    <w:rsid w:val="000E0FDB"/>
    <w:rsid w:val="000E137C"/>
    <w:rsid w:val="000E1FE8"/>
    <w:rsid w:val="000E2511"/>
    <w:rsid w:val="000E42B1"/>
    <w:rsid w:val="000E4805"/>
    <w:rsid w:val="000E4A05"/>
    <w:rsid w:val="000E4E3C"/>
    <w:rsid w:val="000E5061"/>
    <w:rsid w:val="000E54B8"/>
    <w:rsid w:val="000E5B3D"/>
    <w:rsid w:val="000E6214"/>
    <w:rsid w:val="000E6F25"/>
    <w:rsid w:val="000E7A90"/>
    <w:rsid w:val="000E7B1F"/>
    <w:rsid w:val="000ED9C9"/>
    <w:rsid w:val="000F14CB"/>
    <w:rsid w:val="000F1543"/>
    <w:rsid w:val="000F2769"/>
    <w:rsid w:val="000F277A"/>
    <w:rsid w:val="000F2AF9"/>
    <w:rsid w:val="000F2CCF"/>
    <w:rsid w:val="000F4AFE"/>
    <w:rsid w:val="000F5937"/>
    <w:rsid w:val="000F6154"/>
    <w:rsid w:val="000F616A"/>
    <w:rsid w:val="000F6AFE"/>
    <w:rsid w:val="000F72F2"/>
    <w:rsid w:val="000F77A1"/>
    <w:rsid w:val="000F7B3D"/>
    <w:rsid w:val="000F7FA8"/>
    <w:rsid w:val="001002F5"/>
    <w:rsid w:val="00100F44"/>
    <w:rsid w:val="0010304B"/>
    <w:rsid w:val="00103822"/>
    <w:rsid w:val="0010396D"/>
    <w:rsid w:val="00103A87"/>
    <w:rsid w:val="00103B9F"/>
    <w:rsid w:val="0010518F"/>
    <w:rsid w:val="0010603B"/>
    <w:rsid w:val="00106266"/>
    <w:rsid w:val="0010627D"/>
    <w:rsid w:val="0010650D"/>
    <w:rsid w:val="001077DB"/>
    <w:rsid w:val="00107984"/>
    <w:rsid w:val="00107DE2"/>
    <w:rsid w:val="001114F2"/>
    <w:rsid w:val="001115AD"/>
    <w:rsid w:val="001117AC"/>
    <w:rsid w:val="00112002"/>
    <w:rsid w:val="001128BC"/>
    <w:rsid w:val="00113640"/>
    <w:rsid w:val="00113D71"/>
    <w:rsid w:val="00113E29"/>
    <w:rsid w:val="0011416D"/>
    <w:rsid w:val="00114494"/>
    <w:rsid w:val="00114EFE"/>
    <w:rsid w:val="00115E59"/>
    <w:rsid w:val="00116470"/>
    <w:rsid w:val="0011697F"/>
    <w:rsid w:val="00117395"/>
    <w:rsid w:val="00117596"/>
    <w:rsid w:val="00117F1C"/>
    <w:rsid w:val="00120832"/>
    <w:rsid w:val="001212D4"/>
    <w:rsid w:val="00121D12"/>
    <w:rsid w:val="001220ED"/>
    <w:rsid w:val="001222D4"/>
    <w:rsid w:val="00122331"/>
    <w:rsid w:val="0012251B"/>
    <w:rsid w:val="0012364B"/>
    <w:rsid w:val="0012377E"/>
    <w:rsid w:val="001239CF"/>
    <w:rsid w:val="001243EF"/>
    <w:rsid w:val="00125160"/>
    <w:rsid w:val="0012610F"/>
    <w:rsid w:val="001270F4"/>
    <w:rsid w:val="001308FC"/>
    <w:rsid w:val="0013122A"/>
    <w:rsid w:val="00131676"/>
    <w:rsid w:val="00131878"/>
    <w:rsid w:val="00131A5A"/>
    <w:rsid w:val="0013268B"/>
    <w:rsid w:val="001326FE"/>
    <w:rsid w:val="001330DF"/>
    <w:rsid w:val="00133324"/>
    <w:rsid w:val="00134124"/>
    <w:rsid w:val="0013483F"/>
    <w:rsid w:val="00134A7F"/>
    <w:rsid w:val="001370F6"/>
    <w:rsid w:val="00137F2F"/>
    <w:rsid w:val="0014043D"/>
    <w:rsid w:val="00140715"/>
    <w:rsid w:val="001408FF"/>
    <w:rsid w:val="001411F0"/>
    <w:rsid w:val="00141CED"/>
    <w:rsid w:val="0014219E"/>
    <w:rsid w:val="00143431"/>
    <w:rsid w:val="00143C4C"/>
    <w:rsid w:val="001440A9"/>
    <w:rsid w:val="001443A9"/>
    <w:rsid w:val="00144444"/>
    <w:rsid w:val="001456D7"/>
    <w:rsid w:val="0014608A"/>
    <w:rsid w:val="001465FB"/>
    <w:rsid w:val="0014689F"/>
    <w:rsid w:val="0014740A"/>
    <w:rsid w:val="00147741"/>
    <w:rsid w:val="001477A4"/>
    <w:rsid w:val="0015032B"/>
    <w:rsid w:val="001504DA"/>
    <w:rsid w:val="00150507"/>
    <w:rsid w:val="00150970"/>
    <w:rsid w:val="00150D1E"/>
    <w:rsid w:val="001512DA"/>
    <w:rsid w:val="00151657"/>
    <w:rsid w:val="00151AAD"/>
    <w:rsid w:val="001532FE"/>
    <w:rsid w:val="00153CEC"/>
    <w:rsid w:val="00153D0E"/>
    <w:rsid w:val="0015406C"/>
    <w:rsid w:val="0015442F"/>
    <w:rsid w:val="0015519D"/>
    <w:rsid w:val="0015639D"/>
    <w:rsid w:val="00156739"/>
    <w:rsid w:val="00157777"/>
    <w:rsid w:val="00157A26"/>
    <w:rsid w:val="00157B17"/>
    <w:rsid w:val="00162203"/>
    <w:rsid w:val="00162739"/>
    <w:rsid w:val="00162AC0"/>
    <w:rsid w:val="00162CF4"/>
    <w:rsid w:val="00162EF1"/>
    <w:rsid w:val="00162F52"/>
    <w:rsid w:val="00162F5A"/>
    <w:rsid w:val="00162FDC"/>
    <w:rsid w:val="00163BF7"/>
    <w:rsid w:val="001640C5"/>
    <w:rsid w:val="0016555E"/>
    <w:rsid w:val="0016559F"/>
    <w:rsid w:val="00165C1C"/>
    <w:rsid w:val="00166153"/>
    <w:rsid w:val="001669F9"/>
    <w:rsid w:val="001673C7"/>
    <w:rsid w:val="00167AB8"/>
    <w:rsid w:val="00170F15"/>
    <w:rsid w:val="00171073"/>
    <w:rsid w:val="001710F2"/>
    <w:rsid w:val="00171879"/>
    <w:rsid w:val="001728B4"/>
    <w:rsid w:val="00173385"/>
    <w:rsid w:val="0017418C"/>
    <w:rsid w:val="00174D70"/>
    <w:rsid w:val="00175846"/>
    <w:rsid w:val="00176F0D"/>
    <w:rsid w:val="00177008"/>
    <w:rsid w:val="0017740B"/>
    <w:rsid w:val="00177521"/>
    <w:rsid w:val="00177C6A"/>
    <w:rsid w:val="00177FA5"/>
    <w:rsid w:val="001810AE"/>
    <w:rsid w:val="0018119D"/>
    <w:rsid w:val="001820C0"/>
    <w:rsid w:val="00182382"/>
    <w:rsid w:val="00182B93"/>
    <w:rsid w:val="00183770"/>
    <w:rsid w:val="00183904"/>
    <w:rsid w:val="00183CE0"/>
    <w:rsid w:val="00184DF6"/>
    <w:rsid w:val="00186D16"/>
    <w:rsid w:val="00186D2D"/>
    <w:rsid w:val="00187E96"/>
    <w:rsid w:val="001905DD"/>
    <w:rsid w:val="00190F41"/>
    <w:rsid w:val="00191327"/>
    <w:rsid w:val="00191D62"/>
    <w:rsid w:val="00191F79"/>
    <w:rsid w:val="00192217"/>
    <w:rsid w:val="00192C71"/>
    <w:rsid w:val="001939CE"/>
    <w:rsid w:val="00193EA5"/>
    <w:rsid w:val="001943E2"/>
    <w:rsid w:val="0019466F"/>
    <w:rsid w:val="0019497B"/>
    <w:rsid w:val="00194B56"/>
    <w:rsid w:val="0019526C"/>
    <w:rsid w:val="00195328"/>
    <w:rsid w:val="00195350"/>
    <w:rsid w:val="001957FB"/>
    <w:rsid w:val="00195C9D"/>
    <w:rsid w:val="001964B0"/>
    <w:rsid w:val="00196879"/>
    <w:rsid w:val="00196C55"/>
    <w:rsid w:val="00196CA0"/>
    <w:rsid w:val="00197A06"/>
    <w:rsid w:val="00197DF1"/>
    <w:rsid w:val="00197EFD"/>
    <w:rsid w:val="0019B49E"/>
    <w:rsid w:val="001A0119"/>
    <w:rsid w:val="001A015E"/>
    <w:rsid w:val="001A04EF"/>
    <w:rsid w:val="001A125D"/>
    <w:rsid w:val="001A129E"/>
    <w:rsid w:val="001A1355"/>
    <w:rsid w:val="001A146C"/>
    <w:rsid w:val="001A18AE"/>
    <w:rsid w:val="001A1CCC"/>
    <w:rsid w:val="001A2391"/>
    <w:rsid w:val="001A2EF0"/>
    <w:rsid w:val="001A473A"/>
    <w:rsid w:val="001A4A5C"/>
    <w:rsid w:val="001A5137"/>
    <w:rsid w:val="001A5893"/>
    <w:rsid w:val="001A716B"/>
    <w:rsid w:val="001B0BB8"/>
    <w:rsid w:val="001B0BC2"/>
    <w:rsid w:val="001B0E8D"/>
    <w:rsid w:val="001B10CB"/>
    <w:rsid w:val="001B1282"/>
    <w:rsid w:val="001B13A1"/>
    <w:rsid w:val="001B188B"/>
    <w:rsid w:val="001B234C"/>
    <w:rsid w:val="001B2ECC"/>
    <w:rsid w:val="001B3EED"/>
    <w:rsid w:val="001B418B"/>
    <w:rsid w:val="001B603B"/>
    <w:rsid w:val="001B614A"/>
    <w:rsid w:val="001B660E"/>
    <w:rsid w:val="001B6EB6"/>
    <w:rsid w:val="001B78AC"/>
    <w:rsid w:val="001B7C40"/>
    <w:rsid w:val="001C0958"/>
    <w:rsid w:val="001C15AF"/>
    <w:rsid w:val="001C167B"/>
    <w:rsid w:val="001C280B"/>
    <w:rsid w:val="001C2CF6"/>
    <w:rsid w:val="001C2D8A"/>
    <w:rsid w:val="001C2F8C"/>
    <w:rsid w:val="001C4771"/>
    <w:rsid w:val="001C47D2"/>
    <w:rsid w:val="001C524A"/>
    <w:rsid w:val="001C53E3"/>
    <w:rsid w:val="001C5D0F"/>
    <w:rsid w:val="001C69A6"/>
    <w:rsid w:val="001C7FFD"/>
    <w:rsid w:val="001D020E"/>
    <w:rsid w:val="001D1A6A"/>
    <w:rsid w:val="001D1F22"/>
    <w:rsid w:val="001D3610"/>
    <w:rsid w:val="001D3C6C"/>
    <w:rsid w:val="001D4872"/>
    <w:rsid w:val="001D5320"/>
    <w:rsid w:val="001D5D79"/>
    <w:rsid w:val="001D5F5F"/>
    <w:rsid w:val="001D61E2"/>
    <w:rsid w:val="001D6E41"/>
    <w:rsid w:val="001E0046"/>
    <w:rsid w:val="001E01D4"/>
    <w:rsid w:val="001E0B22"/>
    <w:rsid w:val="001E11CB"/>
    <w:rsid w:val="001E163A"/>
    <w:rsid w:val="001E289A"/>
    <w:rsid w:val="001E2EB3"/>
    <w:rsid w:val="001E4463"/>
    <w:rsid w:val="001E59B0"/>
    <w:rsid w:val="001E5B59"/>
    <w:rsid w:val="001E7117"/>
    <w:rsid w:val="001F0854"/>
    <w:rsid w:val="001F0B95"/>
    <w:rsid w:val="001F2CF0"/>
    <w:rsid w:val="001F3077"/>
    <w:rsid w:val="001F3553"/>
    <w:rsid w:val="001F43B4"/>
    <w:rsid w:val="001F4558"/>
    <w:rsid w:val="001F49F6"/>
    <w:rsid w:val="001F5008"/>
    <w:rsid w:val="001F51CE"/>
    <w:rsid w:val="001F5718"/>
    <w:rsid w:val="001F6ECF"/>
    <w:rsid w:val="001F7D3D"/>
    <w:rsid w:val="00200E06"/>
    <w:rsid w:val="0020162B"/>
    <w:rsid w:val="0020178A"/>
    <w:rsid w:val="00201F7A"/>
    <w:rsid w:val="00202427"/>
    <w:rsid w:val="00202855"/>
    <w:rsid w:val="00202A6F"/>
    <w:rsid w:val="00203095"/>
    <w:rsid w:val="0020361D"/>
    <w:rsid w:val="00203913"/>
    <w:rsid w:val="00203B5D"/>
    <w:rsid w:val="00204483"/>
    <w:rsid w:val="00205211"/>
    <w:rsid w:val="00205786"/>
    <w:rsid w:val="00206728"/>
    <w:rsid w:val="00206CBE"/>
    <w:rsid w:val="00206E58"/>
    <w:rsid w:val="002076D5"/>
    <w:rsid w:val="002076ED"/>
    <w:rsid w:val="00210194"/>
    <w:rsid w:val="002104F4"/>
    <w:rsid w:val="00210602"/>
    <w:rsid w:val="002111C9"/>
    <w:rsid w:val="00213517"/>
    <w:rsid w:val="00214235"/>
    <w:rsid w:val="00214257"/>
    <w:rsid w:val="002145D1"/>
    <w:rsid w:val="002168AB"/>
    <w:rsid w:val="00216FF0"/>
    <w:rsid w:val="00220983"/>
    <w:rsid w:val="00220EBF"/>
    <w:rsid w:val="00221A6D"/>
    <w:rsid w:val="00221DAE"/>
    <w:rsid w:val="00221DCE"/>
    <w:rsid w:val="0022245C"/>
    <w:rsid w:val="00222995"/>
    <w:rsid w:val="00223D7E"/>
    <w:rsid w:val="002243E8"/>
    <w:rsid w:val="00224658"/>
    <w:rsid w:val="00224C7B"/>
    <w:rsid w:val="002253A4"/>
    <w:rsid w:val="00225FB1"/>
    <w:rsid w:val="0022659D"/>
    <w:rsid w:val="002279EE"/>
    <w:rsid w:val="00227C7C"/>
    <w:rsid w:val="00227CB7"/>
    <w:rsid w:val="002303F1"/>
    <w:rsid w:val="002311E6"/>
    <w:rsid w:val="00231782"/>
    <w:rsid w:val="00232401"/>
    <w:rsid w:val="002326AA"/>
    <w:rsid w:val="002327A5"/>
    <w:rsid w:val="002333FD"/>
    <w:rsid w:val="00234171"/>
    <w:rsid w:val="00234595"/>
    <w:rsid w:val="00234749"/>
    <w:rsid w:val="00234D9C"/>
    <w:rsid w:val="00234DF1"/>
    <w:rsid w:val="00235252"/>
    <w:rsid w:val="00235D8B"/>
    <w:rsid w:val="00236A28"/>
    <w:rsid w:val="00236D71"/>
    <w:rsid w:val="00237101"/>
    <w:rsid w:val="00237305"/>
    <w:rsid w:val="00237369"/>
    <w:rsid w:val="0024069B"/>
    <w:rsid w:val="0024098C"/>
    <w:rsid w:val="00240B2B"/>
    <w:rsid w:val="00240F5E"/>
    <w:rsid w:val="00241BA6"/>
    <w:rsid w:val="00241D8F"/>
    <w:rsid w:val="00242B93"/>
    <w:rsid w:val="00243338"/>
    <w:rsid w:val="00243D9C"/>
    <w:rsid w:val="00243FAC"/>
    <w:rsid w:val="00244568"/>
    <w:rsid w:val="00244C90"/>
    <w:rsid w:val="0024646B"/>
    <w:rsid w:val="00246521"/>
    <w:rsid w:val="002503C7"/>
    <w:rsid w:val="002507B9"/>
    <w:rsid w:val="00250B09"/>
    <w:rsid w:val="00250D01"/>
    <w:rsid w:val="00251180"/>
    <w:rsid w:val="0025338F"/>
    <w:rsid w:val="00254C7C"/>
    <w:rsid w:val="002550FA"/>
    <w:rsid w:val="00255188"/>
    <w:rsid w:val="00255336"/>
    <w:rsid w:val="002554F8"/>
    <w:rsid w:val="002565B0"/>
    <w:rsid w:val="0025741D"/>
    <w:rsid w:val="002577B2"/>
    <w:rsid w:val="00257859"/>
    <w:rsid w:val="00260088"/>
    <w:rsid w:val="00261ECD"/>
    <w:rsid w:val="002630D6"/>
    <w:rsid w:val="002632F6"/>
    <w:rsid w:val="00263C53"/>
    <w:rsid w:val="00263DFE"/>
    <w:rsid w:val="002641DB"/>
    <w:rsid w:val="00264718"/>
    <w:rsid w:val="0026618D"/>
    <w:rsid w:val="002666E7"/>
    <w:rsid w:val="0026674E"/>
    <w:rsid w:val="00267010"/>
    <w:rsid w:val="00267590"/>
    <w:rsid w:val="00267705"/>
    <w:rsid w:val="002678DA"/>
    <w:rsid w:val="00267D27"/>
    <w:rsid w:val="0027028D"/>
    <w:rsid w:val="00271602"/>
    <w:rsid w:val="00271C90"/>
    <w:rsid w:val="002723F7"/>
    <w:rsid w:val="002724A6"/>
    <w:rsid w:val="00272A19"/>
    <w:rsid w:val="00272D63"/>
    <w:rsid w:val="00273A62"/>
    <w:rsid w:val="00273ADC"/>
    <w:rsid w:val="002745C5"/>
    <w:rsid w:val="0027574A"/>
    <w:rsid w:val="0027689F"/>
    <w:rsid w:val="0027717E"/>
    <w:rsid w:val="00277797"/>
    <w:rsid w:val="0027790D"/>
    <w:rsid w:val="00277ABB"/>
    <w:rsid w:val="00277F36"/>
    <w:rsid w:val="002801BF"/>
    <w:rsid w:val="002812F1"/>
    <w:rsid w:val="002819EB"/>
    <w:rsid w:val="00284C78"/>
    <w:rsid w:val="00286353"/>
    <w:rsid w:val="002864EA"/>
    <w:rsid w:val="0028653D"/>
    <w:rsid w:val="0028675F"/>
    <w:rsid w:val="00286BDB"/>
    <w:rsid w:val="002871A3"/>
    <w:rsid w:val="0028728B"/>
    <w:rsid w:val="0028743F"/>
    <w:rsid w:val="00287442"/>
    <w:rsid w:val="00290310"/>
    <w:rsid w:val="00290C70"/>
    <w:rsid w:val="0029115C"/>
    <w:rsid w:val="0029263C"/>
    <w:rsid w:val="00292869"/>
    <w:rsid w:val="00292ACA"/>
    <w:rsid w:val="00293DCA"/>
    <w:rsid w:val="00293F3E"/>
    <w:rsid w:val="0029425E"/>
    <w:rsid w:val="002945DD"/>
    <w:rsid w:val="00294A64"/>
    <w:rsid w:val="00295A12"/>
    <w:rsid w:val="00295A71"/>
    <w:rsid w:val="0029610F"/>
    <w:rsid w:val="002964A2"/>
    <w:rsid w:val="0029737E"/>
    <w:rsid w:val="002979F7"/>
    <w:rsid w:val="00297B5E"/>
    <w:rsid w:val="002A0924"/>
    <w:rsid w:val="002A2297"/>
    <w:rsid w:val="002A3056"/>
    <w:rsid w:val="002A39A9"/>
    <w:rsid w:val="002A486E"/>
    <w:rsid w:val="002A4F65"/>
    <w:rsid w:val="002A5EEB"/>
    <w:rsid w:val="002A6B38"/>
    <w:rsid w:val="002A6D74"/>
    <w:rsid w:val="002A7C6F"/>
    <w:rsid w:val="002A7F1B"/>
    <w:rsid w:val="002B0864"/>
    <w:rsid w:val="002B16C8"/>
    <w:rsid w:val="002B1778"/>
    <w:rsid w:val="002B2332"/>
    <w:rsid w:val="002B2752"/>
    <w:rsid w:val="002B27DF"/>
    <w:rsid w:val="002B2A62"/>
    <w:rsid w:val="002B2CFF"/>
    <w:rsid w:val="002B2EAF"/>
    <w:rsid w:val="002B3F51"/>
    <w:rsid w:val="002B5602"/>
    <w:rsid w:val="002B5D21"/>
    <w:rsid w:val="002B61AE"/>
    <w:rsid w:val="002B7BAC"/>
    <w:rsid w:val="002C0139"/>
    <w:rsid w:val="002C1357"/>
    <w:rsid w:val="002C1BD5"/>
    <w:rsid w:val="002C1D43"/>
    <w:rsid w:val="002C259B"/>
    <w:rsid w:val="002C28EF"/>
    <w:rsid w:val="002C2DA4"/>
    <w:rsid w:val="002C35D7"/>
    <w:rsid w:val="002C3784"/>
    <w:rsid w:val="002C37D0"/>
    <w:rsid w:val="002C451C"/>
    <w:rsid w:val="002C49B4"/>
    <w:rsid w:val="002C4BB2"/>
    <w:rsid w:val="002C55AF"/>
    <w:rsid w:val="002C55FA"/>
    <w:rsid w:val="002C5EAF"/>
    <w:rsid w:val="002C7AD2"/>
    <w:rsid w:val="002C7C61"/>
    <w:rsid w:val="002C7EE7"/>
    <w:rsid w:val="002D06D0"/>
    <w:rsid w:val="002D16C6"/>
    <w:rsid w:val="002D1C77"/>
    <w:rsid w:val="002D236A"/>
    <w:rsid w:val="002D23D2"/>
    <w:rsid w:val="002D2812"/>
    <w:rsid w:val="002D3178"/>
    <w:rsid w:val="002D31AA"/>
    <w:rsid w:val="002D36B5"/>
    <w:rsid w:val="002D398E"/>
    <w:rsid w:val="002D3DA9"/>
    <w:rsid w:val="002D4514"/>
    <w:rsid w:val="002D4764"/>
    <w:rsid w:val="002D479D"/>
    <w:rsid w:val="002D4D6A"/>
    <w:rsid w:val="002D4E13"/>
    <w:rsid w:val="002D5460"/>
    <w:rsid w:val="002D5476"/>
    <w:rsid w:val="002D57C4"/>
    <w:rsid w:val="002D5834"/>
    <w:rsid w:val="002D5BAF"/>
    <w:rsid w:val="002D5BCF"/>
    <w:rsid w:val="002D5DE3"/>
    <w:rsid w:val="002D60BF"/>
    <w:rsid w:val="002D678F"/>
    <w:rsid w:val="002D7232"/>
    <w:rsid w:val="002D723D"/>
    <w:rsid w:val="002D7C01"/>
    <w:rsid w:val="002DB9AB"/>
    <w:rsid w:val="002E1400"/>
    <w:rsid w:val="002E1454"/>
    <w:rsid w:val="002E1539"/>
    <w:rsid w:val="002E1669"/>
    <w:rsid w:val="002E1AFB"/>
    <w:rsid w:val="002E1F0E"/>
    <w:rsid w:val="002E2B94"/>
    <w:rsid w:val="002E2EF6"/>
    <w:rsid w:val="002E3191"/>
    <w:rsid w:val="002E32BB"/>
    <w:rsid w:val="002E369B"/>
    <w:rsid w:val="002E40C9"/>
    <w:rsid w:val="002E4D0E"/>
    <w:rsid w:val="002E4DC0"/>
    <w:rsid w:val="002E5A31"/>
    <w:rsid w:val="002E70B7"/>
    <w:rsid w:val="002E72BC"/>
    <w:rsid w:val="002E7BC4"/>
    <w:rsid w:val="002E7E58"/>
    <w:rsid w:val="002F0778"/>
    <w:rsid w:val="002F0AB8"/>
    <w:rsid w:val="002F0CA3"/>
    <w:rsid w:val="002F1C0D"/>
    <w:rsid w:val="002F1FFF"/>
    <w:rsid w:val="002F25C4"/>
    <w:rsid w:val="002F2676"/>
    <w:rsid w:val="002F3679"/>
    <w:rsid w:val="002F3BF9"/>
    <w:rsid w:val="002F439A"/>
    <w:rsid w:val="002F449A"/>
    <w:rsid w:val="002F4EFE"/>
    <w:rsid w:val="002F4F31"/>
    <w:rsid w:val="002F5BD3"/>
    <w:rsid w:val="002F5CD5"/>
    <w:rsid w:val="002F63CE"/>
    <w:rsid w:val="002F6F7E"/>
    <w:rsid w:val="002F7349"/>
    <w:rsid w:val="002F75CE"/>
    <w:rsid w:val="002F7C06"/>
    <w:rsid w:val="003003EC"/>
    <w:rsid w:val="003006D8"/>
    <w:rsid w:val="00300853"/>
    <w:rsid w:val="00300CD8"/>
    <w:rsid w:val="0030127F"/>
    <w:rsid w:val="0030188D"/>
    <w:rsid w:val="00302548"/>
    <w:rsid w:val="003030C7"/>
    <w:rsid w:val="00303A6E"/>
    <w:rsid w:val="00304C9D"/>
    <w:rsid w:val="00304DE3"/>
    <w:rsid w:val="00305CFD"/>
    <w:rsid w:val="00305DEF"/>
    <w:rsid w:val="00306C82"/>
    <w:rsid w:val="00306C87"/>
    <w:rsid w:val="00307177"/>
    <w:rsid w:val="003079F1"/>
    <w:rsid w:val="00307AED"/>
    <w:rsid w:val="00307AF7"/>
    <w:rsid w:val="00307FF2"/>
    <w:rsid w:val="00310DF8"/>
    <w:rsid w:val="00310E5A"/>
    <w:rsid w:val="003111D3"/>
    <w:rsid w:val="00311B92"/>
    <w:rsid w:val="00312495"/>
    <w:rsid w:val="0031295C"/>
    <w:rsid w:val="00312AFB"/>
    <w:rsid w:val="00313222"/>
    <w:rsid w:val="003136A8"/>
    <w:rsid w:val="00313898"/>
    <w:rsid w:val="0031518E"/>
    <w:rsid w:val="00315CFB"/>
    <w:rsid w:val="003163AF"/>
    <w:rsid w:val="0031666C"/>
    <w:rsid w:val="003168F1"/>
    <w:rsid w:val="00317EF7"/>
    <w:rsid w:val="003200DD"/>
    <w:rsid w:val="00320618"/>
    <w:rsid w:val="0032084C"/>
    <w:rsid w:val="00320F65"/>
    <w:rsid w:val="003210EE"/>
    <w:rsid w:val="003217CD"/>
    <w:rsid w:val="00321930"/>
    <w:rsid w:val="003223D7"/>
    <w:rsid w:val="003225F1"/>
    <w:rsid w:val="00323409"/>
    <w:rsid w:val="003237E5"/>
    <w:rsid w:val="0032431D"/>
    <w:rsid w:val="00325261"/>
    <w:rsid w:val="00325D73"/>
    <w:rsid w:val="00326364"/>
    <w:rsid w:val="00326A6D"/>
    <w:rsid w:val="00326B16"/>
    <w:rsid w:val="0032713B"/>
    <w:rsid w:val="00327FF0"/>
    <w:rsid w:val="0033009B"/>
    <w:rsid w:val="00330DE1"/>
    <w:rsid w:val="003310B3"/>
    <w:rsid w:val="0033116C"/>
    <w:rsid w:val="00331A81"/>
    <w:rsid w:val="0033359E"/>
    <w:rsid w:val="003336BF"/>
    <w:rsid w:val="00333962"/>
    <w:rsid w:val="003346AE"/>
    <w:rsid w:val="00334781"/>
    <w:rsid w:val="003347F0"/>
    <w:rsid w:val="003349E7"/>
    <w:rsid w:val="0033508B"/>
    <w:rsid w:val="003351D7"/>
    <w:rsid w:val="00335242"/>
    <w:rsid w:val="0033552F"/>
    <w:rsid w:val="003357BE"/>
    <w:rsid w:val="003358C9"/>
    <w:rsid w:val="0033619F"/>
    <w:rsid w:val="00336864"/>
    <w:rsid w:val="003368D5"/>
    <w:rsid w:val="00336FFC"/>
    <w:rsid w:val="003401DD"/>
    <w:rsid w:val="00340531"/>
    <w:rsid w:val="003416C8"/>
    <w:rsid w:val="00341B86"/>
    <w:rsid w:val="00342BA7"/>
    <w:rsid w:val="0034324D"/>
    <w:rsid w:val="00346197"/>
    <w:rsid w:val="00346AA1"/>
    <w:rsid w:val="00346E0C"/>
    <w:rsid w:val="00347123"/>
    <w:rsid w:val="00347CA6"/>
    <w:rsid w:val="0035086D"/>
    <w:rsid w:val="003508A7"/>
    <w:rsid w:val="00350F3E"/>
    <w:rsid w:val="00351609"/>
    <w:rsid w:val="00352FB2"/>
    <w:rsid w:val="003537A2"/>
    <w:rsid w:val="00353E51"/>
    <w:rsid w:val="00355226"/>
    <w:rsid w:val="00356EA4"/>
    <w:rsid w:val="00357C2C"/>
    <w:rsid w:val="003603B1"/>
    <w:rsid w:val="00360449"/>
    <w:rsid w:val="00361AD0"/>
    <w:rsid w:val="00361B89"/>
    <w:rsid w:val="003627A0"/>
    <w:rsid w:val="00363953"/>
    <w:rsid w:val="00363C8E"/>
    <w:rsid w:val="003641E1"/>
    <w:rsid w:val="0036621D"/>
    <w:rsid w:val="00366B61"/>
    <w:rsid w:val="00367D5C"/>
    <w:rsid w:val="00367F0F"/>
    <w:rsid w:val="0037092A"/>
    <w:rsid w:val="00370B0B"/>
    <w:rsid w:val="0037158E"/>
    <w:rsid w:val="003723A0"/>
    <w:rsid w:val="00373335"/>
    <w:rsid w:val="00373915"/>
    <w:rsid w:val="003739CE"/>
    <w:rsid w:val="0037417C"/>
    <w:rsid w:val="003800D7"/>
    <w:rsid w:val="0038126D"/>
    <w:rsid w:val="003817FC"/>
    <w:rsid w:val="00384843"/>
    <w:rsid w:val="00385E2C"/>
    <w:rsid w:val="00386294"/>
    <w:rsid w:val="0039140D"/>
    <w:rsid w:val="00391F52"/>
    <w:rsid w:val="00392329"/>
    <w:rsid w:val="003928C9"/>
    <w:rsid w:val="00392BE9"/>
    <w:rsid w:val="00395127"/>
    <w:rsid w:val="00395421"/>
    <w:rsid w:val="00395489"/>
    <w:rsid w:val="00395745"/>
    <w:rsid w:val="00395E54"/>
    <w:rsid w:val="0039611E"/>
    <w:rsid w:val="00397070"/>
    <w:rsid w:val="003972C0"/>
    <w:rsid w:val="00397D15"/>
    <w:rsid w:val="003A022D"/>
    <w:rsid w:val="003A02DC"/>
    <w:rsid w:val="003A047E"/>
    <w:rsid w:val="003A0686"/>
    <w:rsid w:val="003A1160"/>
    <w:rsid w:val="003A1A3F"/>
    <w:rsid w:val="003A1BB2"/>
    <w:rsid w:val="003A26A4"/>
    <w:rsid w:val="003A3317"/>
    <w:rsid w:val="003A47BF"/>
    <w:rsid w:val="003A5248"/>
    <w:rsid w:val="003A6088"/>
    <w:rsid w:val="003A6BFE"/>
    <w:rsid w:val="003A7C5D"/>
    <w:rsid w:val="003A7C6F"/>
    <w:rsid w:val="003A7CA0"/>
    <w:rsid w:val="003A7D33"/>
    <w:rsid w:val="003B0FCC"/>
    <w:rsid w:val="003B1298"/>
    <w:rsid w:val="003B1378"/>
    <w:rsid w:val="003B1DCC"/>
    <w:rsid w:val="003B1F92"/>
    <w:rsid w:val="003B20A3"/>
    <w:rsid w:val="003B2115"/>
    <w:rsid w:val="003B22B8"/>
    <w:rsid w:val="003B40B2"/>
    <w:rsid w:val="003B4888"/>
    <w:rsid w:val="003B4C4E"/>
    <w:rsid w:val="003B5169"/>
    <w:rsid w:val="003B5893"/>
    <w:rsid w:val="003B59E0"/>
    <w:rsid w:val="003B71CC"/>
    <w:rsid w:val="003B7307"/>
    <w:rsid w:val="003B76F8"/>
    <w:rsid w:val="003B7C41"/>
    <w:rsid w:val="003C0766"/>
    <w:rsid w:val="003C0F19"/>
    <w:rsid w:val="003C1364"/>
    <w:rsid w:val="003C1D22"/>
    <w:rsid w:val="003C233F"/>
    <w:rsid w:val="003C2BD0"/>
    <w:rsid w:val="003C2EBA"/>
    <w:rsid w:val="003C2F87"/>
    <w:rsid w:val="003C3528"/>
    <w:rsid w:val="003C50CE"/>
    <w:rsid w:val="003C718D"/>
    <w:rsid w:val="003C71D5"/>
    <w:rsid w:val="003C78F6"/>
    <w:rsid w:val="003C7AAF"/>
    <w:rsid w:val="003D0E64"/>
    <w:rsid w:val="003D1097"/>
    <w:rsid w:val="003D14E9"/>
    <w:rsid w:val="003D2C99"/>
    <w:rsid w:val="003D3069"/>
    <w:rsid w:val="003D3506"/>
    <w:rsid w:val="003D3C8A"/>
    <w:rsid w:val="003D3D05"/>
    <w:rsid w:val="003D4017"/>
    <w:rsid w:val="003D4DEC"/>
    <w:rsid w:val="003D5A1E"/>
    <w:rsid w:val="003D67E1"/>
    <w:rsid w:val="003D7988"/>
    <w:rsid w:val="003E015A"/>
    <w:rsid w:val="003E0257"/>
    <w:rsid w:val="003E07E7"/>
    <w:rsid w:val="003E07F1"/>
    <w:rsid w:val="003E0B0B"/>
    <w:rsid w:val="003E0B73"/>
    <w:rsid w:val="003E12E2"/>
    <w:rsid w:val="003E1965"/>
    <w:rsid w:val="003E19F0"/>
    <w:rsid w:val="003E3CE3"/>
    <w:rsid w:val="003E4D35"/>
    <w:rsid w:val="003E5741"/>
    <w:rsid w:val="003E5E36"/>
    <w:rsid w:val="003E5FB5"/>
    <w:rsid w:val="003E61B4"/>
    <w:rsid w:val="003E7235"/>
    <w:rsid w:val="003F09B0"/>
    <w:rsid w:val="003F0E88"/>
    <w:rsid w:val="003F207A"/>
    <w:rsid w:val="003F2150"/>
    <w:rsid w:val="003F3039"/>
    <w:rsid w:val="003F3A12"/>
    <w:rsid w:val="003F4926"/>
    <w:rsid w:val="003F4FB4"/>
    <w:rsid w:val="003F7432"/>
    <w:rsid w:val="003F7697"/>
    <w:rsid w:val="003F7B07"/>
    <w:rsid w:val="004002A3"/>
    <w:rsid w:val="004003A5"/>
    <w:rsid w:val="00400F2B"/>
    <w:rsid w:val="00401B51"/>
    <w:rsid w:val="0040257C"/>
    <w:rsid w:val="00402730"/>
    <w:rsid w:val="00402D37"/>
    <w:rsid w:val="004036CF"/>
    <w:rsid w:val="00405253"/>
    <w:rsid w:val="00405731"/>
    <w:rsid w:val="0040678D"/>
    <w:rsid w:val="00407B6C"/>
    <w:rsid w:val="00410492"/>
    <w:rsid w:val="00411B13"/>
    <w:rsid w:val="00411EC2"/>
    <w:rsid w:val="00412483"/>
    <w:rsid w:val="004134F1"/>
    <w:rsid w:val="00413AD2"/>
    <w:rsid w:val="00415C4B"/>
    <w:rsid w:val="00416B5C"/>
    <w:rsid w:val="00417A26"/>
    <w:rsid w:val="00417B15"/>
    <w:rsid w:val="00420282"/>
    <w:rsid w:val="0042083F"/>
    <w:rsid w:val="0042093F"/>
    <w:rsid w:val="00420BFA"/>
    <w:rsid w:val="004215BB"/>
    <w:rsid w:val="00421CA0"/>
    <w:rsid w:val="004224E7"/>
    <w:rsid w:val="004230F0"/>
    <w:rsid w:val="00424A4D"/>
    <w:rsid w:val="00424CC5"/>
    <w:rsid w:val="00424D1F"/>
    <w:rsid w:val="004259B3"/>
    <w:rsid w:val="00426809"/>
    <w:rsid w:val="00426F7B"/>
    <w:rsid w:val="0042719C"/>
    <w:rsid w:val="00430260"/>
    <w:rsid w:val="00430F3B"/>
    <w:rsid w:val="0043150E"/>
    <w:rsid w:val="004334C9"/>
    <w:rsid w:val="00433FF0"/>
    <w:rsid w:val="004341E5"/>
    <w:rsid w:val="00435C51"/>
    <w:rsid w:val="004368FE"/>
    <w:rsid w:val="00436BF1"/>
    <w:rsid w:val="00437E9E"/>
    <w:rsid w:val="00440431"/>
    <w:rsid w:val="004405D0"/>
    <w:rsid w:val="004406C8"/>
    <w:rsid w:val="004409D6"/>
    <w:rsid w:val="0044110F"/>
    <w:rsid w:val="00442873"/>
    <w:rsid w:val="00442CE2"/>
    <w:rsid w:val="00443426"/>
    <w:rsid w:val="0044360A"/>
    <w:rsid w:val="004442BB"/>
    <w:rsid w:val="00444368"/>
    <w:rsid w:val="00444455"/>
    <w:rsid w:val="0044582D"/>
    <w:rsid w:val="00445AA9"/>
    <w:rsid w:val="00445B0E"/>
    <w:rsid w:val="00446318"/>
    <w:rsid w:val="00446666"/>
    <w:rsid w:val="0044670A"/>
    <w:rsid w:val="00446EB3"/>
    <w:rsid w:val="00447199"/>
    <w:rsid w:val="00447A54"/>
    <w:rsid w:val="004508FC"/>
    <w:rsid w:val="00450E54"/>
    <w:rsid w:val="004511A9"/>
    <w:rsid w:val="00451C10"/>
    <w:rsid w:val="004521B9"/>
    <w:rsid w:val="004522AF"/>
    <w:rsid w:val="0045250A"/>
    <w:rsid w:val="004525D4"/>
    <w:rsid w:val="00453159"/>
    <w:rsid w:val="00453290"/>
    <w:rsid w:val="004534B1"/>
    <w:rsid w:val="0045360F"/>
    <w:rsid w:val="0045365B"/>
    <w:rsid w:val="00453B47"/>
    <w:rsid w:val="00454432"/>
    <w:rsid w:val="00454C89"/>
    <w:rsid w:val="00454E1F"/>
    <w:rsid w:val="00455430"/>
    <w:rsid w:val="00456246"/>
    <w:rsid w:val="0045648F"/>
    <w:rsid w:val="004565B8"/>
    <w:rsid w:val="0045664B"/>
    <w:rsid w:val="004575B3"/>
    <w:rsid w:val="004577F1"/>
    <w:rsid w:val="00457DB3"/>
    <w:rsid w:val="00457FF0"/>
    <w:rsid w:val="00460396"/>
    <w:rsid w:val="004605B3"/>
    <w:rsid w:val="004606AA"/>
    <w:rsid w:val="0046080C"/>
    <w:rsid w:val="00460A84"/>
    <w:rsid w:val="00460C84"/>
    <w:rsid w:val="00461AAF"/>
    <w:rsid w:val="00462D27"/>
    <w:rsid w:val="00463106"/>
    <w:rsid w:val="0046360C"/>
    <w:rsid w:val="00463664"/>
    <w:rsid w:val="00464167"/>
    <w:rsid w:val="0046451A"/>
    <w:rsid w:val="00464948"/>
    <w:rsid w:val="004659BA"/>
    <w:rsid w:val="00466807"/>
    <w:rsid w:val="004702B4"/>
    <w:rsid w:val="00471221"/>
    <w:rsid w:val="00471BFC"/>
    <w:rsid w:val="0047202B"/>
    <w:rsid w:val="0047256B"/>
    <w:rsid w:val="0047341D"/>
    <w:rsid w:val="00473459"/>
    <w:rsid w:val="0047422A"/>
    <w:rsid w:val="00474ABB"/>
    <w:rsid w:val="00474E85"/>
    <w:rsid w:val="00476A31"/>
    <w:rsid w:val="0047707C"/>
    <w:rsid w:val="00477371"/>
    <w:rsid w:val="00477741"/>
    <w:rsid w:val="00481093"/>
    <w:rsid w:val="004815FA"/>
    <w:rsid w:val="00481959"/>
    <w:rsid w:val="00482526"/>
    <w:rsid w:val="0048261B"/>
    <w:rsid w:val="00482DA0"/>
    <w:rsid w:val="004830CA"/>
    <w:rsid w:val="0048320E"/>
    <w:rsid w:val="004839AD"/>
    <w:rsid w:val="00484186"/>
    <w:rsid w:val="00484672"/>
    <w:rsid w:val="00484921"/>
    <w:rsid w:val="00484B8E"/>
    <w:rsid w:val="00484C03"/>
    <w:rsid w:val="00485BD1"/>
    <w:rsid w:val="004860FC"/>
    <w:rsid w:val="00486434"/>
    <w:rsid w:val="0048685F"/>
    <w:rsid w:val="00486AAB"/>
    <w:rsid w:val="00490CA4"/>
    <w:rsid w:val="00491119"/>
    <w:rsid w:val="00491FDF"/>
    <w:rsid w:val="004925F3"/>
    <w:rsid w:val="00492CB9"/>
    <w:rsid w:val="00492D61"/>
    <w:rsid w:val="0049370E"/>
    <w:rsid w:val="004949F8"/>
    <w:rsid w:val="0049500B"/>
    <w:rsid w:val="00497CDA"/>
    <w:rsid w:val="004A0488"/>
    <w:rsid w:val="004A0D5A"/>
    <w:rsid w:val="004A3A4C"/>
    <w:rsid w:val="004A3C85"/>
    <w:rsid w:val="004A411E"/>
    <w:rsid w:val="004A45C1"/>
    <w:rsid w:val="004A5601"/>
    <w:rsid w:val="004A5BF9"/>
    <w:rsid w:val="004A6789"/>
    <w:rsid w:val="004A68F2"/>
    <w:rsid w:val="004A70CF"/>
    <w:rsid w:val="004A75DC"/>
    <w:rsid w:val="004B1640"/>
    <w:rsid w:val="004B174A"/>
    <w:rsid w:val="004B1C55"/>
    <w:rsid w:val="004B1D2A"/>
    <w:rsid w:val="004B2381"/>
    <w:rsid w:val="004B2964"/>
    <w:rsid w:val="004B2A80"/>
    <w:rsid w:val="004B2E97"/>
    <w:rsid w:val="004B3932"/>
    <w:rsid w:val="004B3C8E"/>
    <w:rsid w:val="004B5FAD"/>
    <w:rsid w:val="004B6268"/>
    <w:rsid w:val="004B6FB1"/>
    <w:rsid w:val="004B7309"/>
    <w:rsid w:val="004C014C"/>
    <w:rsid w:val="004C0B32"/>
    <w:rsid w:val="004C0BBF"/>
    <w:rsid w:val="004C0C6B"/>
    <w:rsid w:val="004C147F"/>
    <w:rsid w:val="004C1855"/>
    <w:rsid w:val="004C2D52"/>
    <w:rsid w:val="004C3502"/>
    <w:rsid w:val="004C3D82"/>
    <w:rsid w:val="004C4775"/>
    <w:rsid w:val="004C53CF"/>
    <w:rsid w:val="004C53EF"/>
    <w:rsid w:val="004C5510"/>
    <w:rsid w:val="004C5BDB"/>
    <w:rsid w:val="004C7065"/>
    <w:rsid w:val="004C7E60"/>
    <w:rsid w:val="004D033D"/>
    <w:rsid w:val="004D06E0"/>
    <w:rsid w:val="004D1CD5"/>
    <w:rsid w:val="004D24B1"/>
    <w:rsid w:val="004D2670"/>
    <w:rsid w:val="004D3B84"/>
    <w:rsid w:val="004D4322"/>
    <w:rsid w:val="004D45B1"/>
    <w:rsid w:val="004D46C6"/>
    <w:rsid w:val="004D4D79"/>
    <w:rsid w:val="004D605A"/>
    <w:rsid w:val="004D6F7B"/>
    <w:rsid w:val="004E0FF2"/>
    <w:rsid w:val="004E137B"/>
    <w:rsid w:val="004E2C6C"/>
    <w:rsid w:val="004E3176"/>
    <w:rsid w:val="004E36C7"/>
    <w:rsid w:val="004E3E2F"/>
    <w:rsid w:val="004E4E77"/>
    <w:rsid w:val="004E58FE"/>
    <w:rsid w:val="004E5A1E"/>
    <w:rsid w:val="004E6E38"/>
    <w:rsid w:val="004E7E2C"/>
    <w:rsid w:val="004E7F74"/>
    <w:rsid w:val="004F09E9"/>
    <w:rsid w:val="004F0D65"/>
    <w:rsid w:val="004F0EFB"/>
    <w:rsid w:val="004F0FDB"/>
    <w:rsid w:val="004F1324"/>
    <w:rsid w:val="004F1D0A"/>
    <w:rsid w:val="004F1E0F"/>
    <w:rsid w:val="004F441E"/>
    <w:rsid w:val="004F5206"/>
    <w:rsid w:val="004F5D8B"/>
    <w:rsid w:val="004F65C2"/>
    <w:rsid w:val="004F667B"/>
    <w:rsid w:val="004F7852"/>
    <w:rsid w:val="004F78D9"/>
    <w:rsid w:val="004F7EDD"/>
    <w:rsid w:val="005005D5"/>
    <w:rsid w:val="0050115A"/>
    <w:rsid w:val="00501293"/>
    <w:rsid w:val="00501B4C"/>
    <w:rsid w:val="00502751"/>
    <w:rsid w:val="00502979"/>
    <w:rsid w:val="00502F4B"/>
    <w:rsid w:val="00502F51"/>
    <w:rsid w:val="005031EA"/>
    <w:rsid w:val="005033AA"/>
    <w:rsid w:val="00503B94"/>
    <w:rsid w:val="00503D6C"/>
    <w:rsid w:val="00503D8B"/>
    <w:rsid w:val="0050435F"/>
    <w:rsid w:val="0050463F"/>
    <w:rsid w:val="00504788"/>
    <w:rsid w:val="005051D7"/>
    <w:rsid w:val="00505510"/>
    <w:rsid w:val="005068E3"/>
    <w:rsid w:val="005069A0"/>
    <w:rsid w:val="00506B41"/>
    <w:rsid w:val="00506FB2"/>
    <w:rsid w:val="005078EC"/>
    <w:rsid w:val="0051154E"/>
    <w:rsid w:val="00511707"/>
    <w:rsid w:val="005118D2"/>
    <w:rsid w:val="00511942"/>
    <w:rsid w:val="005126B4"/>
    <w:rsid w:val="005126B7"/>
    <w:rsid w:val="0051274A"/>
    <w:rsid w:val="00512835"/>
    <w:rsid w:val="00512C61"/>
    <w:rsid w:val="00512C7D"/>
    <w:rsid w:val="0051583F"/>
    <w:rsid w:val="005172AD"/>
    <w:rsid w:val="005173FB"/>
    <w:rsid w:val="00517AD4"/>
    <w:rsid w:val="00520E45"/>
    <w:rsid w:val="005210DB"/>
    <w:rsid w:val="005220BC"/>
    <w:rsid w:val="005227B2"/>
    <w:rsid w:val="00522DE2"/>
    <w:rsid w:val="00522EC1"/>
    <w:rsid w:val="00523438"/>
    <w:rsid w:val="0052344E"/>
    <w:rsid w:val="005242FA"/>
    <w:rsid w:val="00524A45"/>
    <w:rsid w:val="005260BF"/>
    <w:rsid w:val="00526351"/>
    <w:rsid w:val="005263BD"/>
    <w:rsid w:val="005267F6"/>
    <w:rsid w:val="00526BF5"/>
    <w:rsid w:val="00526E2A"/>
    <w:rsid w:val="00526E72"/>
    <w:rsid w:val="00527062"/>
    <w:rsid w:val="005300B2"/>
    <w:rsid w:val="005302C1"/>
    <w:rsid w:val="005308B4"/>
    <w:rsid w:val="00530E88"/>
    <w:rsid w:val="00531097"/>
    <w:rsid w:val="00531361"/>
    <w:rsid w:val="005321C1"/>
    <w:rsid w:val="0053323E"/>
    <w:rsid w:val="00534213"/>
    <w:rsid w:val="0053452A"/>
    <w:rsid w:val="00534B56"/>
    <w:rsid w:val="00534EE5"/>
    <w:rsid w:val="00535771"/>
    <w:rsid w:val="00535A6D"/>
    <w:rsid w:val="005367BA"/>
    <w:rsid w:val="005367BC"/>
    <w:rsid w:val="00537834"/>
    <w:rsid w:val="00540AD8"/>
    <w:rsid w:val="0054151E"/>
    <w:rsid w:val="005423AC"/>
    <w:rsid w:val="0054248C"/>
    <w:rsid w:val="0054282D"/>
    <w:rsid w:val="00542994"/>
    <w:rsid w:val="005432AD"/>
    <w:rsid w:val="005434DB"/>
    <w:rsid w:val="00543621"/>
    <w:rsid w:val="005440EA"/>
    <w:rsid w:val="00545841"/>
    <w:rsid w:val="00545A2C"/>
    <w:rsid w:val="00545A9D"/>
    <w:rsid w:val="00546127"/>
    <w:rsid w:val="00546345"/>
    <w:rsid w:val="00546644"/>
    <w:rsid w:val="00546FCB"/>
    <w:rsid w:val="00550A71"/>
    <w:rsid w:val="005511CC"/>
    <w:rsid w:val="00551562"/>
    <w:rsid w:val="005516EE"/>
    <w:rsid w:val="0055177C"/>
    <w:rsid w:val="00551EF4"/>
    <w:rsid w:val="005537FC"/>
    <w:rsid w:val="00553BD0"/>
    <w:rsid w:val="0055479D"/>
    <w:rsid w:val="00555182"/>
    <w:rsid w:val="005552CD"/>
    <w:rsid w:val="005554F3"/>
    <w:rsid w:val="00556175"/>
    <w:rsid w:val="005564F4"/>
    <w:rsid w:val="00556EF2"/>
    <w:rsid w:val="005573DC"/>
    <w:rsid w:val="00557D7B"/>
    <w:rsid w:val="005606EA"/>
    <w:rsid w:val="005609C0"/>
    <w:rsid w:val="00560BD2"/>
    <w:rsid w:val="005610EE"/>
    <w:rsid w:val="00561A5E"/>
    <w:rsid w:val="00562902"/>
    <w:rsid w:val="005631EE"/>
    <w:rsid w:val="005637B4"/>
    <w:rsid w:val="00563F3A"/>
    <w:rsid w:val="00565147"/>
    <w:rsid w:val="005718A6"/>
    <w:rsid w:val="00571E86"/>
    <w:rsid w:val="00572603"/>
    <w:rsid w:val="00573483"/>
    <w:rsid w:val="00573955"/>
    <w:rsid w:val="00573C96"/>
    <w:rsid w:val="00574157"/>
    <w:rsid w:val="0057503F"/>
    <w:rsid w:val="005757DC"/>
    <w:rsid w:val="005761A7"/>
    <w:rsid w:val="00576420"/>
    <w:rsid w:val="00576FFA"/>
    <w:rsid w:val="0057736D"/>
    <w:rsid w:val="005773E3"/>
    <w:rsid w:val="00581170"/>
    <w:rsid w:val="00581A4A"/>
    <w:rsid w:val="005822D8"/>
    <w:rsid w:val="00582304"/>
    <w:rsid w:val="00582408"/>
    <w:rsid w:val="005824F9"/>
    <w:rsid w:val="0058330E"/>
    <w:rsid w:val="00583AAB"/>
    <w:rsid w:val="00583DD9"/>
    <w:rsid w:val="00583FB4"/>
    <w:rsid w:val="00583FD5"/>
    <w:rsid w:val="0058420B"/>
    <w:rsid w:val="0058429A"/>
    <w:rsid w:val="005843C9"/>
    <w:rsid w:val="00584556"/>
    <w:rsid w:val="00585634"/>
    <w:rsid w:val="0058573D"/>
    <w:rsid w:val="0058591E"/>
    <w:rsid w:val="00586095"/>
    <w:rsid w:val="00586108"/>
    <w:rsid w:val="00587C10"/>
    <w:rsid w:val="00587C3F"/>
    <w:rsid w:val="00587CA4"/>
    <w:rsid w:val="00587CBD"/>
    <w:rsid w:val="00587F45"/>
    <w:rsid w:val="00590AF0"/>
    <w:rsid w:val="005932EF"/>
    <w:rsid w:val="00594925"/>
    <w:rsid w:val="00594944"/>
    <w:rsid w:val="00594AB0"/>
    <w:rsid w:val="00594C32"/>
    <w:rsid w:val="005957EB"/>
    <w:rsid w:val="00595A4D"/>
    <w:rsid w:val="00595BDC"/>
    <w:rsid w:val="00596A71"/>
    <w:rsid w:val="00596B7F"/>
    <w:rsid w:val="005978C2"/>
    <w:rsid w:val="00597B2D"/>
    <w:rsid w:val="005A0F1E"/>
    <w:rsid w:val="005A169E"/>
    <w:rsid w:val="005A260C"/>
    <w:rsid w:val="005A2BEC"/>
    <w:rsid w:val="005A2FE2"/>
    <w:rsid w:val="005A3AD3"/>
    <w:rsid w:val="005A5878"/>
    <w:rsid w:val="005A61D7"/>
    <w:rsid w:val="005A661D"/>
    <w:rsid w:val="005A6EA4"/>
    <w:rsid w:val="005A777B"/>
    <w:rsid w:val="005A7931"/>
    <w:rsid w:val="005A7DAA"/>
    <w:rsid w:val="005B0116"/>
    <w:rsid w:val="005B0363"/>
    <w:rsid w:val="005B13CD"/>
    <w:rsid w:val="005B1CE7"/>
    <w:rsid w:val="005B200D"/>
    <w:rsid w:val="005B2711"/>
    <w:rsid w:val="005B39A5"/>
    <w:rsid w:val="005B45D6"/>
    <w:rsid w:val="005B45E5"/>
    <w:rsid w:val="005B598B"/>
    <w:rsid w:val="005B5D08"/>
    <w:rsid w:val="005B5F01"/>
    <w:rsid w:val="005B60C0"/>
    <w:rsid w:val="005B63B9"/>
    <w:rsid w:val="005B6CBD"/>
    <w:rsid w:val="005C0CB9"/>
    <w:rsid w:val="005C1381"/>
    <w:rsid w:val="005C3DE2"/>
    <w:rsid w:val="005C435C"/>
    <w:rsid w:val="005C4D87"/>
    <w:rsid w:val="005C667E"/>
    <w:rsid w:val="005C6A10"/>
    <w:rsid w:val="005C6C35"/>
    <w:rsid w:val="005C762F"/>
    <w:rsid w:val="005C7B96"/>
    <w:rsid w:val="005D05AD"/>
    <w:rsid w:val="005D076D"/>
    <w:rsid w:val="005D19B8"/>
    <w:rsid w:val="005D3495"/>
    <w:rsid w:val="005D3BF7"/>
    <w:rsid w:val="005D3C8D"/>
    <w:rsid w:val="005D3FF7"/>
    <w:rsid w:val="005D4B4A"/>
    <w:rsid w:val="005D4E43"/>
    <w:rsid w:val="005D5009"/>
    <w:rsid w:val="005D5652"/>
    <w:rsid w:val="005D5C05"/>
    <w:rsid w:val="005D5DDB"/>
    <w:rsid w:val="005D66DD"/>
    <w:rsid w:val="005D6FCF"/>
    <w:rsid w:val="005D7059"/>
    <w:rsid w:val="005D7C93"/>
    <w:rsid w:val="005D7F64"/>
    <w:rsid w:val="005E0B64"/>
    <w:rsid w:val="005E10ED"/>
    <w:rsid w:val="005E16C2"/>
    <w:rsid w:val="005E2292"/>
    <w:rsid w:val="005E3E51"/>
    <w:rsid w:val="005E4876"/>
    <w:rsid w:val="005E7BB3"/>
    <w:rsid w:val="005E7C59"/>
    <w:rsid w:val="005F1D4F"/>
    <w:rsid w:val="005F2238"/>
    <w:rsid w:val="005F2E60"/>
    <w:rsid w:val="005F2FAB"/>
    <w:rsid w:val="005F3633"/>
    <w:rsid w:val="005F3A9A"/>
    <w:rsid w:val="005F3E97"/>
    <w:rsid w:val="005F44A1"/>
    <w:rsid w:val="005F5AF1"/>
    <w:rsid w:val="005F5F08"/>
    <w:rsid w:val="005F5F9F"/>
    <w:rsid w:val="005F646A"/>
    <w:rsid w:val="005F6976"/>
    <w:rsid w:val="005F7EE7"/>
    <w:rsid w:val="00600524"/>
    <w:rsid w:val="00600B41"/>
    <w:rsid w:val="00601250"/>
    <w:rsid w:val="006019CF"/>
    <w:rsid w:val="006023DF"/>
    <w:rsid w:val="006035DA"/>
    <w:rsid w:val="006052AA"/>
    <w:rsid w:val="00606C06"/>
    <w:rsid w:val="00607060"/>
    <w:rsid w:val="006079FB"/>
    <w:rsid w:val="006101CA"/>
    <w:rsid w:val="00610BE9"/>
    <w:rsid w:val="00611123"/>
    <w:rsid w:val="00611D8F"/>
    <w:rsid w:val="00611FDF"/>
    <w:rsid w:val="006129C0"/>
    <w:rsid w:val="0061369E"/>
    <w:rsid w:val="00613765"/>
    <w:rsid w:val="0061469B"/>
    <w:rsid w:val="006154F5"/>
    <w:rsid w:val="00615BF1"/>
    <w:rsid w:val="006162C1"/>
    <w:rsid w:val="00616549"/>
    <w:rsid w:val="00616C3A"/>
    <w:rsid w:val="00617185"/>
    <w:rsid w:val="00617D8E"/>
    <w:rsid w:val="0062030A"/>
    <w:rsid w:val="006203B2"/>
    <w:rsid w:val="0062120E"/>
    <w:rsid w:val="0062147C"/>
    <w:rsid w:val="00621EA9"/>
    <w:rsid w:val="00622F43"/>
    <w:rsid w:val="00623106"/>
    <w:rsid w:val="00623215"/>
    <w:rsid w:val="0062325C"/>
    <w:rsid w:val="00623930"/>
    <w:rsid w:val="00624C78"/>
    <w:rsid w:val="00625171"/>
    <w:rsid w:val="006253A9"/>
    <w:rsid w:val="006264E3"/>
    <w:rsid w:val="006265A0"/>
    <w:rsid w:val="00626ED2"/>
    <w:rsid w:val="0062760F"/>
    <w:rsid w:val="006277D8"/>
    <w:rsid w:val="00627CBF"/>
    <w:rsid w:val="00627CFC"/>
    <w:rsid w:val="0063104A"/>
    <w:rsid w:val="0063132B"/>
    <w:rsid w:val="00631BB7"/>
    <w:rsid w:val="0063235D"/>
    <w:rsid w:val="00632886"/>
    <w:rsid w:val="00632DE7"/>
    <w:rsid w:val="0063300E"/>
    <w:rsid w:val="00634699"/>
    <w:rsid w:val="006346E3"/>
    <w:rsid w:val="00635782"/>
    <w:rsid w:val="00636397"/>
    <w:rsid w:val="006375A1"/>
    <w:rsid w:val="00637B53"/>
    <w:rsid w:val="00640983"/>
    <w:rsid w:val="00640C01"/>
    <w:rsid w:val="006413BC"/>
    <w:rsid w:val="006414F2"/>
    <w:rsid w:val="0064207A"/>
    <w:rsid w:val="0064271A"/>
    <w:rsid w:val="00642839"/>
    <w:rsid w:val="00642F96"/>
    <w:rsid w:val="00643127"/>
    <w:rsid w:val="00643EA0"/>
    <w:rsid w:val="00644E5B"/>
    <w:rsid w:val="00645921"/>
    <w:rsid w:val="0064598F"/>
    <w:rsid w:val="00646CCE"/>
    <w:rsid w:val="00647191"/>
    <w:rsid w:val="00647887"/>
    <w:rsid w:val="00647D0F"/>
    <w:rsid w:val="00647F84"/>
    <w:rsid w:val="00650319"/>
    <w:rsid w:val="006503DB"/>
    <w:rsid w:val="006512ED"/>
    <w:rsid w:val="006513F1"/>
    <w:rsid w:val="006518D6"/>
    <w:rsid w:val="00652080"/>
    <w:rsid w:val="00652A9D"/>
    <w:rsid w:val="00652CD7"/>
    <w:rsid w:val="00652F3D"/>
    <w:rsid w:val="0065403D"/>
    <w:rsid w:val="006541BC"/>
    <w:rsid w:val="00654309"/>
    <w:rsid w:val="00654A77"/>
    <w:rsid w:val="00655805"/>
    <w:rsid w:val="006568D0"/>
    <w:rsid w:val="00656CBA"/>
    <w:rsid w:val="006574B6"/>
    <w:rsid w:val="00657878"/>
    <w:rsid w:val="00657977"/>
    <w:rsid w:val="00657C84"/>
    <w:rsid w:val="00657FD1"/>
    <w:rsid w:val="006610B2"/>
    <w:rsid w:val="00661329"/>
    <w:rsid w:val="00661CCB"/>
    <w:rsid w:val="006620BC"/>
    <w:rsid w:val="00663737"/>
    <w:rsid w:val="00663BD6"/>
    <w:rsid w:val="006648F5"/>
    <w:rsid w:val="0066538B"/>
    <w:rsid w:val="006665EC"/>
    <w:rsid w:val="00666ED9"/>
    <w:rsid w:val="00667950"/>
    <w:rsid w:val="0067072E"/>
    <w:rsid w:val="00670B1F"/>
    <w:rsid w:val="00671080"/>
    <w:rsid w:val="00671AF5"/>
    <w:rsid w:val="00671BAE"/>
    <w:rsid w:val="00672167"/>
    <w:rsid w:val="00672E23"/>
    <w:rsid w:val="00673682"/>
    <w:rsid w:val="006736F5"/>
    <w:rsid w:val="006745DD"/>
    <w:rsid w:val="00676A6E"/>
    <w:rsid w:val="00676C99"/>
    <w:rsid w:val="00677989"/>
    <w:rsid w:val="00677C78"/>
    <w:rsid w:val="006806BE"/>
    <w:rsid w:val="00680F72"/>
    <w:rsid w:val="00681867"/>
    <w:rsid w:val="00681B52"/>
    <w:rsid w:val="00682147"/>
    <w:rsid w:val="006823B2"/>
    <w:rsid w:val="00682E5E"/>
    <w:rsid w:val="00683885"/>
    <w:rsid w:val="00683910"/>
    <w:rsid w:val="00683929"/>
    <w:rsid w:val="00683E08"/>
    <w:rsid w:val="006844C9"/>
    <w:rsid w:val="006848CF"/>
    <w:rsid w:val="0068494B"/>
    <w:rsid w:val="00684A1C"/>
    <w:rsid w:val="00684C8E"/>
    <w:rsid w:val="00684E60"/>
    <w:rsid w:val="00685D53"/>
    <w:rsid w:val="0068696B"/>
    <w:rsid w:val="00687015"/>
    <w:rsid w:val="00687372"/>
    <w:rsid w:val="00687BE3"/>
    <w:rsid w:val="006908C8"/>
    <w:rsid w:val="00690B1F"/>
    <w:rsid w:val="00690CE2"/>
    <w:rsid w:val="00690EDF"/>
    <w:rsid w:val="00691F43"/>
    <w:rsid w:val="00693E43"/>
    <w:rsid w:val="0069408A"/>
    <w:rsid w:val="006945AF"/>
    <w:rsid w:val="00694E9B"/>
    <w:rsid w:val="00695544"/>
    <w:rsid w:val="006968D4"/>
    <w:rsid w:val="00696A07"/>
    <w:rsid w:val="006A0176"/>
    <w:rsid w:val="006A024A"/>
    <w:rsid w:val="006A05CF"/>
    <w:rsid w:val="006A0966"/>
    <w:rsid w:val="006A0F23"/>
    <w:rsid w:val="006A16DD"/>
    <w:rsid w:val="006A1845"/>
    <w:rsid w:val="006A28EB"/>
    <w:rsid w:val="006A3094"/>
    <w:rsid w:val="006A317D"/>
    <w:rsid w:val="006A3EB6"/>
    <w:rsid w:val="006A4219"/>
    <w:rsid w:val="006A468C"/>
    <w:rsid w:val="006A48EB"/>
    <w:rsid w:val="006A4BB3"/>
    <w:rsid w:val="006A61CA"/>
    <w:rsid w:val="006A6670"/>
    <w:rsid w:val="006B001E"/>
    <w:rsid w:val="006B04D3"/>
    <w:rsid w:val="006B07B1"/>
    <w:rsid w:val="006B0A2E"/>
    <w:rsid w:val="006B1C17"/>
    <w:rsid w:val="006B1CC3"/>
    <w:rsid w:val="006B2CC1"/>
    <w:rsid w:val="006B5AD4"/>
    <w:rsid w:val="006B6638"/>
    <w:rsid w:val="006B6B47"/>
    <w:rsid w:val="006B6B4A"/>
    <w:rsid w:val="006B7C07"/>
    <w:rsid w:val="006C0147"/>
    <w:rsid w:val="006C05C5"/>
    <w:rsid w:val="006C1E08"/>
    <w:rsid w:val="006C2F60"/>
    <w:rsid w:val="006C3569"/>
    <w:rsid w:val="006C422E"/>
    <w:rsid w:val="006C4890"/>
    <w:rsid w:val="006C4BB2"/>
    <w:rsid w:val="006C4D02"/>
    <w:rsid w:val="006C5426"/>
    <w:rsid w:val="006C5946"/>
    <w:rsid w:val="006C7677"/>
    <w:rsid w:val="006C76E3"/>
    <w:rsid w:val="006C78FA"/>
    <w:rsid w:val="006C7972"/>
    <w:rsid w:val="006C7983"/>
    <w:rsid w:val="006C7AFB"/>
    <w:rsid w:val="006C7BD5"/>
    <w:rsid w:val="006C7FA0"/>
    <w:rsid w:val="006D096C"/>
    <w:rsid w:val="006D11F8"/>
    <w:rsid w:val="006D13DD"/>
    <w:rsid w:val="006D1490"/>
    <w:rsid w:val="006D195C"/>
    <w:rsid w:val="006D19ED"/>
    <w:rsid w:val="006D1D1E"/>
    <w:rsid w:val="006D25CB"/>
    <w:rsid w:val="006D3CAC"/>
    <w:rsid w:val="006D3DDE"/>
    <w:rsid w:val="006D4B25"/>
    <w:rsid w:val="006D5016"/>
    <w:rsid w:val="006D606E"/>
    <w:rsid w:val="006D613D"/>
    <w:rsid w:val="006D651F"/>
    <w:rsid w:val="006D6E5A"/>
    <w:rsid w:val="006D6F46"/>
    <w:rsid w:val="006D78BD"/>
    <w:rsid w:val="006E0142"/>
    <w:rsid w:val="006E3495"/>
    <w:rsid w:val="006E3DF3"/>
    <w:rsid w:val="006E43FF"/>
    <w:rsid w:val="006E4C8A"/>
    <w:rsid w:val="006E50FD"/>
    <w:rsid w:val="006E5399"/>
    <w:rsid w:val="006E57FC"/>
    <w:rsid w:val="006E63E6"/>
    <w:rsid w:val="006E67EF"/>
    <w:rsid w:val="006E69C1"/>
    <w:rsid w:val="006F00B2"/>
    <w:rsid w:val="006F037A"/>
    <w:rsid w:val="006F14E8"/>
    <w:rsid w:val="006F2EA1"/>
    <w:rsid w:val="006F35D2"/>
    <w:rsid w:val="006F3804"/>
    <w:rsid w:val="006F3973"/>
    <w:rsid w:val="006F43BF"/>
    <w:rsid w:val="006F4985"/>
    <w:rsid w:val="006F5910"/>
    <w:rsid w:val="006F593A"/>
    <w:rsid w:val="006F6017"/>
    <w:rsid w:val="006F632B"/>
    <w:rsid w:val="006F6DFB"/>
    <w:rsid w:val="006F6FA3"/>
    <w:rsid w:val="006F7C9D"/>
    <w:rsid w:val="006F7D1D"/>
    <w:rsid w:val="007005DD"/>
    <w:rsid w:val="00701119"/>
    <w:rsid w:val="007013CB"/>
    <w:rsid w:val="0070272C"/>
    <w:rsid w:val="00702A34"/>
    <w:rsid w:val="007032B4"/>
    <w:rsid w:val="0070373E"/>
    <w:rsid w:val="00703846"/>
    <w:rsid w:val="0070470E"/>
    <w:rsid w:val="00704B4F"/>
    <w:rsid w:val="0070604D"/>
    <w:rsid w:val="00706F6B"/>
    <w:rsid w:val="00707089"/>
    <w:rsid w:val="007107AD"/>
    <w:rsid w:val="00710DB4"/>
    <w:rsid w:val="00711409"/>
    <w:rsid w:val="00711B21"/>
    <w:rsid w:val="00711CB0"/>
    <w:rsid w:val="0071209B"/>
    <w:rsid w:val="00712ADC"/>
    <w:rsid w:val="00714014"/>
    <w:rsid w:val="007141DA"/>
    <w:rsid w:val="007158EC"/>
    <w:rsid w:val="007159FB"/>
    <w:rsid w:val="00715BA8"/>
    <w:rsid w:val="007160F8"/>
    <w:rsid w:val="00716125"/>
    <w:rsid w:val="00716577"/>
    <w:rsid w:val="00716CED"/>
    <w:rsid w:val="00717651"/>
    <w:rsid w:val="00717987"/>
    <w:rsid w:val="00717A47"/>
    <w:rsid w:val="0071EFED"/>
    <w:rsid w:val="007206E0"/>
    <w:rsid w:val="00720DA3"/>
    <w:rsid w:val="0072139E"/>
    <w:rsid w:val="007223FD"/>
    <w:rsid w:val="00722CB5"/>
    <w:rsid w:val="0072311C"/>
    <w:rsid w:val="007231FD"/>
    <w:rsid w:val="00723343"/>
    <w:rsid w:val="00723F0F"/>
    <w:rsid w:val="00724A70"/>
    <w:rsid w:val="00725A44"/>
    <w:rsid w:val="007262A3"/>
    <w:rsid w:val="00730FF8"/>
    <w:rsid w:val="0073198D"/>
    <w:rsid w:val="00731CD6"/>
    <w:rsid w:val="0073248C"/>
    <w:rsid w:val="00732EAB"/>
    <w:rsid w:val="007344ED"/>
    <w:rsid w:val="0073484E"/>
    <w:rsid w:val="00734ED5"/>
    <w:rsid w:val="00735A2F"/>
    <w:rsid w:val="007362FE"/>
    <w:rsid w:val="00736DE5"/>
    <w:rsid w:val="00737628"/>
    <w:rsid w:val="00740B17"/>
    <w:rsid w:val="0074132D"/>
    <w:rsid w:val="007416C7"/>
    <w:rsid w:val="007427F5"/>
    <w:rsid w:val="0074302A"/>
    <w:rsid w:val="00743364"/>
    <w:rsid w:val="00743588"/>
    <w:rsid w:val="0074378A"/>
    <w:rsid w:val="00744462"/>
    <w:rsid w:val="0074488A"/>
    <w:rsid w:val="00744F17"/>
    <w:rsid w:val="00745766"/>
    <w:rsid w:val="0074669A"/>
    <w:rsid w:val="0074758A"/>
    <w:rsid w:val="007476E0"/>
    <w:rsid w:val="00747773"/>
    <w:rsid w:val="00747EE3"/>
    <w:rsid w:val="00752087"/>
    <w:rsid w:val="00752143"/>
    <w:rsid w:val="007525FB"/>
    <w:rsid w:val="007531FF"/>
    <w:rsid w:val="007532CA"/>
    <w:rsid w:val="00753387"/>
    <w:rsid w:val="007535C9"/>
    <w:rsid w:val="00753706"/>
    <w:rsid w:val="0075399B"/>
    <w:rsid w:val="0075552B"/>
    <w:rsid w:val="00755F06"/>
    <w:rsid w:val="007573DD"/>
    <w:rsid w:val="00757F0E"/>
    <w:rsid w:val="007602F1"/>
    <w:rsid w:val="0076089A"/>
    <w:rsid w:val="00760CDD"/>
    <w:rsid w:val="007618E1"/>
    <w:rsid w:val="00761BFE"/>
    <w:rsid w:val="0076223D"/>
    <w:rsid w:val="00762ACE"/>
    <w:rsid w:val="0076347F"/>
    <w:rsid w:val="00763A0B"/>
    <w:rsid w:val="00764860"/>
    <w:rsid w:val="0076499C"/>
    <w:rsid w:val="00765F4E"/>
    <w:rsid w:val="00766067"/>
    <w:rsid w:val="00767275"/>
    <w:rsid w:val="00770868"/>
    <w:rsid w:val="007735E8"/>
    <w:rsid w:val="007740E7"/>
    <w:rsid w:val="00774286"/>
    <w:rsid w:val="00774774"/>
    <w:rsid w:val="00774D36"/>
    <w:rsid w:val="0077512A"/>
    <w:rsid w:val="007754F6"/>
    <w:rsid w:val="0077590D"/>
    <w:rsid w:val="00775990"/>
    <w:rsid w:val="00776805"/>
    <w:rsid w:val="00776AD7"/>
    <w:rsid w:val="00776B37"/>
    <w:rsid w:val="00776C6E"/>
    <w:rsid w:val="0077704F"/>
    <w:rsid w:val="0077757A"/>
    <w:rsid w:val="00777935"/>
    <w:rsid w:val="00781329"/>
    <w:rsid w:val="007814E5"/>
    <w:rsid w:val="00781DC5"/>
    <w:rsid w:val="00782F2E"/>
    <w:rsid w:val="00785D86"/>
    <w:rsid w:val="0078769D"/>
    <w:rsid w:val="007877D7"/>
    <w:rsid w:val="00791F00"/>
    <w:rsid w:val="00794B9C"/>
    <w:rsid w:val="00794E26"/>
    <w:rsid w:val="007951A6"/>
    <w:rsid w:val="00795513"/>
    <w:rsid w:val="0079564F"/>
    <w:rsid w:val="00797864"/>
    <w:rsid w:val="007A0452"/>
    <w:rsid w:val="007A093F"/>
    <w:rsid w:val="007A0A84"/>
    <w:rsid w:val="007A1B4A"/>
    <w:rsid w:val="007A30CF"/>
    <w:rsid w:val="007A40C9"/>
    <w:rsid w:val="007A4412"/>
    <w:rsid w:val="007A54FF"/>
    <w:rsid w:val="007A6010"/>
    <w:rsid w:val="007A69FE"/>
    <w:rsid w:val="007A755A"/>
    <w:rsid w:val="007B0716"/>
    <w:rsid w:val="007B15E6"/>
    <w:rsid w:val="007B2129"/>
    <w:rsid w:val="007B270D"/>
    <w:rsid w:val="007B4733"/>
    <w:rsid w:val="007B4A3E"/>
    <w:rsid w:val="007B59BB"/>
    <w:rsid w:val="007B6190"/>
    <w:rsid w:val="007B6312"/>
    <w:rsid w:val="007B6406"/>
    <w:rsid w:val="007B6C24"/>
    <w:rsid w:val="007B7443"/>
    <w:rsid w:val="007B746E"/>
    <w:rsid w:val="007B7533"/>
    <w:rsid w:val="007B753F"/>
    <w:rsid w:val="007B7D35"/>
    <w:rsid w:val="007C010B"/>
    <w:rsid w:val="007C077B"/>
    <w:rsid w:val="007C0F4C"/>
    <w:rsid w:val="007C15E3"/>
    <w:rsid w:val="007C1E76"/>
    <w:rsid w:val="007C20B2"/>
    <w:rsid w:val="007C2104"/>
    <w:rsid w:val="007C4632"/>
    <w:rsid w:val="007C5477"/>
    <w:rsid w:val="007C63D7"/>
    <w:rsid w:val="007C7215"/>
    <w:rsid w:val="007C7D4E"/>
    <w:rsid w:val="007D041D"/>
    <w:rsid w:val="007D04DF"/>
    <w:rsid w:val="007D0CE7"/>
    <w:rsid w:val="007D0D88"/>
    <w:rsid w:val="007D0E45"/>
    <w:rsid w:val="007D175B"/>
    <w:rsid w:val="007D223F"/>
    <w:rsid w:val="007D2928"/>
    <w:rsid w:val="007D2AAD"/>
    <w:rsid w:val="007D2AB9"/>
    <w:rsid w:val="007D3F10"/>
    <w:rsid w:val="007D48F5"/>
    <w:rsid w:val="007D4A9A"/>
    <w:rsid w:val="007D5DFE"/>
    <w:rsid w:val="007D6102"/>
    <w:rsid w:val="007D622F"/>
    <w:rsid w:val="007D66F5"/>
    <w:rsid w:val="007D76F9"/>
    <w:rsid w:val="007D7E91"/>
    <w:rsid w:val="007E0954"/>
    <w:rsid w:val="007E0969"/>
    <w:rsid w:val="007E0B2B"/>
    <w:rsid w:val="007E0DDF"/>
    <w:rsid w:val="007E1E4C"/>
    <w:rsid w:val="007E36B9"/>
    <w:rsid w:val="007E3A2F"/>
    <w:rsid w:val="007E48B4"/>
    <w:rsid w:val="007E4EDC"/>
    <w:rsid w:val="007E4F1C"/>
    <w:rsid w:val="007E51AA"/>
    <w:rsid w:val="007E5562"/>
    <w:rsid w:val="007E55BE"/>
    <w:rsid w:val="007E5A8C"/>
    <w:rsid w:val="007E6455"/>
    <w:rsid w:val="007E682C"/>
    <w:rsid w:val="007E6DB4"/>
    <w:rsid w:val="007E7BEF"/>
    <w:rsid w:val="007E7C68"/>
    <w:rsid w:val="007F0349"/>
    <w:rsid w:val="007F0392"/>
    <w:rsid w:val="007F0882"/>
    <w:rsid w:val="007F11C5"/>
    <w:rsid w:val="007F15F2"/>
    <w:rsid w:val="007F16C8"/>
    <w:rsid w:val="007F1806"/>
    <w:rsid w:val="007F1C1F"/>
    <w:rsid w:val="007F2293"/>
    <w:rsid w:val="007F26B3"/>
    <w:rsid w:val="007F2C12"/>
    <w:rsid w:val="007F304B"/>
    <w:rsid w:val="007F30ED"/>
    <w:rsid w:val="007F3B5F"/>
    <w:rsid w:val="007F3DA9"/>
    <w:rsid w:val="007F42F8"/>
    <w:rsid w:val="007F4B72"/>
    <w:rsid w:val="007F54CD"/>
    <w:rsid w:val="007F5A46"/>
    <w:rsid w:val="007F6272"/>
    <w:rsid w:val="007F6937"/>
    <w:rsid w:val="007F6BF6"/>
    <w:rsid w:val="007F6E02"/>
    <w:rsid w:val="007F7243"/>
    <w:rsid w:val="007F74E1"/>
    <w:rsid w:val="007F7D40"/>
    <w:rsid w:val="00800162"/>
    <w:rsid w:val="008001C2"/>
    <w:rsid w:val="008013E3"/>
    <w:rsid w:val="0080315B"/>
    <w:rsid w:val="00804E3D"/>
    <w:rsid w:val="008055C0"/>
    <w:rsid w:val="00805C4A"/>
    <w:rsid w:val="0080633C"/>
    <w:rsid w:val="0080684B"/>
    <w:rsid w:val="0080696B"/>
    <w:rsid w:val="00810020"/>
    <w:rsid w:val="008103F0"/>
    <w:rsid w:val="00812B18"/>
    <w:rsid w:val="00812FA2"/>
    <w:rsid w:val="008133AE"/>
    <w:rsid w:val="0081408B"/>
    <w:rsid w:val="00814993"/>
    <w:rsid w:val="00816211"/>
    <w:rsid w:val="00816305"/>
    <w:rsid w:val="00816391"/>
    <w:rsid w:val="008171BA"/>
    <w:rsid w:val="008202D3"/>
    <w:rsid w:val="008203BA"/>
    <w:rsid w:val="008208D7"/>
    <w:rsid w:val="00821DDE"/>
    <w:rsid w:val="008236D2"/>
    <w:rsid w:val="008239F1"/>
    <w:rsid w:val="00823FD8"/>
    <w:rsid w:val="008245B9"/>
    <w:rsid w:val="00825491"/>
    <w:rsid w:val="00825513"/>
    <w:rsid w:val="00825897"/>
    <w:rsid w:val="00825D90"/>
    <w:rsid w:val="00825DF3"/>
    <w:rsid w:val="00827232"/>
    <w:rsid w:val="00830319"/>
    <w:rsid w:val="008312F1"/>
    <w:rsid w:val="00831474"/>
    <w:rsid w:val="008334A9"/>
    <w:rsid w:val="008334B3"/>
    <w:rsid w:val="008337F3"/>
    <w:rsid w:val="00833EF0"/>
    <w:rsid w:val="00834164"/>
    <w:rsid w:val="00834844"/>
    <w:rsid w:val="0083522E"/>
    <w:rsid w:val="00835EF5"/>
    <w:rsid w:val="0083733A"/>
    <w:rsid w:val="00837B35"/>
    <w:rsid w:val="00837E5F"/>
    <w:rsid w:val="008417AE"/>
    <w:rsid w:val="00842277"/>
    <w:rsid w:val="0084240A"/>
    <w:rsid w:val="0084244D"/>
    <w:rsid w:val="00842993"/>
    <w:rsid w:val="008430B9"/>
    <w:rsid w:val="008437A1"/>
    <w:rsid w:val="008439E5"/>
    <w:rsid w:val="00843AD9"/>
    <w:rsid w:val="0084578C"/>
    <w:rsid w:val="00846C89"/>
    <w:rsid w:val="00847104"/>
    <w:rsid w:val="0084715D"/>
    <w:rsid w:val="00847276"/>
    <w:rsid w:val="00847A3F"/>
    <w:rsid w:val="00850BDB"/>
    <w:rsid w:val="00850C97"/>
    <w:rsid w:val="00851831"/>
    <w:rsid w:val="00852901"/>
    <w:rsid w:val="008550EC"/>
    <w:rsid w:val="00855BE3"/>
    <w:rsid w:val="00856088"/>
    <w:rsid w:val="008565B1"/>
    <w:rsid w:val="00856A6E"/>
    <w:rsid w:val="00857CD2"/>
    <w:rsid w:val="00860842"/>
    <w:rsid w:val="008609F6"/>
    <w:rsid w:val="00861213"/>
    <w:rsid w:val="00862AE9"/>
    <w:rsid w:val="00862C58"/>
    <w:rsid w:val="0086345E"/>
    <w:rsid w:val="0086473C"/>
    <w:rsid w:val="0086577A"/>
    <w:rsid w:val="008659E5"/>
    <w:rsid w:val="0086641D"/>
    <w:rsid w:val="00867607"/>
    <w:rsid w:val="00867670"/>
    <w:rsid w:val="00870084"/>
    <w:rsid w:val="00870368"/>
    <w:rsid w:val="00871CF0"/>
    <w:rsid w:val="008723D3"/>
    <w:rsid w:val="00872570"/>
    <w:rsid w:val="00872DF1"/>
    <w:rsid w:val="00874243"/>
    <w:rsid w:val="00874752"/>
    <w:rsid w:val="0087482E"/>
    <w:rsid w:val="008748E1"/>
    <w:rsid w:val="008750F3"/>
    <w:rsid w:val="00875161"/>
    <w:rsid w:val="008756F6"/>
    <w:rsid w:val="00876F96"/>
    <w:rsid w:val="00877476"/>
    <w:rsid w:val="0087780F"/>
    <w:rsid w:val="00880046"/>
    <w:rsid w:val="0088023E"/>
    <w:rsid w:val="00880334"/>
    <w:rsid w:val="008809AE"/>
    <w:rsid w:val="00882482"/>
    <w:rsid w:val="00882992"/>
    <w:rsid w:val="00882D9F"/>
    <w:rsid w:val="008843D4"/>
    <w:rsid w:val="00884A63"/>
    <w:rsid w:val="00884C74"/>
    <w:rsid w:val="00885789"/>
    <w:rsid w:val="00885C88"/>
    <w:rsid w:val="00886138"/>
    <w:rsid w:val="008863C0"/>
    <w:rsid w:val="008870A6"/>
    <w:rsid w:val="008905B4"/>
    <w:rsid w:val="00890876"/>
    <w:rsid w:val="008921FF"/>
    <w:rsid w:val="0089282A"/>
    <w:rsid w:val="0089312A"/>
    <w:rsid w:val="00893220"/>
    <w:rsid w:val="0089325A"/>
    <w:rsid w:val="00893293"/>
    <w:rsid w:val="008943D4"/>
    <w:rsid w:val="0089491C"/>
    <w:rsid w:val="00895050"/>
    <w:rsid w:val="00895C3B"/>
    <w:rsid w:val="00896E85"/>
    <w:rsid w:val="008970AB"/>
    <w:rsid w:val="008979B6"/>
    <w:rsid w:val="008A0349"/>
    <w:rsid w:val="008A0429"/>
    <w:rsid w:val="008A0471"/>
    <w:rsid w:val="008A0967"/>
    <w:rsid w:val="008A35F9"/>
    <w:rsid w:val="008A390F"/>
    <w:rsid w:val="008A550F"/>
    <w:rsid w:val="008A6C3B"/>
    <w:rsid w:val="008A6FDF"/>
    <w:rsid w:val="008A7F83"/>
    <w:rsid w:val="008B07A5"/>
    <w:rsid w:val="008B1419"/>
    <w:rsid w:val="008B1661"/>
    <w:rsid w:val="008B16B9"/>
    <w:rsid w:val="008B18E3"/>
    <w:rsid w:val="008B2257"/>
    <w:rsid w:val="008B2CC2"/>
    <w:rsid w:val="008B3E75"/>
    <w:rsid w:val="008B40D6"/>
    <w:rsid w:val="008B41D1"/>
    <w:rsid w:val="008B50D7"/>
    <w:rsid w:val="008B5337"/>
    <w:rsid w:val="008B5677"/>
    <w:rsid w:val="008B7DB0"/>
    <w:rsid w:val="008C13CA"/>
    <w:rsid w:val="008C17E0"/>
    <w:rsid w:val="008C18D3"/>
    <w:rsid w:val="008C1C3A"/>
    <w:rsid w:val="008C27E5"/>
    <w:rsid w:val="008C4A40"/>
    <w:rsid w:val="008C4BA1"/>
    <w:rsid w:val="008C4EA8"/>
    <w:rsid w:val="008C5551"/>
    <w:rsid w:val="008C61A0"/>
    <w:rsid w:val="008C6525"/>
    <w:rsid w:val="008C6E34"/>
    <w:rsid w:val="008C71DC"/>
    <w:rsid w:val="008C72FC"/>
    <w:rsid w:val="008C786E"/>
    <w:rsid w:val="008D0212"/>
    <w:rsid w:val="008D0AD8"/>
    <w:rsid w:val="008D1BEA"/>
    <w:rsid w:val="008D2835"/>
    <w:rsid w:val="008D2BD2"/>
    <w:rsid w:val="008D2EE9"/>
    <w:rsid w:val="008D39F7"/>
    <w:rsid w:val="008D39FB"/>
    <w:rsid w:val="008D43A9"/>
    <w:rsid w:val="008D5177"/>
    <w:rsid w:val="008D6239"/>
    <w:rsid w:val="008D668B"/>
    <w:rsid w:val="008D6746"/>
    <w:rsid w:val="008D6E1B"/>
    <w:rsid w:val="008D7257"/>
    <w:rsid w:val="008D7C8B"/>
    <w:rsid w:val="008E13AD"/>
    <w:rsid w:val="008E1FB8"/>
    <w:rsid w:val="008E2B21"/>
    <w:rsid w:val="008E4B15"/>
    <w:rsid w:val="008E4F74"/>
    <w:rsid w:val="008E5356"/>
    <w:rsid w:val="008E5C2D"/>
    <w:rsid w:val="008E5EAA"/>
    <w:rsid w:val="008E7EED"/>
    <w:rsid w:val="008F04EC"/>
    <w:rsid w:val="008F1189"/>
    <w:rsid w:val="008F2D57"/>
    <w:rsid w:val="008F335F"/>
    <w:rsid w:val="008F3695"/>
    <w:rsid w:val="008F4B5E"/>
    <w:rsid w:val="008F4C97"/>
    <w:rsid w:val="008F57E3"/>
    <w:rsid w:val="008F7307"/>
    <w:rsid w:val="008FD9E2"/>
    <w:rsid w:val="00900185"/>
    <w:rsid w:val="00900240"/>
    <w:rsid w:val="009006C2"/>
    <w:rsid w:val="00900D75"/>
    <w:rsid w:val="00900E8B"/>
    <w:rsid w:val="0090166A"/>
    <w:rsid w:val="00901BA1"/>
    <w:rsid w:val="00902076"/>
    <w:rsid w:val="009023F7"/>
    <w:rsid w:val="00902546"/>
    <w:rsid w:val="00902FBA"/>
    <w:rsid w:val="009034FF"/>
    <w:rsid w:val="00904A2B"/>
    <w:rsid w:val="00905565"/>
    <w:rsid w:val="0090645F"/>
    <w:rsid w:val="00906B6C"/>
    <w:rsid w:val="00907254"/>
    <w:rsid w:val="00907A48"/>
    <w:rsid w:val="009108F7"/>
    <w:rsid w:val="00911052"/>
    <w:rsid w:val="00911ACE"/>
    <w:rsid w:val="00911BE1"/>
    <w:rsid w:val="009120BE"/>
    <w:rsid w:val="009122F1"/>
    <w:rsid w:val="00912492"/>
    <w:rsid w:val="00912CD7"/>
    <w:rsid w:val="0091443B"/>
    <w:rsid w:val="00914CDD"/>
    <w:rsid w:val="0091557A"/>
    <w:rsid w:val="009158A7"/>
    <w:rsid w:val="00915A48"/>
    <w:rsid w:val="0091632E"/>
    <w:rsid w:val="00916833"/>
    <w:rsid w:val="009169BD"/>
    <w:rsid w:val="0091706A"/>
    <w:rsid w:val="00917308"/>
    <w:rsid w:val="00917596"/>
    <w:rsid w:val="009227BE"/>
    <w:rsid w:val="00922935"/>
    <w:rsid w:val="00922A5C"/>
    <w:rsid w:val="00922A7B"/>
    <w:rsid w:val="00922B80"/>
    <w:rsid w:val="00923171"/>
    <w:rsid w:val="00923254"/>
    <w:rsid w:val="009239B6"/>
    <w:rsid w:val="00924A35"/>
    <w:rsid w:val="00925731"/>
    <w:rsid w:val="00925DF6"/>
    <w:rsid w:val="009263F1"/>
    <w:rsid w:val="00927361"/>
    <w:rsid w:val="00927467"/>
    <w:rsid w:val="00927A4E"/>
    <w:rsid w:val="00927B0D"/>
    <w:rsid w:val="00930042"/>
    <w:rsid w:val="009307DD"/>
    <w:rsid w:val="00930BA4"/>
    <w:rsid w:val="00931A7D"/>
    <w:rsid w:val="00931E4C"/>
    <w:rsid w:val="009320ED"/>
    <w:rsid w:val="009334D5"/>
    <w:rsid w:val="00934FDB"/>
    <w:rsid w:val="00935CD6"/>
    <w:rsid w:val="009362AE"/>
    <w:rsid w:val="00936ACE"/>
    <w:rsid w:val="009374FD"/>
    <w:rsid w:val="0093759D"/>
    <w:rsid w:val="00940AF3"/>
    <w:rsid w:val="00940B16"/>
    <w:rsid w:val="00940EEF"/>
    <w:rsid w:val="0094108F"/>
    <w:rsid w:val="00941592"/>
    <w:rsid w:val="00941778"/>
    <w:rsid w:val="00941BF0"/>
    <w:rsid w:val="00942525"/>
    <w:rsid w:val="009427B9"/>
    <w:rsid w:val="009436F4"/>
    <w:rsid w:val="00943FF6"/>
    <w:rsid w:val="00944A51"/>
    <w:rsid w:val="00944E02"/>
    <w:rsid w:val="00945C95"/>
    <w:rsid w:val="0094607B"/>
    <w:rsid w:val="0094615B"/>
    <w:rsid w:val="00946519"/>
    <w:rsid w:val="00950EAD"/>
    <w:rsid w:val="009511C5"/>
    <w:rsid w:val="00951887"/>
    <w:rsid w:val="0095268E"/>
    <w:rsid w:val="00952727"/>
    <w:rsid w:val="00953F09"/>
    <w:rsid w:val="009546E3"/>
    <w:rsid w:val="00956382"/>
    <w:rsid w:val="009569B3"/>
    <w:rsid w:val="00956A97"/>
    <w:rsid w:val="00957057"/>
    <w:rsid w:val="00957474"/>
    <w:rsid w:val="00957618"/>
    <w:rsid w:val="00957DE8"/>
    <w:rsid w:val="009602EE"/>
    <w:rsid w:val="0096071D"/>
    <w:rsid w:val="0096111C"/>
    <w:rsid w:val="00961156"/>
    <w:rsid w:val="0096308E"/>
    <w:rsid w:val="009631B1"/>
    <w:rsid w:val="00963E0F"/>
    <w:rsid w:val="00964F43"/>
    <w:rsid w:val="0096509E"/>
    <w:rsid w:val="009653B5"/>
    <w:rsid w:val="0096540C"/>
    <w:rsid w:val="009663CD"/>
    <w:rsid w:val="00966606"/>
    <w:rsid w:val="00966977"/>
    <w:rsid w:val="00966C87"/>
    <w:rsid w:val="00967983"/>
    <w:rsid w:val="009707D5"/>
    <w:rsid w:val="009709FC"/>
    <w:rsid w:val="009710B5"/>
    <w:rsid w:val="0097129A"/>
    <w:rsid w:val="0097180D"/>
    <w:rsid w:val="0097194E"/>
    <w:rsid w:val="009725EE"/>
    <w:rsid w:val="0097406E"/>
    <w:rsid w:val="0097520B"/>
    <w:rsid w:val="009756BE"/>
    <w:rsid w:val="0097692F"/>
    <w:rsid w:val="00976D07"/>
    <w:rsid w:val="00976F6D"/>
    <w:rsid w:val="00977624"/>
    <w:rsid w:val="00977E4A"/>
    <w:rsid w:val="00980944"/>
    <w:rsid w:val="00980CC1"/>
    <w:rsid w:val="00981153"/>
    <w:rsid w:val="00981562"/>
    <w:rsid w:val="00981C51"/>
    <w:rsid w:val="00983696"/>
    <w:rsid w:val="00983813"/>
    <w:rsid w:val="009844FE"/>
    <w:rsid w:val="00984A20"/>
    <w:rsid w:val="00984F6F"/>
    <w:rsid w:val="00986505"/>
    <w:rsid w:val="0098732E"/>
    <w:rsid w:val="00987360"/>
    <w:rsid w:val="00987C52"/>
    <w:rsid w:val="00990A51"/>
    <w:rsid w:val="00991134"/>
    <w:rsid w:val="009911C8"/>
    <w:rsid w:val="009913A1"/>
    <w:rsid w:val="00991713"/>
    <w:rsid w:val="00991F76"/>
    <w:rsid w:val="0099259F"/>
    <w:rsid w:val="009927B3"/>
    <w:rsid w:val="00992B8A"/>
    <w:rsid w:val="00993E42"/>
    <w:rsid w:val="00994848"/>
    <w:rsid w:val="00995288"/>
    <w:rsid w:val="009955DE"/>
    <w:rsid w:val="00995DE9"/>
    <w:rsid w:val="00996667"/>
    <w:rsid w:val="00996713"/>
    <w:rsid w:val="0099680B"/>
    <w:rsid w:val="00996EDF"/>
    <w:rsid w:val="0099742E"/>
    <w:rsid w:val="0099A953"/>
    <w:rsid w:val="009A0690"/>
    <w:rsid w:val="009A07F2"/>
    <w:rsid w:val="009A11AC"/>
    <w:rsid w:val="009A217E"/>
    <w:rsid w:val="009A2B1E"/>
    <w:rsid w:val="009A2C10"/>
    <w:rsid w:val="009A2DD3"/>
    <w:rsid w:val="009A31A2"/>
    <w:rsid w:val="009A42F5"/>
    <w:rsid w:val="009A4C33"/>
    <w:rsid w:val="009A5AB9"/>
    <w:rsid w:val="009A5DC1"/>
    <w:rsid w:val="009A650F"/>
    <w:rsid w:val="009A6C36"/>
    <w:rsid w:val="009A7103"/>
    <w:rsid w:val="009B0828"/>
    <w:rsid w:val="009B0986"/>
    <w:rsid w:val="009B15BC"/>
    <w:rsid w:val="009B1A4B"/>
    <w:rsid w:val="009B2813"/>
    <w:rsid w:val="009B2D16"/>
    <w:rsid w:val="009B36CB"/>
    <w:rsid w:val="009B3D4A"/>
    <w:rsid w:val="009B4EA7"/>
    <w:rsid w:val="009B5178"/>
    <w:rsid w:val="009B5DB2"/>
    <w:rsid w:val="009B65C3"/>
    <w:rsid w:val="009B672F"/>
    <w:rsid w:val="009B6732"/>
    <w:rsid w:val="009B6A52"/>
    <w:rsid w:val="009B703E"/>
    <w:rsid w:val="009B76C6"/>
    <w:rsid w:val="009B76D8"/>
    <w:rsid w:val="009C1BF9"/>
    <w:rsid w:val="009C1FD9"/>
    <w:rsid w:val="009C2216"/>
    <w:rsid w:val="009C467B"/>
    <w:rsid w:val="009C46E5"/>
    <w:rsid w:val="009C54D3"/>
    <w:rsid w:val="009C5613"/>
    <w:rsid w:val="009C5AB6"/>
    <w:rsid w:val="009C6EDB"/>
    <w:rsid w:val="009C6F7F"/>
    <w:rsid w:val="009C756C"/>
    <w:rsid w:val="009C7C86"/>
    <w:rsid w:val="009D0549"/>
    <w:rsid w:val="009D1382"/>
    <w:rsid w:val="009D22C8"/>
    <w:rsid w:val="009D2560"/>
    <w:rsid w:val="009D2775"/>
    <w:rsid w:val="009D287A"/>
    <w:rsid w:val="009D2A77"/>
    <w:rsid w:val="009D3135"/>
    <w:rsid w:val="009D3BD9"/>
    <w:rsid w:val="009D472F"/>
    <w:rsid w:val="009D5918"/>
    <w:rsid w:val="009D5F1A"/>
    <w:rsid w:val="009D6AB8"/>
    <w:rsid w:val="009D6E34"/>
    <w:rsid w:val="009D7AF5"/>
    <w:rsid w:val="009E052A"/>
    <w:rsid w:val="009E0A1C"/>
    <w:rsid w:val="009E1A1E"/>
    <w:rsid w:val="009E2097"/>
    <w:rsid w:val="009E209D"/>
    <w:rsid w:val="009E216C"/>
    <w:rsid w:val="009E2307"/>
    <w:rsid w:val="009E261A"/>
    <w:rsid w:val="009E2845"/>
    <w:rsid w:val="009E3082"/>
    <w:rsid w:val="009E346B"/>
    <w:rsid w:val="009E456D"/>
    <w:rsid w:val="009E5FFA"/>
    <w:rsid w:val="009E62FC"/>
    <w:rsid w:val="009E6396"/>
    <w:rsid w:val="009E6682"/>
    <w:rsid w:val="009E6B34"/>
    <w:rsid w:val="009E7137"/>
    <w:rsid w:val="009E7719"/>
    <w:rsid w:val="009E7973"/>
    <w:rsid w:val="009F0477"/>
    <w:rsid w:val="009F09B4"/>
    <w:rsid w:val="009F0EDA"/>
    <w:rsid w:val="009F18ED"/>
    <w:rsid w:val="009F38C5"/>
    <w:rsid w:val="009F437C"/>
    <w:rsid w:val="009F4551"/>
    <w:rsid w:val="009F46D9"/>
    <w:rsid w:val="009F5199"/>
    <w:rsid w:val="009F55A3"/>
    <w:rsid w:val="009F5A01"/>
    <w:rsid w:val="009F6162"/>
    <w:rsid w:val="009F6E9E"/>
    <w:rsid w:val="009F6EB8"/>
    <w:rsid w:val="009F7457"/>
    <w:rsid w:val="009F7D31"/>
    <w:rsid w:val="00A00821"/>
    <w:rsid w:val="00A00A9C"/>
    <w:rsid w:val="00A011DA"/>
    <w:rsid w:val="00A01E33"/>
    <w:rsid w:val="00A023C5"/>
    <w:rsid w:val="00A028ED"/>
    <w:rsid w:val="00A02996"/>
    <w:rsid w:val="00A0366A"/>
    <w:rsid w:val="00A044C4"/>
    <w:rsid w:val="00A0675B"/>
    <w:rsid w:val="00A06960"/>
    <w:rsid w:val="00A07F8F"/>
    <w:rsid w:val="00A11A38"/>
    <w:rsid w:val="00A11DFD"/>
    <w:rsid w:val="00A11F7A"/>
    <w:rsid w:val="00A1209E"/>
    <w:rsid w:val="00A1215E"/>
    <w:rsid w:val="00A12A38"/>
    <w:rsid w:val="00A12DCB"/>
    <w:rsid w:val="00A139E5"/>
    <w:rsid w:val="00A13CDB"/>
    <w:rsid w:val="00A14652"/>
    <w:rsid w:val="00A14686"/>
    <w:rsid w:val="00A149A7"/>
    <w:rsid w:val="00A14B52"/>
    <w:rsid w:val="00A15439"/>
    <w:rsid w:val="00A166F2"/>
    <w:rsid w:val="00A16EA4"/>
    <w:rsid w:val="00A17544"/>
    <w:rsid w:val="00A17954"/>
    <w:rsid w:val="00A17FF1"/>
    <w:rsid w:val="00A201FC"/>
    <w:rsid w:val="00A20492"/>
    <w:rsid w:val="00A205F7"/>
    <w:rsid w:val="00A209A7"/>
    <w:rsid w:val="00A216C1"/>
    <w:rsid w:val="00A22943"/>
    <w:rsid w:val="00A2569E"/>
    <w:rsid w:val="00A25E4A"/>
    <w:rsid w:val="00A26A6A"/>
    <w:rsid w:val="00A2715F"/>
    <w:rsid w:val="00A27263"/>
    <w:rsid w:val="00A27D0E"/>
    <w:rsid w:val="00A30CC2"/>
    <w:rsid w:val="00A31935"/>
    <w:rsid w:val="00A31AE8"/>
    <w:rsid w:val="00A327E4"/>
    <w:rsid w:val="00A330DF"/>
    <w:rsid w:val="00A33E40"/>
    <w:rsid w:val="00A33F27"/>
    <w:rsid w:val="00A34D3D"/>
    <w:rsid w:val="00A350C6"/>
    <w:rsid w:val="00A3581F"/>
    <w:rsid w:val="00A35C6D"/>
    <w:rsid w:val="00A35E85"/>
    <w:rsid w:val="00A36576"/>
    <w:rsid w:val="00A36CF1"/>
    <w:rsid w:val="00A36FF6"/>
    <w:rsid w:val="00A37189"/>
    <w:rsid w:val="00A37EF8"/>
    <w:rsid w:val="00A40436"/>
    <w:rsid w:val="00A40893"/>
    <w:rsid w:val="00A41322"/>
    <w:rsid w:val="00A416A2"/>
    <w:rsid w:val="00A418CF"/>
    <w:rsid w:val="00A422F4"/>
    <w:rsid w:val="00A42327"/>
    <w:rsid w:val="00A42857"/>
    <w:rsid w:val="00A42CF2"/>
    <w:rsid w:val="00A4319C"/>
    <w:rsid w:val="00A433D8"/>
    <w:rsid w:val="00A45142"/>
    <w:rsid w:val="00A451CB"/>
    <w:rsid w:val="00A455CB"/>
    <w:rsid w:val="00A46BA4"/>
    <w:rsid w:val="00A47EA5"/>
    <w:rsid w:val="00A511E2"/>
    <w:rsid w:val="00A51643"/>
    <w:rsid w:val="00A524D7"/>
    <w:rsid w:val="00A53471"/>
    <w:rsid w:val="00A54735"/>
    <w:rsid w:val="00A55092"/>
    <w:rsid w:val="00A55217"/>
    <w:rsid w:val="00A554BF"/>
    <w:rsid w:val="00A57474"/>
    <w:rsid w:val="00A575F6"/>
    <w:rsid w:val="00A57F19"/>
    <w:rsid w:val="00A61555"/>
    <w:rsid w:val="00A6387A"/>
    <w:rsid w:val="00A63A5C"/>
    <w:rsid w:val="00A641C2"/>
    <w:rsid w:val="00A647DE"/>
    <w:rsid w:val="00A64FC7"/>
    <w:rsid w:val="00A65DD1"/>
    <w:rsid w:val="00A668BA"/>
    <w:rsid w:val="00A66C76"/>
    <w:rsid w:val="00A67387"/>
    <w:rsid w:val="00A679CD"/>
    <w:rsid w:val="00A70EEB"/>
    <w:rsid w:val="00A71B5A"/>
    <w:rsid w:val="00A71C8E"/>
    <w:rsid w:val="00A7247E"/>
    <w:rsid w:val="00A726E7"/>
    <w:rsid w:val="00A72793"/>
    <w:rsid w:val="00A72EA0"/>
    <w:rsid w:val="00A7361E"/>
    <w:rsid w:val="00A738ED"/>
    <w:rsid w:val="00A75069"/>
    <w:rsid w:val="00A75689"/>
    <w:rsid w:val="00A7583B"/>
    <w:rsid w:val="00A75F62"/>
    <w:rsid w:val="00A76664"/>
    <w:rsid w:val="00A76EA4"/>
    <w:rsid w:val="00A8004C"/>
    <w:rsid w:val="00A814A3"/>
    <w:rsid w:val="00A8198F"/>
    <w:rsid w:val="00A83C2E"/>
    <w:rsid w:val="00A84138"/>
    <w:rsid w:val="00A84D41"/>
    <w:rsid w:val="00A84D5B"/>
    <w:rsid w:val="00A85374"/>
    <w:rsid w:val="00A8633D"/>
    <w:rsid w:val="00A87606"/>
    <w:rsid w:val="00A87788"/>
    <w:rsid w:val="00A87A66"/>
    <w:rsid w:val="00A9003F"/>
    <w:rsid w:val="00A90077"/>
    <w:rsid w:val="00A90506"/>
    <w:rsid w:val="00A9146C"/>
    <w:rsid w:val="00A915C0"/>
    <w:rsid w:val="00A91EA7"/>
    <w:rsid w:val="00A923A6"/>
    <w:rsid w:val="00A92445"/>
    <w:rsid w:val="00A92603"/>
    <w:rsid w:val="00A928F1"/>
    <w:rsid w:val="00A931DD"/>
    <w:rsid w:val="00A94197"/>
    <w:rsid w:val="00A94C52"/>
    <w:rsid w:val="00A94FF7"/>
    <w:rsid w:val="00A957F4"/>
    <w:rsid w:val="00A9644B"/>
    <w:rsid w:val="00A971FD"/>
    <w:rsid w:val="00A9734C"/>
    <w:rsid w:val="00AA0F8C"/>
    <w:rsid w:val="00AA10F1"/>
    <w:rsid w:val="00AA11B0"/>
    <w:rsid w:val="00AA14F2"/>
    <w:rsid w:val="00AA19D6"/>
    <w:rsid w:val="00AA2CA3"/>
    <w:rsid w:val="00AA357F"/>
    <w:rsid w:val="00AA3E2F"/>
    <w:rsid w:val="00AA4C6A"/>
    <w:rsid w:val="00AA510E"/>
    <w:rsid w:val="00AA516A"/>
    <w:rsid w:val="00AA51C6"/>
    <w:rsid w:val="00AA5B44"/>
    <w:rsid w:val="00AA6795"/>
    <w:rsid w:val="00AA6822"/>
    <w:rsid w:val="00AA68B2"/>
    <w:rsid w:val="00AA691C"/>
    <w:rsid w:val="00AA6F0F"/>
    <w:rsid w:val="00AB08E7"/>
    <w:rsid w:val="00AB0C4D"/>
    <w:rsid w:val="00AB0E38"/>
    <w:rsid w:val="00AB0E5C"/>
    <w:rsid w:val="00AB15AB"/>
    <w:rsid w:val="00AB1676"/>
    <w:rsid w:val="00AB2DD5"/>
    <w:rsid w:val="00AB31A1"/>
    <w:rsid w:val="00AB3361"/>
    <w:rsid w:val="00AB34B2"/>
    <w:rsid w:val="00AB405E"/>
    <w:rsid w:val="00AB42A8"/>
    <w:rsid w:val="00AB4E91"/>
    <w:rsid w:val="00AB4EF8"/>
    <w:rsid w:val="00AB7316"/>
    <w:rsid w:val="00AB78D1"/>
    <w:rsid w:val="00AC092A"/>
    <w:rsid w:val="00AC1156"/>
    <w:rsid w:val="00AC1230"/>
    <w:rsid w:val="00AC17FA"/>
    <w:rsid w:val="00AC1D6F"/>
    <w:rsid w:val="00AC2564"/>
    <w:rsid w:val="00AC2595"/>
    <w:rsid w:val="00AC28A2"/>
    <w:rsid w:val="00AC3F1A"/>
    <w:rsid w:val="00AC521A"/>
    <w:rsid w:val="00AC620B"/>
    <w:rsid w:val="00AC6550"/>
    <w:rsid w:val="00AC6613"/>
    <w:rsid w:val="00AC6962"/>
    <w:rsid w:val="00AC713B"/>
    <w:rsid w:val="00AC71A5"/>
    <w:rsid w:val="00AD006A"/>
    <w:rsid w:val="00AD03F0"/>
    <w:rsid w:val="00AD057B"/>
    <w:rsid w:val="00AD1373"/>
    <w:rsid w:val="00AD1764"/>
    <w:rsid w:val="00AD2510"/>
    <w:rsid w:val="00AD34BB"/>
    <w:rsid w:val="00AD35BD"/>
    <w:rsid w:val="00AD3801"/>
    <w:rsid w:val="00AD3E10"/>
    <w:rsid w:val="00AD49E6"/>
    <w:rsid w:val="00AD73E8"/>
    <w:rsid w:val="00AD74AB"/>
    <w:rsid w:val="00AE0AA5"/>
    <w:rsid w:val="00AE100E"/>
    <w:rsid w:val="00AE21D5"/>
    <w:rsid w:val="00AE239B"/>
    <w:rsid w:val="00AE2DBE"/>
    <w:rsid w:val="00AE3553"/>
    <w:rsid w:val="00AE3AA5"/>
    <w:rsid w:val="00AE3AFD"/>
    <w:rsid w:val="00AE3E45"/>
    <w:rsid w:val="00AE4491"/>
    <w:rsid w:val="00AE58C5"/>
    <w:rsid w:val="00AE5E9E"/>
    <w:rsid w:val="00AE76B2"/>
    <w:rsid w:val="00AF14CB"/>
    <w:rsid w:val="00AF16BF"/>
    <w:rsid w:val="00AF16E1"/>
    <w:rsid w:val="00AF1C19"/>
    <w:rsid w:val="00AF3259"/>
    <w:rsid w:val="00AF37E3"/>
    <w:rsid w:val="00AF431A"/>
    <w:rsid w:val="00AF5B5B"/>
    <w:rsid w:val="00AF6D74"/>
    <w:rsid w:val="00AF7311"/>
    <w:rsid w:val="00AF7921"/>
    <w:rsid w:val="00AF79C3"/>
    <w:rsid w:val="00B018D1"/>
    <w:rsid w:val="00B01EF2"/>
    <w:rsid w:val="00B029C5"/>
    <w:rsid w:val="00B02A24"/>
    <w:rsid w:val="00B031AA"/>
    <w:rsid w:val="00B03678"/>
    <w:rsid w:val="00B039B3"/>
    <w:rsid w:val="00B04C5B"/>
    <w:rsid w:val="00B058C8"/>
    <w:rsid w:val="00B058D2"/>
    <w:rsid w:val="00B07685"/>
    <w:rsid w:val="00B102EE"/>
    <w:rsid w:val="00B1094B"/>
    <w:rsid w:val="00B10B19"/>
    <w:rsid w:val="00B11133"/>
    <w:rsid w:val="00B1160E"/>
    <w:rsid w:val="00B138C4"/>
    <w:rsid w:val="00B14E38"/>
    <w:rsid w:val="00B156DE"/>
    <w:rsid w:val="00B15B6C"/>
    <w:rsid w:val="00B15DB4"/>
    <w:rsid w:val="00B15DD3"/>
    <w:rsid w:val="00B15EF1"/>
    <w:rsid w:val="00B16C9F"/>
    <w:rsid w:val="00B1F38E"/>
    <w:rsid w:val="00B2045D"/>
    <w:rsid w:val="00B207B1"/>
    <w:rsid w:val="00B221F5"/>
    <w:rsid w:val="00B2273B"/>
    <w:rsid w:val="00B2404F"/>
    <w:rsid w:val="00B24A1A"/>
    <w:rsid w:val="00B25859"/>
    <w:rsid w:val="00B258FD"/>
    <w:rsid w:val="00B26240"/>
    <w:rsid w:val="00B264A8"/>
    <w:rsid w:val="00B26AEC"/>
    <w:rsid w:val="00B26B8C"/>
    <w:rsid w:val="00B273C9"/>
    <w:rsid w:val="00B27846"/>
    <w:rsid w:val="00B27A51"/>
    <w:rsid w:val="00B27D19"/>
    <w:rsid w:val="00B30C39"/>
    <w:rsid w:val="00B30EAA"/>
    <w:rsid w:val="00B311B1"/>
    <w:rsid w:val="00B31AEF"/>
    <w:rsid w:val="00B31EAC"/>
    <w:rsid w:val="00B323BD"/>
    <w:rsid w:val="00B3247D"/>
    <w:rsid w:val="00B32C8E"/>
    <w:rsid w:val="00B33B9A"/>
    <w:rsid w:val="00B34E5D"/>
    <w:rsid w:val="00B34F9F"/>
    <w:rsid w:val="00B35068"/>
    <w:rsid w:val="00B3518E"/>
    <w:rsid w:val="00B3578E"/>
    <w:rsid w:val="00B36768"/>
    <w:rsid w:val="00B37A47"/>
    <w:rsid w:val="00B401C1"/>
    <w:rsid w:val="00B40B55"/>
    <w:rsid w:val="00B40DEE"/>
    <w:rsid w:val="00B40ECE"/>
    <w:rsid w:val="00B4103B"/>
    <w:rsid w:val="00B410EB"/>
    <w:rsid w:val="00B41DF0"/>
    <w:rsid w:val="00B42323"/>
    <w:rsid w:val="00B4267B"/>
    <w:rsid w:val="00B43118"/>
    <w:rsid w:val="00B44183"/>
    <w:rsid w:val="00B458AD"/>
    <w:rsid w:val="00B461CE"/>
    <w:rsid w:val="00B462CA"/>
    <w:rsid w:val="00B468C2"/>
    <w:rsid w:val="00B46950"/>
    <w:rsid w:val="00B4697A"/>
    <w:rsid w:val="00B46A14"/>
    <w:rsid w:val="00B47B63"/>
    <w:rsid w:val="00B502F4"/>
    <w:rsid w:val="00B50742"/>
    <w:rsid w:val="00B50AB9"/>
    <w:rsid w:val="00B52359"/>
    <w:rsid w:val="00B52B88"/>
    <w:rsid w:val="00B531F2"/>
    <w:rsid w:val="00B53331"/>
    <w:rsid w:val="00B53B79"/>
    <w:rsid w:val="00B54AAC"/>
    <w:rsid w:val="00B54D0E"/>
    <w:rsid w:val="00B552B2"/>
    <w:rsid w:val="00B55A9D"/>
    <w:rsid w:val="00B561E2"/>
    <w:rsid w:val="00B56947"/>
    <w:rsid w:val="00B57E44"/>
    <w:rsid w:val="00B6044C"/>
    <w:rsid w:val="00B61298"/>
    <w:rsid w:val="00B61479"/>
    <w:rsid w:val="00B6162D"/>
    <w:rsid w:val="00B6181F"/>
    <w:rsid w:val="00B62261"/>
    <w:rsid w:val="00B6299C"/>
    <w:rsid w:val="00B63937"/>
    <w:rsid w:val="00B63B43"/>
    <w:rsid w:val="00B64133"/>
    <w:rsid w:val="00B64489"/>
    <w:rsid w:val="00B658DB"/>
    <w:rsid w:val="00B65D81"/>
    <w:rsid w:val="00B65D8E"/>
    <w:rsid w:val="00B66993"/>
    <w:rsid w:val="00B66A03"/>
    <w:rsid w:val="00B66F58"/>
    <w:rsid w:val="00B70439"/>
    <w:rsid w:val="00B70517"/>
    <w:rsid w:val="00B705D7"/>
    <w:rsid w:val="00B70B30"/>
    <w:rsid w:val="00B71483"/>
    <w:rsid w:val="00B7196C"/>
    <w:rsid w:val="00B71A0B"/>
    <w:rsid w:val="00B71C19"/>
    <w:rsid w:val="00B726B6"/>
    <w:rsid w:val="00B7300A"/>
    <w:rsid w:val="00B7343B"/>
    <w:rsid w:val="00B742F7"/>
    <w:rsid w:val="00B747C0"/>
    <w:rsid w:val="00B748E1"/>
    <w:rsid w:val="00B754BB"/>
    <w:rsid w:val="00B754E6"/>
    <w:rsid w:val="00B761A6"/>
    <w:rsid w:val="00B76678"/>
    <w:rsid w:val="00B76A7F"/>
    <w:rsid w:val="00B775A6"/>
    <w:rsid w:val="00B775E2"/>
    <w:rsid w:val="00B813B2"/>
    <w:rsid w:val="00B815FE"/>
    <w:rsid w:val="00B82B5C"/>
    <w:rsid w:val="00B82F30"/>
    <w:rsid w:val="00B83976"/>
    <w:rsid w:val="00B83FAD"/>
    <w:rsid w:val="00B84048"/>
    <w:rsid w:val="00B842A0"/>
    <w:rsid w:val="00B844EB"/>
    <w:rsid w:val="00B8451E"/>
    <w:rsid w:val="00B84A91"/>
    <w:rsid w:val="00B8520E"/>
    <w:rsid w:val="00B85C56"/>
    <w:rsid w:val="00B86E13"/>
    <w:rsid w:val="00B904E2"/>
    <w:rsid w:val="00B90D47"/>
    <w:rsid w:val="00B90EA1"/>
    <w:rsid w:val="00B90FCE"/>
    <w:rsid w:val="00B91CD0"/>
    <w:rsid w:val="00B93517"/>
    <w:rsid w:val="00B93E06"/>
    <w:rsid w:val="00B93F60"/>
    <w:rsid w:val="00B940F0"/>
    <w:rsid w:val="00B94A9C"/>
    <w:rsid w:val="00B95DF6"/>
    <w:rsid w:val="00B964A7"/>
    <w:rsid w:val="00B96DEB"/>
    <w:rsid w:val="00B97640"/>
    <w:rsid w:val="00B97F71"/>
    <w:rsid w:val="00BA0E4C"/>
    <w:rsid w:val="00BA1FDC"/>
    <w:rsid w:val="00BA202A"/>
    <w:rsid w:val="00BA20DD"/>
    <w:rsid w:val="00BA2BE6"/>
    <w:rsid w:val="00BA30CC"/>
    <w:rsid w:val="00BA3C25"/>
    <w:rsid w:val="00BA4193"/>
    <w:rsid w:val="00BA4352"/>
    <w:rsid w:val="00BA5227"/>
    <w:rsid w:val="00BA57F7"/>
    <w:rsid w:val="00BA5923"/>
    <w:rsid w:val="00BA5AA8"/>
    <w:rsid w:val="00BA5EDE"/>
    <w:rsid w:val="00BA6177"/>
    <w:rsid w:val="00BA6E0F"/>
    <w:rsid w:val="00BA6E9E"/>
    <w:rsid w:val="00BA6EB4"/>
    <w:rsid w:val="00BB01CB"/>
    <w:rsid w:val="00BB08DA"/>
    <w:rsid w:val="00BB0E35"/>
    <w:rsid w:val="00BB317C"/>
    <w:rsid w:val="00BB3A06"/>
    <w:rsid w:val="00BB42B9"/>
    <w:rsid w:val="00BB453D"/>
    <w:rsid w:val="00BB52A9"/>
    <w:rsid w:val="00BB531E"/>
    <w:rsid w:val="00BB58CB"/>
    <w:rsid w:val="00BB5F85"/>
    <w:rsid w:val="00BB5FC8"/>
    <w:rsid w:val="00BB66EB"/>
    <w:rsid w:val="00BB7606"/>
    <w:rsid w:val="00BC00FA"/>
    <w:rsid w:val="00BC06CE"/>
    <w:rsid w:val="00BC0CCB"/>
    <w:rsid w:val="00BC1072"/>
    <w:rsid w:val="00BC1860"/>
    <w:rsid w:val="00BC1FAA"/>
    <w:rsid w:val="00BC1FFB"/>
    <w:rsid w:val="00BC265A"/>
    <w:rsid w:val="00BC2A1C"/>
    <w:rsid w:val="00BC2F59"/>
    <w:rsid w:val="00BC3E6E"/>
    <w:rsid w:val="00BC4352"/>
    <w:rsid w:val="00BC439A"/>
    <w:rsid w:val="00BC4A1C"/>
    <w:rsid w:val="00BC4E00"/>
    <w:rsid w:val="00BC5147"/>
    <w:rsid w:val="00BC5950"/>
    <w:rsid w:val="00BC5CD0"/>
    <w:rsid w:val="00BC6143"/>
    <w:rsid w:val="00BC61E1"/>
    <w:rsid w:val="00BC6462"/>
    <w:rsid w:val="00BC68DA"/>
    <w:rsid w:val="00BC697E"/>
    <w:rsid w:val="00BC6CF5"/>
    <w:rsid w:val="00BD0AC7"/>
    <w:rsid w:val="00BD0B4A"/>
    <w:rsid w:val="00BD108D"/>
    <w:rsid w:val="00BD172B"/>
    <w:rsid w:val="00BD1CCF"/>
    <w:rsid w:val="00BD384A"/>
    <w:rsid w:val="00BD3CE0"/>
    <w:rsid w:val="00BD3EC3"/>
    <w:rsid w:val="00BD4241"/>
    <w:rsid w:val="00BD4270"/>
    <w:rsid w:val="00BD518B"/>
    <w:rsid w:val="00BD5267"/>
    <w:rsid w:val="00BD53B1"/>
    <w:rsid w:val="00BD63AC"/>
    <w:rsid w:val="00BD6A29"/>
    <w:rsid w:val="00BD6B8B"/>
    <w:rsid w:val="00BD7E74"/>
    <w:rsid w:val="00BE0FEE"/>
    <w:rsid w:val="00BE1921"/>
    <w:rsid w:val="00BE29CF"/>
    <w:rsid w:val="00BE3453"/>
    <w:rsid w:val="00BE3BCB"/>
    <w:rsid w:val="00BE3D27"/>
    <w:rsid w:val="00BE5535"/>
    <w:rsid w:val="00BE5577"/>
    <w:rsid w:val="00BE58A0"/>
    <w:rsid w:val="00BE58DC"/>
    <w:rsid w:val="00BE5D98"/>
    <w:rsid w:val="00BE65A0"/>
    <w:rsid w:val="00BE68BC"/>
    <w:rsid w:val="00BE6B5B"/>
    <w:rsid w:val="00BE7261"/>
    <w:rsid w:val="00BF1877"/>
    <w:rsid w:val="00BF22A2"/>
    <w:rsid w:val="00BF237A"/>
    <w:rsid w:val="00BF25AD"/>
    <w:rsid w:val="00BF34F6"/>
    <w:rsid w:val="00BF37B0"/>
    <w:rsid w:val="00BF546B"/>
    <w:rsid w:val="00BF75E6"/>
    <w:rsid w:val="00BF7E5C"/>
    <w:rsid w:val="00C00269"/>
    <w:rsid w:val="00C00BD0"/>
    <w:rsid w:val="00C00E2F"/>
    <w:rsid w:val="00C01587"/>
    <w:rsid w:val="00C024CE"/>
    <w:rsid w:val="00C035F8"/>
    <w:rsid w:val="00C03924"/>
    <w:rsid w:val="00C03AF3"/>
    <w:rsid w:val="00C04978"/>
    <w:rsid w:val="00C04A13"/>
    <w:rsid w:val="00C05BF4"/>
    <w:rsid w:val="00C05CC9"/>
    <w:rsid w:val="00C0681D"/>
    <w:rsid w:val="00C0777C"/>
    <w:rsid w:val="00C07C4A"/>
    <w:rsid w:val="00C07E3A"/>
    <w:rsid w:val="00C10430"/>
    <w:rsid w:val="00C10509"/>
    <w:rsid w:val="00C10A5A"/>
    <w:rsid w:val="00C11839"/>
    <w:rsid w:val="00C11B68"/>
    <w:rsid w:val="00C12B4D"/>
    <w:rsid w:val="00C13451"/>
    <w:rsid w:val="00C13F90"/>
    <w:rsid w:val="00C146F9"/>
    <w:rsid w:val="00C14AEA"/>
    <w:rsid w:val="00C14D58"/>
    <w:rsid w:val="00C161F7"/>
    <w:rsid w:val="00C16A35"/>
    <w:rsid w:val="00C16C47"/>
    <w:rsid w:val="00C16F78"/>
    <w:rsid w:val="00C178E2"/>
    <w:rsid w:val="00C2024D"/>
    <w:rsid w:val="00C203FA"/>
    <w:rsid w:val="00C20C80"/>
    <w:rsid w:val="00C2139F"/>
    <w:rsid w:val="00C21936"/>
    <w:rsid w:val="00C226A2"/>
    <w:rsid w:val="00C2286F"/>
    <w:rsid w:val="00C2327B"/>
    <w:rsid w:val="00C23549"/>
    <w:rsid w:val="00C23E13"/>
    <w:rsid w:val="00C24073"/>
    <w:rsid w:val="00C24F0E"/>
    <w:rsid w:val="00C26F37"/>
    <w:rsid w:val="00C2733B"/>
    <w:rsid w:val="00C311B4"/>
    <w:rsid w:val="00C31C8B"/>
    <w:rsid w:val="00C31E3F"/>
    <w:rsid w:val="00C31F5E"/>
    <w:rsid w:val="00C326D1"/>
    <w:rsid w:val="00C33411"/>
    <w:rsid w:val="00C3479F"/>
    <w:rsid w:val="00C352EB"/>
    <w:rsid w:val="00C36CAD"/>
    <w:rsid w:val="00C37ADD"/>
    <w:rsid w:val="00C37C0C"/>
    <w:rsid w:val="00C37DDC"/>
    <w:rsid w:val="00C40042"/>
    <w:rsid w:val="00C40260"/>
    <w:rsid w:val="00C4164A"/>
    <w:rsid w:val="00C41A7A"/>
    <w:rsid w:val="00C42040"/>
    <w:rsid w:val="00C42191"/>
    <w:rsid w:val="00C4229B"/>
    <w:rsid w:val="00C4271F"/>
    <w:rsid w:val="00C428DD"/>
    <w:rsid w:val="00C434E8"/>
    <w:rsid w:val="00C435F0"/>
    <w:rsid w:val="00C44051"/>
    <w:rsid w:val="00C442E5"/>
    <w:rsid w:val="00C444CB"/>
    <w:rsid w:val="00C44A55"/>
    <w:rsid w:val="00C44F33"/>
    <w:rsid w:val="00C45646"/>
    <w:rsid w:val="00C45C3E"/>
    <w:rsid w:val="00C475BA"/>
    <w:rsid w:val="00C47A3D"/>
    <w:rsid w:val="00C47B78"/>
    <w:rsid w:val="00C508FE"/>
    <w:rsid w:val="00C50A96"/>
    <w:rsid w:val="00C510F2"/>
    <w:rsid w:val="00C51BEF"/>
    <w:rsid w:val="00C52732"/>
    <w:rsid w:val="00C534B6"/>
    <w:rsid w:val="00C53746"/>
    <w:rsid w:val="00C53FF1"/>
    <w:rsid w:val="00C54189"/>
    <w:rsid w:val="00C544B7"/>
    <w:rsid w:val="00C55740"/>
    <w:rsid w:val="00C56297"/>
    <w:rsid w:val="00C56A48"/>
    <w:rsid w:val="00C57665"/>
    <w:rsid w:val="00C5782B"/>
    <w:rsid w:val="00C605AD"/>
    <w:rsid w:val="00C60B45"/>
    <w:rsid w:val="00C60CB0"/>
    <w:rsid w:val="00C61305"/>
    <w:rsid w:val="00C61457"/>
    <w:rsid w:val="00C6175A"/>
    <w:rsid w:val="00C61EA8"/>
    <w:rsid w:val="00C62101"/>
    <w:rsid w:val="00C62282"/>
    <w:rsid w:val="00C636B1"/>
    <w:rsid w:val="00C63CFC"/>
    <w:rsid w:val="00C645D4"/>
    <w:rsid w:val="00C64DE2"/>
    <w:rsid w:val="00C64FF6"/>
    <w:rsid w:val="00C65330"/>
    <w:rsid w:val="00C655F9"/>
    <w:rsid w:val="00C65847"/>
    <w:rsid w:val="00C6592E"/>
    <w:rsid w:val="00C666AF"/>
    <w:rsid w:val="00C677E3"/>
    <w:rsid w:val="00C6CBDD"/>
    <w:rsid w:val="00C70120"/>
    <w:rsid w:val="00C70442"/>
    <w:rsid w:val="00C70551"/>
    <w:rsid w:val="00C70BC6"/>
    <w:rsid w:val="00C7109E"/>
    <w:rsid w:val="00C721FC"/>
    <w:rsid w:val="00C7448A"/>
    <w:rsid w:val="00C74FBF"/>
    <w:rsid w:val="00C75548"/>
    <w:rsid w:val="00C757C4"/>
    <w:rsid w:val="00C7666E"/>
    <w:rsid w:val="00C77117"/>
    <w:rsid w:val="00C772F2"/>
    <w:rsid w:val="00C77D6A"/>
    <w:rsid w:val="00C80B94"/>
    <w:rsid w:val="00C81828"/>
    <w:rsid w:val="00C81C16"/>
    <w:rsid w:val="00C81F24"/>
    <w:rsid w:val="00C821B3"/>
    <w:rsid w:val="00C828AD"/>
    <w:rsid w:val="00C82C0B"/>
    <w:rsid w:val="00C82D89"/>
    <w:rsid w:val="00C8568F"/>
    <w:rsid w:val="00C8669E"/>
    <w:rsid w:val="00C86C0B"/>
    <w:rsid w:val="00C86CEA"/>
    <w:rsid w:val="00C86F41"/>
    <w:rsid w:val="00C86FF1"/>
    <w:rsid w:val="00C873BC"/>
    <w:rsid w:val="00C87F29"/>
    <w:rsid w:val="00C90715"/>
    <w:rsid w:val="00C90B3F"/>
    <w:rsid w:val="00C90B4A"/>
    <w:rsid w:val="00C91038"/>
    <w:rsid w:val="00C91E8F"/>
    <w:rsid w:val="00C91FE9"/>
    <w:rsid w:val="00C92C19"/>
    <w:rsid w:val="00C92E05"/>
    <w:rsid w:val="00C9320B"/>
    <w:rsid w:val="00C936FB"/>
    <w:rsid w:val="00C9371D"/>
    <w:rsid w:val="00C937A1"/>
    <w:rsid w:val="00C941F5"/>
    <w:rsid w:val="00C942CB"/>
    <w:rsid w:val="00C94880"/>
    <w:rsid w:val="00C9591B"/>
    <w:rsid w:val="00C96335"/>
    <w:rsid w:val="00C9689B"/>
    <w:rsid w:val="00C978B8"/>
    <w:rsid w:val="00C97BC4"/>
    <w:rsid w:val="00CA016E"/>
    <w:rsid w:val="00CA0463"/>
    <w:rsid w:val="00CA086C"/>
    <w:rsid w:val="00CA0903"/>
    <w:rsid w:val="00CA15A3"/>
    <w:rsid w:val="00CA15B7"/>
    <w:rsid w:val="00CA16FE"/>
    <w:rsid w:val="00CA1F00"/>
    <w:rsid w:val="00CA201C"/>
    <w:rsid w:val="00CA260C"/>
    <w:rsid w:val="00CA3790"/>
    <w:rsid w:val="00CA57D0"/>
    <w:rsid w:val="00CA5CFF"/>
    <w:rsid w:val="00CA5ED6"/>
    <w:rsid w:val="00CA7980"/>
    <w:rsid w:val="00CB05E5"/>
    <w:rsid w:val="00CB06E2"/>
    <w:rsid w:val="00CB0FE3"/>
    <w:rsid w:val="00CB21C4"/>
    <w:rsid w:val="00CB2946"/>
    <w:rsid w:val="00CB3AA3"/>
    <w:rsid w:val="00CB3DDD"/>
    <w:rsid w:val="00CB49D5"/>
    <w:rsid w:val="00CB4FB3"/>
    <w:rsid w:val="00CB5044"/>
    <w:rsid w:val="00CB57A8"/>
    <w:rsid w:val="00CB5817"/>
    <w:rsid w:val="00CB5DCB"/>
    <w:rsid w:val="00CB6370"/>
    <w:rsid w:val="00CB6D53"/>
    <w:rsid w:val="00CB74E1"/>
    <w:rsid w:val="00CB7EA5"/>
    <w:rsid w:val="00CC0CF3"/>
    <w:rsid w:val="00CC1E40"/>
    <w:rsid w:val="00CC1FF1"/>
    <w:rsid w:val="00CC2B7B"/>
    <w:rsid w:val="00CC3FDC"/>
    <w:rsid w:val="00CC4280"/>
    <w:rsid w:val="00CC544E"/>
    <w:rsid w:val="00CC5476"/>
    <w:rsid w:val="00CC5838"/>
    <w:rsid w:val="00CC59B8"/>
    <w:rsid w:val="00CC5D40"/>
    <w:rsid w:val="00CC677E"/>
    <w:rsid w:val="00CC6F90"/>
    <w:rsid w:val="00CC7584"/>
    <w:rsid w:val="00CC7AA1"/>
    <w:rsid w:val="00CC7B1A"/>
    <w:rsid w:val="00CD01E5"/>
    <w:rsid w:val="00CD1363"/>
    <w:rsid w:val="00CD13B9"/>
    <w:rsid w:val="00CD141F"/>
    <w:rsid w:val="00CD1789"/>
    <w:rsid w:val="00CD17B6"/>
    <w:rsid w:val="00CD2A35"/>
    <w:rsid w:val="00CD2A44"/>
    <w:rsid w:val="00CD2C3F"/>
    <w:rsid w:val="00CD5341"/>
    <w:rsid w:val="00CD54D3"/>
    <w:rsid w:val="00CD699C"/>
    <w:rsid w:val="00CD6BCF"/>
    <w:rsid w:val="00CD75AF"/>
    <w:rsid w:val="00CE030F"/>
    <w:rsid w:val="00CE07A9"/>
    <w:rsid w:val="00CE0AED"/>
    <w:rsid w:val="00CE105E"/>
    <w:rsid w:val="00CE21BE"/>
    <w:rsid w:val="00CE2E44"/>
    <w:rsid w:val="00CE3104"/>
    <w:rsid w:val="00CE33F5"/>
    <w:rsid w:val="00CE37DA"/>
    <w:rsid w:val="00CE44E9"/>
    <w:rsid w:val="00CE538F"/>
    <w:rsid w:val="00CE5E65"/>
    <w:rsid w:val="00CE66C6"/>
    <w:rsid w:val="00CE7382"/>
    <w:rsid w:val="00CE74A9"/>
    <w:rsid w:val="00CF16E8"/>
    <w:rsid w:val="00CF296B"/>
    <w:rsid w:val="00CF3018"/>
    <w:rsid w:val="00CF3060"/>
    <w:rsid w:val="00CF3199"/>
    <w:rsid w:val="00CF330B"/>
    <w:rsid w:val="00CF46B2"/>
    <w:rsid w:val="00CF51E9"/>
    <w:rsid w:val="00CF52E8"/>
    <w:rsid w:val="00CF6912"/>
    <w:rsid w:val="00CF6CFE"/>
    <w:rsid w:val="00D0063B"/>
    <w:rsid w:val="00D008F1"/>
    <w:rsid w:val="00D00E66"/>
    <w:rsid w:val="00D017D4"/>
    <w:rsid w:val="00D01C3E"/>
    <w:rsid w:val="00D033DF"/>
    <w:rsid w:val="00D03C49"/>
    <w:rsid w:val="00D04065"/>
    <w:rsid w:val="00D044DE"/>
    <w:rsid w:val="00D04E6A"/>
    <w:rsid w:val="00D057F5"/>
    <w:rsid w:val="00D07384"/>
    <w:rsid w:val="00D074D7"/>
    <w:rsid w:val="00D07BD2"/>
    <w:rsid w:val="00D105FD"/>
    <w:rsid w:val="00D107E8"/>
    <w:rsid w:val="00D10AF0"/>
    <w:rsid w:val="00D11283"/>
    <w:rsid w:val="00D1150C"/>
    <w:rsid w:val="00D11B5A"/>
    <w:rsid w:val="00D11D1F"/>
    <w:rsid w:val="00D125B8"/>
    <w:rsid w:val="00D127AE"/>
    <w:rsid w:val="00D13765"/>
    <w:rsid w:val="00D147A5"/>
    <w:rsid w:val="00D154A5"/>
    <w:rsid w:val="00D1595A"/>
    <w:rsid w:val="00D172FD"/>
    <w:rsid w:val="00D1786A"/>
    <w:rsid w:val="00D178B0"/>
    <w:rsid w:val="00D208DF"/>
    <w:rsid w:val="00D2195A"/>
    <w:rsid w:val="00D21AC6"/>
    <w:rsid w:val="00D22735"/>
    <w:rsid w:val="00D22BB4"/>
    <w:rsid w:val="00D22F17"/>
    <w:rsid w:val="00D2376E"/>
    <w:rsid w:val="00D239C9"/>
    <w:rsid w:val="00D23DB8"/>
    <w:rsid w:val="00D23DEB"/>
    <w:rsid w:val="00D24554"/>
    <w:rsid w:val="00D2559C"/>
    <w:rsid w:val="00D2567A"/>
    <w:rsid w:val="00D25BF3"/>
    <w:rsid w:val="00D26542"/>
    <w:rsid w:val="00D2723F"/>
    <w:rsid w:val="00D27C25"/>
    <w:rsid w:val="00D302A5"/>
    <w:rsid w:val="00D32719"/>
    <w:rsid w:val="00D339A8"/>
    <w:rsid w:val="00D34872"/>
    <w:rsid w:val="00D34AC6"/>
    <w:rsid w:val="00D34EC3"/>
    <w:rsid w:val="00D35082"/>
    <w:rsid w:val="00D369D5"/>
    <w:rsid w:val="00D36C74"/>
    <w:rsid w:val="00D37043"/>
    <w:rsid w:val="00D401B8"/>
    <w:rsid w:val="00D40358"/>
    <w:rsid w:val="00D4038B"/>
    <w:rsid w:val="00D408AF"/>
    <w:rsid w:val="00D40C0D"/>
    <w:rsid w:val="00D44DE3"/>
    <w:rsid w:val="00D45FE1"/>
    <w:rsid w:val="00D47081"/>
    <w:rsid w:val="00D47089"/>
    <w:rsid w:val="00D4730C"/>
    <w:rsid w:val="00D5049A"/>
    <w:rsid w:val="00D506F2"/>
    <w:rsid w:val="00D5135E"/>
    <w:rsid w:val="00D51DF5"/>
    <w:rsid w:val="00D52220"/>
    <w:rsid w:val="00D53234"/>
    <w:rsid w:val="00D534F4"/>
    <w:rsid w:val="00D552A6"/>
    <w:rsid w:val="00D55489"/>
    <w:rsid w:val="00D55549"/>
    <w:rsid w:val="00D556BB"/>
    <w:rsid w:val="00D561AB"/>
    <w:rsid w:val="00D5678E"/>
    <w:rsid w:val="00D57197"/>
    <w:rsid w:val="00D57321"/>
    <w:rsid w:val="00D60063"/>
    <w:rsid w:val="00D60419"/>
    <w:rsid w:val="00D606E9"/>
    <w:rsid w:val="00D60849"/>
    <w:rsid w:val="00D60FF3"/>
    <w:rsid w:val="00D614EE"/>
    <w:rsid w:val="00D62310"/>
    <w:rsid w:val="00D6258B"/>
    <w:rsid w:val="00D627ED"/>
    <w:rsid w:val="00D63095"/>
    <w:rsid w:val="00D632CF"/>
    <w:rsid w:val="00D63457"/>
    <w:rsid w:val="00D635FB"/>
    <w:rsid w:val="00D647D2"/>
    <w:rsid w:val="00D64B51"/>
    <w:rsid w:val="00D64FF3"/>
    <w:rsid w:val="00D65762"/>
    <w:rsid w:val="00D667A2"/>
    <w:rsid w:val="00D67005"/>
    <w:rsid w:val="00D67B19"/>
    <w:rsid w:val="00D705B2"/>
    <w:rsid w:val="00D7062A"/>
    <w:rsid w:val="00D712ED"/>
    <w:rsid w:val="00D71FE4"/>
    <w:rsid w:val="00D721DA"/>
    <w:rsid w:val="00D737D5"/>
    <w:rsid w:val="00D73C88"/>
    <w:rsid w:val="00D762C8"/>
    <w:rsid w:val="00D774FA"/>
    <w:rsid w:val="00D777F9"/>
    <w:rsid w:val="00D80412"/>
    <w:rsid w:val="00D81FFE"/>
    <w:rsid w:val="00D82C84"/>
    <w:rsid w:val="00D83770"/>
    <w:rsid w:val="00D83ACB"/>
    <w:rsid w:val="00D843BA"/>
    <w:rsid w:val="00D84D2D"/>
    <w:rsid w:val="00D84E56"/>
    <w:rsid w:val="00D8502F"/>
    <w:rsid w:val="00D85636"/>
    <w:rsid w:val="00D856E2"/>
    <w:rsid w:val="00D869C1"/>
    <w:rsid w:val="00D86ACF"/>
    <w:rsid w:val="00D86C0C"/>
    <w:rsid w:val="00D86FC3"/>
    <w:rsid w:val="00D87307"/>
    <w:rsid w:val="00D92830"/>
    <w:rsid w:val="00D93B27"/>
    <w:rsid w:val="00D94065"/>
    <w:rsid w:val="00D94AC7"/>
    <w:rsid w:val="00D95B69"/>
    <w:rsid w:val="00D96470"/>
    <w:rsid w:val="00D97781"/>
    <w:rsid w:val="00DA02F7"/>
    <w:rsid w:val="00DA109C"/>
    <w:rsid w:val="00DA178A"/>
    <w:rsid w:val="00DA1980"/>
    <w:rsid w:val="00DA1B6B"/>
    <w:rsid w:val="00DA3346"/>
    <w:rsid w:val="00DA3713"/>
    <w:rsid w:val="00DA46F4"/>
    <w:rsid w:val="00DA4852"/>
    <w:rsid w:val="00DA4ED8"/>
    <w:rsid w:val="00DA52B6"/>
    <w:rsid w:val="00DA62CC"/>
    <w:rsid w:val="00DA6BA2"/>
    <w:rsid w:val="00DB10A9"/>
    <w:rsid w:val="00DB1C9A"/>
    <w:rsid w:val="00DB278C"/>
    <w:rsid w:val="00DB347D"/>
    <w:rsid w:val="00DB3A06"/>
    <w:rsid w:val="00DB3D66"/>
    <w:rsid w:val="00DB4509"/>
    <w:rsid w:val="00DB4662"/>
    <w:rsid w:val="00DB69D3"/>
    <w:rsid w:val="00DB6D10"/>
    <w:rsid w:val="00DC021B"/>
    <w:rsid w:val="00DC06A3"/>
    <w:rsid w:val="00DC088D"/>
    <w:rsid w:val="00DC0947"/>
    <w:rsid w:val="00DC0AC9"/>
    <w:rsid w:val="00DC0C24"/>
    <w:rsid w:val="00DC1AD2"/>
    <w:rsid w:val="00DC1B65"/>
    <w:rsid w:val="00DC203E"/>
    <w:rsid w:val="00DC2FDF"/>
    <w:rsid w:val="00DC3114"/>
    <w:rsid w:val="00DC3F9D"/>
    <w:rsid w:val="00DC455B"/>
    <w:rsid w:val="00DC61D9"/>
    <w:rsid w:val="00DC6A35"/>
    <w:rsid w:val="00DC6C06"/>
    <w:rsid w:val="00DC710E"/>
    <w:rsid w:val="00DC72F5"/>
    <w:rsid w:val="00DC7543"/>
    <w:rsid w:val="00DD0417"/>
    <w:rsid w:val="00DD2896"/>
    <w:rsid w:val="00DD2A72"/>
    <w:rsid w:val="00DD2F99"/>
    <w:rsid w:val="00DD3AF9"/>
    <w:rsid w:val="00DD435B"/>
    <w:rsid w:val="00DD4D4E"/>
    <w:rsid w:val="00DD5075"/>
    <w:rsid w:val="00DD723A"/>
    <w:rsid w:val="00DD7F0F"/>
    <w:rsid w:val="00DE0BB7"/>
    <w:rsid w:val="00DE0E6F"/>
    <w:rsid w:val="00DE160E"/>
    <w:rsid w:val="00DE1BF3"/>
    <w:rsid w:val="00DE239F"/>
    <w:rsid w:val="00DE28E5"/>
    <w:rsid w:val="00DE2B6D"/>
    <w:rsid w:val="00DE2F4A"/>
    <w:rsid w:val="00DE31A7"/>
    <w:rsid w:val="00DE31E8"/>
    <w:rsid w:val="00DE33BF"/>
    <w:rsid w:val="00DE3AF3"/>
    <w:rsid w:val="00DE4D77"/>
    <w:rsid w:val="00DE526D"/>
    <w:rsid w:val="00DE5525"/>
    <w:rsid w:val="00DE5665"/>
    <w:rsid w:val="00DE6A01"/>
    <w:rsid w:val="00DE7A2B"/>
    <w:rsid w:val="00DE7C6B"/>
    <w:rsid w:val="00DF02A0"/>
    <w:rsid w:val="00DF1314"/>
    <w:rsid w:val="00DF1CEC"/>
    <w:rsid w:val="00DF2699"/>
    <w:rsid w:val="00DF2D43"/>
    <w:rsid w:val="00DF342A"/>
    <w:rsid w:val="00DF39F4"/>
    <w:rsid w:val="00DF3DF7"/>
    <w:rsid w:val="00DF44A6"/>
    <w:rsid w:val="00DF4945"/>
    <w:rsid w:val="00DF4CBC"/>
    <w:rsid w:val="00DF512E"/>
    <w:rsid w:val="00DF54EE"/>
    <w:rsid w:val="00DF5CF1"/>
    <w:rsid w:val="00DF6C55"/>
    <w:rsid w:val="00DF75FE"/>
    <w:rsid w:val="00E006E5"/>
    <w:rsid w:val="00E00934"/>
    <w:rsid w:val="00E00AD6"/>
    <w:rsid w:val="00E01159"/>
    <w:rsid w:val="00E02040"/>
    <w:rsid w:val="00E02722"/>
    <w:rsid w:val="00E02C51"/>
    <w:rsid w:val="00E02E89"/>
    <w:rsid w:val="00E03766"/>
    <w:rsid w:val="00E041B3"/>
    <w:rsid w:val="00E049D8"/>
    <w:rsid w:val="00E04B05"/>
    <w:rsid w:val="00E052D0"/>
    <w:rsid w:val="00E05748"/>
    <w:rsid w:val="00E1067F"/>
    <w:rsid w:val="00E10C3F"/>
    <w:rsid w:val="00E11122"/>
    <w:rsid w:val="00E112E8"/>
    <w:rsid w:val="00E114B8"/>
    <w:rsid w:val="00E116AE"/>
    <w:rsid w:val="00E11812"/>
    <w:rsid w:val="00E11ADA"/>
    <w:rsid w:val="00E11BD1"/>
    <w:rsid w:val="00E11D3A"/>
    <w:rsid w:val="00E1236C"/>
    <w:rsid w:val="00E12EE4"/>
    <w:rsid w:val="00E1361A"/>
    <w:rsid w:val="00E1367F"/>
    <w:rsid w:val="00E14282"/>
    <w:rsid w:val="00E164F1"/>
    <w:rsid w:val="00E17C92"/>
    <w:rsid w:val="00E17F5A"/>
    <w:rsid w:val="00E20207"/>
    <w:rsid w:val="00E2051A"/>
    <w:rsid w:val="00E20E1C"/>
    <w:rsid w:val="00E214A7"/>
    <w:rsid w:val="00E217E7"/>
    <w:rsid w:val="00E218F6"/>
    <w:rsid w:val="00E21ABA"/>
    <w:rsid w:val="00E2221B"/>
    <w:rsid w:val="00E223D5"/>
    <w:rsid w:val="00E238C9"/>
    <w:rsid w:val="00E2424B"/>
    <w:rsid w:val="00E2435F"/>
    <w:rsid w:val="00E24E9B"/>
    <w:rsid w:val="00E250DE"/>
    <w:rsid w:val="00E25A14"/>
    <w:rsid w:val="00E25C0D"/>
    <w:rsid w:val="00E25D31"/>
    <w:rsid w:val="00E25EE1"/>
    <w:rsid w:val="00E26745"/>
    <w:rsid w:val="00E272D3"/>
    <w:rsid w:val="00E27FB6"/>
    <w:rsid w:val="00E31602"/>
    <w:rsid w:val="00E3441E"/>
    <w:rsid w:val="00E34EA9"/>
    <w:rsid w:val="00E34EF2"/>
    <w:rsid w:val="00E35229"/>
    <w:rsid w:val="00E357A1"/>
    <w:rsid w:val="00E36239"/>
    <w:rsid w:val="00E37A9B"/>
    <w:rsid w:val="00E40005"/>
    <w:rsid w:val="00E424A8"/>
    <w:rsid w:val="00E42E74"/>
    <w:rsid w:val="00E42EFD"/>
    <w:rsid w:val="00E43712"/>
    <w:rsid w:val="00E44298"/>
    <w:rsid w:val="00E44690"/>
    <w:rsid w:val="00E44A41"/>
    <w:rsid w:val="00E45187"/>
    <w:rsid w:val="00E458F5"/>
    <w:rsid w:val="00E45BC0"/>
    <w:rsid w:val="00E45D1D"/>
    <w:rsid w:val="00E46E0F"/>
    <w:rsid w:val="00E51378"/>
    <w:rsid w:val="00E51543"/>
    <w:rsid w:val="00E517A4"/>
    <w:rsid w:val="00E518D0"/>
    <w:rsid w:val="00E52017"/>
    <w:rsid w:val="00E5346C"/>
    <w:rsid w:val="00E545E3"/>
    <w:rsid w:val="00E5563E"/>
    <w:rsid w:val="00E558BA"/>
    <w:rsid w:val="00E558C4"/>
    <w:rsid w:val="00E55EEC"/>
    <w:rsid w:val="00E5619A"/>
    <w:rsid w:val="00E56340"/>
    <w:rsid w:val="00E564CF"/>
    <w:rsid w:val="00E56632"/>
    <w:rsid w:val="00E56C0F"/>
    <w:rsid w:val="00E575FC"/>
    <w:rsid w:val="00E57DE0"/>
    <w:rsid w:val="00E60AE9"/>
    <w:rsid w:val="00E60CB2"/>
    <w:rsid w:val="00E611D1"/>
    <w:rsid w:val="00E625A7"/>
    <w:rsid w:val="00E62BB8"/>
    <w:rsid w:val="00E63778"/>
    <w:rsid w:val="00E6416D"/>
    <w:rsid w:val="00E644C9"/>
    <w:rsid w:val="00E649AD"/>
    <w:rsid w:val="00E65333"/>
    <w:rsid w:val="00E65534"/>
    <w:rsid w:val="00E6630B"/>
    <w:rsid w:val="00E66B37"/>
    <w:rsid w:val="00E66B8C"/>
    <w:rsid w:val="00E66FB8"/>
    <w:rsid w:val="00E67AF8"/>
    <w:rsid w:val="00E67B0A"/>
    <w:rsid w:val="00E70B56"/>
    <w:rsid w:val="00E725B7"/>
    <w:rsid w:val="00E72B12"/>
    <w:rsid w:val="00E73B06"/>
    <w:rsid w:val="00E74E55"/>
    <w:rsid w:val="00E75886"/>
    <w:rsid w:val="00E75BD6"/>
    <w:rsid w:val="00E7638B"/>
    <w:rsid w:val="00E77435"/>
    <w:rsid w:val="00E7765F"/>
    <w:rsid w:val="00E80061"/>
    <w:rsid w:val="00E80C86"/>
    <w:rsid w:val="00E8100B"/>
    <w:rsid w:val="00E8160E"/>
    <w:rsid w:val="00E8242D"/>
    <w:rsid w:val="00E83490"/>
    <w:rsid w:val="00E8393A"/>
    <w:rsid w:val="00E84328"/>
    <w:rsid w:val="00E85896"/>
    <w:rsid w:val="00E85C19"/>
    <w:rsid w:val="00E85F5C"/>
    <w:rsid w:val="00E86214"/>
    <w:rsid w:val="00E8625E"/>
    <w:rsid w:val="00E86C0C"/>
    <w:rsid w:val="00E86F9A"/>
    <w:rsid w:val="00E87251"/>
    <w:rsid w:val="00E907FD"/>
    <w:rsid w:val="00E90BC8"/>
    <w:rsid w:val="00E91D89"/>
    <w:rsid w:val="00E92AC1"/>
    <w:rsid w:val="00E92BFD"/>
    <w:rsid w:val="00E93F31"/>
    <w:rsid w:val="00E9420A"/>
    <w:rsid w:val="00E97914"/>
    <w:rsid w:val="00E97BB2"/>
    <w:rsid w:val="00EA0D71"/>
    <w:rsid w:val="00EA121A"/>
    <w:rsid w:val="00EA1EB3"/>
    <w:rsid w:val="00EA1FAF"/>
    <w:rsid w:val="00EA3252"/>
    <w:rsid w:val="00EA43A5"/>
    <w:rsid w:val="00EA48A4"/>
    <w:rsid w:val="00EA4E93"/>
    <w:rsid w:val="00EA6D5B"/>
    <w:rsid w:val="00EA7DF3"/>
    <w:rsid w:val="00EB0909"/>
    <w:rsid w:val="00EB0D09"/>
    <w:rsid w:val="00EB11FD"/>
    <w:rsid w:val="00EB1F37"/>
    <w:rsid w:val="00EB28B4"/>
    <w:rsid w:val="00EB2BDC"/>
    <w:rsid w:val="00EB33F7"/>
    <w:rsid w:val="00EB3637"/>
    <w:rsid w:val="00EB37A3"/>
    <w:rsid w:val="00EB40C4"/>
    <w:rsid w:val="00EB4949"/>
    <w:rsid w:val="00EB5B52"/>
    <w:rsid w:val="00EB617D"/>
    <w:rsid w:val="00EB690F"/>
    <w:rsid w:val="00EB7776"/>
    <w:rsid w:val="00EC0042"/>
    <w:rsid w:val="00EC0156"/>
    <w:rsid w:val="00EC018F"/>
    <w:rsid w:val="00EC1295"/>
    <w:rsid w:val="00EC14BF"/>
    <w:rsid w:val="00EC1E71"/>
    <w:rsid w:val="00EC2C52"/>
    <w:rsid w:val="00EC30C6"/>
    <w:rsid w:val="00EC338B"/>
    <w:rsid w:val="00EC3771"/>
    <w:rsid w:val="00EC4A69"/>
    <w:rsid w:val="00EC54CD"/>
    <w:rsid w:val="00EC64BF"/>
    <w:rsid w:val="00EC77C1"/>
    <w:rsid w:val="00ED12AD"/>
    <w:rsid w:val="00ED2125"/>
    <w:rsid w:val="00ED2168"/>
    <w:rsid w:val="00ED2530"/>
    <w:rsid w:val="00ED29DA"/>
    <w:rsid w:val="00ED2A7C"/>
    <w:rsid w:val="00ED2C19"/>
    <w:rsid w:val="00ED2F08"/>
    <w:rsid w:val="00ED3B6A"/>
    <w:rsid w:val="00ED4A84"/>
    <w:rsid w:val="00ED4CB2"/>
    <w:rsid w:val="00ED582E"/>
    <w:rsid w:val="00ED7D76"/>
    <w:rsid w:val="00EE0934"/>
    <w:rsid w:val="00EE28F4"/>
    <w:rsid w:val="00EE29A7"/>
    <w:rsid w:val="00EE30BC"/>
    <w:rsid w:val="00EE3C23"/>
    <w:rsid w:val="00EE3F7D"/>
    <w:rsid w:val="00EE4A27"/>
    <w:rsid w:val="00EE5525"/>
    <w:rsid w:val="00EE6BA0"/>
    <w:rsid w:val="00EF0A44"/>
    <w:rsid w:val="00EF2995"/>
    <w:rsid w:val="00EF33FD"/>
    <w:rsid w:val="00EF44AC"/>
    <w:rsid w:val="00EF513B"/>
    <w:rsid w:val="00EF6381"/>
    <w:rsid w:val="00EF677B"/>
    <w:rsid w:val="00EF6CAC"/>
    <w:rsid w:val="00EF731E"/>
    <w:rsid w:val="00F00324"/>
    <w:rsid w:val="00F006A8"/>
    <w:rsid w:val="00F00B0C"/>
    <w:rsid w:val="00F00B9C"/>
    <w:rsid w:val="00F00D2B"/>
    <w:rsid w:val="00F015B2"/>
    <w:rsid w:val="00F01601"/>
    <w:rsid w:val="00F01732"/>
    <w:rsid w:val="00F01CE9"/>
    <w:rsid w:val="00F03E04"/>
    <w:rsid w:val="00F04492"/>
    <w:rsid w:val="00F046C1"/>
    <w:rsid w:val="00F04930"/>
    <w:rsid w:val="00F0583B"/>
    <w:rsid w:val="00F069F1"/>
    <w:rsid w:val="00F06A71"/>
    <w:rsid w:val="00F06CA9"/>
    <w:rsid w:val="00F07199"/>
    <w:rsid w:val="00F07DCF"/>
    <w:rsid w:val="00F07EF4"/>
    <w:rsid w:val="00F10DFD"/>
    <w:rsid w:val="00F11C55"/>
    <w:rsid w:val="00F128DA"/>
    <w:rsid w:val="00F12961"/>
    <w:rsid w:val="00F12A7B"/>
    <w:rsid w:val="00F13564"/>
    <w:rsid w:val="00F13E46"/>
    <w:rsid w:val="00F13FCB"/>
    <w:rsid w:val="00F151A9"/>
    <w:rsid w:val="00F157E6"/>
    <w:rsid w:val="00F15A68"/>
    <w:rsid w:val="00F16AB7"/>
    <w:rsid w:val="00F201FD"/>
    <w:rsid w:val="00F203B4"/>
    <w:rsid w:val="00F203BC"/>
    <w:rsid w:val="00F20468"/>
    <w:rsid w:val="00F20CF1"/>
    <w:rsid w:val="00F2148B"/>
    <w:rsid w:val="00F2238A"/>
    <w:rsid w:val="00F22F85"/>
    <w:rsid w:val="00F2450D"/>
    <w:rsid w:val="00F2496A"/>
    <w:rsid w:val="00F24D0A"/>
    <w:rsid w:val="00F25C19"/>
    <w:rsid w:val="00F25E0A"/>
    <w:rsid w:val="00F26B00"/>
    <w:rsid w:val="00F271FF"/>
    <w:rsid w:val="00F303A5"/>
    <w:rsid w:val="00F313E6"/>
    <w:rsid w:val="00F31F16"/>
    <w:rsid w:val="00F331D2"/>
    <w:rsid w:val="00F34106"/>
    <w:rsid w:val="00F3523D"/>
    <w:rsid w:val="00F35461"/>
    <w:rsid w:val="00F36079"/>
    <w:rsid w:val="00F36325"/>
    <w:rsid w:val="00F36A21"/>
    <w:rsid w:val="00F4079D"/>
    <w:rsid w:val="00F40937"/>
    <w:rsid w:val="00F41276"/>
    <w:rsid w:val="00F41957"/>
    <w:rsid w:val="00F41AC9"/>
    <w:rsid w:val="00F41DBA"/>
    <w:rsid w:val="00F41E89"/>
    <w:rsid w:val="00F420CD"/>
    <w:rsid w:val="00F43E02"/>
    <w:rsid w:val="00F44A5A"/>
    <w:rsid w:val="00F45BBB"/>
    <w:rsid w:val="00F45C51"/>
    <w:rsid w:val="00F45DFD"/>
    <w:rsid w:val="00F463FB"/>
    <w:rsid w:val="00F46F89"/>
    <w:rsid w:val="00F478BF"/>
    <w:rsid w:val="00F5003F"/>
    <w:rsid w:val="00F50168"/>
    <w:rsid w:val="00F51A17"/>
    <w:rsid w:val="00F52313"/>
    <w:rsid w:val="00F539C0"/>
    <w:rsid w:val="00F53B01"/>
    <w:rsid w:val="00F53FB5"/>
    <w:rsid w:val="00F544C0"/>
    <w:rsid w:val="00F54591"/>
    <w:rsid w:val="00F54DE6"/>
    <w:rsid w:val="00F552BC"/>
    <w:rsid w:val="00F56DD6"/>
    <w:rsid w:val="00F5723C"/>
    <w:rsid w:val="00F573C3"/>
    <w:rsid w:val="00F60152"/>
    <w:rsid w:val="00F6057D"/>
    <w:rsid w:val="00F60B3B"/>
    <w:rsid w:val="00F63CD7"/>
    <w:rsid w:val="00F64ED3"/>
    <w:rsid w:val="00F65100"/>
    <w:rsid w:val="00F65242"/>
    <w:rsid w:val="00F65AE1"/>
    <w:rsid w:val="00F67389"/>
    <w:rsid w:val="00F6783A"/>
    <w:rsid w:val="00F67845"/>
    <w:rsid w:val="00F70FC0"/>
    <w:rsid w:val="00F7164A"/>
    <w:rsid w:val="00F719B5"/>
    <w:rsid w:val="00F71FCA"/>
    <w:rsid w:val="00F72AAD"/>
    <w:rsid w:val="00F73B5C"/>
    <w:rsid w:val="00F74077"/>
    <w:rsid w:val="00F7490A"/>
    <w:rsid w:val="00F76A20"/>
    <w:rsid w:val="00F7710C"/>
    <w:rsid w:val="00F77181"/>
    <w:rsid w:val="00F80A9A"/>
    <w:rsid w:val="00F81C39"/>
    <w:rsid w:val="00F82251"/>
    <w:rsid w:val="00F822EC"/>
    <w:rsid w:val="00F831B2"/>
    <w:rsid w:val="00F832DE"/>
    <w:rsid w:val="00F834F3"/>
    <w:rsid w:val="00F83F45"/>
    <w:rsid w:val="00F843F3"/>
    <w:rsid w:val="00F852A5"/>
    <w:rsid w:val="00F852BE"/>
    <w:rsid w:val="00F85E80"/>
    <w:rsid w:val="00F877C3"/>
    <w:rsid w:val="00F902F3"/>
    <w:rsid w:val="00F90336"/>
    <w:rsid w:val="00F91DFA"/>
    <w:rsid w:val="00F92C5C"/>
    <w:rsid w:val="00F930CF"/>
    <w:rsid w:val="00F93350"/>
    <w:rsid w:val="00F93895"/>
    <w:rsid w:val="00F93D26"/>
    <w:rsid w:val="00F94071"/>
    <w:rsid w:val="00F95219"/>
    <w:rsid w:val="00F952D9"/>
    <w:rsid w:val="00F96082"/>
    <w:rsid w:val="00F9641F"/>
    <w:rsid w:val="00F96478"/>
    <w:rsid w:val="00F96AD4"/>
    <w:rsid w:val="00F96D34"/>
    <w:rsid w:val="00F96E6E"/>
    <w:rsid w:val="00F97D2E"/>
    <w:rsid w:val="00F97D94"/>
    <w:rsid w:val="00FA02E4"/>
    <w:rsid w:val="00FA0353"/>
    <w:rsid w:val="00FA0562"/>
    <w:rsid w:val="00FA08DE"/>
    <w:rsid w:val="00FA21B1"/>
    <w:rsid w:val="00FA39FD"/>
    <w:rsid w:val="00FA3CFB"/>
    <w:rsid w:val="00FA71E5"/>
    <w:rsid w:val="00FA7387"/>
    <w:rsid w:val="00FA7400"/>
    <w:rsid w:val="00FB0813"/>
    <w:rsid w:val="00FB0D2E"/>
    <w:rsid w:val="00FB0FA8"/>
    <w:rsid w:val="00FB182B"/>
    <w:rsid w:val="00FB1845"/>
    <w:rsid w:val="00FB1C31"/>
    <w:rsid w:val="00FB2185"/>
    <w:rsid w:val="00FB22AC"/>
    <w:rsid w:val="00FB308D"/>
    <w:rsid w:val="00FB32BD"/>
    <w:rsid w:val="00FB3B4D"/>
    <w:rsid w:val="00FB3FA8"/>
    <w:rsid w:val="00FB4897"/>
    <w:rsid w:val="00FB5E7F"/>
    <w:rsid w:val="00FB61CE"/>
    <w:rsid w:val="00FB7265"/>
    <w:rsid w:val="00FB7355"/>
    <w:rsid w:val="00FC002F"/>
    <w:rsid w:val="00FC018F"/>
    <w:rsid w:val="00FC0227"/>
    <w:rsid w:val="00FC086B"/>
    <w:rsid w:val="00FC0BE2"/>
    <w:rsid w:val="00FC2368"/>
    <w:rsid w:val="00FC31F8"/>
    <w:rsid w:val="00FC3451"/>
    <w:rsid w:val="00FC3AE4"/>
    <w:rsid w:val="00FC4131"/>
    <w:rsid w:val="00FC41CB"/>
    <w:rsid w:val="00FC4526"/>
    <w:rsid w:val="00FC4627"/>
    <w:rsid w:val="00FC4F90"/>
    <w:rsid w:val="00FC536F"/>
    <w:rsid w:val="00FC5631"/>
    <w:rsid w:val="00FC7652"/>
    <w:rsid w:val="00FD06EE"/>
    <w:rsid w:val="00FD073D"/>
    <w:rsid w:val="00FD085D"/>
    <w:rsid w:val="00FD0E8C"/>
    <w:rsid w:val="00FD179F"/>
    <w:rsid w:val="00FD196B"/>
    <w:rsid w:val="00FD20C2"/>
    <w:rsid w:val="00FD298A"/>
    <w:rsid w:val="00FD356B"/>
    <w:rsid w:val="00FD386B"/>
    <w:rsid w:val="00FD3D62"/>
    <w:rsid w:val="00FD3DAF"/>
    <w:rsid w:val="00FD4428"/>
    <w:rsid w:val="00FD4A45"/>
    <w:rsid w:val="00FD55B2"/>
    <w:rsid w:val="00FD770A"/>
    <w:rsid w:val="00FE0601"/>
    <w:rsid w:val="00FE0926"/>
    <w:rsid w:val="00FE10F4"/>
    <w:rsid w:val="00FE35A4"/>
    <w:rsid w:val="00FE38C0"/>
    <w:rsid w:val="00FE395F"/>
    <w:rsid w:val="00FE3F96"/>
    <w:rsid w:val="00FE4591"/>
    <w:rsid w:val="00FE54A0"/>
    <w:rsid w:val="00FE59AC"/>
    <w:rsid w:val="00FE5B5C"/>
    <w:rsid w:val="00FE5B68"/>
    <w:rsid w:val="00FE6FE7"/>
    <w:rsid w:val="00FE77AD"/>
    <w:rsid w:val="00FF11AD"/>
    <w:rsid w:val="00FF18DF"/>
    <w:rsid w:val="00FF20EF"/>
    <w:rsid w:val="00FF2447"/>
    <w:rsid w:val="00FF24F6"/>
    <w:rsid w:val="00FF2597"/>
    <w:rsid w:val="00FF42F1"/>
    <w:rsid w:val="00FF436A"/>
    <w:rsid w:val="00FF5CA3"/>
    <w:rsid w:val="00FF6397"/>
    <w:rsid w:val="00FF661B"/>
    <w:rsid w:val="00FF6625"/>
    <w:rsid w:val="00FF7CDA"/>
    <w:rsid w:val="00FF7D46"/>
    <w:rsid w:val="012731CB"/>
    <w:rsid w:val="01AE82AC"/>
    <w:rsid w:val="01CEC605"/>
    <w:rsid w:val="01D5558A"/>
    <w:rsid w:val="01DC66BF"/>
    <w:rsid w:val="01E38224"/>
    <w:rsid w:val="01ECB904"/>
    <w:rsid w:val="0208CAF4"/>
    <w:rsid w:val="024AF70B"/>
    <w:rsid w:val="0262BEB4"/>
    <w:rsid w:val="0265EA71"/>
    <w:rsid w:val="026B7694"/>
    <w:rsid w:val="026D7AD3"/>
    <w:rsid w:val="02829EE0"/>
    <w:rsid w:val="02C65533"/>
    <w:rsid w:val="02F90BE1"/>
    <w:rsid w:val="02FCE088"/>
    <w:rsid w:val="031086E5"/>
    <w:rsid w:val="03540E97"/>
    <w:rsid w:val="0355FC3D"/>
    <w:rsid w:val="0371259A"/>
    <w:rsid w:val="03856E8E"/>
    <w:rsid w:val="0393B38C"/>
    <w:rsid w:val="0395DE58"/>
    <w:rsid w:val="03A11638"/>
    <w:rsid w:val="03E2C1D2"/>
    <w:rsid w:val="03E4EECA"/>
    <w:rsid w:val="03F5F0FC"/>
    <w:rsid w:val="040C17FA"/>
    <w:rsid w:val="041A237E"/>
    <w:rsid w:val="042AEC78"/>
    <w:rsid w:val="044D22FB"/>
    <w:rsid w:val="045D9B53"/>
    <w:rsid w:val="0475BD16"/>
    <w:rsid w:val="049D0636"/>
    <w:rsid w:val="04BD9C85"/>
    <w:rsid w:val="04D964A2"/>
    <w:rsid w:val="04DFD216"/>
    <w:rsid w:val="0519421A"/>
    <w:rsid w:val="05254B14"/>
    <w:rsid w:val="0547490B"/>
    <w:rsid w:val="055772A6"/>
    <w:rsid w:val="05728EAE"/>
    <w:rsid w:val="05800066"/>
    <w:rsid w:val="05EAB2ED"/>
    <w:rsid w:val="061844A7"/>
    <w:rsid w:val="06189EFF"/>
    <w:rsid w:val="065DF9F8"/>
    <w:rsid w:val="069D763B"/>
    <w:rsid w:val="06D69A95"/>
    <w:rsid w:val="070441F1"/>
    <w:rsid w:val="073148EE"/>
    <w:rsid w:val="07397052"/>
    <w:rsid w:val="0767C2CE"/>
    <w:rsid w:val="079923A3"/>
    <w:rsid w:val="07A314EF"/>
    <w:rsid w:val="07B8ABB6"/>
    <w:rsid w:val="07D86028"/>
    <w:rsid w:val="07E4B3DA"/>
    <w:rsid w:val="07EEA7FA"/>
    <w:rsid w:val="07FD6074"/>
    <w:rsid w:val="0805DA29"/>
    <w:rsid w:val="08194FEE"/>
    <w:rsid w:val="081FA333"/>
    <w:rsid w:val="083C8E75"/>
    <w:rsid w:val="0848A2CE"/>
    <w:rsid w:val="0858467A"/>
    <w:rsid w:val="08640FFC"/>
    <w:rsid w:val="087615FC"/>
    <w:rsid w:val="0885FB3A"/>
    <w:rsid w:val="08A1BBDB"/>
    <w:rsid w:val="08A7737C"/>
    <w:rsid w:val="08F92FA5"/>
    <w:rsid w:val="093EB47A"/>
    <w:rsid w:val="094CB0AA"/>
    <w:rsid w:val="09756309"/>
    <w:rsid w:val="09926207"/>
    <w:rsid w:val="09C4E52B"/>
    <w:rsid w:val="0A0E3B57"/>
    <w:rsid w:val="0A119B35"/>
    <w:rsid w:val="0A3E6698"/>
    <w:rsid w:val="0A56419C"/>
    <w:rsid w:val="0A6451D2"/>
    <w:rsid w:val="0A72EE3A"/>
    <w:rsid w:val="0A8B4ED1"/>
    <w:rsid w:val="0A97FD19"/>
    <w:rsid w:val="0A9CBCC8"/>
    <w:rsid w:val="0AF1673F"/>
    <w:rsid w:val="0AF7897A"/>
    <w:rsid w:val="0AF9A384"/>
    <w:rsid w:val="0B0ED245"/>
    <w:rsid w:val="0B1C549C"/>
    <w:rsid w:val="0B2C0D7D"/>
    <w:rsid w:val="0B398F26"/>
    <w:rsid w:val="0B3F9493"/>
    <w:rsid w:val="0B42BBC1"/>
    <w:rsid w:val="0BB5B2C8"/>
    <w:rsid w:val="0BC5F2A3"/>
    <w:rsid w:val="0C3A178D"/>
    <w:rsid w:val="0C3FEC20"/>
    <w:rsid w:val="0C47E683"/>
    <w:rsid w:val="0C73F28C"/>
    <w:rsid w:val="0C7FB4F7"/>
    <w:rsid w:val="0C85FD4F"/>
    <w:rsid w:val="0CA49F2E"/>
    <w:rsid w:val="0CDB5491"/>
    <w:rsid w:val="0CE8CCF5"/>
    <w:rsid w:val="0CEC89A0"/>
    <w:rsid w:val="0D1E3EE2"/>
    <w:rsid w:val="0D279FA0"/>
    <w:rsid w:val="0D2CB3BC"/>
    <w:rsid w:val="0D2CDFB6"/>
    <w:rsid w:val="0D593EBF"/>
    <w:rsid w:val="0D5B6326"/>
    <w:rsid w:val="0D6ADB76"/>
    <w:rsid w:val="0D722133"/>
    <w:rsid w:val="0D82BD93"/>
    <w:rsid w:val="0D8B0FB9"/>
    <w:rsid w:val="0DABC62E"/>
    <w:rsid w:val="0DB726D7"/>
    <w:rsid w:val="0E0928BD"/>
    <w:rsid w:val="0E31B186"/>
    <w:rsid w:val="0E4510AB"/>
    <w:rsid w:val="0E5DFCB1"/>
    <w:rsid w:val="0E662C54"/>
    <w:rsid w:val="0EACCFE9"/>
    <w:rsid w:val="0EB4FA14"/>
    <w:rsid w:val="0EC602C2"/>
    <w:rsid w:val="0EDFA4CC"/>
    <w:rsid w:val="0EE6350A"/>
    <w:rsid w:val="0EFDFB0A"/>
    <w:rsid w:val="0F1DBA54"/>
    <w:rsid w:val="0F1F30B2"/>
    <w:rsid w:val="0F27B7A4"/>
    <w:rsid w:val="0F4FD7AD"/>
    <w:rsid w:val="0F6F5B29"/>
    <w:rsid w:val="0F95E196"/>
    <w:rsid w:val="0FB92EA6"/>
    <w:rsid w:val="10288807"/>
    <w:rsid w:val="105945C1"/>
    <w:rsid w:val="105AC06C"/>
    <w:rsid w:val="10653AD9"/>
    <w:rsid w:val="10705B10"/>
    <w:rsid w:val="107D3749"/>
    <w:rsid w:val="1087A574"/>
    <w:rsid w:val="10AA2F19"/>
    <w:rsid w:val="10DDB8BC"/>
    <w:rsid w:val="10EDB783"/>
    <w:rsid w:val="110A5C46"/>
    <w:rsid w:val="110BA266"/>
    <w:rsid w:val="11338099"/>
    <w:rsid w:val="1135012C"/>
    <w:rsid w:val="115F0F0A"/>
    <w:rsid w:val="1160D2CF"/>
    <w:rsid w:val="1194D80D"/>
    <w:rsid w:val="11A0D1D7"/>
    <w:rsid w:val="11A45700"/>
    <w:rsid w:val="11C1B113"/>
    <w:rsid w:val="1207B130"/>
    <w:rsid w:val="121A495B"/>
    <w:rsid w:val="122E0BA9"/>
    <w:rsid w:val="123C8D33"/>
    <w:rsid w:val="1243ECDE"/>
    <w:rsid w:val="126E5012"/>
    <w:rsid w:val="12912F8F"/>
    <w:rsid w:val="12FA8ACA"/>
    <w:rsid w:val="13038311"/>
    <w:rsid w:val="13128554"/>
    <w:rsid w:val="131D393F"/>
    <w:rsid w:val="13648183"/>
    <w:rsid w:val="136A9ED5"/>
    <w:rsid w:val="13709082"/>
    <w:rsid w:val="138BA518"/>
    <w:rsid w:val="1397089C"/>
    <w:rsid w:val="13BDD1DB"/>
    <w:rsid w:val="13E508D7"/>
    <w:rsid w:val="13F2F25E"/>
    <w:rsid w:val="1449E1A1"/>
    <w:rsid w:val="145FE91F"/>
    <w:rsid w:val="1465C9E4"/>
    <w:rsid w:val="146EAB3C"/>
    <w:rsid w:val="147BFD3F"/>
    <w:rsid w:val="1486FFCA"/>
    <w:rsid w:val="14929F11"/>
    <w:rsid w:val="14ACE27B"/>
    <w:rsid w:val="14C02899"/>
    <w:rsid w:val="14E7B0C0"/>
    <w:rsid w:val="14F570D2"/>
    <w:rsid w:val="1513073A"/>
    <w:rsid w:val="154014E0"/>
    <w:rsid w:val="15429304"/>
    <w:rsid w:val="1543AC06"/>
    <w:rsid w:val="15444348"/>
    <w:rsid w:val="1556B0EB"/>
    <w:rsid w:val="15636FD6"/>
    <w:rsid w:val="15795BD3"/>
    <w:rsid w:val="157B4498"/>
    <w:rsid w:val="1583ACFC"/>
    <w:rsid w:val="15B0086E"/>
    <w:rsid w:val="15D83076"/>
    <w:rsid w:val="15E31415"/>
    <w:rsid w:val="1606C149"/>
    <w:rsid w:val="16287E0C"/>
    <w:rsid w:val="162D2D12"/>
    <w:rsid w:val="166536C1"/>
    <w:rsid w:val="16813B88"/>
    <w:rsid w:val="168A1E63"/>
    <w:rsid w:val="169285F2"/>
    <w:rsid w:val="16B40A19"/>
    <w:rsid w:val="17204B52"/>
    <w:rsid w:val="175823C4"/>
    <w:rsid w:val="17833619"/>
    <w:rsid w:val="1788426A"/>
    <w:rsid w:val="17AF6C52"/>
    <w:rsid w:val="17B0CAA7"/>
    <w:rsid w:val="1833E6A9"/>
    <w:rsid w:val="186A589D"/>
    <w:rsid w:val="188B148E"/>
    <w:rsid w:val="189BC1D5"/>
    <w:rsid w:val="18B86A67"/>
    <w:rsid w:val="18C771EB"/>
    <w:rsid w:val="18D4761B"/>
    <w:rsid w:val="18FA8AA9"/>
    <w:rsid w:val="18FF47DB"/>
    <w:rsid w:val="19201EA6"/>
    <w:rsid w:val="1927A3A7"/>
    <w:rsid w:val="1934AAA1"/>
    <w:rsid w:val="193BEB64"/>
    <w:rsid w:val="1942A14E"/>
    <w:rsid w:val="19BC7A54"/>
    <w:rsid w:val="19C67951"/>
    <w:rsid w:val="19E64EC9"/>
    <w:rsid w:val="19FAA7E2"/>
    <w:rsid w:val="1A031768"/>
    <w:rsid w:val="1A07E4E5"/>
    <w:rsid w:val="1A255B40"/>
    <w:rsid w:val="1A470109"/>
    <w:rsid w:val="1A516FA7"/>
    <w:rsid w:val="1A52563F"/>
    <w:rsid w:val="1A5E8609"/>
    <w:rsid w:val="1A774C5E"/>
    <w:rsid w:val="1AF938BE"/>
    <w:rsid w:val="1B29B51F"/>
    <w:rsid w:val="1B506398"/>
    <w:rsid w:val="1B5EC29E"/>
    <w:rsid w:val="1B754446"/>
    <w:rsid w:val="1B7C97B0"/>
    <w:rsid w:val="1BE3388D"/>
    <w:rsid w:val="1BF2BCAA"/>
    <w:rsid w:val="1CBACE61"/>
    <w:rsid w:val="1CF01DB5"/>
    <w:rsid w:val="1CF0B48D"/>
    <w:rsid w:val="1D04F199"/>
    <w:rsid w:val="1D06535A"/>
    <w:rsid w:val="1D5DB8DD"/>
    <w:rsid w:val="1D6812A7"/>
    <w:rsid w:val="1D86A29A"/>
    <w:rsid w:val="1DD47486"/>
    <w:rsid w:val="1DD6082A"/>
    <w:rsid w:val="1E2D8630"/>
    <w:rsid w:val="1E4EB1C2"/>
    <w:rsid w:val="1E783BF1"/>
    <w:rsid w:val="1E7CDEFC"/>
    <w:rsid w:val="1E82C12B"/>
    <w:rsid w:val="1EC683AC"/>
    <w:rsid w:val="1EC83779"/>
    <w:rsid w:val="1EE6D4C7"/>
    <w:rsid w:val="1EFFA41B"/>
    <w:rsid w:val="1F2CB64A"/>
    <w:rsid w:val="1F2FCCFF"/>
    <w:rsid w:val="1F3910D5"/>
    <w:rsid w:val="1F41C302"/>
    <w:rsid w:val="1FB38184"/>
    <w:rsid w:val="1FB54046"/>
    <w:rsid w:val="1FD19312"/>
    <w:rsid w:val="1FDC3005"/>
    <w:rsid w:val="1FF5849D"/>
    <w:rsid w:val="1FF5C3AE"/>
    <w:rsid w:val="20117D10"/>
    <w:rsid w:val="20144BBC"/>
    <w:rsid w:val="201C0C71"/>
    <w:rsid w:val="2025E024"/>
    <w:rsid w:val="20AA0DAE"/>
    <w:rsid w:val="20CB8F5E"/>
    <w:rsid w:val="20D11FB4"/>
    <w:rsid w:val="20D98E94"/>
    <w:rsid w:val="20EFEE79"/>
    <w:rsid w:val="20F64AD3"/>
    <w:rsid w:val="20F7CA37"/>
    <w:rsid w:val="211DF545"/>
    <w:rsid w:val="21334A53"/>
    <w:rsid w:val="21349BD5"/>
    <w:rsid w:val="21A3B47A"/>
    <w:rsid w:val="21B47707"/>
    <w:rsid w:val="21E163B0"/>
    <w:rsid w:val="2203DD97"/>
    <w:rsid w:val="223F3C17"/>
    <w:rsid w:val="224EC323"/>
    <w:rsid w:val="22A26500"/>
    <w:rsid w:val="22ACAC47"/>
    <w:rsid w:val="22AFD32F"/>
    <w:rsid w:val="22E06819"/>
    <w:rsid w:val="22F64905"/>
    <w:rsid w:val="22F6B8B2"/>
    <w:rsid w:val="23073165"/>
    <w:rsid w:val="231AE143"/>
    <w:rsid w:val="231C4292"/>
    <w:rsid w:val="2329424A"/>
    <w:rsid w:val="232C5E37"/>
    <w:rsid w:val="2346B2E8"/>
    <w:rsid w:val="23660A87"/>
    <w:rsid w:val="2376A861"/>
    <w:rsid w:val="23A39622"/>
    <w:rsid w:val="23AF3AD5"/>
    <w:rsid w:val="23CD39A5"/>
    <w:rsid w:val="23E13F29"/>
    <w:rsid w:val="24292DE2"/>
    <w:rsid w:val="2443F845"/>
    <w:rsid w:val="249D34C0"/>
    <w:rsid w:val="24A520E4"/>
    <w:rsid w:val="24A5D817"/>
    <w:rsid w:val="24BF045A"/>
    <w:rsid w:val="2528DBDE"/>
    <w:rsid w:val="252D4745"/>
    <w:rsid w:val="2555D6F1"/>
    <w:rsid w:val="25770401"/>
    <w:rsid w:val="25AE97EE"/>
    <w:rsid w:val="25CB8DE1"/>
    <w:rsid w:val="25E4BDAD"/>
    <w:rsid w:val="25F2D07C"/>
    <w:rsid w:val="2628ED1C"/>
    <w:rsid w:val="2661B0A7"/>
    <w:rsid w:val="266D36C6"/>
    <w:rsid w:val="2686493B"/>
    <w:rsid w:val="26E2467B"/>
    <w:rsid w:val="27613A49"/>
    <w:rsid w:val="27790D28"/>
    <w:rsid w:val="27E9D306"/>
    <w:rsid w:val="2811C175"/>
    <w:rsid w:val="28898E97"/>
    <w:rsid w:val="290A8B2D"/>
    <w:rsid w:val="290B61E8"/>
    <w:rsid w:val="290BA65D"/>
    <w:rsid w:val="29244A4A"/>
    <w:rsid w:val="2939761D"/>
    <w:rsid w:val="2954D68D"/>
    <w:rsid w:val="296C9A9F"/>
    <w:rsid w:val="296D3E91"/>
    <w:rsid w:val="2980290C"/>
    <w:rsid w:val="299B90F8"/>
    <w:rsid w:val="2A1B5C1E"/>
    <w:rsid w:val="2A3370AD"/>
    <w:rsid w:val="2A614598"/>
    <w:rsid w:val="2A91908D"/>
    <w:rsid w:val="2AED723C"/>
    <w:rsid w:val="2AF3EA7B"/>
    <w:rsid w:val="2AFAF905"/>
    <w:rsid w:val="2AFBAC57"/>
    <w:rsid w:val="2B153284"/>
    <w:rsid w:val="2B243780"/>
    <w:rsid w:val="2B4CB49D"/>
    <w:rsid w:val="2B611EB4"/>
    <w:rsid w:val="2B6ED20C"/>
    <w:rsid w:val="2B89703F"/>
    <w:rsid w:val="2BF9BE1E"/>
    <w:rsid w:val="2C2336C6"/>
    <w:rsid w:val="2C9745A9"/>
    <w:rsid w:val="2CBA095D"/>
    <w:rsid w:val="2CC182DA"/>
    <w:rsid w:val="2CC4D9B8"/>
    <w:rsid w:val="2CE4F043"/>
    <w:rsid w:val="2CE77251"/>
    <w:rsid w:val="2D07954E"/>
    <w:rsid w:val="2D14BECA"/>
    <w:rsid w:val="2D185798"/>
    <w:rsid w:val="2D42590C"/>
    <w:rsid w:val="2D57CD5B"/>
    <w:rsid w:val="2D6B6CF2"/>
    <w:rsid w:val="2D8E9035"/>
    <w:rsid w:val="2D96AA38"/>
    <w:rsid w:val="2DB36A57"/>
    <w:rsid w:val="2DC8708E"/>
    <w:rsid w:val="2DE34F8C"/>
    <w:rsid w:val="2E1CE6D3"/>
    <w:rsid w:val="2E2712C1"/>
    <w:rsid w:val="2E5C064F"/>
    <w:rsid w:val="2E77D262"/>
    <w:rsid w:val="2E908586"/>
    <w:rsid w:val="2E916DE1"/>
    <w:rsid w:val="2EB8AEBB"/>
    <w:rsid w:val="2ED75A18"/>
    <w:rsid w:val="2EE390DA"/>
    <w:rsid w:val="2EE6D6DF"/>
    <w:rsid w:val="2EF64AC8"/>
    <w:rsid w:val="2F014951"/>
    <w:rsid w:val="2F13FD5D"/>
    <w:rsid w:val="2F5E9AC6"/>
    <w:rsid w:val="2F752DDA"/>
    <w:rsid w:val="2F970323"/>
    <w:rsid w:val="2F9D10C2"/>
    <w:rsid w:val="2FAFE95B"/>
    <w:rsid w:val="2FBC2501"/>
    <w:rsid w:val="3000E58A"/>
    <w:rsid w:val="300D6D4D"/>
    <w:rsid w:val="302D3E42"/>
    <w:rsid w:val="303F4911"/>
    <w:rsid w:val="3046669F"/>
    <w:rsid w:val="30634672"/>
    <w:rsid w:val="30A1D028"/>
    <w:rsid w:val="30B0BB29"/>
    <w:rsid w:val="30D84ECF"/>
    <w:rsid w:val="30E32D83"/>
    <w:rsid w:val="31319742"/>
    <w:rsid w:val="3138C074"/>
    <w:rsid w:val="316A2407"/>
    <w:rsid w:val="31B667FE"/>
    <w:rsid w:val="31C7C86B"/>
    <w:rsid w:val="3204C12E"/>
    <w:rsid w:val="322F2839"/>
    <w:rsid w:val="32684AE7"/>
    <w:rsid w:val="326D6EDA"/>
    <w:rsid w:val="32813D73"/>
    <w:rsid w:val="32A7C8EF"/>
    <w:rsid w:val="32B96CEB"/>
    <w:rsid w:val="32CE60DE"/>
    <w:rsid w:val="32CE65DD"/>
    <w:rsid w:val="330632F9"/>
    <w:rsid w:val="331EDC9F"/>
    <w:rsid w:val="3326882E"/>
    <w:rsid w:val="3329190B"/>
    <w:rsid w:val="332F2896"/>
    <w:rsid w:val="3357FB75"/>
    <w:rsid w:val="3366AF54"/>
    <w:rsid w:val="336E3610"/>
    <w:rsid w:val="337E2C8E"/>
    <w:rsid w:val="3382224D"/>
    <w:rsid w:val="33DA41F4"/>
    <w:rsid w:val="33E434D8"/>
    <w:rsid w:val="3413CD8A"/>
    <w:rsid w:val="34830AC3"/>
    <w:rsid w:val="34978E9F"/>
    <w:rsid w:val="34B8FC13"/>
    <w:rsid w:val="34D9DFA6"/>
    <w:rsid w:val="34FFA310"/>
    <w:rsid w:val="3506A3B2"/>
    <w:rsid w:val="35108392"/>
    <w:rsid w:val="35210F7F"/>
    <w:rsid w:val="356859F1"/>
    <w:rsid w:val="3568FCE5"/>
    <w:rsid w:val="3577DADB"/>
    <w:rsid w:val="357E04A8"/>
    <w:rsid w:val="35E087AB"/>
    <w:rsid w:val="3603C971"/>
    <w:rsid w:val="3642B0A7"/>
    <w:rsid w:val="37166C61"/>
    <w:rsid w:val="3753B277"/>
    <w:rsid w:val="3764CD3B"/>
    <w:rsid w:val="377ED756"/>
    <w:rsid w:val="37B98786"/>
    <w:rsid w:val="37D4AC79"/>
    <w:rsid w:val="37D7C371"/>
    <w:rsid w:val="37EF1945"/>
    <w:rsid w:val="3806D39E"/>
    <w:rsid w:val="38165D07"/>
    <w:rsid w:val="382B828C"/>
    <w:rsid w:val="3840625F"/>
    <w:rsid w:val="3902B5ED"/>
    <w:rsid w:val="393355CE"/>
    <w:rsid w:val="3949BC24"/>
    <w:rsid w:val="394BDCFF"/>
    <w:rsid w:val="396498AC"/>
    <w:rsid w:val="39753AEB"/>
    <w:rsid w:val="39B307A1"/>
    <w:rsid w:val="39B7AD5E"/>
    <w:rsid w:val="39FFF4B8"/>
    <w:rsid w:val="3A14C1C2"/>
    <w:rsid w:val="3A1D2806"/>
    <w:rsid w:val="3A1F4F22"/>
    <w:rsid w:val="3A2DFE04"/>
    <w:rsid w:val="3AE17B20"/>
    <w:rsid w:val="3B08FD73"/>
    <w:rsid w:val="3B7B6829"/>
    <w:rsid w:val="3BA22279"/>
    <w:rsid w:val="3C358678"/>
    <w:rsid w:val="3C49282E"/>
    <w:rsid w:val="3C5BCEE1"/>
    <w:rsid w:val="3C69EF7A"/>
    <w:rsid w:val="3C9CBDE9"/>
    <w:rsid w:val="3C9D3AF2"/>
    <w:rsid w:val="3D3D0D52"/>
    <w:rsid w:val="3DA357AF"/>
    <w:rsid w:val="3DABD4DB"/>
    <w:rsid w:val="3DB595F0"/>
    <w:rsid w:val="3E32A351"/>
    <w:rsid w:val="3E383F84"/>
    <w:rsid w:val="3E3BF49D"/>
    <w:rsid w:val="3E4CFDFC"/>
    <w:rsid w:val="3E555F82"/>
    <w:rsid w:val="3E58858A"/>
    <w:rsid w:val="3E9AEFEC"/>
    <w:rsid w:val="3E9F7C37"/>
    <w:rsid w:val="3EBB6E46"/>
    <w:rsid w:val="3ED18F24"/>
    <w:rsid w:val="3EEB59AA"/>
    <w:rsid w:val="3EFAB0C3"/>
    <w:rsid w:val="3F2E2F6C"/>
    <w:rsid w:val="3F46981E"/>
    <w:rsid w:val="3F4C7CEA"/>
    <w:rsid w:val="3F5C2B44"/>
    <w:rsid w:val="3F6E915B"/>
    <w:rsid w:val="3F8778A2"/>
    <w:rsid w:val="3F88CA41"/>
    <w:rsid w:val="3F9AF7F9"/>
    <w:rsid w:val="3F9C4328"/>
    <w:rsid w:val="3FF0EDC4"/>
    <w:rsid w:val="4021432A"/>
    <w:rsid w:val="4038EAA9"/>
    <w:rsid w:val="4057880D"/>
    <w:rsid w:val="405C9EFD"/>
    <w:rsid w:val="40766E62"/>
    <w:rsid w:val="4084A77C"/>
    <w:rsid w:val="4088C05C"/>
    <w:rsid w:val="4095B77F"/>
    <w:rsid w:val="411BB453"/>
    <w:rsid w:val="41538115"/>
    <w:rsid w:val="418DE663"/>
    <w:rsid w:val="41B1451A"/>
    <w:rsid w:val="41C995D0"/>
    <w:rsid w:val="41CAE089"/>
    <w:rsid w:val="41F03504"/>
    <w:rsid w:val="420CC54F"/>
    <w:rsid w:val="4239A933"/>
    <w:rsid w:val="42501878"/>
    <w:rsid w:val="4269559B"/>
    <w:rsid w:val="42852A47"/>
    <w:rsid w:val="42971BDA"/>
    <w:rsid w:val="42B784B4"/>
    <w:rsid w:val="42C3568D"/>
    <w:rsid w:val="42D2FF12"/>
    <w:rsid w:val="42E444B7"/>
    <w:rsid w:val="4359C28F"/>
    <w:rsid w:val="43CEEB07"/>
    <w:rsid w:val="43DF2AE7"/>
    <w:rsid w:val="4424E597"/>
    <w:rsid w:val="445EC2C7"/>
    <w:rsid w:val="445F9675"/>
    <w:rsid w:val="4495362F"/>
    <w:rsid w:val="44B8C95E"/>
    <w:rsid w:val="44C3717D"/>
    <w:rsid w:val="44CB03BE"/>
    <w:rsid w:val="44CD0F7F"/>
    <w:rsid w:val="44E87DD4"/>
    <w:rsid w:val="44ED442C"/>
    <w:rsid w:val="44EFEABD"/>
    <w:rsid w:val="4501CD7F"/>
    <w:rsid w:val="450AFEEB"/>
    <w:rsid w:val="45154FCE"/>
    <w:rsid w:val="451F9BFB"/>
    <w:rsid w:val="452F13ED"/>
    <w:rsid w:val="453B6CC3"/>
    <w:rsid w:val="45468034"/>
    <w:rsid w:val="455D466D"/>
    <w:rsid w:val="45AB9F9B"/>
    <w:rsid w:val="45DDBBC0"/>
    <w:rsid w:val="45E407A2"/>
    <w:rsid w:val="45EDA550"/>
    <w:rsid w:val="45F9D57E"/>
    <w:rsid w:val="4611CDDF"/>
    <w:rsid w:val="461D3B11"/>
    <w:rsid w:val="4620834B"/>
    <w:rsid w:val="46294FE4"/>
    <w:rsid w:val="462FB62A"/>
    <w:rsid w:val="463EBD95"/>
    <w:rsid w:val="46421A0D"/>
    <w:rsid w:val="464DB957"/>
    <w:rsid w:val="466AB844"/>
    <w:rsid w:val="46B417A7"/>
    <w:rsid w:val="4705A3E2"/>
    <w:rsid w:val="47258451"/>
    <w:rsid w:val="4777CAB4"/>
    <w:rsid w:val="4778FD27"/>
    <w:rsid w:val="47860113"/>
    <w:rsid w:val="47A4625C"/>
    <w:rsid w:val="47C40615"/>
    <w:rsid w:val="47C4179D"/>
    <w:rsid w:val="48102F50"/>
    <w:rsid w:val="4816CD7C"/>
    <w:rsid w:val="483D1A8E"/>
    <w:rsid w:val="4849A8A9"/>
    <w:rsid w:val="48624A97"/>
    <w:rsid w:val="486ADA84"/>
    <w:rsid w:val="488CD03C"/>
    <w:rsid w:val="48B29C0A"/>
    <w:rsid w:val="48F328C5"/>
    <w:rsid w:val="48FC5538"/>
    <w:rsid w:val="4910F8A3"/>
    <w:rsid w:val="491D415B"/>
    <w:rsid w:val="49262EAA"/>
    <w:rsid w:val="492D09E6"/>
    <w:rsid w:val="494B4E70"/>
    <w:rsid w:val="495A01E3"/>
    <w:rsid w:val="49855A19"/>
    <w:rsid w:val="499E7177"/>
    <w:rsid w:val="49B799D4"/>
    <w:rsid w:val="49C45781"/>
    <w:rsid w:val="4A135569"/>
    <w:rsid w:val="4A67634E"/>
    <w:rsid w:val="4A6FDDD1"/>
    <w:rsid w:val="4ABDFC29"/>
    <w:rsid w:val="4ABF5F55"/>
    <w:rsid w:val="4B1557AF"/>
    <w:rsid w:val="4B7A48F2"/>
    <w:rsid w:val="4B7D06A1"/>
    <w:rsid w:val="4BE51411"/>
    <w:rsid w:val="4BFC86F7"/>
    <w:rsid w:val="4C103467"/>
    <w:rsid w:val="4C1C149D"/>
    <w:rsid w:val="4C1EF897"/>
    <w:rsid w:val="4C41099E"/>
    <w:rsid w:val="4C462D16"/>
    <w:rsid w:val="4C50BC7B"/>
    <w:rsid w:val="4C5867FF"/>
    <w:rsid w:val="4C8A2ADE"/>
    <w:rsid w:val="4C9B3FA8"/>
    <w:rsid w:val="4CA2B534"/>
    <w:rsid w:val="4CBEB044"/>
    <w:rsid w:val="4CBFE417"/>
    <w:rsid w:val="4D1C5B0B"/>
    <w:rsid w:val="4D2D6F3C"/>
    <w:rsid w:val="4D31C626"/>
    <w:rsid w:val="4D3329A6"/>
    <w:rsid w:val="4D4B6600"/>
    <w:rsid w:val="4D4FD0B0"/>
    <w:rsid w:val="4D5AADDA"/>
    <w:rsid w:val="4D76004B"/>
    <w:rsid w:val="4D7D0688"/>
    <w:rsid w:val="4DE42B7E"/>
    <w:rsid w:val="4DF7BA94"/>
    <w:rsid w:val="4DFA9BEC"/>
    <w:rsid w:val="4E062E16"/>
    <w:rsid w:val="4E07F6EA"/>
    <w:rsid w:val="4E401FBB"/>
    <w:rsid w:val="4E6D1549"/>
    <w:rsid w:val="4EF9CCA7"/>
    <w:rsid w:val="4F10AD9E"/>
    <w:rsid w:val="4F5A91D4"/>
    <w:rsid w:val="4F5C93F7"/>
    <w:rsid w:val="4F6221B4"/>
    <w:rsid w:val="4FA6792F"/>
    <w:rsid w:val="4FB73FE1"/>
    <w:rsid w:val="4FE2874F"/>
    <w:rsid w:val="4FF3E102"/>
    <w:rsid w:val="501F07AA"/>
    <w:rsid w:val="5038C54C"/>
    <w:rsid w:val="5066F3A3"/>
    <w:rsid w:val="508F0203"/>
    <w:rsid w:val="5095664C"/>
    <w:rsid w:val="50981EAB"/>
    <w:rsid w:val="50CE40CB"/>
    <w:rsid w:val="50E3A96F"/>
    <w:rsid w:val="511E3005"/>
    <w:rsid w:val="512DD661"/>
    <w:rsid w:val="5163FAD3"/>
    <w:rsid w:val="516DB296"/>
    <w:rsid w:val="51729E14"/>
    <w:rsid w:val="51740C6F"/>
    <w:rsid w:val="519F6C6D"/>
    <w:rsid w:val="51D8FA3C"/>
    <w:rsid w:val="51F5A010"/>
    <w:rsid w:val="522123DA"/>
    <w:rsid w:val="524E9F67"/>
    <w:rsid w:val="526395EA"/>
    <w:rsid w:val="5266B118"/>
    <w:rsid w:val="528F8B53"/>
    <w:rsid w:val="52D0255D"/>
    <w:rsid w:val="5305CD80"/>
    <w:rsid w:val="530D90CF"/>
    <w:rsid w:val="5327A58F"/>
    <w:rsid w:val="536EBE1B"/>
    <w:rsid w:val="5393CD99"/>
    <w:rsid w:val="53A236A3"/>
    <w:rsid w:val="53E68489"/>
    <w:rsid w:val="53EF0F13"/>
    <w:rsid w:val="53F21303"/>
    <w:rsid w:val="53F509E8"/>
    <w:rsid w:val="54193237"/>
    <w:rsid w:val="5425EBD9"/>
    <w:rsid w:val="54280DAF"/>
    <w:rsid w:val="542FFB35"/>
    <w:rsid w:val="543DC463"/>
    <w:rsid w:val="547CD417"/>
    <w:rsid w:val="547E346D"/>
    <w:rsid w:val="54F3B6CE"/>
    <w:rsid w:val="552278A0"/>
    <w:rsid w:val="55516350"/>
    <w:rsid w:val="55AF1B43"/>
    <w:rsid w:val="55C9B762"/>
    <w:rsid w:val="56151E87"/>
    <w:rsid w:val="5618A478"/>
    <w:rsid w:val="56281811"/>
    <w:rsid w:val="56289C4C"/>
    <w:rsid w:val="563786CF"/>
    <w:rsid w:val="563EDFF7"/>
    <w:rsid w:val="5642CB8E"/>
    <w:rsid w:val="564CC021"/>
    <w:rsid w:val="56535681"/>
    <w:rsid w:val="566ABD89"/>
    <w:rsid w:val="56AC8D4A"/>
    <w:rsid w:val="56BBA4DF"/>
    <w:rsid w:val="56D7792A"/>
    <w:rsid w:val="56EB1FB2"/>
    <w:rsid w:val="570AAB9B"/>
    <w:rsid w:val="571E1252"/>
    <w:rsid w:val="572275EC"/>
    <w:rsid w:val="57355017"/>
    <w:rsid w:val="5737070D"/>
    <w:rsid w:val="5740E500"/>
    <w:rsid w:val="5758FF4D"/>
    <w:rsid w:val="57CAA782"/>
    <w:rsid w:val="57DFF6F4"/>
    <w:rsid w:val="57E44485"/>
    <w:rsid w:val="580BD84C"/>
    <w:rsid w:val="5824D327"/>
    <w:rsid w:val="58592775"/>
    <w:rsid w:val="5866CD70"/>
    <w:rsid w:val="58ACF4D3"/>
    <w:rsid w:val="58B784FD"/>
    <w:rsid w:val="58DE3DF7"/>
    <w:rsid w:val="58F0E6D2"/>
    <w:rsid w:val="59094C25"/>
    <w:rsid w:val="59430B3F"/>
    <w:rsid w:val="59433F79"/>
    <w:rsid w:val="59A6434B"/>
    <w:rsid w:val="59B6F92F"/>
    <w:rsid w:val="59BC285C"/>
    <w:rsid w:val="59C36411"/>
    <w:rsid w:val="59E41D90"/>
    <w:rsid w:val="59F52192"/>
    <w:rsid w:val="5A4E7519"/>
    <w:rsid w:val="5A4E9CBB"/>
    <w:rsid w:val="5A557A9C"/>
    <w:rsid w:val="5A6EA7CF"/>
    <w:rsid w:val="5A8D05C3"/>
    <w:rsid w:val="5A9805E1"/>
    <w:rsid w:val="5ACD7738"/>
    <w:rsid w:val="5B1388F2"/>
    <w:rsid w:val="5B307A65"/>
    <w:rsid w:val="5B323504"/>
    <w:rsid w:val="5B3402E6"/>
    <w:rsid w:val="5B36EB05"/>
    <w:rsid w:val="5B57390E"/>
    <w:rsid w:val="5B67D72A"/>
    <w:rsid w:val="5B6EE21F"/>
    <w:rsid w:val="5BAC59DF"/>
    <w:rsid w:val="5C339C97"/>
    <w:rsid w:val="5C6A05F0"/>
    <w:rsid w:val="5C982F4C"/>
    <w:rsid w:val="5CB2859E"/>
    <w:rsid w:val="5CEF125D"/>
    <w:rsid w:val="5D0E4933"/>
    <w:rsid w:val="5D0FFD8E"/>
    <w:rsid w:val="5D43B9BE"/>
    <w:rsid w:val="5D88B635"/>
    <w:rsid w:val="5E04A5C1"/>
    <w:rsid w:val="5E0FECED"/>
    <w:rsid w:val="5E44738E"/>
    <w:rsid w:val="5E76CB8D"/>
    <w:rsid w:val="5ED1A869"/>
    <w:rsid w:val="5ED9BCBC"/>
    <w:rsid w:val="5EEE123B"/>
    <w:rsid w:val="5EFB854D"/>
    <w:rsid w:val="5F253502"/>
    <w:rsid w:val="5F25B0E2"/>
    <w:rsid w:val="5F2DFEC1"/>
    <w:rsid w:val="5F35E871"/>
    <w:rsid w:val="5F3B6AC6"/>
    <w:rsid w:val="5F809D2B"/>
    <w:rsid w:val="5FA1A982"/>
    <w:rsid w:val="5FAD58F6"/>
    <w:rsid w:val="5FCEE4EE"/>
    <w:rsid w:val="6005B3C8"/>
    <w:rsid w:val="601296A9"/>
    <w:rsid w:val="601EC465"/>
    <w:rsid w:val="6040E9C7"/>
    <w:rsid w:val="604C8F6B"/>
    <w:rsid w:val="60536F90"/>
    <w:rsid w:val="60565955"/>
    <w:rsid w:val="60790482"/>
    <w:rsid w:val="60D72400"/>
    <w:rsid w:val="60FC0998"/>
    <w:rsid w:val="610466A3"/>
    <w:rsid w:val="6139DD90"/>
    <w:rsid w:val="61580AE1"/>
    <w:rsid w:val="616C2B74"/>
    <w:rsid w:val="618349B6"/>
    <w:rsid w:val="619F1F1E"/>
    <w:rsid w:val="61ED4C9A"/>
    <w:rsid w:val="620466FB"/>
    <w:rsid w:val="621D93A1"/>
    <w:rsid w:val="62866F77"/>
    <w:rsid w:val="62F76AB8"/>
    <w:rsid w:val="62FA12BE"/>
    <w:rsid w:val="631E3476"/>
    <w:rsid w:val="638617FF"/>
    <w:rsid w:val="63885E6E"/>
    <w:rsid w:val="6392A087"/>
    <w:rsid w:val="6422DC3D"/>
    <w:rsid w:val="642C7AFB"/>
    <w:rsid w:val="64981AA0"/>
    <w:rsid w:val="64A1E70F"/>
    <w:rsid w:val="64AA49C9"/>
    <w:rsid w:val="64D7037C"/>
    <w:rsid w:val="64DE23FC"/>
    <w:rsid w:val="64DF9291"/>
    <w:rsid w:val="64FA8E4C"/>
    <w:rsid w:val="65189EF5"/>
    <w:rsid w:val="6525C11E"/>
    <w:rsid w:val="6527FD68"/>
    <w:rsid w:val="65306D77"/>
    <w:rsid w:val="6567E1A2"/>
    <w:rsid w:val="657D68EA"/>
    <w:rsid w:val="659150A7"/>
    <w:rsid w:val="65A01F9F"/>
    <w:rsid w:val="65A442EC"/>
    <w:rsid w:val="65F4C8AA"/>
    <w:rsid w:val="6631FD9C"/>
    <w:rsid w:val="663F24AC"/>
    <w:rsid w:val="665632D5"/>
    <w:rsid w:val="66832A81"/>
    <w:rsid w:val="66875898"/>
    <w:rsid w:val="66A35012"/>
    <w:rsid w:val="66B348F9"/>
    <w:rsid w:val="66C29E7D"/>
    <w:rsid w:val="66CC9F9E"/>
    <w:rsid w:val="672A113E"/>
    <w:rsid w:val="672E7A9B"/>
    <w:rsid w:val="67542E5A"/>
    <w:rsid w:val="675F9173"/>
    <w:rsid w:val="67649764"/>
    <w:rsid w:val="6787D75B"/>
    <w:rsid w:val="67B34BFE"/>
    <w:rsid w:val="67D02234"/>
    <w:rsid w:val="67D17850"/>
    <w:rsid w:val="67E2740D"/>
    <w:rsid w:val="67EBEAF4"/>
    <w:rsid w:val="67F533BC"/>
    <w:rsid w:val="681A53AE"/>
    <w:rsid w:val="682568BA"/>
    <w:rsid w:val="6870F389"/>
    <w:rsid w:val="68CE63F8"/>
    <w:rsid w:val="68D4CA1E"/>
    <w:rsid w:val="68ED70E7"/>
    <w:rsid w:val="68EE1811"/>
    <w:rsid w:val="68FD9145"/>
    <w:rsid w:val="69306EDA"/>
    <w:rsid w:val="698C599C"/>
    <w:rsid w:val="69D4A16B"/>
    <w:rsid w:val="69E22598"/>
    <w:rsid w:val="69EC28B2"/>
    <w:rsid w:val="6A03D38C"/>
    <w:rsid w:val="6A2E5570"/>
    <w:rsid w:val="6A307944"/>
    <w:rsid w:val="6A41138F"/>
    <w:rsid w:val="6A474AF2"/>
    <w:rsid w:val="6A6287C1"/>
    <w:rsid w:val="6A931CAB"/>
    <w:rsid w:val="6A9936F9"/>
    <w:rsid w:val="6AD2A02D"/>
    <w:rsid w:val="6B6D497A"/>
    <w:rsid w:val="6B81BD8E"/>
    <w:rsid w:val="6BC9C1A6"/>
    <w:rsid w:val="6BCF1196"/>
    <w:rsid w:val="6BEA7AD4"/>
    <w:rsid w:val="6BEC212C"/>
    <w:rsid w:val="6BF1F863"/>
    <w:rsid w:val="6C1242F1"/>
    <w:rsid w:val="6C29F887"/>
    <w:rsid w:val="6C2F7146"/>
    <w:rsid w:val="6C377C5F"/>
    <w:rsid w:val="6C64A3CD"/>
    <w:rsid w:val="6C79D848"/>
    <w:rsid w:val="6CB15EAA"/>
    <w:rsid w:val="6D174F26"/>
    <w:rsid w:val="6D2FFADD"/>
    <w:rsid w:val="6D5F7BFF"/>
    <w:rsid w:val="6D61B473"/>
    <w:rsid w:val="6D658185"/>
    <w:rsid w:val="6D6BC91D"/>
    <w:rsid w:val="6D824196"/>
    <w:rsid w:val="6DD484C0"/>
    <w:rsid w:val="6DE1A63B"/>
    <w:rsid w:val="6DFFB6A1"/>
    <w:rsid w:val="6EB844C2"/>
    <w:rsid w:val="6ECFBB37"/>
    <w:rsid w:val="6ED16F21"/>
    <w:rsid w:val="6EEF63C6"/>
    <w:rsid w:val="6F4F3C58"/>
    <w:rsid w:val="6F8C1792"/>
    <w:rsid w:val="6FB95115"/>
    <w:rsid w:val="6FD13950"/>
    <w:rsid w:val="7053409B"/>
    <w:rsid w:val="70B16002"/>
    <w:rsid w:val="70B60428"/>
    <w:rsid w:val="70C015C4"/>
    <w:rsid w:val="70D97806"/>
    <w:rsid w:val="71025E2F"/>
    <w:rsid w:val="7131B02F"/>
    <w:rsid w:val="7176DA97"/>
    <w:rsid w:val="719930C6"/>
    <w:rsid w:val="71BEECD8"/>
    <w:rsid w:val="71D2D4BB"/>
    <w:rsid w:val="71E95A60"/>
    <w:rsid w:val="71F06AF6"/>
    <w:rsid w:val="71F3FC67"/>
    <w:rsid w:val="71F5EDC8"/>
    <w:rsid w:val="72492BBA"/>
    <w:rsid w:val="725CDAF0"/>
    <w:rsid w:val="72652B0F"/>
    <w:rsid w:val="726A41D8"/>
    <w:rsid w:val="72CA8A02"/>
    <w:rsid w:val="72E4057B"/>
    <w:rsid w:val="72E8A1B4"/>
    <w:rsid w:val="7330E63D"/>
    <w:rsid w:val="733A4CEE"/>
    <w:rsid w:val="734418B5"/>
    <w:rsid w:val="7354A17D"/>
    <w:rsid w:val="7360D50C"/>
    <w:rsid w:val="73EF13B5"/>
    <w:rsid w:val="741177CF"/>
    <w:rsid w:val="7429EE5A"/>
    <w:rsid w:val="7438657E"/>
    <w:rsid w:val="7452A869"/>
    <w:rsid w:val="748CC238"/>
    <w:rsid w:val="74AB3CFF"/>
    <w:rsid w:val="74B568EC"/>
    <w:rsid w:val="74C6A030"/>
    <w:rsid w:val="74D0D188"/>
    <w:rsid w:val="74E2C942"/>
    <w:rsid w:val="74E74D9A"/>
    <w:rsid w:val="7501F1C9"/>
    <w:rsid w:val="755B425E"/>
    <w:rsid w:val="75885A6F"/>
    <w:rsid w:val="75CE0496"/>
    <w:rsid w:val="75E2ADE5"/>
    <w:rsid w:val="7619F3E3"/>
    <w:rsid w:val="762B1F28"/>
    <w:rsid w:val="762F9D23"/>
    <w:rsid w:val="7630C770"/>
    <w:rsid w:val="7646126F"/>
    <w:rsid w:val="764EB25A"/>
    <w:rsid w:val="7666664B"/>
    <w:rsid w:val="76702EB9"/>
    <w:rsid w:val="767EE9DE"/>
    <w:rsid w:val="76920BC5"/>
    <w:rsid w:val="76AC6657"/>
    <w:rsid w:val="76B36AB9"/>
    <w:rsid w:val="76B8C2EC"/>
    <w:rsid w:val="76C1E51C"/>
    <w:rsid w:val="76C6A9D7"/>
    <w:rsid w:val="76D4ECDD"/>
    <w:rsid w:val="76DACD1C"/>
    <w:rsid w:val="77213616"/>
    <w:rsid w:val="773C54D6"/>
    <w:rsid w:val="773FDCD4"/>
    <w:rsid w:val="776BC2A4"/>
    <w:rsid w:val="778B8DC0"/>
    <w:rsid w:val="779DFB25"/>
    <w:rsid w:val="77A576CB"/>
    <w:rsid w:val="77E42C84"/>
    <w:rsid w:val="7833E17F"/>
    <w:rsid w:val="785B3591"/>
    <w:rsid w:val="786D8202"/>
    <w:rsid w:val="786DC4D7"/>
    <w:rsid w:val="787D4E0F"/>
    <w:rsid w:val="788FC5DA"/>
    <w:rsid w:val="78AED52A"/>
    <w:rsid w:val="78EA6A72"/>
    <w:rsid w:val="792EA949"/>
    <w:rsid w:val="7979FCBC"/>
    <w:rsid w:val="798C3A9F"/>
    <w:rsid w:val="7995F199"/>
    <w:rsid w:val="79AD5866"/>
    <w:rsid w:val="79B0A5AE"/>
    <w:rsid w:val="79F8A2FD"/>
    <w:rsid w:val="7A0755A3"/>
    <w:rsid w:val="7A0F2E83"/>
    <w:rsid w:val="7A0F6A70"/>
    <w:rsid w:val="7A312585"/>
    <w:rsid w:val="7A98059E"/>
    <w:rsid w:val="7ABAA9D7"/>
    <w:rsid w:val="7ABDBA71"/>
    <w:rsid w:val="7ABDD264"/>
    <w:rsid w:val="7AC576EE"/>
    <w:rsid w:val="7AC85F3A"/>
    <w:rsid w:val="7AFC2A22"/>
    <w:rsid w:val="7AFE434B"/>
    <w:rsid w:val="7B5691DC"/>
    <w:rsid w:val="7B9A4D80"/>
    <w:rsid w:val="7BA5632C"/>
    <w:rsid w:val="7BCEBFFE"/>
    <w:rsid w:val="7BFA8B2C"/>
    <w:rsid w:val="7C0F6389"/>
    <w:rsid w:val="7C12FC86"/>
    <w:rsid w:val="7C47B9DA"/>
    <w:rsid w:val="7C56BD3A"/>
    <w:rsid w:val="7C6850CD"/>
    <w:rsid w:val="7C716D7E"/>
    <w:rsid w:val="7CF864DD"/>
    <w:rsid w:val="7D22A6DD"/>
    <w:rsid w:val="7D37D7AA"/>
    <w:rsid w:val="7D444B64"/>
    <w:rsid w:val="7D5AB430"/>
    <w:rsid w:val="7D722F0A"/>
    <w:rsid w:val="7D83BF05"/>
    <w:rsid w:val="7DB2381D"/>
    <w:rsid w:val="7DB8C9A8"/>
    <w:rsid w:val="7DC51398"/>
    <w:rsid w:val="7DF9F6C7"/>
    <w:rsid w:val="7E26AC1E"/>
    <w:rsid w:val="7E4A1B77"/>
    <w:rsid w:val="7E9D193E"/>
    <w:rsid w:val="7EA5E5EA"/>
    <w:rsid w:val="7F025F43"/>
    <w:rsid w:val="7F8C0D2A"/>
    <w:rsid w:val="7FADBEE8"/>
    <w:rsid w:val="7FC06418"/>
    <w:rsid w:val="7FC949B6"/>
    <w:rsid w:val="7FFE9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BC32"/>
  <w15:chartTrackingRefBased/>
  <w15:docId w15:val="{1583DCE2-621B-40ED-BE00-F2A0FECE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A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583AAB"/>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83AAB"/>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583AA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583AAB"/>
    <w:pPr>
      <w:keepNext/>
      <w:spacing w:before="240" w:after="60"/>
      <w:outlineLvl w:val="3"/>
    </w:pPr>
    <w:rPr>
      <w:rFonts w:ascii="Arial" w:hAnsi="Arial"/>
      <w:bCs/>
      <w:szCs w:val="28"/>
    </w:rPr>
  </w:style>
  <w:style w:type="paragraph" w:styleId="Heading6">
    <w:name w:val="heading 6"/>
    <w:basedOn w:val="Normal"/>
    <w:next w:val="Normal"/>
    <w:link w:val="Heading6Char"/>
    <w:qFormat/>
    <w:rsid w:val="00583AAB"/>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EC"/>
    <w:pPr>
      <w:ind w:left="720"/>
      <w:contextualSpacing/>
    </w:pPr>
  </w:style>
  <w:style w:type="paragraph" w:styleId="BalloonText">
    <w:name w:val="Balloon Text"/>
    <w:basedOn w:val="Normal"/>
    <w:link w:val="BalloonTextChar"/>
    <w:rsid w:val="00583AAB"/>
    <w:rPr>
      <w:rFonts w:ascii="Tahoma" w:hAnsi="Tahoma" w:cs="Tahoma"/>
      <w:sz w:val="16"/>
      <w:szCs w:val="16"/>
    </w:rPr>
  </w:style>
  <w:style w:type="character" w:customStyle="1" w:styleId="BalloonTextChar">
    <w:name w:val="Balloon Text Char"/>
    <w:basedOn w:val="DefaultParagraphFont"/>
    <w:link w:val="BalloonText"/>
    <w:rsid w:val="00583AAB"/>
    <w:rPr>
      <w:rFonts w:ascii="Tahoma" w:eastAsia="Times New Roman" w:hAnsi="Tahoma" w:cs="Tahoma"/>
      <w:sz w:val="16"/>
      <w:szCs w:val="16"/>
    </w:rPr>
  </w:style>
  <w:style w:type="paragraph" w:styleId="Header">
    <w:name w:val="header"/>
    <w:basedOn w:val="Normal"/>
    <w:link w:val="HeaderChar"/>
    <w:rsid w:val="00583AAB"/>
    <w:pPr>
      <w:tabs>
        <w:tab w:val="center" w:pos="4320"/>
        <w:tab w:val="right" w:pos="8640"/>
      </w:tabs>
    </w:pPr>
  </w:style>
  <w:style w:type="character" w:customStyle="1" w:styleId="HeaderChar">
    <w:name w:val="Header Char"/>
    <w:basedOn w:val="DefaultParagraphFont"/>
    <w:link w:val="Header"/>
    <w:rsid w:val="00AE3AA5"/>
    <w:rPr>
      <w:rFonts w:ascii="Times New Roman" w:eastAsia="Times New Roman" w:hAnsi="Times New Roman" w:cs="Times New Roman"/>
      <w:sz w:val="24"/>
      <w:szCs w:val="24"/>
    </w:rPr>
  </w:style>
  <w:style w:type="paragraph" w:styleId="Footer">
    <w:name w:val="footer"/>
    <w:basedOn w:val="Normal"/>
    <w:link w:val="FooterChar"/>
    <w:autoRedefine/>
    <w:uiPriority w:val="99"/>
    <w:rsid w:val="00583AAB"/>
    <w:pPr>
      <w:tabs>
        <w:tab w:val="right" w:pos="9360"/>
      </w:tabs>
    </w:pPr>
    <w:rPr>
      <w:i/>
      <w:sz w:val="20"/>
    </w:rPr>
  </w:style>
  <w:style w:type="character" w:customStyle="1" w:styleId="FooterChar">
    <w:name w:val="Footer Char"/>
    <w:link w:val="Footer"/>
    <w:uiPriority w:val="99"/>
    <w:rsid w:val="00583AAB"/>
    <w:rPr>
      <w:rFonts w:ascii="Times New Roman" w:eastAsia="Times New Roman" w:hAnsi="Times New Roman" w:cs="Times New Roman"/>
      <w:i/>
      <w:sz w:val="20"/>
      <w:szCs w:val="24"/>
    </w:rPr>
  </w:style>
  <w:style w:type="paragraph" w:styleId="FootnoteText">
    <w:name w:val="footnote text"/>
    <w:basedOn w:val="Normal"/>
    <w:link w:val="FootnoteTextChar"/>
    <w:uiPriority w:val="99"/>
    <w:unhideWhenUsed/>
    <w:rsid w:val="00AE21D5"/>
  </w:style>
  <w:style w:type="character" w:customStyle="1" w:styleId="FootnoteTextChar">
    <w:name w:val="Footnote Text Char"/>
    <w:basedOn w:val="DefaultParagraphFont"/>
    <w:link w:val="FootnoteText"/>
    <w:uiPriority w:val="99"/>
    <w:rsid w:val="00AE21D5"/>
    <w:rPr>
      <w:sz w:val="20"/>
      <w:szCs w:val="20"/>
    </w:rPr>
  </w:style>
  <w:style w:type="character" w:styleId="FootnoteReference">
    <w:name w:val="footnote reference"/>
    <w:basedOn w:val="DefaultParagraphFont"/>
    <w:uiPriority w:val="99"/>
    <w:semiHidden/>
    <w:unhideWhenUsed/>
    <w:rsid w:val="00AE21D5"/>
    <w:rPr>
      <w:vertAlign w:val="superscript"/>
    </w:rPr>
  </w:style>
  <w:style w:type="paragraph" w:styleId="NormalWeb">
    <w:name w:val="Normal (Web)"/>
    <w:basedOn w:val="Normal"/>
    <w:uiPriority w:val="99"/>
    <w:unhideWhenUsed/>
    <w:rsid w:val="00A8004C"/>
    <w:pPr>
      <w:spacing w:before="100" w:beforeAutospacing="1" w:after="100" w:afterAutospacing="1"/>
    </w:pPr>
  </w:style>
  <w:style w:type="paragraph" w:customStyle="1" w:styleId="paragraph">
    <w:name w:val="paragraph"/>
    <w:basedOn w:val="Normal"/>
    <w:rsid w:val="002A4F65"/>
    <w:pPr>
      <w:spacing w:before="100" w:beforeAutospacing="1" w:after="100" w:afterAutospacing="1"/>
    </w:pPr>
  </w:style>
  <w:style w:type="character" w:customStyle="1" w:styleId="normaltextrun">
    <w:name w:val="normaltextrun"/>
    <w:basedOn w:val="DefaultParagraphFont"/>
    <w:rsid w:val="002A4F65"/>
  </w:style>
  <w:style w:type="character" w:customStyle="1" w:styleId="eop">
    <w:name w:val="eop"/>
    <w:basedOn w:val="DefaultParagraphFont"/>
    <w:rsid w:val="002A4F65"/>
  </w:style>
  <w:style w:type="character" w:customStyle="1" w:styleId="scxw180240346">
    <w:name w:val="scxw180240346"/>
    <w:basedOn w:val="DefaultParagraphFont"/>
    <w:rsid w:val="003D3C8A"/>
  </w:style>
  <w:style w:type="character" w:customStyle="1" w:styleId="mathspan">
    <w:name w:val="mathspan"/>
    <w:basedOn w:val="DefaultParagraphFont"/>
    <w:rsid w:val="001F43B4"/>
  </w:style>
  <w:style w:type="character" w:customStyle="1" w:styleId="scxw265192646">
    <w:name w:val="scxw265192646"/>
    <w:basedOn w:val="DefaultParagraphFont"/>
    <w:rsid w:val="00B62261"/>
  </w:style>
  <w:style w:type="character" w:styleId="CommentReference">
    <w:name w:val="annotation reference"/>
    <w:basedOn w:val="DefaultParagraphFont"/>
    <w:uiPriority w:val="99"/>
    <w:semiHidden/>
    <w:unhideWhenUsed/>
    <w:rsid w:val="002C5EAF"/>
    <w:rPr>
      <w:sz w:val="16"/>
      <w:szCs w:val="16"/>
    </w:rPr>
  </w:style>
  <w:style w:type="paragraph" w:styleId="CommentText">
    <w:name w:val="annotation text"/>
    <w:basedOn w:val="Normal"/>
    <w:link w:val="CommentTextChar"/>
    <w:uiPriority w:val="99"/>
    <w:unhideWhenUsed/>
    <w:rsid w:val="002C5EAF"/>
  </w:style>
  <w:style w:type="character" w:customStyle="1" w:styleId="CommentTextChar">
    <w:name w:val="Comment Text Char"/>
    <w:basedOn w:val="DefaultParagraphFont"/>
    <w:link w:val="CommentText"/>
    <w:uiPriority w:val="99"/>
    <w:rsid w:val="002C5EAF"/>
    <w:rPr>
      <w:sz w:val="20"/>
      <w:szCs w:val="20"/>
    </w:rPr>
  </w:style>
  <w:style w:type="paragraph" w:styleId="CommentSubject">
    <w:name w:val="annotation subject"/>
    <w:basedOn w:val="CommentText"/>
    <w:next w:val="CommentText"/>
    <w:link w:val="CommentSubjectChar"/>
    <w:uiPriority w:val="99"/>
    <w:semiHidden/>
    <w:unhideWhenUsed/>
    <w:rsid w:val="002C5EAF"/>
    <w:rPr>
      <w:b/>
      <w:bCs/>
    </w:rPr>
  </w:style>
  <w:style w:type="character" w:customStyle="1" w:styleId="CommentSubjectChar">
    <w:name w:val="Comment Subject Char"/>
    <w:basedOn w:val="CommentTextChar"/>
    <w:link w:val="CommentSubject"/>
    <w:uiPriority w:val="99"/>
    <w:semiHidden/>
    <w:rsid w:val="002C5EAF"/>
    <w:rPr>
      <w:b/>
      <w:bCs/>
      <w:sz w:val="20"/>
      <w:szCs w:val="20"/>
    </w:rPr>
  </w:style>
  <w:style w:type="character" w:styleId="PlaceholderText">
    <w:name w:val="Placeholder Text"/>
    <w:uiPriority w:val="99"/>
    <w:semiHidden/>
    <w:rsid w:val="00583AAB"/>
    <w:rPr>
      <w:color w:val="808080"/>
    </w:rPr>
  </w:style>
  <w:style w:type="table" w:styleId="TableGrid">
    <w:name w:val="Table Grid"/>
    <w:basedOn w:val="TableNormal"/>
    <w:rsid w:val="00583AA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mlxzkdsq1">
    <w:name w:val="markmlxzkdsq1"/>
    <w:basedOn w:val="DefaultParagraphFont"/>
    <w:rsid w:val="003A1A3F"/>
  </w:style>
  <w:style w:type="character" w:customStyle="1" w:styleId="marksreh78vr7">
    <w:name w:val="marksreh78vr7"/>
    <w:basedOn w:val="DefaultParagraphFont"/>
    <w:rsid w:val="003A1A3F"/>
  </w:style>
  <w:style w:type="character" w:customStyle="1" w:styleId="Heading1Char">
    <w:name w:val="Heading 1 Char"/>
    <w:basedOn w:val="DefaultParagraphFont"/>
    <w:link w:val="Heading1"/>
    <w:rsid w:val="00E8160E"/>
    <w:rPr>
      <w:rFonts w:ascii="Arial" w:eastAsia="Times New Roman" w:hAnsi="Arial" w:cs="Arial"/>
      <w:b/>
      <w:bCs/>
      <w:kern w:val="32"/>
      <w:sz w:val="32"/>
      <w:szCs w:val="32"/>
    </w:rPr>
  </w:style>
  <w:style w:type="paragraph" w:customStyle="1" w:styleId="ESEReportName">
    <w:name w:val="ESE Report Name"/>
    <w:basedOn w:val="Normal"/>
    <w:next w:val="Normal"/>
    <w:qFormat/>
    <w:rsid w:val="00583AAB"/>
    <w:pPr>
      <w:spacing w:line="400" w:lineRule="exact"/>
    </w:pPr>
    <w:rPr>
      <w:rFonts w:ascii="Arial" w:hAnsi="Arial"/>
      <w:b/>
      <w:color w:val="000000"/>
      <w:sz w:val="36"/>
    </w:rPr>
  </w:style>
  <w:style w:type="paragraph" w:customStyle="1" w:styleId="AgencyTitle">
    <w:name w:val="Agency Title"/>
    <w:basedOn w:val="Normal"/>
    <w:semiHidden/>
    <w:rsid w:val="00583AAB"/>
    <w:rPr>
      <w:rFonts w:ascii="Arial" w:hAnsi="Arial"/>
      <w:b/>
      <w:sz w:val="18"/>
    </w:rPr>
  </w:style>
  <w:style w:type="paragraph" w:customStyle="1" w:styleId="arial9">
    <w:name w:val="arial9"/>
    <w:basedOn w:val="Normal"/>
    <w:semiHidden/>
    <w:rsid w:val="00583AAB"/>
    <w:pPr>
      <w:ind w:right="-108"/>
    </w:pPr>
    <w:rPr>
      <w:rFonts w:ascii="Arial" w:hAnsi="Arial"/>
      <w:sz w:val="18"/>
    </w:rPr>
  </w:style>
  <w:style w:type="paragraph" w:customStyle="1" w:styleId="BoardMembers">
    <w:name w:val="BoardMembers"/>
    <w:basedOn w:val="Normal"/>
    <w:semiHidden/>
    <w:rsid w:val="00583AAB"/>
    <w:pPr>
      <w:jc w:val="center"/>
    </w:pPr>
    <w:rPr>
      <w:rFonts w:ascii="Arial" w:hAnsi="Arial"/>
      <w:sz w:val="18"/>
      <w:szCs w:val="20"/>
    </w:rPr>
  </w:style>
  <w:style w:type="paragraph" w:customStyle="1" w:styleId="Permission">
    <w:name w:val="Permission"/>
    <w:basedOn w:val="Normal"/>
    <w:semiHidden/>
    <w:rsid w:val="00583AAB"/>
    <w:pPr>
      <w:jc w:val="center"/>
    </w:pPr>
    <w:rPr>
      <w:rFonts w:ascii="Arial" w:hAnsi="Arial"/>
      <w:i/>
      <w:iCs/>
      <w:sz w:val="18"/>
      <w:szCs w:val="20"/>
    </w:rPr>
  </w:style>
  <w:style w:type="paragraph" w:customStyle="1" w:styleId="ESETOCHeading">
    <w:name w:val="ESE TOC Heading"/>
    <w:basedOn w:val="TOCHeading"/>
    <w:semiHidden/>
    <w:qFormat/>
    <w:rsid w:val="00583AAB"/>
    <w:pPr>
      <w:pBdr>
        <w:bottom w:val="single" w:sz="6" w:space="1" w:color="auto"/>
      </w:pBdr>
    </w:pPr>
    <w:rPr>
      <w:color w:val="auto"/>
    </w:rPr>
  </w:style>
  <w:style w:type="paragraph" w:styleId="TOCHeading">
    <w:name w:val="TOC Heading"/>
    <w:basedOn w:val="Heading1"/>
    <w:next w:val="Normal"/>
    <w:uiPriority w:val="39"/>
    <w:qFormat/>
    <w:rsid w:val="00583AAB"/>
    <w:pPr>
      <w:keepLines/>
      <w:spacing w:before="480" w:after="0" w:line="276" w:lineRule="auto"/>
      <w:outlineLvl w:val="9"/>
    </w:pPr>
    <w:rPr>
      <w:rFonts w:ascii="Cambria" w:hAnsi="Cambria" w:cs="Times New Roman"/>
      <w:color w:val="365F91"/>
      <w:kern w:val="0"/>
      <w:sz w:val="28"/>
      <w:szCs w:val="28"/>
    </w:rPr>
  </w:style>
  <w:style w:type="character" w:customStyle="1" w:styleId="Heading2Char">
    <w:name w:val="Heading 2 Char"/>
    <w:basedOn w:val="DefaultParagraphFont"/>
    <w:link w:val="Heading2"/>
    <w:rsid w:val="00E8160E"/>
    <w:rPr>
      <w:rFonts w:ascii="Arial" w:eastAsia="Times New Roman" w:hAnsi="Arial" w:cs="Arial"/>
      <w:b/>
      <w:bCs/>
      <w:i/>
      <w:iCs/>
      <w:sz w:val="28"/>
      <w:szCs w:val="28"/>
    </w:rPr>
  </w:style>
  <w:style w:type="character" w:customStyle="1" w:styleId="Heading3Char">
    <w:name w:val="Heading 3 Char"/>
    <w:basedOn w:val="DefaultParagraphFont"/>
    <w:link w:val="Heading3"/>
    <w:rsid w:val="00E8160E"/>
    <w:rPr>
      <w:rFonts w:ascii="Arial" w:eastAsia="Times New Roman" w:hAnsi="Arial" w:cs="Arial"/>
      <w:b/>
      <w:bCs/>
      <w:sz w:val="24"/>
      <w:szCs w:val="26"/>
    </w:rPr>
  </w:style>
  <w:style w:type="character" w:customStyle="1" w:styleId="Heading4Char">
    <w:name w:val="Heading 4 Char"/>
    <w:basedOn w:val="DefaultParagraphFont"/>
    <w:link w:val="Heading4"/>
    <w:rsid w:val="00E8160E"/>
    <w:rPr>
      <w:rFonts w:ascii="Arial" w:eastAsia="Times New Roman" w:hAnsi="Arial" w:cs="Times New Roman"/>
      <w:bCs/>
      <w:sz w:val="24"/>
      <w:szCs w:val="28"/>
    </w:rPr>
  </w:style>
  <w:style w:type="character" w:customStyle="1" w:styleId="Heading6Char">
    <w:name w:val="Heading 6 Char"/>
    <w:basedOn w:val="DefaultParagraphFont"/>
    <w:link w:val="Heading6"/>
    <w:rsid w:val="00E8160E"/>
    <w:rPr>
      <w:rFonts w:ascii="Times New Roman" w:eastAsia="Times New Roman" w:hAnsi="Times New Roman" w:cs="Times New Roman"/>
      <w:snapToGrid w:val="0"/>
      <w:sz w:val="24"/>
      <w:szCs w:val="20"/>
    </w:rPr>
  </w:style>
  <w:style w:type="paragraph" w:customStyle="1" w:styleId="ESESourceLine">
    <w:name w:val="ESE Source Line"/>
    <w:basedOn w:val="Normal"/>
    <w:next w:val="Normal"/>
    <w:rsid w:val="00583AAB"/>
    <w:rPr>
      <w:i/>
      <w:sz w:val="20"/>
    </w:rPr>
  </w:style>
  <w:style w:type="paragraph" w:customStyle="1" w:styleId="ESEBullet-Lev1">
    <w:name w:val="ESE Bullet - Lev1"/>
    <w:basedOn w:val="Normal"/>
    <w:qFormat/>
    <w:rsid w:val="00583AAB"/>
    <w:pPr>
      <w:numPr>
        <w:numId w:val="13"/>
      </w:numPr>
      <w:spacing w:before="60" w:after="120"/>
    </w:pPr>
  </w:style>
  <w:style w:type="paragraph" w:customStyle="1" w:styleId="ESETableChartFigHeaders">
    <w:name w:val="ESE Table/Chart/Fig Headers"/>
    <w:basedOn w:val="Normal"/>
    <w:next w:val="Normal"/>
    <w:rsid w:val="00583AAB"/>
    <w:pPr>
      <w:spacing w:after="120"/>
    </w:pPr>
    <w:rPr>
      <w:rFonts w:ascii="Arial" w:hAnsi="Arial"/>
      <w:b/>
      <w:sz w:val="22"/>
    </w:rPr>
  </w:style>
  <w:style w:type="table" w:customStyle="1" w:styleId="ESETablesOpenStyle">
    <w:name w:val="ESE Tables Open Style"/>
    <w:basedOn w:val="TableNormal"/>
    <w:rsid w:val="00583AAB"/>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583AAB"/>
    <w:pPr>
      <w:ind w:left="720"/>
    </w:pPr>
    <w:rPr>
      <w:i/>
    </w:rPr>
  </w:style>
  <w:style w:type="paragraph" w:customStyle="1" w:styleId="ESEBullet-Lev2">
    <w:name w:val="ESE Bullet - Lev2"/>
    <w:basedOn w:val="ESEBullet-Lev1"/>
    <w:qFormat/>
    <w:rsid w:val="00583AAB"/>
    <w:pPr>
      <w:numPr>
        <w:numId w:val="56"/>
      </w:numPr>
      <w:tabs>
        <w:tab w:val="clear" w:pos="0"/>
        <w:tab w:val="left" w:pos="1080"/>
      </w:tabs>
    </w:pPr>
  </w:style>
  <w:style w:type="paragraph" w:customStyle="1" w:styleId="ESEBullet-Lev3">
    <w:name w:val="ESE Bullet - Lev3"/>
    <w:basedOn w:val="ESEBullet-Lev2"/>
    <w:qFormat/>
    <w:rsid w:val="00583AAB"/>
    <w:pPr>
      <w:numPr>
        <w:numId w:val="22"/>
      </w:numPr>
      <w:tabs>
        <w:tab w:val="clear" w:pos="0"/>
        <w:tab w:val="clear" w:pos="1080"/>
        <w:tab w:val="left" w:pos="1440"/>
      </w:tabs>
    </w:pPr>
  </w:style>
  <w:style w:type="paragraph" w:customStyle="1" w:styleId="ESENumberswspacing">
    <w:name w:val="ESE Numbers w/ spacing"/>
    <w:basedOn w:val="Normal"/>
    <w:qFormat/>
    <w:rsid w:val="00583AAB"/>
    <w:pPr>
      <w:numPr>
        <w:numId w:val="37"/>
      </w:numPr>
      <w:spacing w:before="60" w:after="120"/>
    </w:pPr>
  </w:style>
  <w:style w:type="paragraph" w:styleId="TOC1">
    <w:name w:val="toc 1"/>
    <w:basedOn w:val="Normal"/>
    <w:next w:val="Normal"/>
    <w:uiPriority w:val="39"/>
    <w:rsid w:val="00583AAB"/>
    <w:pPr>
      <w:tabs>
        <w:tab w:val="right" w:leader="dot" w:pos="9360"/>
      </w:tabs>
      <w:spacing w:before="240" w:after="120"/>
    </w:pPr>
    <w:rPr>
      <w:rFonts w:ascii="Arial" w:hAnsi="Arial"/>
      <w:b/>
    </w:rPr>
  </w:style>
  <w:style w:type="character" w:styleId="Hyperlink">
    <w:name w:val="Hyperlink"/>
    <w:uiPriority w:val="99"/>
    <w:rsid w:val="00583AAB"/>
    <w:rPr>
      <w:color w:val="0000FF"/>
      <w:u w:val="single"/>
    </w:rPr>
  </w:style>
  <w:style w:type="paragraph" w:styleId="TOC2">
    <w:name w:val="toc 2"/>
    <w:basedOn w:val="Normal"/>
    <w:next w:val="Normal"/>
    <w:semiHidden/>
    <w:rsid w:val="00583AAB"/>
    <w:pPr>
      <w:spacing w:before="120"/>
      <w:ind w:left="245"/>
    </w:pPr>
    <w:rPr>
      <w:rFonts w:ascii="Arial" w:hAnsi="Arial"/>
    </w:rPr>
  </w:style>
  <w:style w:type="paragraph" w:styleId="TOC3">
    <w:name w:val="toc 3"/>
    <w:basedOn w:val="Normal"/>
    <w:next w:val="Normal"/>
    <w:autoRedefine/>
    <w:uiPriority w:val="39"/>
    <w:rsid w:val="00583AAB"/>
    <w:pPr>
      <w:ind w:left="480"/>
    </w:pPr>
    <w:rPr>
      <w:rFonts w:ascii="Arial" w:hAnsi="Arial"/>
      <w:sz w:val="22"/>
    </w:rPr>
  </w:style>
  <w:style w:type="paragraph" w:styleId="TOC4">
    <w:name w:val="toc 4"/>
    <w:basedOn w:val="Normal"/>
    <w:next w:val="Normal"/>
    <w:autoRedefine/>
    <w:semiHidden/>
    <w:rsid w:val="00583AAB"/>
    <w:pPr>
      <w:ind w:left="720"/>
    </w:pPr>
  </w:style>
  <w:style w:type="paragraph" w:styleId="TOC5">
    <w:name w:val="toc 5"/>
    <w:basedOn w:val="Normal"/>
    <w:next w:val="Normal"/>
    <w:autoRedefine/>
    <w:semiHidden/>
    <w:rsid w:val="00583AAB"/>
    <w:pPr>
      <w:ind w:left="960"/>
    </w:pPr>
  </w:style>
  <w:style w:type="table" w:customStyle="1" w:styleId="ESETablesGridStyle">
    <w:name w:val="ESE Tables Grid Style"/>
    <w:basedOn w:val="TableNormal"/>
    <w:rsid w:val="00583AAB"/>
    <w:pPr>
      <w:spacing w:after="0" w:line="240" w:lineRule="auto"/>
      <w:jc w:val="center"/>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w:hAnsi="Bahnschrift Light"/>
        <w:sz w:val="22"/>
      </w:rPr>
    </w:tblStylePr>
  </w:style>
  <w:style w:type="paragraph" w:customStyle="1" w:styleId="Extraspacingafter">
    <w:name w:val="Extra spacing after"/>
    <w:basedOn w:val="Normal"/>
    <w:semiHidden/>
    <w:rsid w:val="00583AAB"/>
    <w:pPr>
      <w:spacing w:after="120"/>
    </w:pPr>
  </w:style>
  <w:style w:type="numbering" w:customStyle="1" w:styleId="ESEList-Numbers">
    <w:name w:val="ESE List - Numbers"/>
    <w:basedOn w:val="NoList"/>
    <w:rsid w:val="00583AAB"/>
    <w:pPr>
      <w:numPr>
        <w:numId w:val="47"/>
      </w:numPr>
    </w:pPr>
  </w:style>
  <w:style w:type="numbering" w:customStyle="1" w:styleId="ESEList-Bullets">
    <w:name w:val="ESE List - Bullets"/>
    <w:basedOn w:val="NoList"/>
    <w:rsid w:val="00583AAB"/>
    <w:pPr>
      <w:numPr>
        <w:numId w:val="54"/>
      </w:numPr>
    </w:pPr>
  </w:style>
  <w:style w:type="paragraph" w:customStyle="1" w:styleId="Default">
    <w:name w:val="Default"/>
    <w:basedOn w:val="Normal"/>
    <w:rsid w:val="00583AAB"/>
    <w:pPr>
      <w:autoSpaceDE w:val="0"/>
      <w:autoSpaceDN w:val="0"/>
    </w:pPr>
    <w:rPr>
      <w:rFonts w:eastAsiaTheme="minorHAnsi"/>
      <w:color w:val="000000"/>
    </w:rPr>
  </w:style>
  <w:style w:type="paragraph" w:styleId="Revision">
    <w:name w:val="Revision"/>
    <w:hidden/>
    <w:uiPriority w:val="99"/>
    <w:semiHidden/>
    <w:rsid w:val="00511942"/>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81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253A9"/>
    <w:rPr>
      <w:color w:val="954F72"/>
      <w:u w:val="single"/>
    </w:rPr>
  </w:style>
  <w:style w:type="paragraph" w:customStyle="1" w:styleId="msonormal0">
    <w:name w:val="msonormal"/>
    <w:basedOn w:val="Normal"/>
    <w:rsid w:val="006253A9"/>
    <w:pPr>
      <w:spacing w:before="100" w:beforeAutospacing="1" w:after="100" w:afterAutospacing="1"/>
    </w:pPr>
  </w:style>
  <w:style w:type="paragraph" w:customStyle="1" w:styleId="xl72">
    <w:name w:val="xl72"/>
    <w:basedOn w:val="Normal"/>
    <w:rsid w:val="006253A9"/>
    <w:pPr>
      <w:spacing w:before="100" w:beforeAutospacing="1" w:after="100" w:afterAutospacing="1"/>
      <w:jc w:val="center"/>
    </w:pPr>
  </w:style>
  <w:style w:type="character" w:styleId="UnresolvedMention">
    <w:name w:val="Unresolved Mention"/>
    <w:basedOn w:val="DefaultParagraphFont"/>
    <w:uiPriority w:val="99"/>
    <w:semiHidden/>
    <w:unhideWhenUsed/>
    <w:rsid w:val="0043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0285">
      <w:bodyDiv w:val="1"/>
      <w:marLeft w:val="0"/>
      <w:marRight w:val="0"/>
      <w:marTop w:val="0"/>
      <w:marBottom w:val="0"/>
      <w:divBdr>
        <w:top w:val="none" w:sz="0" w:space="0" w:color="auto"/>
        <w:left w:val="none" w:sz="0" w:space="0" w:color="auto"/>
        <w:bottom w:val="none" w:sz="0" w:space="0" w:color="auto"/>
        <w:right w:val="none" w:sz="0" w:space="0" w:color="auto"/>
      </w:divBdr>
    </w:div>
    <w:div w:id="75131495">
      <w:bodyDiv w:val="1"/>
      <w:marLeft w:val="0"/>
      <w:marRight w:val="0"/>
      <w:marTop w:val="0"/>
      <w:marBottom w:val="0"/>
      <w:divBdr>
        <w:top w:val="none" w:sz="0" w:space="0" w:color="auto"/>
        <w:left w:val="none" w:sz="0" w:space="0" w:color="auto"/>
        <w:bottom w:val="none" w:sz="0" w:space="0" w:color="auto"/>
        <w:right w:val="none" w:sz="0" w:space="0" w:color="auto"/>
      </w:divBdr>
    </w:div>
    <w:div w:id="135880701">
      <w:bodyDiv w:val="1"/>
      <w:marLeft w:val="0"/>
      <w:marRight w:val="0"/>
      <w:marTop w:val="0"/>
      <w:marBottom w:val="0"/>
      <w:divBdr>
        <w:top w:val="none" w:sz="0" w:space="0" w:color="auto"/>
        <w:left w:val="none" w:sz="0" w:space="0" w:color="auto"/>
        <w:bottom w:val="none" w:sz="0" w:space="0" w:color="auto"/>
        <w:right w:val="none" w:sz="0" w:space="0" w:color="auto"/>
      </w:divBdr>
      <w:divsChild>
        <w:div w:id="907231290">
          <w:marLeft w:val="0"/>
          <w:marRight w:val="0"/>
          <w:marTop w:val="0"/>
          <w:marBottom w:val="0"/>
          <w:divBdr>
            <w:top w:val="none" w:sz="0" w:space="0" w:color="auto"/>
            <w:left w:val="none" w:sz="0" w:space="0" w:color="auto"/>
            <w:bottom w:val="none" w:sz="0" w:space="0" w:color="auto"/>
            <w:right w:val="none" w:sz="0" w:space="0" w:color="auto"/>
          </w:divBdr>
        </w:div>
      </w:divsChild>
    </w:div>
    <w:div w:id="170531976">
      <w:bodyDiv w:val="1"/>
      <w:marLeft w:val="0"/>
      <w:marRight w:val="0"/>
      <w:marTop w:val="0"/>
      <w:marBottom w:val="0"/>
      <w:divBdr>
        <w:top w:val="none" w:sz="0" w:space="0" w:color="auto"/>
        <w:left w:val="none" w:sz="0" w:space="0" w:color="auto"/>
        <w:bottom w:val="none" w:sz="0" w:space="0" w:color="auto"/>
        <w:right w:val="none" w:sz="0" w:space="0" w:color="auto"/>
      </w:divBdr>
    </w:div>
    <w:div w:id="345644027">
      <w:bodyDiv w:val="1"/>
      <w:marLeft w:val="0"/>
      <w:marRight w:val="0"/>
      <w:marTop w:val="0"/>
      <w:marBottom w:val="0"/>
      <w:divBdr>
        <w:top w:val="none" w:sz="0" w:space="0" w:color="auto"/>
        <w:left w:val="none" w:sz="0" w:space="0" w:color="auto"/>
        <w:bottom w:val="none" w:sz="0" w:space="0" w:color="auto"/>
        <w:right w:val="none" w:sz="0" w:space="0" w:color="auto"/>
      </w:divBdr>
      <w:divsChild>
        <w:div w:id="150146993">
          <w:marLeft w:val="0"/>
          <w:marRight w:val="0"/>
          <w:marTop w:val="0"/>
          <w:marBottom w:val="0"/>
          <w:divBdr>
            <w:top w:val="none" w:sz="0" w:space="0" w:color="auto"/>
            <w:left w:val="none" w:sz="0" w:space="0" w:color="auto"/>
            <w:bottom w:val="none" w:sz="0" w:space="0" w:color="auto"/>
            <w:right w:val="none" w:sz="0" w:space="0" w:color="auto"/>
          </w:divBdr>
        </w:div>
        <w:div w:id="200561251">
          <w:marLeft w:val="0"/>
          <w:marRight w:val="0"/>
          <w:marTop w:val="0"/>
          <w:marBottom w:val="0"/>
          <w:divBdr>
            <w:top w:val="none" w:sz="0" w:space="0" w:color="auto"/>
            <w:left w:val="none" w:sz="0" w:space="0" w:color="auto"/>
            <w:bottom w:val="none" w:sz="0" w:space="0" w:color="auto"/>
            <w:right w:val="none" w:sz="0" w:space="0" w:color="auto"/>
          </w:divBdr>
        </w:div>
        <w:div w:id="472528337">
          <w:marLeft w:val="0"/>
          <w:marRight w:val="0"/>
          <w:marTop w:val="0"/>
          <w:marBottom w:val="0"/>
          <w:divBdr>
            <w:top w:val="none" w:sz="0" w:space="0" w:color="auto"/>
            <w:left w:val="none" w:sz="0" w:space="0" w:color="auto"/>
            <w:bottom w:val="none" w:sz="0" w:space="0" w:color="auto"/>
            <w:right w:val="none" w:sz="0" w:space="0" w:color="auto"/>
          </w:divBdr>
        </w:div>
        <w:div w:id="705642889">
          <w:marLeft w:val="0"/>
          <w:marRight w:val="0"/>
          <w:marTop w:val="0"/>
          <w:marBottom w:val="0"/>
          <w:divBdr>
            <w:top w:val="none" w:sz="0" w:space="0" w:color="auto"/>
            <w:left w:val="none" w:sz="0" w:space="0" w:color="auto"/>
            <w:bottom w:val="none" w:sz="0" w:space="0" w:color="auto"/>
            <w:right w:val="none" w:sz="0" w:space="0" w:color="auto"/>
          </w:divBdr>
        </w:div>
        <w:div w:id="738986705">
          <w:marLeft w:val="0"/>
          <w:marRight w:val="0"/>
          <w:marTop w:val="0"/>
          <w:marBottom w:val="0"/>
          <w:divBdr>
            <w:top w:val="none" w:sz="0" w:space="0" w:color="auto"/>
            <w:left w:val="none" w:sz="0" w:space="0" w:color="auto"/>
            <w:bottom w:val="none" w:sz="0" w:space="0" w:color="auto"/>
            <w:right w:val="none" w:sz="0" w:space="0" w:color="auto"/>
          </w:divBdr>
        </w:div>
        <w:div w:id="793910631">
          <w:marLeft w:val="0"/>
          <w:marRight w:val="0"/>
          <w:marTop w:val="0"/>
          <w:marBottom w:val="0"/>
          <w:divBdr>
            <w:top w:val="none" w:sz="0" w:space="0" w:color="auto"/>
            <w:left w:val="none" w:sz="0" w:space="0" w:color="auto"/>
            <w:bottom w:val="none" w:sz="0" w:space="0" w:color="auto"/>
            <w:right w:val="none" w:sz="0" w:space="0" w:color="auto"/>
          </w:divBdr>
        </w:div>
        <w:div w:id="990058022">
          <w:marLeft w:val="0"/>
          <w:marRight w:val="0"/>
          <w:marTop w:val="0"/>
          <w:marBottom w:val="0"/>
          <w:divBdr>
            <w:top w:val="none" w:sz="0" w:space="0" w:color="auto"/>
            <w:left w:val="none" w:sz="0" w:space="0" w:color="auto"/>
            <w:bottom w:val="none" w:sz="0" w:space="0" w:color="auto"/>
            <w:right w:val="none" w:sz="0" w:space="0" w:color="auto"/>
          </w:divBdr>
        </w:div>
        <w:div w:id="1125276378">
          <w:marLeft w:val="0"/>
          <w:marRight w:val="0"/>
          <w:marTop w:val="0"/>
          <w:marBottom w:val="0"/>
          <w:divBdr>
            <w:top w:val="none" w:sz="0" w:space="0" w:color="auto"/>
            <w:left w:val="none" w:sz="0" w:space="0" w:color="auto"/>
            <w:bottom w:val="none" w:sz="0" w:space="0" w:color="auto"/>
            <w:right w:val="none" w:sz="0" w:space="0" w:color="auto"/>
          </w:divBdr>
        </w:div>
        <w:div w:id="1221134917">
          <w:marLeft w:val="0"/>
          <w:marRight w:val="0"/>
          <w:marTop w:val="0"/>
          <w:marBottom w:val="0"/>
          <w:divBdr>
            <w:top w:val="none" w:sz="0" w:space="0" w:color="auto"/>
            <w:left w:val="none" w:sz="0" w:space="0" w:color="auto"/>
            <w:bottom w:val="none" w:sz="0" w:space="0" w:color="auto"/>
            <w:right w:val="none" w:sz="0" w:space="0" w:color="auto"/>
          </w:divBdr>
        </w:div>
        <w:div w:id="1243829900">
          <w:marLeft w:val="0"/>
          <w:marRight w:val="0"/>
          <w:marTop w:val="0"/>
          <w:marBottom w:val="0"/>
          <w:divBdr>
            <w:top w:val="none" w:sz="0" w:space="0" w:color="auto"/>
            <w:left w:val="none" w:sz="0" w:space="0" w:color="auto"/>
            <w:bottom w:val="none" w:sz="0" w:space="0" w:color="auto"/>
            <w:right w:val="none" w:sz="0" w:space="0" w:color="auto"/>
          </w:divBdr>
        </w:div>
        <w:div w:id="1290546300">
          <w:marLeft w:val="0"/>
          <w:marRight w:val="0"/>
          <w:marTop w:val="0"/>
          <w:marBottom w:val="0"/>
          <w:divBdr>
            <w:top w:val="none" w:sz="0" w:space="0" w:color="auto"/>
            <w:left w:val="none" w:sz="0" w:space="0" w:color="auto"/>
            <w:bottom w:val="none" w:sz="0" w:space="0" w:color="auto"/>
            <w:right w:val="none" w:sz="0" w:space="0" w:color="auto"/>
          </w:divBdr>
        </w:div>
        <w:div w:id="1402018955">
          <w:marLeft w:val="0"/>
          <w:marRight w:val="0"/>
          <w:marTop w:val="0"/>
          <w:marBottom w:val="0"/>
          <w:divBdr>
            <w:top w:val="none" w:sz="0" w:space="0" w:color="auto"/>
            <w:left w:val="none" w:sz="0" w:space="0" w:color="auto"/>
            <w:bottom w:val="none" w:sz="0" w:space="0" w:color="auto"/>
            <w:right w:val="none" w:sz="0" w:space="0" w:color="auto"/>
          </w:divBdr>
        </w:div>
        <w:div w:id="1888910289">
          <w:marLeft w:val="0"/>
          <w:marRight w:val="0"/>
          <w:marTop w:val="0"/>
          <w:marBottom w:val="0"/>
          <w:divBdr>
            <w:top w:val="none" w:sz="0" w:space="0" w:color="auto"/>
            <w:left w:val="none" w:sz="0" w:space="0" w:color="auto"/>
            <w:bottom w:val="none" w:sz="0" w:space="0" w:color="auto"/>
            <w:right w:val="none" w:sz="0" w:space="0" w:color="auto"/>
          </w:divBdr>
        </w:div>
        <w:div w:id="1899366379">
          <w:marLeft w:val="0"/>
          <w:marRight w:val="0"/>
          <w:marTop w:val="0"/>
          <w:marBottom w:val="0"/>
          <w:divBdr>
            <w:top w:val="none" w:sz="0" w:space="0" w:color="auto"/>
            <w:left w:val="none" w:sz="0" w:space="0" w:color="auto"/>
            <w:bottom w:val="none" w:sz="0" w:space="0" w:color="auto"/>
            <w:right w:val="none" w:sz="0" w:space="0" w:color="auto"/>
          </w:divBdr>
        </w:div>
        <w:div w:id="1904217872">
          <w:marLeft w:val="0"/>
          <w:marRight w:val="0"/>
          <w:marTop w:val="0"/>
          <w:marBottom w:val="0"/>
          <w:divBdr>
            <w:top w:val="none" w:sz="0" w:space="0" w:color="auto"/>
            <w:left w:val="none" w:sz="0" w:space="0" w:color="auto"/>
            <w:bottom w:val="none" w:sz="0" w:space="0" w:color="auto"/>
            <w:right w:val="none" w:sz="0" w:space="0" w:color="auto"/>
          </w:divBdr>
        </w:div>
        <w:div w:id="1928348238">
          <w:marLeft w:val="0"/>
          <w:marRight w:val="0"/>
          <w:marTop w:val="0"/>
          <w:marBottom w:val="0"/>
          <w:divBdr>
            <w:top w:val="none" w:sz="0" w:space="0" w:color="auto"/>
            <w:left w:val="none" w:sz="0" w:space="0" w:color="auto"/>
            <w:bottom w:val="none" w:sz="0" w:space="0" w:color="auto"/>
            <w:right w:val="none" w:sz="0" w:space="0" w:color="auto"/>
          </w:divBdr>
          <w:divsChild>
            <w:div w:id="489296280">
              <w:marLeft w:val="0"/>
              <w:marRight w:val="0"/>
              <w:marTop w:val="0"/>
              <w:marBottom w:val="0"/>
              <w:divBdr>
                <w:top w:val="none" w:sz="0" w:space="0" w:color="auto"/>
                <w:left w:val="none" w:sz="0" w:space="0" w:color="auto"/>
                <w:bottom w:val="none" w:sz="0" w:space="0" w:color="auto"/>
                <w:right w:val="none" w:sz="0" w:space="0" w:color="auto"/>
              </w:divBdr>
              <w:divsChild>
                <w:div w:id="19858438">
                  <w:marLeft w:val="0"/>
                  <w:marRight w:val="0"/>
                  <w:marTop w:val="0"/>
                  <w:marBottom w:val="0"/>
                  <w:divBdr>
                    <w:top w:val="none" w:sz="0" w:space="0" w:color="auto"/>
                    <w:left w:val="none" w:sz="0" w:space="0" w:color="auto"/>
                    <w:bottom w:val="none" w:sz="0" w:space="0" w:color="auto"/>
                    <w:right w:val="none" w:sz="0" w:space="0" w:color="auto"/>
                  </w:divBdr>
                  <w:divsChild>
                    <w:div w:id="2074964226">
                      <w:marLeft w:val="0"/>
                      <w:marRight w:val="0"/>
                      <w:marTop w:val="0"/>
                      <w:marBottom w:val="0"/>
                      <w:divBdr>
                        <w:top w:val="none" w:sz="0" w:space="0" w:color="auto"/>
                        <w:left w:val="none" w:sz="0" w:space="0" w:color="auto"/>
                        <w:bottom w:val="none" w:sz="0" w:space="0" w:color="auto"/>
                        <w:right w:val="none" w:sz="0" w:space="0" w:color="auto"/>
                      </w:divBdr>
                    </w:div>
                  </w:divsChild>
                </w:div>
                <w:div w:id="71046034">
                  <w:marLeft w:val="0"/>
                  <w:marRight w:val="0"/>
                  <w:marTop w:val="0"/>
                  <w:marBottom w:val="0"/>
                  <w:divBdr>
                    <w:top w:val="none" w:sz="0" w:space="0" w:color="auto"/>
                    <w:left w:val="none" w:sz="0" w:space="0" w:color="auto"/>
                    <w:bottom w:val="none" w:sz="0" w:space="0" w:color="auto"/>
                    <w:right w:val="none" w:sz="0" w:space="0" w:color="auto"/>
                  </w:divBdr>
                  <w:divsChild>
                    <w:div w:id="21786618">
                      <w:marLeft w:val="0"/>
                      <w:marRight w:val="0"/>
                      <w:marTop w:val="0"/>
                      <w:marBottom w:val="0"/>
                      <w:divBdr>
                        <w:top w:val="none" w:sz="0" w:space="0" w:color="auto"/>
                        <w:left w:val="none" w:sz="0" w:space="0" w:color="auto"/>
                        <w:bottom w:val="none" w:sz="0" w:space="0" w:color="auto"/>
                        <w:right w:val="none" w:sz="0" w:space="0" w:color="auto"/>
                      </w:divBdr>
                    </w:div>
                  </w:divsChild>
                </w:div>
                <w:div w:id="82801655">
                  <w:marLeft w:val="0"/>
                  <w:marRight w:val="0"/>
                  <w:marTop w:val="0"/>
                  <w:marBottom w:val="0"/>
                  <w:divBdr>
                    <w:top w:val="none" w:sz="0" w:space="0" w:color="auto"/>
                    <w:left w:val="none" w:sz="0" w:space="0" w:color="auto"/>
                    <w:bottom w:val="none" w:sz="0" w:space="0" w:color="auto"/>
                    <w:right w:val="none" w:sz="0" w:space="0" w:color="auto"/>
                  </w:divBdr>
                  <w:divsChild>
                    <w:div w:id="1640064234">
                      <w:marLeft w:val="0"/>
                      <w:marRight w:val="0"/>
                      <w:marTop w:val="0"/>
                      <w:marBottom w:val="0"/>
                      <w:divBdr>
                        <w:top w:val="none" w:sz="0" w:space="0" w:color="auto"/>
                        <w:left w:val="none" w:sz="0" w:space="0" w:color="auto"/>
                        <w:bottom w:val="none" w:sz="0" w:space="0" w:color="auto"/>
                        <w:right w:val="none" w:sz="0" w:space="0" w:color="auto"/>
                      </w:divBdr>
                    </w:div>
                  </w:divsChild>
                </w:div>
                <w:div w:id="136608684">
                  <w:marLeft w:val="0"/>
                  <w:marRight w:val="0"/>
                  <w:marTop w:val="0"/>
                  <w:marBottom w:val="0"/>
                  <w:divBdr>
                    <w:top w:val="none" w:sz="0" w:space="0" w:color="auto"/>
                    <w:left w:val="none" w:sz="0" w:space="0" w:color="auto"/>
                    <w:bottom w:val="none" w:sz="0" w:space="0" w:color="auto"/>
                    <w:right w:val="none" w:sz="0" w:space="0" w:color="auto"/>
                  </w:divBdr>
                  <w:divsChild>
                    <w:div w:id="955675923">
                      <w:marLeft w:val="0"/>
                      <w:marRight w:val="0"/>
                      <w:marTop w:val="0"/>
                      <w:marBottom w:val="0"/>
                      <w:divBdr>
                        <w:top w:val="none" w:sz="0" w:space="0" w:color="auto"/>
                        <w:left w:val="none" w:sz="0" w:space="0" w:color="auto"/>
                        <w:bottom w:val="none" w:sz="0" w:space="0" w:color="auto"/>
                        <w:right w:val="none" w:sz="0" w:space="0" w:color="auto"/>
                      </w:divBdr>
                    </w:div>
                  </w:divsChild>
                </w:div>
                <w:div w:id="152185886">
                  <w:marLeft w:val="0"/>
                  <w:marRight w:val="0"/>
                  <w:marTop w:val="0"/>
                  <w:marBottom w:val="0"/>
                  <w:divBdr>
                    <w:top w:val="none" w:sz="0" w:space="0" w:color="auto"/>
                    <w:left w:val="none" w:sz="0" w:space="0" w:color="auto"/>
                    <w:bottom w:val="none" w:sz="0" w:space="0" w:color="auto"/>
                    <w:right w:val="none" w:sz="0" w:space="0" w:color="auto"/>
                  </w:divBdr>
                  <w:divsChild>
                    <w:div w:id="1389378811">
                      <w:marLeft w:val="0"/>
                      <w:marRight w:val="0"/>
                      <w:marTop w:val="0"/>
                      <w:marBottom w:val="0"/>
                      <w:divBdr>
                        <w:top w:val="none" w:sz="0" w:space="0" w:color="auto"/>
                        <w:left w:val="none" w:sz="0" w:space="0" w:color="auto"/>
                        <w:bottom w:val="none" w:sz="0" w:space="0" w:color="auto"/>
                        <w:right w:val="none" w:sz="0" w:space="0" w:color="auto"/>
                      </w:divBdr>
                    </w:div>
                  </w:divsChild>
                </w:div>
                <w:div w:id="157163307">
                  <w:marLeft w:val="0"/>
                  <w:marRight w:val="0"/>
                  <w:marTop w:val="0"/>
                  <w:marBottom w:val="0"/>
                  <w:divBdr>
                    <w:top w:val="none" w:sz="0" w:space="0" w:color="auto"/>
                    <w:left w:val="none" w:sz="0" w:space="0" w:color="auto"/>
                    <w:bottom w:val="none" w:sz="0" w:space="0" w:color="auto"/>
                    <w:right w:val="none" w:sz="0" w:space="0" w:color="auto"/>
                  </w:divBdr>
                  <w:divsChild>
                    <w:div w:id="1845512454">
                      <w:marLeft w:val="0"/>
                      <w:marRight w:val="0"/>
                      <w:marTop w:val="0"/>
                      <w:marBottom w:val="0"/>
                      <w:divBdr>
                        <w:top w:val="none" w:sz="0" w:space="0" w:color="auto"/>
                        <w:left w:val="none" w:sz="0" w:space="0" w:color="auto"/>
                        <w:bottom w:val="none" w:sz="0" w:space="0" w:color="auto"/>
                        <w:right w:val="none" w:sz="0" w:space="0" w:color="auto"/>
                      </w:divBdr>
                    </w:div>
                  </w:divsChild>
                </w:div>
                <w:div w:id="166753645">
                  <w:marLeft w:val="0"/>
                  <w:marRight w:val="0"/>
                  <w:marTop w:val="0"/>
                  <w:marBottom w:val="0"/>
                  <w:divBdr>
                    <w:top w:val="none" w:sz="0" w:space="0" w:color="auto"/>
                    <w:left w:val="none" w:sz="0" w:space="0" w:color="auto"/>
                    <w:bottom w:val="none" w:sz="0" w:space="0" w:color="auto"/>
                    <w:right w:val="none" w:sz="0" w:space="0" w:color="auto"/>
                  </w:divBdr>
                  <w:divsChild>
                    <w:div w:id="1983346610">
                      <w:marLeft w:val="0"/>
                      <w:marRight w:val="0"/>
                      <w:marTop w:val="0"/>
                      <w:marBottom w:val="0"/>
                      <w:divBdr>
                        <w:top w:val="none" w:sz="0" w:space="0" w:color="auto"/>
                        <w:left w:val="none" w:sz="0" w:space="0" w:color="auto"/>
                        <w:bottom w:val="none" w:sz="0" w:space="0" w:color="auto"/>
                        <w:right w:val="none" w:sz="0" w:space="0" w:color="auto"/>
                      </w:divBdr>
                    </w:div>
                  </w:divsChild>
                </w:div>
                <w:div w:id="172762848">
                  <w:marLeft w:val="0"/>
                  <w:marRight w:val="0"/>
                  <w:marTop w:val="0"/>
                  <w:marBottom w:val="0"/>
                  <w:divBdr>
                    <w:top w:val="none" w:sz="0" w:space="0" w:color="auto"/>
                    <w:left w:val="none" w:sz="0" w:space="0" w:color="auto"/>
                    <w:bottom w:val="none" w:sz="0" w:space="0" w:color="auto"/>
                    <w:right w:val="none" w:sz="0" w:space="0" w:color="auto"/>
                  </w:divBdr>
                  <w:divsChild>
                    <w:div w:id="987897905">
                      <w:marLeft w:val="0"/>
                      <w:marRight w:val="0"/>
                      <w:marTop w:val="0"/>
                      <w:marBottom w:val="0"/>
                      <w:divBdr>
                        <w:top w:val="none" w:sz="0" w:space="0" w:color="auto"/>
                        <w:left w:val="none" w:sz="0" w:space="0" w:color="auto"/>
                        <w:bottom w:val="none" w:sz="0" w:space="0" w:color="auto"/>
                        <w:right w:val="none" w:sz="0" w:space="0" w:color="auto"/>
                      </w:divBdr>
                    </w:div>
                  </w:divsChild>
                </w:div>
                <w:div w:id="193689136">
                  <w:marLeft w:val="0"/>
                  <w:marRight w:val="0"/>
                  <w:marTop w:val="0"/>
                  <w:marBottom w:val="0"/>
                  <w:divBdr>
                    <w:top w:val="none" w:sz="0" w:space="0" w:color="auto"/>
                    <w:left w:val="none" w:sz="0" w:space="0" w:color="auto"/>
                    <w:bottom w:val="none" w:sz="0" w:space="0" w:color="auto"/>
                    <w:right w:val="none" w:sz="0" w:space="0" w:color="auto"/>
                  </w:divBdr>
                  <w:divsChild>
                    <w:div w:id="1064454142">
                      <w:marLeft w:val="0"/>
                      <w:marRight w:val="0"/>
                      <w:marTop w:val="0"/>
                      <w:marBottom w:val="0"/>
                      <w:divBdr>
                        <w:top w:val="none" w:sz="0" w:space="0" w:color="auto"/>
                        <w:left w:val="none" w:sz="0" w:space="0" w:color="auto"/>
                        <w:bottom w:val="none" w:sz="0" w:space="0" w:color="auto"/>
                        <w:right w:val="none" w:sz="0" w:space="0" w:color="auto"/>
                      </w:divBdr>
                    </w:div>
                  </w:divsChild>
                </w:div>
                <w:div w:id="272788409">
                  <w:marLeft w:val="0"/>
                  <w:marRight w:val="0"/>
                  <w:marTop w:val="0"/>
                  <w:marBottom w:val="0"/>
                  <w:divBdr>
                    <w:top w:val="none" w:sz="0" w:space="0" w:color="auto"/>
                    <w:left w:val="none" w:sz="0" w:space="0" w:color="auto"/>
                    <w:bottom w:val="none" w:sz="0" w:space="0" w:color="auto"/>
                    <w:right w:val="none" w:sz="0" w:space="0" w:color="auto"/>
                  </w:divBdr>
                  <w:divsChild>
                    <w:div w:id="772675472">
                      <w:marLeft w:val="0"/>
                      <w:marRight w:val="0"/>
                      <w:marTop w:val="0"/>
                      <w:marBottom w:val="0"/>
                      <w:divBdr>
                        <w:top w:val="none" w:sz="0" w:space="0" w:color="auto"/>
                        <w:left w:val="none" w:sz="0" w:space="0" w:color="auto"/>
                        <w:bottom w:val="none" w:sz="0" w:space="0" w:color="auto"/>
                        <w:right w:val="none" w:sz="0" w:space="0" w:color="auto"/>
                      </w:divBdr>
                    </w:div>
                  </w:divsChild>
                </w:div>
                <w:div w:id="278952367">
                  <w:marLeft w:val="0"/>
                  <w:marRight w:val="0"/>
                  <w:marTop w:val="0"/>
                  <w:marBottom w:val="0"/>
                  <w:divBdr>
                    <w:top w:val="none" w:sz="0" w:space="0" w:color="auto"/>
                    <w:left w:val="none" w:sz="0" w:space="0" w:color="auto"/>
                    <w:bottom w:val="none" w:sz="0" w:space="0" w:color="auto"/>
                    <w:right w:val="none" w:sz="0" w:space="0" w:color="auto"/>
                  </w:divBdr>
                  <w:divsChild>
                    <w:div w:id="1601373718">
                      <w:marLeft w:val="0"/>
                      <w:marRight w:val="0"/>
                      <w:marTop w:val="0"/>
                      <w:marBottom w:val="0"/>
                      <w:divBdr>
                        <w:top w:val="none" w:sz="0" w:space="0" w:color="auto"/>
                        <w:left w:val="none" w:sz="0" w:space="0" w:color="auto"/>
                        <w:bottom w:val="none" w:sz="0" w:space="0" w:color="auto"/>
                        <w:right w:val="none" w:sz="0" w:space="0" w:color="auto"/>
                      </w:divBdr>
                    </w:div>
                  </w:divsChild>
                </w:div>
                <w:div w:id="321393035">
                  <w:marLeft w:val="0"/>
                  <w:marRight w:val="0"/>
                  <w:marTop w:val="0"/>
                  <w:marBottom w:val="0"/>
                  <w:divBdr>
                    <w:top w:val="none" w:sz="0" w:space="0" w:color="auto"/>
                    <w:left w:val="none" w:sz="0" w:space="0" w:color="auto"/>
                    <w:bottom w:val="none" w:sz="0" w:space="0" w:color="auto"/>
                    <w:right w:val="none" w:sz="0" w:space="0" w:color="auto"/>
                  </w:divBdr>
                  <w:divsChild>
                    <w:div w:id="258611452">
                      <w:marLeft w:val="0"/>
                      <w:marRight w:val="0"/>
                      <w:marTop w:val="0"/>
                      <w:marBottom w:val="0"/>
                      <w:divBdr>
                        <w:top w:val="none" w:sz="0" w:space="0" w:color="auto"/>
                        <w:left w:val="none" w:sz="0" w:space="0" w:color="auto"/>
                        <w:bottom w:val="none" w:sz="0" w:space="0" w:color="auto"/>
                        <w:right w:val="none" w:sz="0" w:space="0" w:color="auto"/>
                      </w:divBdr>
                    </w:div>
                  </w:divsChild>
                </w:div>
                <w:div w:id="351999445">
                  <w:marLeft w:val="0"/>
                  <w:marRight w:val="0"/>
                  <w:marTop w:val="0"/>
                  <w:marBottom w:val="0"/>
                  <w:divBdr>
                    <w:top w:val="none" w:sz="0" w:space="0" w:color="auto"/>
                    <w:left w:val="none" w:sz="0" w:space="0" w:color="auto"/>
                    <w:bottom w:val="none" w:sz="0" w:space="0" w:color="auto"/>
                    <w:right w:val="none" w:sz="0" w:space="0" w:color="auto"/>
                  </w:divBdr>
                  <w:divsChild>
                    <w:div w:id="1923105600">
                      <w:marLeft w:val="0"/>
                      <w:marRight w:val="0"/>
                      <w:marTop w:val="0"/>
                      <w:marBottom w:val="0"/>
                      <w:divBdr>
                        <w:top w:val="none" w:sz="0" w:space="0" w:color="auto"/>
                        <w:left w:val="none" w:sz="0" w:space="0" w:color="auto"/>
                        <w:bottom w:val="none" w:sz="0" w:space="0" w:color="auto"/>
                        <w:right w:val="none" w:sz="0" w:space="0" w:color="auto"/>
                      </w:divBdr>
                    </w:div>
                  </w:divsChild>
                </w:div>
                <w:div w:id="521209944">
                  <w:marLeft w:val="0"/>
                  <w:marRight w:val="0"/>
                  <w:marTop w:val="0"/>
                  <w:marBottom w:val="0"/>
                  <w:divBdr>
                    <w:top w:val="none" w:sz="0" w:space="0" w:color="auto"/>
                    <w:left w:val="none" w:sz="0" w:space="0" w:color="auto"/>
                    <w:bottom w:val="none" w:sz="0" w:space="0" w:color="auto"/>
                    <w:right w:val="none" w:sz="0" w:space="0" w:color="auto"/>
                  </w:divBdr>
                  <w:divsChild>
                    <w:div w:id="1519352548">
                      <w:marLeft w:val="0"/>
                      <w:marRight w:val="0"/>
                      <w:marTop w:val="0"/>
                      <w:marBottom w:val="0"/>
                      <w:divBdr>
                        <w:top w:val="none" w:sz="0" w:space="0" w:color="auto"/>
                        <w:left w:val="none" w:sz="0" w:space="0" w:color="auto"/>
                        <w:bottom w:val="none" w:sz="0" w:space="0" w:color="auto"/>
                        <w:right w:val="none" w:sz="0" w:space="0" w:color="auto"/>
                      </w:divBdr>
                    </w:div>
                  </w:divsChild>
                </w:div>
                <w:div w:id="528684288">
                  <w:marLeft w:val="0"/>
                  <w:marRight w:val="0"/>
                  <w:marTop w:val="0"/>
                  <w:marBottom w:val="0"/>
                  <w:divBdr>
                    <w:top w:val="none" w:sz="0" w:space="0" w:color="auto"/>
                    <w:left w:val="none" w:sz="0" w:space="0" w:color="auto"/>
                    <w:bottom w:val="none" w:sz="0" w:space="0" w:color="auto"/>
                    <w:right w:val="none" w:sz="0" w:space="0" w:color="auto"/>
                  </w:divBdr>
                  <w:divsChild>
                    <w:div w:id="1607156495">
                      <w:marLeft w:val="0"/>
                      <w:marRight w:val="0"/>
                      <w:marTop w:val="0"/>
                      <w:marBottom w:val="0"/>
                      <w:divBdr>
                        <w:top w:val="none" w:sz="0" w:space="0" w:color="auto"/>
                        <w:left w:val="none" w:sz="0" w:space="0" w:color="auto"/>
                        <w:bottom w:val="none" w:sz="0" w:space="0" w:color="auto"/>
                        <w:right w:val="none" w:sz="0" w:space="0" w:color="auto"/>
                      </w:divBdr>
                    </w:div>
                  </w:divsChild>
                </w:div>
                <w:div w:id="530072298">
                  <w:marLeft w:val="0"/>
                  <w:marRight w:val="0"/>
                  <w:marTop w:val="0"/>
                  <w:marBottom w:val="0"/>
                  <w:divBdr>
                    <w:top w:val="none" w:sz="0" w:space="0" w:color="auto"/>
                    <w:left w:val="none" w:sz="0" w:space="0" w:color="auto"/>
                    <w:bottom w:val="none" w:sz="0" w:space="0" w:color="auto"/>
                    <w:right w:val="none" w:sz="0" w:space="0" w:color="auto"/>
                  </w:divBdr>
                  <w:divsChild>
                    <w:div w:id="79759148">
                      <w:marLeft w:val="0"/>
                      <w:marRight w:val="0"/>
                      <w:marTop w:val="0"/>
                      <w:marBottom w:val="0"/>
                      <w:divBdr>
                        <w:top w:val="none" w:sz="0" w:space="0" w:color="auto"/>
                        <w:left w:val="none" w:sz="0" w:space="0" w:color="auto"/>
                        <w:bottom w:val="none" w:sz="0" w:space="0" w:color="auto"/>
                        <w:right w:val="none" w:sz="0" w:space="0" w:color="auto"/>
                      </w:divBdr>
                    </w:div>
                  </w:divsChild>
                </w:div>
                <w:div w:id="532228219">
                  <w:marLeft w:val="0"/>
                  <w:marRight w:val="0"/>
                  <w:marTop w:val="0"/>
                  <w:marBottom w:val="0"/>
                  <w:divBdr>
                    <w:top w:val="none" w:sz="0" w:space="0" w:color="auto"/>
                    <w:left w:val="none" w:sz="0" w:space="0" w:color="auto"/>
                    <w:bottom w:val="none" w:sz="0" w:space="0" w:color="auto"/>
                    <w:right w:val="none" w:sz="0" w:space="0" w:color="auto"/>
                  </w:divBdr>
                  <w:divsChild>
                    <w:div w:id="943616042">
                      <w:marLeft w:val="0"/>
                      <w:marRight w:val="0"/>
                      <w:marTop w:val="0"/>
                      <w:marBottom w:val="0"/>
                      <w:divBdr>
                        <w:top w:val="none" w:sz="0" w:space="0" w:color="auto"/>
                        <w:left w:val="none" w:sz="0" w:space="0" w:color="auto"/>
                        <w:bottom w:val="none" w:sz="0" w:space="0" w:color="auto"/>
                        <w:right w:val="none" w:sz="0" w:space="0" w:color="auto"/>
                      </w:divBdr>
                    </w:div>
                  </w:divsChild>
                </w:div>
                <w:div w:id="548149069">
                  <w:marLeft w:val="0"/>
                  <w:marRight w:val="0"/>
                  <w:marTop w:val="0"/>
                  <w:marBottom w:val="0"/>
                  <w:divBdr>
                    <w:top w:val="none" w:sz="0" w:space="0" w:color="auto"/>
                    <w:left w:val="none" w:sz="0" w:space="0" w:color="auto"/>
                    <w:bottom w:val="none" w:sz="0" w:space="0" w:color="auto"/>
                    <w:right w:val="none" w:sz="0" w:space="0" w:color="auto"/>
                  </w:divBdr>
                  <w:divsChild>
                    <w:div w:id="1305351153">
                      <w:marLeft w:val="0"/>
                      <w:marRight w:val="0"/>
                      <w:marTop w:val="0"/>
                      <w:marBottom w:val="0"/>
                      <w:divBdr>
                        <w:top w:val="none" w:sz="0" w:space="0" w:color="auto"/>
                        <w:left w:val="none" w:sz="0" w:space="0" w:color="auto"/>
                        <w:bottom w:val="none" w:sz="0" w:space="0" w:color="auto"/>
                        <w:right w:val="none" w:sz="0" w:space="0" w:color="auto"/>
                      </w:divBdr>
                    </w:div>
                  </w:divsChild>
                </w:div>
                <w:div w:id="554316809">
                  <w:marLeft w:val="0"/>
                  <w:marRight w:val="0"/>
                  <w:marTop w:val="0"/>
                  <w:marBottom w:val="0"/>
                  <w:divBdr>
                    <w:top w:val="none" w:sz="0" w:space="0" w:color="auto"/>
                    <w:left w:val="none" w:sz="0" w:space="0" w:color="auto"/>
                    <w:bottom w:val="none" w:sz="0" w:space="0" w:color="auto"/>
                    <w:right w:val="none" w:sz="0" w:space="0" w:color="auto"/>
                  </w:divBdr>
                  <w:divsChild>
                    <w:div w:id="1204949558">
                      <w:marLeft w:val="0"/>
                      <w:marRight w:val="0"/>
                      <w:marTop w:val="0"/>
                      <w:marBottom w:val="0"/>
                      <w:divBdr>
                        <w:top w:val="none" w:sz="0" w:space="0" w:color="auto"/>
                        <w:left w:val="none" w:sz="0" w:space="0" w:color="auto"/>
                        <w:bottom w:val="none" w:sz="0" w:space="0" w:color="auto"/>
                        <w:right w:val="none" w:sz="0" w:space="0" w:color="auto"/>
                      </w:divBdr>
                    </w:div>
                  </w:divsChild>
                </w:div>
                <w:div w:id="587034165">
                  <w:marLeft w:val="0"/>
                  <w:marRight w:val="0"/>
                  <w:marTop w:val="0"/>
                  <w:marBottom w:val="0"/>
                  <w:divBdr>
                    <w:top w:val="none" w:sz="0" w:space="0" w:color="auto"/>
                    <w:left w:val="none" w:sz="0" w:space="0" w:color="auto"/>
                    <w:bottom w:val="none" w:sz="0" w:space="0" w:color="auto"/>
                    <w:right w:val="none" w:sz="0" w:space="0" w:color="auto"/>
                  </w:divBdr>
                  <w:divsChild>
                    <w:div w:id="487092473">
                      <w:marLeft w:val="0"/>
                      <w:marRight w:val="0"/>
                      <w:marTop w:val="0"/>
                      <w:marBottom w:val="0"/>
                      <w:divBdr>
                        <w:top w:val="none" w:sz="0" w:space="0" w:color="auto"/>
                        <w:left w:val="none" w:sz="0" w:space="0" w:color="auto"/>
                        <w:bottom w:val="none" w:sz="0" w:space="0" w:color="auto"/>
                        <w:right w:val="none" w:sz="0" w:space="0" w:color="auto"/>
                      </w:divBdr>
                    </w:div>
                  </w:divsChild>
                </w:div>
                <w:div w:id="625307876">
                  <w:marLeft w:val="0"/>
                  <w:marRight w:val="0"/>
                  <w:marTop w:val="0"/>
                  <w:marBottom w:val="0"/>
                  <w:divBdr>
                    <w:top w:val="none" w:sz="0" w:space="0" w:color="auto"/>
                    <w:left w:val="none" w:sz="0" w:space="0" w:color="auto"/>
                    <w:bottom w:val="none" w:sz="0" w:space="0" w:color="auto"/>
                    <w:right w:val="none" w:sz="0" w:space="0" w:color="auto"/>
                  </w:divBdr>
                  <w:divsChild>
                    <w:div w:id="1677268484">
                      <w:marLeft w:val="0"/>
                      <w:marRight w:val="0"/>
                      <w:marTop w:val="0"/>
                      <w:marBottom w:val="0"/>
                      <w:divBdr>
                        <w:top w:val="none" w:sz="0" w:space="0" w:color="auto"/>
                        <w:left w:val="none" w:sz="0" w:space="0" w:color="auto"/>
                        <w:bottom w:val="none" w:sz="0" w:space="0" w:color="auto"/>
                        <w:right w:val="none" w:sz="0" w:space="0" w:color="auto"/>
                      </w:divBdr>
                    </w:div>
                  </w:divsChild>
                </w:div>
                <w:div w:id="631596149">
                  <w:marLeft w:val="0"/>
                  <w:marRight w:val="0"/>
                  <w:marTop w:val="0"/>
                  <w:marBottom w:val="0"/>
                  <w:divBdr>
                    <w:top w:val="none" w:sz="0" w:space="0" w:color="auto"/>
                    <w:left w:val="none" w:sz="0" w:space="0" w:color="auto"/>
                    <w:bottom w:val="none" w:sz="0" w:space="0" w:color="auto"/>
                    <w:right w:val="none" w:sz="0" w:space="0" w:color="auto"/>
                  </w:divBdr>
                  <w:divsChild>
                    <w:div w:id="1908297087">
                      <w:marLeft w:val="0"/>
                      <w:marRight w:val="0"/>
                      <w:marTop w:val="0"/>
                      <w:marBottom w:val="0"/>
                      <w:divBdr>
                        <w:top w:val="none" w:sz="0" w:space="0" w:color="auto"/>
                        <w:left w:val="none" w:sz="0" w:space="0" w:color="auto"/>
                        <w:bottom w:val="none" w:sz="0" w:space="0" w:color="auto"/>
                        <w:right w:val="none" w:sz="0" w:space="0" w:color="auto"/>
                      </w:divBdr>
                    </w:div>
                  </w:divsChild>
                </w:div>
                <w:div w:id="657880367">
                  <w:marLeft w:val="0"/>
                  <w:marRight w:val="0"/>
                  <w:marTop w:val="0"/>
                  <w:marBottom w:val="0"/>
                  <w:divBdr>
                    <w:top w:val="none" w:sz="0" w:space="0" w:color="auto"/>
                    <w:left w:val="none" w:sz="0" w:space="0" w:color="auto"/>
                    <w:bottom w:val="none" w:sz="0" w:space="0" w:color="auto"/>
                    <w:right w:val="none" w:sz="0" w:space="0" w:color="auto"/>
                  </w:divBdr>
                  <w:divsChild>
                    <w:div w:id="324624648">
                      <w:marLeft w:val="0"/>
                      <w:marRight w:val="0"/>
                      <w:marTop w:val="0"/>
                      <w:marBottom w:val="0"/>
                      <w:divBdr>
                        <w:top w:val="none" w:sz="0" w:space="0" w:color="auto"/>
                        <w:left w:val="none" w:sz="0" w:space="0" w:color="auto"/>
                        <w:bottom w:val="none" w:sz="0" w:space="0" w:color="auto"/>
                        <w:right w:val="none" w:sz="0" w:space="0" w:color="auto"/>
                      </w:divBdr>
                    </w:div>
                  </w:divsChild>
                </w:div>
                <w:div w:id="691689032">
                  <w:marLeft w:val="0"/>
                  <w:marRight w:val="0"/>
                  <w:marTop w:val="0"/>
                  <w:marBottom w:val="0"/>
                  <w:divBdr>
                    <w:top w:val="none" w:sz="0" w:space="0" w:color="auto"/>
                    <w:left w:val="none" w:sz="0" w:space="0" w:color="auto"/>
                    <w:bottom w:val="none" w:sz="0" w:space="0" w:color="auto"/>
                    <w:right w:val="none" w:sz="0" w:space="0" w:color="auto"/>
                  </w:divBdr>
                  <w:divsChild>
                    <w:div w:id="317850191">
                      <w:marLeft w:val="0"/>
                      <w:marRight w:val="0"/>
                      <w:marTop w:val="0"/>
                      <w:marBottom w:val="0"/>
                      <w:divBdr>
                        <w:top w:val="none" w:sz="0" w:space="0" w:color="auto"/>
                        <w:left w:val="none" w:sz="0" w:space="0" w:color="auto"/>
                        <w:bottom w:val="none" w:sz="0" w:space="0" w:color="auto"/>
                        <w:right w:val="none" w:sz="0" w:space="0" w:color="auto"/>
                      </w:divBdr>
                    </w:div>
                  </w:divsChild>
                </w:div>
                <w:div w:id="757290210">
                  <w:marLeft w:val="0"/>
                  <w:marRight w:val="0"/>
                  <w:marTop w:val="0"/>
                  <w:marBottom w:val="0"/>
                  <w:divBdr>
                    <w:top w:val="none" w:sz="0" w:space="0" w:color="auto"/>
                    <w:left w:val="none" w:sz="0" w:space="0" w:color="auto"/>
                    <w:bottom w:val="none" w:sz="0" w:space="0" w:color="auto"/>
                    <w:right w:val="none" w:sz="0" w:space="0" w:color="auto"/>
                  </w:divBdr>
                  <w:divsChild>
                    <w:div w:id="628627762">
                      <w:marLeft w:val="0"/>
                      <w:marRight w:val="0"/>
                      <w:marTop w:val="0"/>
                      <w:marBottom w:val="0"/>
                      <w:divBdr>
                        <w:top w:val="none" w:sz="0" w:space="0" w:color="auto"/>
                        <w:left w:val="none" w:sz="0" w:space="0" w:color="auto"/>
                        <w:bottom w:val="none" w:sz="0" w:space="0" w:color="auto"/>
                        <w:right w:val="none" w:sz="0" w:space="0" w:color="auto"/>
                      </w:divBdr>
                    </w:div>
                  </w:divsChild>
                </w:div>
                <w:div w:id="789782218">
                  <w:marLeft w:val="0"/>
                  <w:marRight w:val="0"/>
                  <w:marTop w:val="0"/>
                  <w:marBottom w:val="0"/>
                  <w:divBdr>
                    <w:top w:val="none" w:sz="0" w:space="0" w:color="auto"/>
                    <w:left w:val="none" w:sz="0" w:space="0" w:color="auto"/>
                    <w:bottom w:val="none" w:sz="0" w:space="0" w:color="auto"/>
                    <w:right w:val="none" w:sz="0" w:space="0" w:color="auto"/>
                  </w:divBdr>
                  <w:divsChild>
                    <w:div w:id="1615593556">
                      <w:marLeft w:val="0"/>
                      <w:marRight w:val="0"/>
                      <w:marTop w:val="0"/>
                      <w:marBottom w:val="0"/>
                      <w:divBdr>
                        <w:top w:val="none" w:sz="0" w:space="0" w:color="auto"/>
                        <w:left w:val="none" w:sz="0" w:space="0" w:color="auto"/>
                        <w:bottom w:val="none" w:sz="0" w:space="0" w:color="auto"/>
                        <w:right w:val="none" w:sz="0" w:space="0" w:color="auto"/>
                      </w:divBdr>
                    </w:div>
                  </w:divsChild>
                </w:div>
                <w:div w:id="859507255">
                  <w:marLeft w:val="0"/>
                  <w:marRight w:val="0"/>
                  <w:marTop w:val="0"/>
                  <w:marBottom w:val="0"/>
                  <w:divBdr>
                    <w:top w:val="none" w:sz="0" w:space="0" w:color="auto"/>
                    <w:left w:val="none" w:sz="0" w:space="0" w:color="auto"/>
                    <w:bottom w:val="none" w:sz="0" w:space="0" w:color="auto"/>
                    <w:right w:val="none" w:sz="0" w:space="0" w:color="auto"/>
                  </w:divBdr>
                  <w:divsChild>
                    <w:div w:id="857277939">
                      <w:marLeft w:val="0"/>
                      <w:marRight w:val="0"/>
                      <w:marTop w:val="0"/>
                      <w:marBottom w:val="0"/>
                      <w:divBdr>
                        <w:top w:val="none" w:sz="0" w:space="0" w:color="auto"/>
                        <w:left w:val="none" w:sz="0" w:space="0" w:color="auto"/>
                        <w:bottom w:val="none" w:sz="0" w:space="0" w:color="auto"/>
                        <w:right w:val="none" w:sz="0" w:space="0" w:color="auto"/>
                      </w:divBdr>
                    </w:div>
                  </w:divsChild>
                </w:div>
                <w:div w:id="914631301">
                  <w:marLeft w:val="0"/>
                  <w:marRight w:val="0"/>
                  <w:marTop w:val="0"/>
                  <w:marBottom w:val="0"/>
                  <w:divBdr>
                    <w:top w:val="none" w:sz="0" w:space="0" w:color="auto"/>
                    <w:left w:val="none" w:sz="0" w:space="0" w:color="auto"/>
                    <w:bottom w:val="none" w:sz="0" w:space="0" w:color="auto"/>
                    <w:right w:val="none" w:sz="0" w:space="0" w:color="auto"/>
                  </w:divBdr>
                  <w:divsChild>
                    <w:div w:id="373821309">
                      <w:marLeft w:val="0"/>
                      <w:marRight w:val="0"/>
                      <w:marTop w:val="0"/>
                      <w:marBottom w:val="0"/>
                      <w:divBdr>
                        <w:top w:val="none" w:sz="0" w:space="0" w:color="auto"/>
                        <w:left w:val="none" w:sz="0" w:space="0" w:color="auto"/>
                        <w:bottom w:val="none" w:sz="0" w:space="0" w:color="auto"/>
                        <w:right w:val="none" w:sz="0" w:space="0" w:color="auto"/>
                      </w:divBdr>
                    </w:div>
                  </w:divsChild>
                </w:div>
                <w:div w:id="963385439">
                  <w:marLeft w:val="0"/>
                  <w:marRight w:val="0"/>
                  <w:marTop w:val="0"/>
                  <w:marBottom w:val="0"/>
                  <w:divBdr>
                    <w:top w:val="none" w:sz="0" w:space="0" w:color="auto"/>
                    <w:left w:val="none" w:sz="0" w:space="0" w:color="auto"/>
                    <w:bottom w:val="none" w:sz="0" w:space="0" w:color="auto"/>
                    <w:right w:val="none" w:sz="0" w:space="0" w:color="auto"/>
                  </w:divBdr>
                  <w:divsChild>
                    <w:div w:id="2136675000">
                      <w:marLeft w:val="0"/>
                      <w:marRight w:val="0"/>
                      <w:marTop w:val="0"/>
                      <w:marBottom w:val="0"/>
                      <w:divBdr>
                        <w:top w:val="none" w:sz="0" w:space="0" w:color="auto"/>
                        <w:left w:val="none" w:sz="0" w:space="0" w:color="auto"/>
                        <w:bottom w:val="none" w:sz="0" w:space="0" w:color="auto"/>
                        <w:right w:val="none" w:sz="0" w:space="0" w:color="auto"/>
                      </w:divBdr>
                    </w:div>
                  </w:divsChild>
                </w:div>
                <w:div w:id="1003431934">
                  <w:marLeft w:val="0"/>
                  <w:marRight w:val="0"/>
                  <w:marTop w:val="0"/>
                  <w:marBottom w:val="0"/>
                  <w:divBdr>
                    <w:top w:val="none" w:sz="0" w:space="0" w:color="auto"/>
                    <w:left w:val="none" w:sz="0" w:space="0" w:color="auto"/>
                    <w:bottom w:val="none" w:sz="0" w:space="0" w:color="auto"/>
                    <w:right w:val="none" w:sz="0" w:space="0" w:color="auto"/>
                  </w:divBdr>
                  <w:divsChild>
                    <w:div w:id="1663697721">
                      <w:marLeft w:val="0"/>
                      <w:marRight w:val="0"/>
                      <w:marTop w:val="0"/>
                      <w:marBottom w:val="0"/>
                      <w:divBdr>
                        <w:top w:val="none" w:sz="0" w:space="0" w:color="auto"/>
                        <w:left w:val="none" w:sz="0" w:space="0" w:color="auto"/>
                        <w:bottom w:val="none" w:sz="0" w:space="0" w:color="auto"/>
                        <w:right w:val="none" w:sz="0" w:space="0" w:color="auto"/>
                      </w:divBdr>
                    </w:div>
                  </w:divsChild>
                </w:div>
                <w:div w:id="1100446728">
                  <w:marLeft w:val="0"/>
                  <w:marRight w:val="0"/>
                  <w:marTop w:val="0"/>
                  <w:marBottom w:val="0"/>
                  <w:divBdr>
                    <w:top w:val="none" w:sz="0" w:space="0" w:color="auto"/>
                    <w:left w:val="none" w:sz="0" w:space="0" w:color="auto"/>
                    <w:bottom w:val="none" w:sz="0" w:space="0" w:color="auto"/>
                    <w:right w:val="none" w:sz="0" w:space="0" w:color="auto"/>
                  </w:divBdr>
                  <w:divsChild>
                    <w:div w:id="491137786">
                      <w:marLeft w:val="0"/>
                      <w:marRight w:val="0"/>
                      <w:marTop w:val="0"/>
                      <w:marBottom w:val="0"/>
                      <w:divBdr>
                        <w:top w:val="none" w:sz="0" w:space="0" w:color="auto"/>
                        <w:left w:val="none" w:sz="0" w:space="0" w:color="auto"/>
                        <w:bottom w:val="none" w:sz="0" w:space="0" w:color="auto"/>
                        <w:right w:val="none" w:sz="0" w:space="0" w:color="auto"/>
                      </w:divBdr>
                    </w:div>
                  </w:divsChild>
                </w:div>
                <w:div w:id="1210606370">
                  <w:marLeft w:val="0"/>
                  <w:marRight w:val="0"/>
                  <w:marTop w:val="0"/>
                  <w:marBottom w:val="0"/>
                  <w:divBdr>
                    <w:top w:val="none" w:sz="0" w:space="0" w:color="auto"/>
                    <w:left w:val="none" w:sz="0" w:space="0" w:color="auto"/>
                    <w:bottom w:val="none" w:sz="0" w:space="0" w:color="auto"/>
                    <w:right w:val="none" w:sz="0" w:space="0" w:color="auto"/>
                  </w:divBdr>
                  <w:divsChild>
                    <w:div w:id="1901399726">
                      <w:marLeft w:val="0"/>
                      <w:marRight w:val="0"/>
                      <w:marTop w:val="0"/>
                      <w:marBottom w:val="0"/>
                      <w:divBdr>
                        <w:top w:val="none" w:sz="0" w:space="0" w:color="auto"/>
                        <w:left w:val="none" w:sz="0" w:space="0" w:color="auto"/>
                        <w:bottom w:val="none" w:sz="0" w:space="0" w:color="auto"/>
                        <w:right w:val="none" w:sz="0" w:space="0" w:color="auto"/>
                      </w:divBdr>
                    </w:div>
                  </w:divsChild>
                </w:div>
                <w:div w:id="1229682846">
                  <w:marLeft w:val="0"/>
                  <w:marRight w:val="0"/>
                  <w:marTop w:val="0"/>
                  <w:marBottom w:val="0"/>
                  <w:divBdr>
                    <w:top w:val="none" w:sz="0" w:space="0" w:color="auto"/>
                    <w:left w:val="none" w:sz="0" w:space="0" w:color="auto"/>
                    <w:bottom w:val="none" w:sz="0" w:space="0" w:color="auto"/>
                    <w:right w:val="none" w:sz="0" w:space="0" w:color="auto"/>
                  </w:divBdr>
                  <w:divsChild>
                    <w:div w:id="9991034">
                      <w:marLeft w:val="0"/>
                      <w:marRight w:val="0"/>
                      <w:marTop w:val="0"/>
                      <w:marBottom w:val="0"/>
                      <w:divBdr>
                        <w:top w:val="none" w:sz="0" w:space="0" w:color="auto"/>
                        <w:left w:val="none" w:sz="0" w:space="0" w:color="auto"/>
                        <w:bottom w:val="none" w:sz="0" w:space="0" w:color="auto"/>
                        <w:right w:val="none" w:sz="0" w:space="0" w:color="auto"/>
                      </w:divBdr>
                    </w:div>
                  </w:divsChild>
                </w:div>
                <w:div w:id="1318419634">
                  <w:marLeft w:val="0"/>
                  <w:marRight w:val="0"/>
                  <w:marTop w:val="0"/>
                  <w:marBottom w:val="0"/>
                  <w:divBdr>
                    <w:top w:val="none" w:sz="0" w:space="0" w:color="auto"/>
                    <w:left w:val="none" w:sz="0" w:space="0" w:color="auto"/>
                    <w:bottom w:val="none" w:sz="0" w:space="0" w:color="auto"/>
                    <w:right w:val="none" w:sz="0" w:space="0" w:color="auto"/>
                  </w:divBdr>
                  <w:divsChild>
                    <w:div w:id="1230534983">
                      <w:marLeft w:val="0"/>
                      <w:marRight w:val="0"/>
                      <w:marTop w:val="0"/>
                      <w:marBottom w:val="0"/>
                      <w:divBdr>
                        <w:top w:val="none" w:sz="0" w:space="0" w:color="auto"/>
                        <w:left w:val="none" w:sz="0" w:space="0" w:color="auto"/>
                        <w:bottom w:val="none" w:sz="0" w:space="0" w:color="auto"/>
                        <w:right w:val="none" w:sz="0" w:space="0" w:color="auto"/>
                      </w:divBdr>
                    </w:div>
                  </w:divsChild>
                </w:div>
                <w:div w:id="1331517620">
                  <w:marLeft w:val="0"/>
                  <w:marRight w:val="0"/>
                  <w:marTop w:val="0"/>
                  <w:marBottom w:val="0"/>
                  <w:divBdr>
                    <w:top w:val="none" w:sz="0" w:space="0" w:color="auto"/>
                    <w:left w:val="none" w:sz="0" w:space="0" w:color="auto"/>
                    <w:bottom w:val="none" w:sz="0" w:space="0" w:color="auto"/>
                    <w:right w:val="none" w:sz="0" w:space="0" w:color="auto"/>
                  </w:divBdr>
                  <w:divsChild>
                    <w:div w:id="1125082364">
                      <w:marLeft w:val="0"/>
                      <w:marRight w:val="0"/>
                      <w:marTop w:val="0"/>
                      <w:marBottom w:val="0"/>
                      <w:divBdr>
                        <w:top w:val="none" w:sz="0" w:space="0" w:color="auto"/>
                        <w:left w:val="none" w:sz="0" w:space="0" w:color="auto"/>
                        <w:bottom w:val="none" w:sz="0" w:space="0" w:color="auto"/>
                        <w:right w:val="none" w:sz="0" w:space="0" w:color="auto"/>
                      </w:divBdr>
                    </w:div>
                  </w:divsChild>
                </w:div>
                <w:div w:id="1341590586">
                  <w:marLeft w:val="0"/>
                  <w:marRight w:val="0"/>
                  <w:marTop w:val="0"/>
                  <w:marBottom w:val="0"/>
                  <w:divBdr>
                    <w:top w:val="none" w:sz="0" w:space="0" w:color="auto"/>
                    <w:left w:val="none" w:sz="0" w:space="0" w:color="auto"/>
                    <w:bottom w:val="none" w:sz="0" w:space="0" w:color="auto"/>
                    <w:right w:val="none" w:sz="0" w:space="0" w:color="auto"/>
                  </w:divBdr>
                  <w:divsChild>
                    <w:div w:id="1474985418">
                      <w:marLeft w:val="0"/>
                      <w:marRight w:val="0"/>
                      <w:marTop w:val="0"/>
                      <w:marBottom w:val="0"/>
                      <w:divBdr>
                        <w:top w:val="none" w:sz="0" w:space="0" w:color="auto"/>
                        <w:left w:val="none" w:sz="0" w:space="0" w:color="auto"/>
                        <w:bottom w:val="none" w:sz="0" w:space="0" w:color="auto"/>
                        <w:right w:val="none" w:sz="0" w:space="0" w:color="auto"/>
                      </w:divBdr>
                    </w:div>
                  </w:divsChild>
                </w:div>
                <w:div w:id="1347370271">
                  <w:marLeft w:val="0"/>
                  <w:marRight w:val="0"/>
                  <w:marTop w:val="0"/>
                  <w:marBottom w:val="0"/>
                  <w:divBdr>
                    <w:top w:val="none" w:sz="0" w:space="0" w:color="auto"/>
                    <w:left w:val="none" w:sz="0" w:space="0" w:color="auto"/>
                    <w:bottom w:val="none" w:sz="0" w:space="0" w:color="auto"/>
                    <w:right w:val="none" w:sz="0" w:space="0" w:color="auto"/>
                  </w:divBdr>
                  <w:divsChild>
                    <w:div w:id="1631861005">
                      <w:marLeft w:val="0"/>
                      <w:marRight w:val="0"/>
                      <w:marTop w:val="0"/>
                      <w:marBottom w:val="0"/>
                      <w:divBdr>
                        <w:top w:val="none" w:sz="0" w:space="0" w:color="auto"/>
                        <w:left w:val="none" w:sz="0" w:space="0" w:color="auto"/>
                        <w:bottom w:val="none" w:sz="0" w:space="0" w:color="auto"/>
                        <w:right w:val="none" w:sz="0" w:space="0" w:color="auto"/>
                      </w:divBdr>
                    </w:div>
                  </w:divsChild>
                </w:div>
                <w:div w:id="1469201509">
                  <w:marLeft w:val="0"/>
                  <w:marRight w:val="0"/>
                  <w:marTop w:val="0"/>
                  <w:marBottom w:val="0"/>
                  <w:divBdr>
                    <w:top w:val="none" w:sz="0" w:space="0" w:color="auto"/>
                    <w:left w:val="none" w:sz="0" w:space="0" w:color="auto"/>
                    <w:bottom w:val="none" w:sz="0" w:space="0" w:color="auto"/>
                    <w:right w:val="none" w:sz="0" w:space="0" w:color="auto"/>
                  </w:divBdr>
                  <w:divsChild>
                    <w:div w:id="897860468">
                      <w:marLeft w:val="0"/>
                      <w:marRight w:val="0"/>
                      <w:marTop w:val="0"/>
                      <w:marBottom w:val="0"/>
                      <w:divBdr>
                        <w:top w:val="none" w:sz="0" w:space="0" w:color="auto"/>
                        <w:left w:val="none" w:sz="0" w:space="0" w:color="auto"/>
                        <w:bottom w:val="none" w:sz="0" w:space="0" w:color="auto"/>
                        <w:right w:val="none" w:sz="0" w:space="0" w:color="auto"/>
                      </w:divBdr>
                    </w:div>
                  </w:divsChild>
                </w:div>
                <w:div w:id="1518302787">
                  <w:marLeft w:val="0"/>
                  <w:marRight w:val="0"/>
                  <w:marTop w:val="0"/>
                  <w:marBottom w:val="0"/>
                  <w:divBdr>
                    <w:top w:val="none" w:sz="0" w:space="0" w:color="auto"/>
                    <w:left w:val="none" w:sz="0" w:space="0" w:color="auto"/>
                    <w:bottom w:val="none" w:sz="0" w:space="0" w:color="auto"/>
                    <w:right w:val="none" w:sz="0" w:space="0" w:color="auto"/>
                  </w:divBdr>
                  <w:divsChild>
                    <w:div w:id="693581123">
                      <w:marLeft w:val="0"/>
                      <w:marRight w:val="0"/>
                      <w:marTop w:val="0"/>
                      <w:marBottom w:val="0"/>
                      <w:divBdr>
                        <w:top w:val="none" w:sz="0" w:space="0" w:color="auto"/>
                        <w:left w:val="none" w:sz="0" w:space="0" w:color="auto"/>
                        <w:bottom w:val="none" w:sz="0" w:space="0" w:color="auto"/>
                        <w:right w:val="none" w:sz="0" w:space="0" w:color="auto"/>
                      </w:divBdr>
                    </w:div>
                  </w:divsChild>
                </w:div>
                <w:div w:id="1595894293">
                  <w:marLeft w:val="0"/>
                  <w:marRight w:val="0"/>
                  <w:marTop w:val="0"/>
                  <w:marBottom w:val="0"/>
                  <w:divBdr>
                    <w:top w:val="none" w:sz="0" w:space="0" w:color="auto"/>
                    <w:left w:val="none" w:sz="0" w:space="0" w:color="auto"/>
                    <w:bottom w:val="none" w:sz="0" w:space="0" w:color="auto"/>
                    <w:right w:val="none" w:sz="0" w:space="0" w:color="auto"/>
                  </w:divBdr>
                  <w:divsChild>
                    <w:div w:id="773018949">
                      <w:marLeft w:val="0"/>
                      <w:marRight w:val="0"/>
                      <w:marTop w:val="0"/>
                      <w:marBottom w:val="0"/>
                      <w:divBdr>
                        <w:top w:val="none" w:sz="0" w:space="0" w:color="auto"/>
                        <w:left w:val="none" w:sz="0" w:space="0" w:color="auto"/>
                        <w:bottom w:val="none" w:sz="0" w:space="0" w:color="auto"/>
                        <w:right w:val="none" w:sz="0" w:space="0" w:color="auto"/>
                      </w:divBdr>
                    </w:div>
                  </w:divsChild>
                </w:div>
                <w:div w:id="1609922694">
                  <w:marLeft w:val="0"/>
                  <w:marRight w:val="0"/>
                  <w:marTop w:val="0"/>
                  <w:marBottom w:val="0"/>
                  <w:divBdr>
                    <w:top w:val="none" w:sz="0" w:space="0" w:color="auto"/>
                    <w:left w:val="none" w:sz="0" w:space="0" w:color="auto"/>
                    <w:bottom w:val="none" w:sz="0" w:space="0" w:color="auto"/>
                    <w:right w:val="none" w:sz="0" w:space="0" w:color="auto"/>
                  </w:divBdr>
                  <w:divsChild>
                    <w:div w:id="1130132510">
                      <w:marLeft w:val="0"/>
                      <w:marRight w:val="0"/>
                      <w:marTop w:val="0"/>
                      <w:marBottom w:val="0"/>
                      <w:divBdr>
                        <w:top w:val="none" w:sz="0" w:space="0" w:color="auto"/>
                        <w:left w:val="none" w:sz="0" w:space="0" w:color="auto"/>
                        <w:bottom w:val="none" w:sz="0" w:space="0" w:color="auto"/>
                        <w:right w:val="none" w:sz="0" w:space="0" w:color="auto"/>
                      </w:divBdr>
                    </w:div>
                  </w:divsChild>
                </w:div>
                <w:div w:id="1653677266">
                  <w:marLeft w:val="0"/>
                  <w:marRight w:val="0"/>
                  <w:marTop w:val="0"/>
                  <w:marBottom w:val="0"/>
                  <w:divBdr>
                    <w:top w:val="none" w:sz="0" w:space="0" w:color="auto"/>
                    <w:left w:val="none" w:sz="0" w:space="0" w:color="auto"/>
                    <w:bottom w:val="none" w:sz="0" w:space="0" w:color="auto"/>
                    <w:right w:val="none" w:sz="0" w:space="0" w:color="auto"/>
                  </w:divBdr>
                  <w:divsChild>
                    <w:div w:id="1354452960">
                      <w:marLeft w:val="0"/>
                      <w:marRight w:val="0"/>
                      <w:marTop w:val="0"/>
                      <w:marBottom w:val="0"/>
                      <w:divBdr>
                        <w:top w:val="none" w:sz="0" w:space="0" w:color="auto"/>
                        <w:left w:val="none" w:sz="0" w:space="0" w:color="auto"/>
                        <w:bottom w:val="none" w:sz="0" w:space="0" w:color="auto"/>
                        <w:right w:val="none" w:sz="0" w:space="0" w:color="auto"/>
                      </w:divBdr>
                    </w:div>
                  </w:divsChild>
                </w:div>
                <w:div w:id="1659118356">
                  <w:marLeft w:val="0"/>
                  <w:marRight w:val="0"/>
                  <w:marTop w:val="0"/>
                  <w:marBottom w:val="0"/>
                  <w:divBdr>
                    <w:top w:val="none" w:sz="0" w:space="0" w:color="auto"/>
                    <w:left w:val="none" w:sz="0" w:space="0" w:color="auto"/>
                    <w:bottom w:val="none" w:sz="0" w:space="0" w:color="auto"/>
                    <w:right w:val="none" w:sz="0" w:space="0" w:color="auto"/>
                  </w:divBdr>
                  <w:divsChild>
                    <w:div w:id="528226275">
                      <w:marLeft w:val="0"/>
                      <w:marRight w:val="0"/>
                      <w:marTop w:val="0"/>
                      <w:marBottom w:val="0"/>
                      <w:divBdr>
                        <w:top w:val="none" w:sz="0" w:space="0" w:color="auto"/>
                        <w:left w:val="none" w:sz="0" w:space="0" w:color="auto"/>
                        <w:bottom w:val="none" w:sz="0" w:space="0" w:color="auto"/>
                        <w:right w:val="none" w:sz="0" w:space="0" w:color="auto"/>
                      </w:divBdr>
                    </w:div>
                  </w:divsChild>
                </w:div>
                <w:div w:id="1789738593">
                  <w:marLeft w:val="0"/>
                  <w:marRight w:val="0"/>
                  <w:marTop w:val="0"/>
                  <w:marBottom w:val="0"/>
                  <w:divBdr>
                    <w:top w:val="none" w:sz="0" w:space="0" w:color="auto"/>
                    <w:left w:val="none" w:sz="0" w:space="0" w:color="auto"/>
                    <w:bottom w:val="none" w:sz="0" w:space="0" w:color="auto"/>
                    <w:right w:val="none" w:sz="0" w:space="0" w:color="auto"/>
                  </w:divBdr>
                  <w:divsChild>
                    <w:div w:id="998001422">
                      <w:marLeft w:val="0"/>
                      <w:marRight w:val="0"/>
                      <w:marTop w:val="0"/>
                      <w:marBottom w:val="0"/>
                      <w:divBdr>
                        <w:top w:val="none" w:sz="0" w:space="0" w:color="auto"/>
                        <w:left w:val="none" w:sz="0" w:space="0" w:color="auto"/>
                        <w:bottom w:val="none" w:sz="0" w:space="0" w:color="auto"/>
                        <w:right w:val="none" w:sz="0" w:space="0" w:color="auto"/>
                      </w:divBdr>
                    </w:div>
                  </w:divsChild>
                </w:div>
                <w:div w:id="1840584081">
                  <w:marLeft w:val="0"/>
                  <w:marRight w:val="0"/>
                  <w:marTop w:val="0"/>
                  <w:marBottom w:val="0"/>
                  <w:divBdr>
                    <w:top w:val="none" w:sz="0" w:space="0" w:color="auto"/>
                    <w:left w:val="none" w:sz="0" w:space="0" w:color="auto"/>
                    <w:bottom w:val="none" w:sz="0" w:space="0" w:color="auto"/>
                    <w:right w:val="none" w:sz="0" w:space="0" w:color="auto"/>
                  </w:divBdr>
                  <w:divsChild>
                    <w:div w:id="1237285753">
                      <w:marLeft w:val="0"/>
                      <w:marRight w:val="0"/>
                      <w:marTop w:val="0"/>
                      <w:marBottom w:val="0"/>
                      <w:divBdr>
                        <w:top w:val="none" w:sz="0" w:space="0" w:color="auto"/>
                        <w:left w:val="none" w:sz="0" w:space="0" w:color="auto"/>
                        <w:bottom w:val="none" w:sz="0" w:space="0" w:color="auto"/>
                        <w:right w:val="none" w:sz="0" w:space="0" w:color="auto"/>
                      </w:divBdr>
                    </w:div>
                  </w:divsChild>
                </w:div>
                <w:div w:id="1867401070">
                  <w:marLeft w:val="0"/>
                  <w:marRight w:val="0"/>
                  <w:marTop w:val="0"/>
                  <w:marBottom w:val="0"/>
                  <w:divBdr>
                    <w:top w:val="none" w:sz="0" w:space="0" w:color="auto"/>
                    <w:left w:val="none" w:sz="0" w:space="0" w:color="auto"/>
                    <w:bottom w:val="none" w:sz="0" w:space="0" w:color="auto"/>
                    <w:right w:val="none" w:sz="0" w:space="0" w:color="auto"/>
                  </w:divBdr>
                  <w:divsChild>
                    <w:div w:id="210771406">
                      <w:marLeft w:val="0"/>
                      <w:marRight w:val="0"/>
                      <w:marTop w:val="0"/>
                      <w:marBottom w:val="0"/>
                      <w:divBdr>
                        <w:top w:val="none" w:sz="0" w:space="0" w:color="auto"/>
                        <w:left w:val="none" w:sz="0" w:space="0" w:color="auto"/>
                        <w:bottom w:val="none" w:sz="0" w:space="0" w:color="auto"/>
                        <w:right w:val="none" w:sz="0" w:space="0" w:color="auto"/>
                      </w:divBdr>
                    </w:div>
                  </w:divsChild>
                </w:div>
                <w:div w:id="1875078506">
                  <w:marLeft w:val="0"/>
                  <w:marRight w:val="0"/>
                  <w:marTop w:val="0"/>
                  <w:marBottom w:val="0"/>
                  <w:divBdr>
                    <w:top w:val="none" w:sz="0" w:space="0" w:color="auto"/>
                    <w:left w:val="none" w:sz="0" w:space="0" w:color="auto"/>
                    <w:bottom w:val="none" w:sz="0" w:space="0" w:color="auto"/>
                    <w:right w:val="none" w:sz="0" w:space="0" w:color="auto"/>
                  </w:divBdr>
                  <w:divsChild>
                    <w:div w:id="1599361316">
                      <w:marLeft w:val="0"/>
                      <w:marRight w:val="0"/>
                      <w:marTop w:val="0"/>
                      <w:marBottom w:val="0"/>
                      <w:divBdr>
                        <w:top w:val="none" w:sz="0" w:space="0" w:color="auto"/>
                        <w:left w:val="none" w:sz="0" w:space="0" w:color="auto"/>
                        <w:bottom w:val="none" w:sz="0" w:space="0" w:color="auto"/>
                        <w:right w:val="none" w:sz="0" w:space="0" w:color="auto"/>
                      </w:divBdr>
                    </w:div>
                  </w:divsChild>
                </w:div>
                <w:div w:id="1900942420">
                  <w:marLeft w:val="0"/>
                  <w:marRight w:val="0"/>
                  <w:marTop w:val="0"/>
                  <w:marBottom w:val="0"/>
                  <w:divBdr>
                    <w:top w:val="none" w:sz="0" w:space="0" w:color="auto"/>
                    <w:left w:val="none" w:sz="0" w:space="0" w:color="auto"/>
                    <w:bottom w:val="none" w:sz="0" w:space="0" w:color="auto"/>
                    <w:right w:val="none" w:sz="0" w:space="0" w:color="auto"/>
                  </w:divBdr>
                  <w:divsChild>
                    <w:div w:id="924538132">
                      <w:marLeft w:val="0"/>
                      <w:marRight w:val="0"/>
                      <w:marTop w:val="0"/>
                      <w:marBottom w:val="0"/>
                      <w:divBdr>
                        <w:top w:val="none" w:sz="0" w:space="0" w:color="auto"/>
                        <w:left w:val="none" w:sz="0" w:space="0" w:color="auto"/>
                        <w:bottom w:val="none" w:sz="0" w:space="0" w:color="auto"/>
                        <w:right w:val="none" w:sz="0" w:space="0" w:color="auto"/>
                      </w:divBdr>
                    </w:div>
                  </w:divsChild>
                </w:div>
                <w:div w:id="2006661843">
                  <w:marLeft w:val="0"/>
                  <w:marRight w:val="0"/>
                  <w:marTop w:val="0"/>
                  <w:marBottom w:val="0"/>
                  <w:divBdr>
                    <w:top w:val="none" w:sz="0" w:space="0" w:color="auto"/>
                    <w:left w:val="none" w:sz="0" w:space="0" w:color="auto"/>
                    <w:bottom w:val="none" w:sz="0" w:space="0" w:color="auto"/>
                    <w:right w:val="none" w:sz="0" w:space="0" w:color="auto"/>
                  </w:divBdr>
                  <w:divsChild>
                    <w:div w:id="895436151">
                      <w:marLeft w:val="0"/>
                      <w:marRight w:val="0"/>
                      <w:marTop w:val="0"/>
                      <w:marBottom w:val="0"/>
                      <w:divBdr>
                        <w:top w:val="none" w:sz="0" w:space="0" w:color="auto"/>
                        <w:left w:val="none" w:sz="0" w:space="0" w:color="auto"/>
                        <w:bottom w:val="none" w:sz="0" w:space="0" w:color="auto"/>
                        <w:right w:val="none" w:sz="0" w:space="0" w:color="auto"/>
                      </w:divBdr>
                    </w:div>
                  </w:divsChild>
                </w:div>
                <w:div w:id="2041319877">
                  <w:marLeft w:val="0"/>
                  <w:marRight w:val="0"/>
                  <w:marTop w:val="0"/>
                  <w:marBottom w:val="0"/>
                  <w:divBdr>
                    <w:top w:val="none" w:sz="0" w:space="0" w:color="auto"/>
                    <w:left w:val="none" w:sz="0" w:space="0" w:color="auto"/>
                    <w:bottom w:val="none" w:sz="0" w:space="0" w:color="auto"/>
                    <w:right w:val="none" w:sz="0" w:space="0" w:color="auto"/>
                  </w:divBdr>
                  <w:divsChild>
                    <w:div w:id="267323756">
                      <w:marLeft w:val="0"/>
                      <w:marRight w:val="0"/>
                      <w:marTop w:val="0"/>
                      <w:marBottom w:val="0"/>
                      <w:divBdr>
                        <w:top w:val="none" w:sz="0" w:space="0" w:color="auto"/>
                        <w:left w:val="none" w:sz="0" w:space="0" w:color="auto"/>
                        <w:bottom w:val="none" w:sz="0" w:space="0" w:color="auto"/>
                        <w:right w:val="none" w:sz="0" w:space="0" w:color="auto"/>
                      </w:divBdr>
                    </w:div>
                  </w:divsChild>
                </w:div>
                <w:div w:id="2090232498">
                  <w:marLeft w:val="0"/>
                  <w:marRight w:val="0"/>
                  <w:marTop w:val="0"/>
                  <w:marBottom w:val="0"/>
                  <w:divBdr>
                    <w:top w:val="none" w:sz="0" w:space="0" w:color="auto"/>
                    <w:left w:val="none" w:sz="0" w:space="0" w:color="auto"/>
                    <w:bottom w:val="none" w:sz="0" w:space="0" w:color="auto"/>
                    <w:right w:val="none" w:sz="0" w:space="0" w:color="auto"/>
                  </w:divBdr>
                  <w:divsChild>
                    <w:div w:id="1988044779">
                      <w:marLeft w:val="0"/>
                      <w:marRight w:val="0"/>
                      <w:marTop w:val="0"/>
                      <w:marBottom w:val="0"/>
                      <w:divBdr>
                        <w:top w:val="none" w:sz="0" w:space="0" w:color="auto"/>
                        <w:left w:val="none" w:sz="0" w:space="0" w:color="auto"/>
                        <w:bottom w:val="none" w:sz="0" w:space="0" w:color="auto"/>
                        <w:right w:val="none" w:sz="0" w:space="0" w:color="auto"/>
                      </w:divBdr>
                    </w:div>
                  </w:divsChild>
                </w:div>
                <w:div w:id="2107967787">
                  <w:marLeft w:val="0"/>
                  <w:marRight w:val="0"/>
                  <w:marTop w:val="0"/>
                  <w:marBottom w:val="0"/>
                  <w:divBdr>
                    <w:top w:val="none" w:sz="0" w:space="0" w:color="auto"/>
                    <w:left w:val="none" w:sz="0" w:space="0" w:color="auto"/>
                    <w:bottom w:val="none" w:sz="0" w:space="0" w:color="auto"/>
                    <w:right w:val="none" w:sz="0" w:space="0" w:color="auto"/>
                  </w:divBdr>
                  <w:divsChild>
                    <w:div w:id="16519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226">
          <w:marLeft w:val="0"/>
          <w:marRight w:val="0"/>
          <w:marTop w:val="0"/>
          <w:marBottom w:val="0"/>
          <w:divBdr>
            <w:top w:val="none" w:sz="0" w:space="0" w:color="auto"/>
            <w:left w:val="none" w:sz="0" w:space="0" w:color="auto"/>
            <w:bottom w:val="none" w:sz="0" w:space="0" w:color="auto"/>
            <w:right w:val="none" w:sz="0" w:space="0" w:color="auto"/>
          </w:divBdr>
        </w:div>
      </w:divsChild>
    </w:div>
    <w:div w:id="455612009">
      <w:bodyDiv w:val="1"/>
      <w:marLeft w:val="0"/>
      <w:marRight w:val="0"/>
      <w:marTop w:val="0"/>
      <w:marBottom w:val="0"/>
      <w:divBdr>
        <w:top w:val="none" w:sz="0" w:space="0" w:color="auto"/>
        <w:left w:val="none" w:sz="0" w:space="0" w:color="auto"/>
        <w:bottom w:val="none" w:sz="0" w:space="0" w:color="auto"/>
        <w:right w:val="none" w:sz="0" w:space="0" w:color="auto"/>
      </w:divBdr>
      <w:divsChild>
        <w:div w:id="1811357364">
          <w:marLeft w:val="0"/>
          <w:marRight w:val="0"/>
          <w:marTop w:val="0"/>
          <w:marBottom w:val="0"/>
          <w:divBdr>
            <w:top w:val="none" w:sz="0" w:space="0" w:color="auto"/>
            <w:left w:val="none" w:sz="0" w:space="0" w:color="auto"/>
            <w:bottom w:val="none" w:sz="0" w:space="0" w:color="auto"/>
            <w:right w:val="none" w:sz="0" w:space="0" w:color="auto"/>
          </w:divBdr>
        </w:div>
        <w:div w:id="1863668822">
          <w:marLeft w:val="0"/>
          <w:marRight w:val="0"/>
          <w:marTop w:val="0"/>
          <w:marBottom w:val="0"/>
          <w:divBdr>
            <w:top w:val="none" w:sz="0" w:space="0" w:color="auto"/>
            <w:left w:val="none" w:sz="0" w:space="0" w:color="auto"/>
            <w:bottom w:val="none" w:sz="0" w:space="0" w:color="auto"/>
            <w:right w:val="none" w:sz="0" w:space="0" w:color="auto"/>
          </w:divBdr>
        </w:div>
      </w:divsChild>
    </w:div>
    <w:div w:id="464737916">
      <w:bodyDiv w:val="1"/>
      <w:marLeft w:val="0"/>
      <w:marRight w:val="0"/>
      <w:marTop w:val="0"/>
      <w:marBottom w:val="0"/>
      <w:divBdr>
        <w:top w:val="none" w:sz="0" w:space="0" w:color="auto"/>
        <w:left w:val="none" w:sz="0" w:space="0" w:color="auto"/>
        <w:bottom w:val="none" w:sz="0" w:space="0" w:color="auto"/>
        <w:right w:val="none" w:sz="0" w:space="0" w:color="auto"/>
      </w:divBdr>
    </w:div>
    <w:div w:id="470439520">
      <w:bodyDiv w:val="1"/>
      <w:marLeft w:val="0"/>
      <w:marRight w:val="0"/>
      <w:marTop w:val="0"/>
      <w:marBottom w:val="0"/>
      <w:divBdr>
        <w:top w:val="none" w:sz="0" w:space="0" w:color="auto"/>
        <w:left w:val="none" w:sz="0" w:space="0" w:color="auto"/>
        <w:bottom w:val="none" w:sz="0" w:space="0" w:color="auto"/>
        <w:right w:val="none" w:sz="0" w:space="0" w:color="auto"/>
      </w:divBdr>
      <w:divsChild>
        <w:div w:id="617877045">
          <w:marLeft w:val="0"/>
          <w:marRight w:val="0"/>
          <w:marTop w:val="0"/>
          <w:marBottom w:val="0"/>
          <w:divBdr>
            <w:top w:val="none" w:sz="0" w:space="0" w:color="auto"/>
            <w:left w:val="none" w:sz="0" w:space="0" w:color="auto"/>
            <w:bottom w:val="none" w:sz="0" w:space="0" w:color="auto"/>
            <w:right w:val="none" w:sz="0" w:space="0" w:color="auto"/>
          </w:divBdr>
        </w:div>
      </w:divsChild>
    </w:div>
    <w:div w:id="661392869">
      <w:bodyDiv w:val="1"/>
      <w:marLeft w:val="0"/>
      <w:marRight w:val="0"/>
      <w:marTop w:val="0"/>
      <w:marBottom w:val="0"/>
      <w:divBdr>
        <w:top w:val="none" w:sz="0" w:space="0" w:color="auto"/>
        <w:left w:val="none" w:sz="0" w:space="0" w:color="auto"/>
        <w:bottom w:val="none" w:sz="0" w:space="0" w:color="auto"/>
        <w:right w:val="none" w:sz="0" w:space="0" w:color="auto"/>
      </w:divBdr>
      <w:divsChild>
        <w:div w:id="132406261">
          <w:marLeft w:val="0"/>
          <w:marRight w:val="0"/>
          <w:marTop w:val="0"/>
          <w:marBottom w:val="0"/>
          <w:divBdr>
            <w:top w:val="none" w:sz="0" w:space="0" w:color="auto"/>
            <w:left w:val="none" w:sz="0" w:space="0" w:color="auto"/>
            <w:bottom w:val="none" w:sz="0" w:space="0" w:color="auto"/>
            <w:right w:val="none" w:sz="0" w:space="0" w:color="auto"/>
          </w:divBdr>
        </w:div>
        <w:div w:id="718942685">
          <w:marLeft w:val="0"/>
          <w:marRight w:val="0"/>
          <w:marTop w:val="0"/>
          <w:marBottom w:val="0"/>
          <w:divBdr>
            <w:top w:val="none" w:sz="0" w:space="0" w:color="auto"/>
            <w:left w:val="none" w:sz="0" w:space="0" w:color="auto"/>
            <w:bottom w:val="none" w:sz="0" w:space="0" w:color="auto"/>
            <w:right w:val="none" w:sz="0" w:space="0" w:color="auto"/>
          </w:divBdr>
        </w:div>
        <w:div w:id="1816991753">
          <w:marLeft w:val="0"/>
          <w:marRight w:val="0"/>
          <w:marTop w:val="0"/>
          <w:marBottom w:val="0"/>
          <w:divBdr>
            <w:top w:val="none" w:sz="0" w:space="0" w:color="auto"/>
            <w:left w:val="none" w:sz="0" w:space="0" w:color="auto"/>
            <w:bottom w:val="none" w:sz="0" w:space="0" w:color="auto"/>
            <w:right w:val="none" w:sz="0" w:space="0" w:color="auto"/>
          </w:divBdr>
        </w:div>
      </w:divsChild>
    </w:div>
    <w:div w:id="7039894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66">
          <w:marLeft w:val="0"/>
          <w:marRight w:val="0"/>
          <w:marTop w:val="0"/>
          <w:marBottom w:val="0"/>
          <w:divBdr>
            <w:top w:val="none" w:sz="0" w:space="0" w:color="auto"/>
            <w:left w:val="none" w:sz="0" w:space="0" w:color="auto"/>
            <w:bottom w:val="none" w:sz="0" w:space="0" w:color="auto"/>
            <w:right w:val="none" w:sz="0" w:space="0" w:color="auto"/>
          </w:divBdr>
        </w:div>
      </w:divsChild>
    </w:div>
    <w:div w:id="762260722">
      <w:bodyDiv w:val="1"/>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892231452">
      <w:bodyDiv w:val="1"/>
      <w:marLeft w:val="0"/>
      <w:marRight w:val="0"/>
      <w:marTop w:val="0"/>
      <w:marBottom w:val="0"/>
      <w:divBdr>
        <w:top w:val="none" w:sz="0" w:space="0" w:color="auto"/>
        <w:left w:val="none" w:sz="0" w:space="0" w:color="auto"/>
        <w:bottom w:val="none" w:sz="0" w:space="0" w:color="auto"/>
        <w:right w:val="none" w:sz="0" w:space="0" w:color="auto"/>
      </w:divBdr>
    </w:div>
    <w:div w:id="909073467">
      <w:bodyDiv w:val="1"/>
      <w:marLeft w:val="0"/>
      <w:marRight w:val="0"/>
      <w:marTop w:val="0"/>
      <w:marBottom w:val="0"/>
      <w:divBdr>
        <w:top w:val="none" w:sz="0" w:space="0" w:color="auto"/>
        <w:left w:val="none" w:sz="0" w:space="0" w:color="auto"/>
        <w:bottom w:val="none" w:sz="0" w:space="0" w:color="auto"/>
        <w:right w:val="none" w:sz="0" w:space="0" w:color="auto"/>
      </w:divBdr>
    </w:div>
    <w:div w:id="1158116151">
      <w:bodyDiv w:val="1"/>
      <w:marLeft w:val="0"/>
      <w:marRight w:val="0"/>
      <w:marTop w:val="0"/>
      <w:marBottom w:val="0"/>
      <w:divBdr>
        <w:top w:val="none" w:sz="0" w:space="0" w:color="auto"/>
        <w:left w:val="none" w:sz="0" w:space="0" w:color="auto"/>
        <w:bottom w:val="none" w:sz="0" w:space="0" w:color="auto"/>
        <w:right w:val="none" w:sz="0" w:space="0" w:color="auto"/>
      </w:divBdr>
    </w:div>
    <w:div w:id="1445227163">
      <w:bodyDiv w:val="1"/>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
        <w:div w:id="1322393578">
          <w:marLeft w:val="0"/>
          <w:marRight w:val="0"/>
          <w:marTop w:val="0"/>
          <w:marBottom w:val="0"/>
          <w:divBdr>
            <w:top w:val="none" w:sz="0" w:space="0" w:color="auto"/>
            <w:left w:val="none" w:sz="0" w:space="0" w:color="auto"/>
            <w:bottom w:val="none" w:sz="0" w:space="0" w:color="auto"/>
            <w:right w:val="none" w:sz="0" w:space="0" w:color="auto"/>
          </w:divBdr>
        </w:div>
      </w:divsChild>
    </w:div>
    <w:div w:id="1493326019">
      <w:bodyDiv w:val="1"/>
      <w:marLeft w:val="0"/>
      <w:marRight w:val="0"/>
      <w:marTop w:val="0"/>
      <w:marBottom w:val="0"/>
      <w:divBdr>
        <w:top w:val="none" w:sz="0" w:space="0" w:color="auto"/>
        <w:left w:val="none" w:sz="0" w:space="0" w:color="auto"/>
        <w:bottom w:val="none" w:sz="0" w:space="0" w:color="auto"/>
        <w:right w:val="none" w:sz="0" w:space="0" w:color="auto"/>
      </w:divBdr>
      <w:divsChild>
        <w:div w:id="547574061">
          <w:marLeft w:val="0"/>
          <w:marRight w:val="0"/>
          <w:marTop w:val="0"/>
          <w:marBottom w:val="0"/>
          <w:divBdr>
            <w:top w:val="none" w:sz="0" w:space="0" w:color="auto"/>
            <w:left w:val="none" w:sz="0" w:space="0" w:color="auto"/>
            <w:bottom w:val="none" w:sz="0" w:space="0" w:color="auto"/>
            <w:right w:val="none" w:sz="0" w:space="0" w:color="auto"/>
          </w:divBdr>
        </w:div>
        <w:div w:id="950160742">
          <w:marLeft w:val="0"/>
          <w:marRight w:val="0"/>
          <w:marTop w:val="0"/>
          <w:marBottom w:val="0"/>
          <w:divBdr>
            <w:top w:val="none" w:sz="0" w:space="0" w:color="auto"/>
            <w:left w:val="none" w:sz="0" w:space="0" w:color="auto"/>
            <w:bottom w:val="none" w:sz="0" w:space="0" w:color="auto"/>
            <w:right w:val="none" w:sz="0" w:space="0" w:color="auto"/>
          </w:divBdr>
        </w:div>
      </w:divsChild>
    </w:div>
    <w:div w:id="1622565507">
      <w:bodyDiv w:val="1"/>
      <w:marLeft w:val="0"/>
      <w:marRight w:val="0"/>
      <w:marTop w:val="0"/>
      <w:marBottom w:val="0"/>
      <w:divBdr>
        <w:top w:val="none" w:sz="0" w:space="0" w:color="auto"/>
        <w:left w:val="none" w:sz="0" w:space="0" w:color="auto"/>
        <w:bottom w:val="none" w:sz="0" w:space="0" w:color="auto"/>
        <w:right w:val="none" w:sz="0" w:space="0" w:color="auto"/>
      </w:divBdr>
    </w:div>
    <w:div w:id="1653753202">
      <w:bodyDiv w:val="1"/>
      <w:marLeft w:val="0"/>
      <w:marRight w:val="0"/>
      <w:marTop w:val="0"/>
      <w:marBottom w:val="0"/>
      <w:divBdr>
        <w:top w:val="none" w:sz="0" w:space="0" w:color="auto"/>
        <w:left w:val="none" w:sz="0" w:space="0" w:color="auto"/>
        <w:bottom w:val="none" w:sz="0" w:space="0" w:color="auto"/>
        <w:right w:val="none" w:sz="0" w:space="0" w:color="auto"/>
      </w:divBdr>
    </w:div>
    <w:div w:id="1656376424">
      <w:bodyDiv w:val="1"/>
      <w:marLeft w:val="0"/>
      <w:marRight w:val="0"/>
      <w:marTop w:val="0"/>
      <w:marBottom w:val="0"/>
      <w:divBdr>
        <w:top w:val="none" w:sz="0" w:space="0" w:color="auto"/>
        <w:left w:val="none" w:sz="0" w:space="0" w:color="auto"/>
        <w:bottom w:val="none" w:sz="0" w:space="0" w:color="auto"/>
        <w:right w:val="none" w:sz="0" w:space="0" w:color="auto"/>
      </w:divBdr>
      <w:divsChild>
        <w:div w:id="1047224820">
          <w:marLeft w:val="0"/>
          <w:marRight w:val="0"/>
          <w:marTop w:val="0"/>
          <w:marBottom w:val="0"/>
          <w:divBdr>
            <w:top w:val="none" w:sz="0" w:space="0" w:color="auto"/>
            <w:left w:val="none" w:sz="0" w:space="0" w:color="auto"/>
            <w:bottom w:val="none" w:sz="0" w:space="0" w:color="auto"/>
            <w:right w:val="none" w:sz="0" w:space="0" w:color="auto"/>
          </w:divBdr>
        </w:div>
      </w:divsChild>
    </w:div>
    <w:div w:id="1675649073">
      <w:bodyDiv w:val="1"/>
      <w:marLeft w:val="0"/>
      <w:marRight w:val="0"/>
      <w:marTop w:val="0"/>
      <w:marBottom w:val="0"/>
      <w:divBdr>
        <w:top w:val="none" w:sz="0" w:space="0" w:color="auto"/>
        <w:left w:val="none" w:sz="0" w:space="0" w:color="auto"/>
        <w:bottom w:val="none" w:sz="0" w:space="0" w:color="auto"/>
        <w:right w:val="none" w:sz="0" w:space="0" w:color="auto"/>
      </w:divBdr>
      <w:divsChild>
        <w:div w:id="6955233">
          <w:marLeft w:val="0"/>
          <w:marRight w:val="0"/>
          <w:marTop w:val="0"/>
          <w:marBottom w:val="0"/>
          <w:divBdr>
            <w:top w:val="none" w:sz="0" w:space="0" w:color="auto"/>
            <w:left w:val="none" w:sz="0" w:space="0" w:color="auto"/>
            <w:bottom w:val="none" w:sz="0" w:space="0" w:color="auto"/>
            <w:right w:val="none" w:sz="0" w:space="0" w:color="auto"/>
          </w:divBdr>
        </w:div>
      </w:divsChild>
    </w:div>
    <w:div w:id="1688480113">
      <w:bodyDiv w:val="1"/>
      <w:marLeft w:val="0"/>
      <w:marRight w:val="0"/>
      <w:marTop w:val="0"/>
      <w:marBottom w:val="0"/>
      <w:divBdr>
        <w:top w:val="none" w:sz="0" w:space="0" w:color="auto"/>
        <w:left w:val="none" w:sz="0" w:space="0" w:color="auto"/>
        <w:bottom w:val="none" w:sz="0" w:space="0" w:color="auto"/>
        <w:right w:val="none" w:sz="0" w:space="0" w:color="auto"/>
      </w:divBdr>
    </w:div>
    <w:div w:id="1691445177">
      <w:bodyDiv w:val="1"/>
      <w:marLeft w:val="0"/>
      <w:marRight w:val="0"/>
      <w:marTop w:val="0"/>
      <w:marBottom w:val="0"/>
      <w:divBdr>
        <w:top w:val="none" w:sz="0" w:space="0" w:color="auto"/>
        <w:left w:val="none" w:sz="0" w:space="0" w:color="auto"/>
        <w:bottom w:val="none" w:sz="0" w:space="0" w:color="auto"/>
        <w:right w:val="none" w:sz="0" w:space="0" w:color="auto"/>
      </w:divBdr>
    </w:div>
    <w:div w:id="1728456663">
      <w:bodyDiv w:val="1"/>
      <w:marLeft w:val="0"/>
      <w:marRight w:val="0"/>
      <w:marTop w:val="0"/>
      <w:marBottom w:val="0"/>
      <w:divBdr>
        <w:top w:val="none" w:sz="0" w:space="0" w:color="auto"/>
        <w:left w:val="none" w:sz="0" w:space="0" w:color="auto"/>
        <w:bottom w:val="none" w:sz="0" w:space="0" w:color="auto"/>
        <w:right w:val="none" w:sz="0" w:space="0" w:color="auto"/>
      </w:divBdr>
    </w:div>
    <w:div w:id="1869222183">
      <w:bodyDiv w:val="1"/>
      <w:marLeft w:val="0"/>
      <w:marRight w:val="0"/>
      <w:marTop w:val="0"/>
      <w:marBottom w:val="0"/>
      <w:divBdr>
        <w:top w:val="none" w:sz="0" w:space="0" w:color="auto"/>
        <w:left w:val="none" w:sz="0" w:space="0" w:color="auto"/>
        <w:bottom w:val="none" w:sz="0" w:space="0" w:color="auto"/>
        <w:right w:val="none" w:sz="0" w:space="0" w:color="auto"/>
      </w:divBdr>
    </w:div>
    <w:div w:id="1994987761">
      <w:bodyDiv w:val="1"/>
      <w:marLeft w:val="0"/>
      <w:marRight w:val="0"/>
      <w:marTop w:val="0"/>
      <w:marBottom w:val="0"/>
      <w:divBdr>
        <w:top w:val="none" w:sz="0" w:space="0" w:color="auto"/>
        <w:left w:val="none" w:sz="0" w:space="0" w:color="auto"/>
        <w:bottom w:val="none" w:sz="0" w:space="0" w:color="auto"/>
        <w:right w:val="none" w:sz="0" w:space="0" w:color="auto"/>
      </w:divBdr>
    </w:div>
    <w:div w:id="1995991098">
      <w:bodyDiv w:val="1"/>
      <w:marLeft w:val="0"/>
      <w:marRight w:val="0"/>
      <w:marTop w:val="0"/>
      <w:marBottom w:val="0"/>
      <w:divBdr>
        <w:top w:val="none" w:sz="0" w:space="0" w:color="auto"/>
        <w:left w:val="none" w:sz="0" w:space="0" w:color="auto"/>
        <w:bottom w:val="none" w:sz="0" w:space="0" w:color="auto"/>
        <w:right w:val="none" w:sz="0" w:space="0" w:color="auto"/>
      </w:divBdr>
      <w:divsChild>
        <w:div w:id="456946445">
          <w:marLeft w:val="0"/>
          <w:marRight w:val="0"/>
          <w:marTop w:val="0"/>
          <w:marBottom w:val="0"/>
          <w:divBdr>
            <w:top w:val="none" w:sz="0" w:space="0" w:color="auto"/>
            <w:left w:val="none" w:sz="0" w:space="0" w:color="auto"/>
            <w:bottom w:val="none" w:sz="0" w:space="0" w:color="auto"/>
            <w:right w:val="none" w:sz="0" w:space="0" w:color="auto"/>
          </w:divBdr>
        </w:div>
        <w:div w:id="1655983703">
          <w:marLeft w:val="0"/>
          <w:marRight w:val="0"/>
          <w:marTop w:val="0"/>
          <w:marBottom w:val="0"/>
          <w:divBdr>
            <w:top w:val="none" w:sz="0" w:space="0" w:color="auto"/>
            <w:left w:val="none" w:sz="0" w:space="0" w:color="auto"/>
            <w:bottom w:val="none" w:sz="0" w:space="0" w:color="auto"/>
            <w:right w:val="none" w:sz="0" w:space="0" w:color="auto"/>
          </w:divBdr>
        </w:div>
        <w:div w:id="201899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finance/chapter70/local-contribution-study.html" TargetMode="External"/><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s://www.mbae.org/initiatives/missing-the-mark/" TargetMode="External"/><Relationship Id="rId2" Type="http://schemas.openxmlformats.org/officeDocument/2006/relationships/hyperlink" Target="https://www.doe.mass.edu/finance/chapter70/local-contribution-study.html" TargetMode="External"/><Relationship Id="rId1" Type="http://schemas.openxmlformats.org/officeDocument/2006/relationships/hyperlink" Target="https://www.doe.mass.edu/finance/chapter70/fy2020/chapter-20-whitepaper.docx" TargetMode="External"/><Relationship Id="rId4" Type="http://schemas.openxmlformats.org/officeDocument/2006/relationships/hyperlink" Target="https://www.mass.gov/service-details/cherry-sheet-estimates-local-aid-payments-and-municipal-revenue-growth-factors-mr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na\Desktop\legislative%20report%20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DESE-231-66476</_dlc_DocId>
    <_dlc_DocIdUrl xmlns="733efe1c-5bbe-4968-87dc-d400e65c879f">
      <Url>https://sharepoint.doemass.org/ese/webteam/cps/_layouts/DocIdRedir.aspx?ID=DESE-231-66476</Url>
      <Description>DESE-231-66476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099D7-ED40-44F3-B5CC-9B8D872D5C47}">
  <ds:schemaRefs>
    <ds:schemaRef ds:uri="http://schemas.microsoft.com/sharepoint/events"/>
  </ds:schemaRefs>
</ds:datastoreItem>
</file>

<file path=customXml/itemProps2.xml><?xml version="1.0" encoding="utf-8"?>
<ds:datastoreItem xmlns:ds="http://schemas.openxmlformats.org/officeDocument/2006/customXml" ds:itemID="{0ACE9723-E62B-4EFA-8ABD-9523DDF37FF2}">
  <ds:schemaRefs>
    <ds:schemaRef ds:uri="http://schemas.microsoft.com/sharepoint/v3/contenttype/forms"/>
  </ds:schemaRefs>
</ds:datastoreItem>
</file>

<file path=customXml/itemProps3.xml><?xml version="1.0" encoding="utf-8"?>
<ds:datastoreItem xmlns:ds="http://schemas.openxmlformats.org/officeDocument/2006/customXml" ds:itemID="{745D04AB-BBC5-4277-9817-BA28F0A71C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B83FFF5-8E03-40DE-BC34-0D40FDEB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94E796-5F3A-4DEE-9E7C-4996BA2E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draft.dotm</Template>
  <TotalTime>2</TotalTime>
  <Pages>73</Pages>
  <Words>22725</Words>
  <Characters>129536</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Local Contribution Study</vt:lpstr>
    </vt:vector>
  </TitlesOfParts>
  <Company/>
  <LinksUpToDate>false</LinksUpToDate>
  <CharactersWithSpaces>151958</CharactersWithSpaces>
  <SharedDoc>false</SharedDoc>
  <HLinks>
    <vt:vector size="156" baseType="variant">
      <vt:variant>
        <vt:i4>5374018</vt:i4>
      </vt:variant>
      <vt:variant>
        <vt:i4>129</vt:i4>
      </vt:variant>
      <vt:variant>
        <vt:i4>0</vt:i4>
      </vt:variant>
      <vt:variant>
        <vt:i4>5</vt:i4>
      </vt:variant>
      <vt:variant>
        <vt:lpwstr>https://www.doe.mass.edu/finance/chapter70/local-contribution-study.html</vt:lpwstr>
      </vt:variant>
      <vt:variant>
        <vt:lpwstr/>
      </vt:variant>
      <vt:variant>
        <vt:i4>1703988</vt:i4>
      </vt:variant>
      <vt:variant>
        <vt:i4>122</vt:i4>
      </vt:variant>
      <vt:variant>
        <vt:i4>0</vt:i4>
      </vt:variant>
      <vt:variant>
        <vt:i4>5</vt:i4>
      </vt:variant>
      <vt:variant>
        <vt:lpwstr/>
      </vt:variant>
      <vt:variant>
        <vt:lpwstr>_Toc57725139</vt:lpwstr>
      </vt:variant>
      <vt:variant>
        <vt:i4>1769524</vt:i4>
      </vt:variant>
      <vt:variant>
        <vt:i4>116</vt:i4>
      </vt:variant>
      <vt:variant>
        <vt:i4>0</vt:i4>
      </vt:variant>
      <vt:variant>
        <vt:i4>5</vt:i4>
      </vt:variant>
      <vt:variant>
        <vt:lpwstr/>
      </vt:variant>
      <vt:variant>
        <vt:lpwstr>_Toc57725138</vt:lpwstr>
      </vt:variant>
      <vt:variant>
        <vt:i4>1310772</vt:i4>
      </vt:variant>
      <vt:variant>
        <vt:i4>110</vt:i4>
      </vt:variant>
      <vt:variant>
        <vt:i4>0</vt:i4>
      </vt:variant>
      <vt:variant>
        <vt:i4>5</vt:i4>
      </vt:variant>
      <vt:variant>
        <vt:lpwstr/>
      </vt:variant>
      <vt:variant>
        <vt:lpwstr>_Toc57725137</vt:lpwstr>
      </vt:variant>
      <vt:variant>
        <vt:i4>1376308</vt:i4>
      </vt:variant>
      <vt:variant>
        <vt:i4>104</vt:i4>
      </vt:variant>
      <vt:variant>
        <vt:i4>0</vt:i4>
      </vt:variant>
      <vt:variant>
        <vt:i4>5</vt:i4>
      </vt:variant>
      <vt:variant>
        <vt:lpwstr/>
      </vt:variant>
      <vt:variant>
        <vt:lpwstr>_Toc57725136</vt:lpwstr>
      </vt:variant>
      <vt:variant>
        <vt:i4>1441844</vt:i4>
      </vt:variant>
      <vt:variant>
        <vt:i4>98</vt:i4>
      </vt:variant>
      <vt:variant>
        <vt:i4>0</vt:i4>
      </vt:variant>
      <vt:variant>
        <vt:i4>5</vt:i4>
      </vt:variant>
      <vt:variant>
        <vt:lpwstr/>
      </vt:variant>
      <vt:variant>
        <vt:lpwstr>_Toc57725135</vt:lpwstr>
      </vt:variant>
      <vt:variant>
        <vt:i4>1507380</vt:i4>
      </vt:variant>
      <vt:variant>
        <vt:i4>92</vt:i4>
      </vt:variant>
      <vt:variant>
        <vt:i4>0</vt:i4>
      </vt:variant>
      <vt:variant>
        <vt:i4>5</vt:i4>
      </vt:variant>
      <vt:variant>
        <vt:lpwstr/>
      </vt:variant>
      <vt:variant>
        <vt:lpwstr>_Toc57725134</vt:lpwstr>
      </vt:variant>
      <vt:variant>
        <vt:i4>1048628</vt:i4>
      </vt:variant>
      <vt:variant>
        <vt:i4>86</vt:i4>
      </vt:variant>
      <vt:variant>
        <vt:i4>0</vt:i4>
      </vt:variant>
      <vt:variant>
        <vt:i4>5</vt:i4>
      </vt:variant>
      <vt:variant>
        <vt:lpwstr/>
      </vt:variant>
      <vt:variant>
        <vt:lpwstr>_Toc57725133</vt:lpwstr>
      </vt:variant>
      <vt:variant>
        <vt:i4>1114164</vt:i4>
      </vt:variant>
      <vt:variant>
        <vt:i4>80</vt:i4>
      </vt:variant>
      <vt:variant>
        <vt:i4>0</vt:i4>
      </vt:variant>
      <vt:variant>
        <vt:i4>5</vt:i4>
      </vt:variant>
      <vt:variant>
        <vt:lpwstr/>
      </vt:variant>
      <vt:variant>
        <vt:lpwstr>_Toc57725132</vt:lpwstr>
      </vt:variant>
      <vt:variant>
        <vt:i4>1179700</vt:i4>
      </vt:variant>
      <vt:variant>
        <vt:i4>74</vt:i4>
      </vt:variant>
      <vt:variant>
        <vt:i4>0</vt:i4>
      </vt:variant>
      <vt:variant>
        <vt:i4>5</vt:i4>
      </vt:variant>
      <vt:variant>
        <vt:lpwstr/>
      </vt:variant>
      <vt:variant>
        <vt:lpwstr>_Toc57725131</vt:lpwstr>
      </vt:variant>
      <vt:variant>
        <vt:i4>1245236</vt:i4>
      </vt:variant>
      <vt:variant>
        <vt:i4>68</vt:i4>
      </vt:variant>
      <vt:variant>
        <vt:i4>0</vt:i4>
      </vt:variant>
      <vt:variant>
        <vt:i4>5</vt:i4>
      </vt:variant>
      <vt:variant>
        <vt:lpwstr/>
      </vt:variant>
      <vt:variant>
        <vt:lpwstr>_Toc57725130</vt:lpwstr>
      </vt:variant>
      <vt:variant>
        <vt:i4>1703989</vt:i4>
      </vt:variant>
      <vt:variant>
        <vt:i4>62</vt:i4>
      </vt:variant>
      <vt:variant>
        <vt:i4>0</vt:i4>
      </vt:variant>
      <vt:variant>
        <vt:i4>5</vt:i4>
      </vt:variant>
      <vt:variant>
        <vt:lpwstr/>
      </vt:variant>
      <vt:variant>
        <vt:lpwstr>_Toc57725129</vt:lpwstr>
      </vt:variant>
      <vt:variant>
        <vt:i4>1769525</vt:i4>
      </vt:variant>
      <vt:variant>
        <vt:i4>56</vt:i4>
      </vt:variant>
      <vt:variant>
        <vt:i4>0</vt:i4>
      </vt:variant>
      <vt:variant>
        <vt:i4>5</vt:i4>
      </vt:variant>
      <vt:variant>
        <vt:lpwstr/>
      </vt:variant>
      <vt:variant>
        <vt:lpwstr>_Toc57725128</vt:lpwstr>
      </vt:variant>
      <vt:variant>
        <vt:i4>1310773</vt:i4>
      </vt:variant>
      <vt:variant>
        <vt:i4>50</vt:i4>
      </vt:variant>
      <vt:variant>
        <vt:i4>0</vt:i4>
      </vt:variant>
      <vt:variant>
        <vt:i4>5</vt:i4>
      </vt:variant>
      <vt:variant>
        <vt:lpwstr/>
      </vt:variant>
      <vt:variant>
        <vt:lpwstr>_Toc57725127</vt:lpwstr>
      </vt:variant>
      <vt:variant>
        <vt:i4>1376309</vt:i4>
      </vt:variant>
      <vt:variant>
        <vt:i4>44</vt:i4>
      </vt:variant>
      <vt:variant>
        <vt:i4>0</vt:i4>
      </vt:variant>
      <vt:variant>
        <vt:i4>5</vt:i4>
      </vt:variant>
      <vt:variant>
        <vt:lpwstr/>
      </vt:variant>
      <vt:variant>
        <vt:lpwstr>_Toc57725126</vt:lpwstr>
      </vt:variant>
      <vt:variant>
        <vt:i4>1441845</vt:i4>
      </vt:variant>
      <vt:variant>
        <vt:i4>38</vt:i4>
      </vt:variant>
      <vt:variant>
        <vt:i4>0</vt:i4>
      </vt:variant>
      <vt:variant>
        <vt:i4>5</vt:i4>
      </vt:variant>
      <vt:variant>
        <vt:lpwstr/>
      </vt:variant>
      <vt:variant>
        <vt:lpwstr>_Toc57725125</vt:lpwstr>
      </vt:variant>
      <vt:variant>
        <vt:i4>1507381</vt:i4>
      </vt:variant>
      <vt:variant>
        <vt:i4>32</vt:i4>
      </vt:variant>
      <vt:variant>
        <vt:i4>0</vt:i4>
      </vt:variant>
      <vt:variant>
        <vt:i4>5</vt:i4>
      </vt:variant>
      <vt:variant>
        <vt:lpwstr/>
      </vt:variant>
      <vt:variant>
        <vt:lpwstr>_Toc57725124</vt:lpwstr>
      </vt:variant>
      <vt:variant>
        <vt:i4>1048629</vt:i4>
      </vt:variant>
      <vt:variant>
        <vt:i4>26</vt:i4>
      </vt:variant>
      <vt:variant>
        <vt:i4>0</vt:i4>
      </vt:variant>
      <vt:variant>
        <vt:i4>5</vt:i4>
      </vt:variant>
      <vt:variant>
        <vt:lpwstr/>
      </vt:variant>
      <vt:variant>
        <vt:lpwstr>_Toc57725123</vt:lpwstr>
      </vt:variant>
      <vt:variant>
        <vt:i4>1114165</vt:i4>
      </vt:variant>
      <vt:variant>
        <vt:i4>20</vt:i4>
      </vt:variant>
      <vt:variant>
        <vt:i4>0</vt:i4>
      </vt:variant>
      <vt:variant>
        <vt:i4>5</vt:i4>
      </vt:variant>
      <vt:variant>
        <vt:lpwstr/>
      </vt:variant>
      <vt:variant>
        <vt:lpwstr>_Toc57725122</vt:lpwstr>
      </vt:variant>
      <vt:variant>
        <vt:i4>1179701</vt:i4>
      </vt:variant>
      <vt:variant>
        <vt:i4>14</vt:i4>
      </vt:variant>
      <vt:variant>
        <vt:i4>0</vt:i4>
      </vt:variant>
      <vt:variant>
        <vt:i4>5</vt:i4>
      </vt:variant>
      <vt:variant>
        <vt:lpwstr/>
      </vt:variant>
      <vt:variant>
        <vt:lpwstr>_Toc57725121</vt:lpwstr>
      </vt:variant>
      <vt:variant>
        <vt:i4>1245237</vt:i4>
      </vt:variant>
      <vt:variant>
        <vt:i4>8</vt:i4>
      </vt:variant>
      <vt:variant>
        <vt:i4>0</vt:i4>
      </vt:variant>
      <vt:variant>
        <vt:i4>5</vt:i4>
      </vt:variant>
      <vt:variant>
        <vt:lpwstr/>
      </vt:variant>
      <vt:variant>
        <vt:lpwstr>_Toc57725120</vt:lpwstr>
      </vt:variant>
      <vt:variant>
        <vt:i4>1703990</vt:i4>
      </vt:variant>
      <vt:variant>
        <vt:i4>2</vt:i4>
      </vt:variant>
      <vt:variant>
        <vt:i4>0</vt:i4>
      </vt:variant>
      <vt:variant>
        <vt:i4>5</vt:i4>
      </vt:variant>
      <vt:variant>
        <vt:lpwstr/>
      </vt:variant>
      <vt:variant>
        <vt:lpwstr>_Toc57725119</vt:lpwstr>
      </vt:variant>
      <vt:variant>
        <vt:i4>589919</vt:i4>
      </vt:variant>
      <vt:variant>
        <vt:i4>9</vt:i4>
      </vt:variant>
      <vt:variant>
        <vt:i4>0</vt:i4>
      </vt:variant>
      <vt:variant>
        <vt:i4>5</vt:i4>
      </vt:variant>
      <vt:variant>
        <vt:lpwstr>https://www.mass.gov/service-details/cherry-sheet-estimates-local-aid-payments-and-municipal-revenue-growth-factors-mrgf</vt:lpwstr>
      </vt:variant>
      <vt:variant>
        <vt:lpwstr/>
      </vt:variant>
      <vt:variant>
        <vt:i4>7209073</vt:i4>
      </vt:variant>
      <vt:variant>
        <vt:i4>6</vt:i4>
      </vt:variant>
      <vt:variant>
        <vt:i4>0</vt:i4>
      </vt:variant>
      <vt:variant>
        <vt:i4>5</vt:i4>
      </vt:variant>
      <vt:variant>
        <vt:lpwstr>https://www.mbae.org/initiatives/missing-the-mark/</vt:lpwstr>
      </vt:variant>
      <vt:variant>
        <vt:lpwstr/>
      </vt:variant>
      <vt:variant>
        <vt:i4>5374018</vt:i4>
      </vt:variant>
      <vt:variant>
        <vt:i4>3</vt:i4>
      </vt:variant>
      <vt:variant>
        <vt:i4>0</vt:i4>
      </vt:variant>
      <vt:variant>
        <vt:i4>5</vt:i4>
      </vt:variant>
      <vt:variant>
        <vt:lpwstr>https://www.doe.mass.edu/finance/chapter70/local-contribution-study.html</vt:lpwstr>
      </vt:variant>
      <vt:variant>
        <vt:lpwstr/>
      </vt:variant>
      <vt:variant>
        <vt:i4>5439504</vt:i4>
      </vt:variant>
      <vt:variant>
        <vt:i4>0</vt:i4>
      </vt:variant>
      <vt:variant>
        <vt:i4>0</vt:i4>
      </vt:variant>
      <vt:variant>
        <vt:i4>5</vt:i4>
      </vt:variant>
      <vt:variant>
        <vt:lpwstr>https://www.doe.mass.edu/finance/chapter70/fy2020/chapter-20-whitepaper.docx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Contribution Study</dc:title>
  <dc:subject/>
  <dc:creator>DESE</dc:creator>
  <cp:keywords/>
  <dc:description/>
  <cp:lastModifiedBy>Zou, Dong (EOE)</cp:lastModifiedBy>
  <cp:revision>5</cp:revision>
  <cp:lastPrinted>2020-11-19T09:04:00Z</cp:lastPrinted>
  <dcterms:created xsi:type="dcterms:W3CDTF">2020-12-04T14:17:00Z</dcterms:created>
  <dcterms:modified xsi:type="dcterms:W3CDTF">2020-12-04T14:34:00Z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4 2020</vt:lpwstr>
  </property>
</Properties>
</file>