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5E9E16F4" w14:textId="77777777" w:rsidTr="5EC5E1F9">
        <w:trPr>
          <w:gridAfter w:val="1"/>
          <w:wAfter w:w="1530" w:type="dxa"/>
          <w:trHeight w:val="5040"/>
        </w:trPr>
        <w:tc>
          <w:tcPr>
            <w:tcW w:w="8010" w:type="dxa"/>
            <w:gridSpan w:val="2"/>
          </w:tcPr>
          <w:p w14:paraId="0BA29057" w14:textId="77777777" w:rsidR="005F037D" w:rsidRDefault="005F037D">
            <w:pPr>
              <w:keepNext/>
            </w:pPr>
          </w:p>
          <w:p w14:paraId="76881BC4" w14:textId="77777777" w:rsidR="005F037D" w:rsidRDefault="00741DF2" w:rsidP="00CE1085">
            <w:r>
              <w:rPr>
                <w:noProof/>
              </w:rPr>
              <w:drawing>
                <wp:inline distT="0" distB="0" distL="0" distR="0" wp14:anchorId="072A4872" wp14:editId="7C29FB7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377C2819" w14:textId="77777777" w:rsidTr="5EC5E1F9">
        <w:trPr>
          <w:gridAfter w:val="1"/>
          <w:wAfter w:w="1530" w:type="dxa"/>
          <w:cantSplit/>
          <w:trHeight w:val="200"/>
        </w:trPr>
        <w:tc>
          <w:tcPr>
            <w:tcW w:w="990" w:type="dxa"/>
            <w:vMerge w:val="restart"/>
            <w:vAlign w:val="bottom"/>
          </w:tcPr>
          <w:p w14:paraId="71E36614" w14:textId="77777777" w:rsidR="005F037D" w:rsidRPr="00274356" w:rsidRDefault="005F037D" w:rsidP="00274356"/>
        </w:tc>
        <w:tc>
          <w:tcPr>
            <w:tcW w:w="7020" w:type="dxa"/>
            <w:vAlign w:val="bottom"/>
          </w:tcPr>
          <w:p w14:paraId="3BD00C7F" w14:textId="62C71FE1" w:rsidR="005F037D" w:rsidRPr="009A5EBB" w:rsidRDefault="00E36646" w:rsidP="00F66EB7">
            <w:pPr>
              <w:pStyle w:val="ESEReportName"/>
              <w:rPr>
                <w:rFonts w:ascii="Times New Roman" w:hAnsi="Times New Roman"/>
                <w:sz w:val="40"/>
                <w:szCs w:val="40"/>
              </w:rPr>
            </w:pPr>
            <w:r w:rsidRPr="7FCFB6BE">
              <w:rPr>
                <w:rFonts w:ascii="Times New Roman" w:hAnsi="Times New Roman"/>
                <w:sz w:val="40"/>
                <w:szCs w:val="40"/>
              </w:rPr>
              <w:t xml:space="preserve">Recovery High Schools </w:t>
            </w:r>
            <w:r>
              <w:br/>
            </w:r>
            <w:r w:rsidRPr="7FCFB6BE">
              <w:rPr>
                <w:rFonts w:ascii="Times New Roman" w:hAnsi="Times New Roman"/>
                <w:sz w:val="40"/>
                <w:szCs w:val="40"/>
              </w:rPr>
              <w:t>Legislative Report</w:t>
            </w:r>
          </w:p>
        </w:tc>
      </w:tr>
      <w:tr w:rsidR="005F037D" w14:paraId="06084647" w14:textId="77777777" w:rsidTr="5EC5E1F9">
        <w:trPr>
          <w:gridAfter w:val="1"/>
          <w:wAfter w:w="1530" w:type="dxa"/>
          <w:cantSplit/>
          <w:trHeight w:val="240"/>
        </w:trPr>
        <w:tc>
          <w:tcPr>
            <w:tcW w:w="990" w:type="dxa"/>
            <w:vMerge/>
            <w:vAlign w:val="bottom"/>
          </w:tcPr>
          <w:p w14:paraId="311B1742" w14:textId="77777777" w:rsidR="005F037D" w:rsidRDefault="005F037D">
            <w:pPr>
              <w:spacing w:line="400" w:lineRule="exact"/>
              <w:rPr>
                <w:rFonts w:ascii="Arial" w:hAnsi="Arial"/>
                <w:color w:val="000000"/>
              </w:rPr>
            </w:pPr>
          </w:p>
        </w:tc>
        <w:tc>
          <w:tcPr>
            <w:tcW w:w="7020" w:type="dxa"/>
          </w:tcPr>
          <w:p w14:paraId="77580016" w14:textId="77777777" w:rsidR="005F037D" w:rsidRPr="00EB1F6F" w:rsidRDefault="00436A76">
            <w:r>
              <w:pict w14:anchorId="71A07A43">
                <v:rect id="_x0000_i1026" style="width:0;height:1.5pt" o:hrstd="t" o:hr="t" fillcolor="#aaa" stroked="f"/>
              </w:pict>
            </w:r>
          </w:p>
        </w:tc>
      </w:tr>
      <w:tr w:rsidR="005F037D" w14:paraId="27602B72" w14:textId="77777777" w:rsidTr="5EC5E1F9">
        <w:trPr>
          <w:gridAfter w:val="1"/>
          <w:wAfter w:w="1530" w:type="dxa"/>
          <w:cantSplit/>
          <w:trHeight w:val="760"/>
        </w:trPr>
        <w:tc>
          <w:tcPr>
            <w:tcW w:w="990" w:type="dxa"/>
            <w:vMerge/>
            <w:vAlign w:val="bottom"/>
          </w:tcPr>
          <w:p w14:paraId="067CD60E" w14:textId="77777777" w:rsidR="005F037D" w:rsidRDefault="005F037D">
            <w:pPr>
              <w:spacing w:line="400" w:lineRule="exact"/>
              <w:rPr>
                <w:rFonts w:ascii="Arial" w:hAnsi="Arial"/>
                <w:color w:val="000000"/>
              </w:rPr>
            </w:pPr>
          </w:p>
        </w:tc>
        <w:tc>
          <w:tcPr>
            <w:tcW w:w="7020" w:type="dxa"/>
          </w:tcPr>
          <w:p w14:paraId="73FDC410" w14:textId="11A6E9E1" w:rsidR="00E36646" w:rsidRDefault="00E36646" w:rsidP="00E36646">
            <w:pPr>
              <w:pStyle w:val="arial9"/>
              <w:rPr>
                <w:rFonts w:ascii="Times New Roman" w:hAnsi="Times New Roman"/>
                <w:b/>
                <w:sz w:val="20"/>
                <w:szCs w:val="20"/>
              </w:rPr>
            </w:pPr>
            <w:r>
              <w:rPr>
                <w:rFonts w:ascii="Times New Roman" w:hAnsi="Times New Roman"/>
                <w:b/>
                <w:sz w:val="20"/>
                <w:szCs w:val="20"/>
              </w:rPr>
              <w:t xml:space="preserve">This report is submitted pursuant to Chapter </w:t>
            </w:r>
            <w:r w:rsidR="00FC5BD5">
              <w:rPr>
                <w:rFonts w:ascii="Times New Roman" w:hAnsi="Times New Roman"/>
                <w:b/>
                <w:sz w:val="20"/>
                <w:szCs w:val="20"/>
              </w:rPr>
              <w:t>227</w:t>
            </w:r>
            <w:r>
              <w:rPr>
                <w:rFonts w:ascii="Times New Roman" w:hAnsi="Times New Roman"/>
                <w:b/>
                <w:sz w:val="20"/>
                <w:szCs w:val="20"/>
              </w:rPr>
              <w:t xml:space="preserve"> of the Acts of 20</w:t>
            </w:r>
            <w:r w:rsidR="00FC5BD5">
              <w:rPr>
                <w:rFonts w:ascii="Times New Roman" w:hAnsi="Times New Roman"/>
                <w:b/>
                <w:sz w:val="20"/>
                <w:szCs w:val="20"/>
              </w:rPr>
              <w:t>20, line item 7061-9607</w:t>
            </w:r>
            <w:r>
              <w:rPr>
                <w:rFonts w:ascii="Times New Roman" w:hAnsi="Times New Roman"/>
                <w:b/>
                <w:sz w:val="20"/>
                <w:szCs w:val="20"/>
              </w:rPr>
              <w:t>.</w:t>
            </w:r>
          </w:p>
          <w:p w14:paraId="69578FE6" w14:textId="77777777" w:rsidR="00E36646" w:rsidRPr="009A5EBB" w:rsidRDefault="00E36646" w:rsidP="00E36646">
            <w:pPr>
              <w:pStyle w:val="arial9"/>
              <w:rPr>
                <w:rFonts w:ascii="Times New Roman" w:hAnsi="Times New Roman"/>
                <w:sz w:val="20"/>
                <w:szCs w:val="20"/>
              </w:rPr>
            </w:pPr>
          </w:p>
          <w:p w14:paraId="10870890" w14:textId="5F384E95" w:rsidR="005F037D" w:rsidRPr="009A5EBB" w:rsidRDefault="00E36646" w:rsidP="00E36646">
            <w:pPr>
              <w:pStyle w:val="arial9"/>
              <w:rPr>
                <w:rFonts w:ascii="Times New Roman" w:hAnsi="Times New Roman"/>
                <w:sz w:val="20"/>
                <w:szCs w:val="20"/>
              </w:rPr>
            </w:pPr>
            <w:r w:rsidRPr="00CB42B0">
              <w:rPr>
                <w:rFonts w:ascii="Times New Roman" w:hAnsi="Times New Roman"/>
                <w:b/>
                <w:bCs/>
                <w:sz w:val="20"/>
                <w:szCs w:val="20"/>
              </w:rPr>
              <w:t>May 2021</w:t>
            </w:r>
          </w:p>
        </w:tc>
      </w:tr>
      <w:tr w:rsidR="005F037D" w14:paraId="144A4A04" w14:textId="77777777" w:rsidTr="5EC5E1F9">
        <w:trPr>
          <w:gridAfter w:val="1"/>
          <w:wAfter w:w="1530" w:type="dxa"/>
          <w:cantSplit/>
          <w:trHeight w:val="6246"/>
        </w:trPr>
        <w:tc>
          <w:tcPr>
            <w:tcW w:w="990" w:type="dxa"/>
            <w:vMerge/>
            <w:vAlign w:val="bottom"/>
          </w:tcPr>
          <w:p w14:paraId="2F6F718F" w14:textId="77777777" w:rsidR="005F037D" w:rsidRDefault="005F037D">
            <w:pPr>
              <w:spacing w:line="400" w:lineRule="exact"/>
              <w:rPr>
                <w:rFonts w:ascii="Arial" w:hAnsi="Arial"/>
                <w:color w:val="000000"/>
              </w:rPr>
            </w:pPr>
          </w:p>
        </w:tc>
        <w:tc>
          <w:tcPr>
            <w:tcW w:w="7020" w:type="dxa"/>
            <w:vAlign w:val="bottom"/>
          </w:tcPr>
          <w:p w14:paraId="616436D1"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5C97CEC9"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46E4CD36"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52A16270"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1FB61763" w14:textId="77777777" w:rsidTr="5EC5E1F9">
        <w:tblPrEx>
          <w:tblCellMar>
            <w:left w:w="108" w:type="dxa"/>
            <w:right w:w="108" w:type="dxa"/>
          </w:tblCellMar>
        </w:tblPrEx>
        <w:trPr>
          <w:trHeight w:val="8235"/>
        </w:trPr>
        <w:tc>
          <w:tcPr>
            <w:tcW w:w="9540" w:type="dxa"/>
            <w:gridSpan w:val="3"/>
          </w:tcPr>
          <w:p w14:paraId="01064171" w14:textId="77777777" w:rsidR="00C118B2" w:rsidRPr="00345DE2" w:rsidRDefault="00741DF2" w:rsidP="00E309C2">
            <w:pPr>
              <w:jc w:val="center"/>
            </w:pPr>
            <w:r>
              <w:rPr>
                <w:noProof/>
              </w:rPr>
              <w:lastRenderedPageBreak/>
              <w:drawing>
                <wp:inline distT="0" distB="0" distL="0" distR="0" wp14:anchorId="347F568D" wp14:editId="14281C98">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68093230" w14:textId="77777777" w:rsidR="00C118B2" w:rsidRPr="00345DE2" w:rsidRDefault="00C118B2" w:rsidP="00E309C2"/>
          <w:p w14:paraId="43D746BC" w14:textId="77777777" w:rsidR="00C118B2" w:rsidRPr="00345DE2" w:rsidRDefault="00C118B2" w:rsidP="00E309C2"/>
          <w:p w14:paraId="34C183CC"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7EE9F95B"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71100680"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0ED652D1" w14:textId="77777777" w:rsidR="007012FA" w:rsidRDefault="007012FA" w:rsidP="00E309C2">
            <w:pPr>
              <w:autoSpaceDE w:val="0"/>
              <w:autoSpaceDN w:val="0"/>
              <w:adjustRightInd w:val="0"/>
              <w:jc w:val="center"/>
              <w:rPr>
                <w:bCs/>
                <w:sz w:val="22"/>
                <w:szCs w:val="22"/>
              </w:rPr>
            </w:pPr>
            <w:r>
              <w:rPr>
                <w:bCs/>
                <w:sz w:val="22"/>
                <w:szCs w:val="22"/>
              </w:rPr>
              <w:t xml:space="preserve"> </w:t>
            </w:r>
          </w:p>
          <w:p w14:paraId="4F33C835" w14:textId="77777777" w:rsidR="00522BFB" w:rsidRDefault="00522BFB" w:rsidP="00E309C2">
            <w:pPr>
              <w:autoSpaceDE w:val="0"/>
              <w:autoSpaceDN w:val="0"/>
              <w:adjustRightInd w:val="0"/>
              <w:jc w:val="center"/>
              <w:rPr>
                <w:bCs/>
                <w:sz w:val="22"/>
                <w:szCs w:val="22"/>
              </w:rPr>
            </w:pPr>
          </w:p>
          <w:p w14:paraId="10948082"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2C12BA3E" w14:textId="77777777"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657FAD25" w14:textId="77777777" w:rsidR="00397FCF" w:rsidRDefault="00397FCF" w:rsidP="00397FCF">
            <w:pPr>
              <w:jc w:val="center"/>
              <w:rPr>
                <w:sz w:val="20"/>
                <w:szCs w:val="20"/>
              </w:rPr>
            </w:pPr>
            <w:r w:rsidRPr="00522BFB">
              <w:rPr>
                <w:sz w:val="20"/>
                <w:szCs w:val="20"/>
              </w:rPr>
              <w:t>Mr. James Morton, Vice Chair, Springfield</w:t>
            </w:r>
          </w:p>
          <w:p w14:paraId="6E224F5D" w14:textId="77777777" w:rsidR="005F3853" w:rsidRPr="00522BFB" w:rsidRDefault="005F3853" w:rsidP="00397FCF">
            <w:pPr>
              <w:jc w:val="center"/>
              <w:rPr>
                <w:sz w:val="20"/>
                <w:szCs w:val="20"/>
              </w:rPr>
            </w:pPr>
            <w:r>
              <w:rPr>
                <w:sz w:val="20"/>
                <w:szCs w:val="20"/>
              </w:rPr>
              <w:t xml:space="preserve">Mr. Jasper S. Coughlin, Billerica, Student member </w:t>
            </w:r>
          </w:p>
          <w:p w14:paraId="354B8458" w14:textId="77777777" w:rsidR="00D16C52" w:rsidRDefault="00D16C52" w:rsidP="00E309C2">
            <w:pPr>
              <w:jc w:val="center"/>
              <w:rPr>
                <w:sz w:val="20"/>
                <w:szCs w:val="20"/>
              </w:rPr>
            </w:pPr>
            <w:r w:rsidRPr="00522BFB">
              <w:rPr>
                <w:sz w:val="20"/>
                <w:szCs w:val="20"/>
              </w:rPr>
              <w:t>Ms. Amanda Fernández, Belmont</w:t>
            </w:r>
          </w:p>
          <w:p w14:paraId="2D20EAA1" w14:textId="77777777" w:rsidR="00187373" w:rsidRDefault="00187373" w:rsidP="00E309C2">
            <w:pPr>
              <w:jc w:val="center"/>
              <w:rPr>
                <w:sz w:val="20"/>
                <w:szCs w:val="20"/>
              </w:rPr>
            </w:pPr>
            <w:r>
              <w:rPr>
                <w:sz w:val="20"/>
                <w:szCs w:val="20"/>
              </w:rPr>
              <w:t>Mr. Matthew Hills, Newton</w:t>
            </w:r>
          </w:p>
          <w:p w14:paraId="62D5E0FA" w14:textId="77777777" w:rsidR="009C7281" w:rsidRDefault="009C7281" w:rsidP="00E309C2">
            <w:pPr>
              <w:jc w:val="center"/>
              <w:rPr>
                <w:sz w:val="20"/>
                <w:szCs w:val="20"/>
              </w:rPr>
            </w:pPr>
            <w:r>
              <w:rPr>
                <w:sz w:val="20"/>
                <w:szCs w:val="20"/>
              </w:rPr>
              <w:t>Ms. Darlene Lombos, Boston</w:t>
            </w:r>
          </w:p>
          <w:p w14:paraId="4224C364" w14:textId="77777777" w:rsidR="00D16C52" w:rsidRPr="00522BFB" w:rsidRDefault="00D16C52" w:rsidP="00E309C2">
            <w:pPr>
              <w:jc w:val="center"/>
              <w:rPr>
                <w:sz w:val="20"/>
                <w:szCs w:val="20"/>
              </w:rPr>
            </w:pPr>
            <w:r w:rsidRPr="00522BFB">
              <w:rPr>
                <w:sz w:val="20"/>
                <w:szCs w:val="20"/>
              </w:rPr>
              <w:t>Mr. Michael Moriarty, Holyoke</w:t>
            </w:r>
          </w:p>
          <w:p w14:paraId="1768B4BD" w14:textId="77777777" w:rsidR="00D16C52"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26EA6F3C" w14:textId="77777777" w:rsidR="00397FCF" w:rsidRPr="00522BFB" w:rsidRDefault="00397FCF" w:rsidP="00E309C2">
            <w:pPr>
              <w:jc w:val="center"/>
              <w:rPr>
                <w:sz w:val="20"/>
                <w:szCs w:val="20"/>
              </w:rPr>
            </w:pPr>
            <w:r>
              <w:rPr>
                <w:sz w:val="20"/>
                <w:szCs w:val="20"/>
              </w:rPr>
              <w:t>Mr. Paymon Rouhanifard, Brookline</w:t>
            </w:r>
          </w:p>
          <w:p w14:paraId="0ABA0999" w14:textId="77777777" w:rsidR="00D16C52" w:rsidRDefault="00D16C52" w:rsidP="00E309C2">
            <w:pPr>
              <w:jc w:val="center"/>
              <w:rPr>
                <w:sz w:val="20"/>
                <w:szCs w:val="20"/>
              </w:rPr>
            </w:pPr>
            <w:r w:rsidRPr="00522BFB">
              <w:rPr>
                <w:sz w:val="20"/>
                <w:szCs w:val="20"/>
              </w:rPr>
              <w:t>Ms. Mary Ann Stewart, Lexington</w:t>
            </w:r>
          </w:p>
          <w:p w14:paraId="1E0ED9EC" w14:textId="77777777" w:rsidR="00D16C52" w:rsidRPr="00522BFB" w:rsidRDefault="00D16C52" w:rsidP="00E309C2">
            <w:pPr>
              <w:jc w:val="center"/>
              <w:rPr>
                <w:sz w:val="20"/>
                <w:szCs w:val="20"/>
              </w:rPr>
            </w:pPr>
            <w:r w:rsidRPr="00522BFB">
              <w:rPr>
                <w:sz w:val="20"/>
                <w:szCs w:val="20"/>
              </w:rPr>
              <w:t>Dr. Martin West, Newton</w:t>
            </w:r>
          </w:p>
          <w:p w14:paraId="3ACAF413" w14:textId="77777777" w:rsidR="00D16C52" w:rsidRPr="00522BFB" w:rsidRDefault="00D16C52" w:rsidP="00E309C2">
            <w:pPr>
              <w:jc w:val="center"/>
              <w:rPr>
                <w:sz w:val="20"/>
                <w:szCs w:val="20"/>
              </w:rPr>
            </w:pPr>
          </w:p>
          <w:p w14:paraId="17023F5E" w14:textId="77777777" w:rsidR="007E6DA4" w:rsidRPr="007E6DA4" w:rsidRDefault="007E6DA4" w:rsidP="007E6DA4">
            <w:pPr>
              <w:jc w:val="center"/>
              <w:rPr>
                <w:sz w:val="20"/>
                <w:szCs w:val="20"/>
              </w:rPr>
            </w:pPr>
            <w:r w:rsidRPr="007E6DA4">
              <w:rPr>
                <w:sz w:val="20"/>
                <w:szCs w:val="20"/>
              </w:rPr>
              <w:t>Jeffrey C. Riley, Commissioner</w:t>
            </w:r>
          </w:p>
          <w:p w14:paraId="4C45B10B" w14:textId="77777777" w:rsidR="007E6DA4" w:rsidRPr="007E6DA4" w:rsidRDefault="007E6DA4" w:rsidP="007E6DA4">
            <w:pPr>
              <w:jc w:val="center"/>
              <w:rPr>
                <w:sz w:val="20"/>
                <w:szCs w:val="20"/>
              </w:rPr>
            </w:pPr>
            <w:r w:rsidRPr="007E6DA4">
              <w:rPr>
                <w:sz w:val="20"/>
                <w:szCs w:val="20"/>
              </w:rPr>
              <w:t>Secretary to the Board</w:t>
            </w:r>
          </w:p>
          <w:p w14:paraId="28A5E02B" w14:textId="77777777" w:rsidR="00D16C52" w:rsidRPr="00522BFB" w:rsidRDefault="00D16C52" w:rsidP="00E309C2">
            <w:pPr>
              <w:jc w:val="center"/>
              <w:rPr>
                <w:sz w:val="20"/>
                <w:szCs w:val="20"/>
              </w:rPr>
            </w:pPr>
          </w:p>
          <w:p w14:paraId="7E959E0B"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4CDD16B0"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58BC402B"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48F6907B"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61196E0" w14:textId="77777777" w:rsidR="00C118B2" w:rsidRPr="009A5EBB" w:rsidRDefault="00C118B2" w:rsidP="00E309C2">
            <w:pPr>
              <w:rPr>
                <w:sz w:val="18"/>
                <w:szCs w:val="18"/>
              </w:rPr>
            </w:pPr>
          </w:p>
          <w:p w14:paraId="5BD5E132" w14:textId="77777777" w:rsidR="00B61B2F" w:rsidRPr="009A5EBB" w:rsidRDefault="00B61B2F" w:rsidP="00E309C2">
            <w:pPr>
              <w:rPr>
                <w:sz w:val="18"/>
                <w:szCs w:val="18"/>
              </w:rPr>
            </w:pPr>
          </w:p>
          <w:p w14:paraId="372D227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840662">
              <w:rPr>
                <w:rFonts w:ascii="Times New Roman" w:hAnsi="Times New Roman"/>
                <w:szCs w:val="18"/>
              </w:rPr>
              <w:t>1</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599101C1"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2AFD3BFB" w14:textId="77777777" w:rsidR="00C118B2" w:rsidRPr="009A5EBB" w:rsidRDefault="00C118B2" w:rsidP="00E309C2">
            <w:pPr>
              <w:rPr>
                <w:sz w:val="18"/>
                <w:szCs w:val="18"/>
              </w:rPr>
            </w:pPr>
          </w:p>
          <w:p w14:paraId="4FF2D11E"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14D49EF" w14:textId="77777777" w:rsidR="00C118B2" w:rsidRDefault="00C118B2" w:rsidP="00E309C2">
            <w:pPr>
              <w:rPr>
                <w:sz w:val="18"/>
                <w:szCs w:val="18"/>
              </w:rPr>
            </w:pPr>
          </w:p>
          <w:p w14:paraId="7D1A2E16" w14:textId="77777777" w:rsidR="00522BFB" w:rsidRDefault="00522BFB" w:rsidP="00E309C2">
            <w:pPr>
              <w:rPr>
                <w:sz w:val="18"/>
                <w:szCs w:val="18"/>
              </w:rPr>
            </w:pPr>
          </w:p>
          <w:p w14:paraId="70670125" w14:textId="77777777" w:rsidR="00522BFB" w:rsidRPr="009A5EBB" w:rsidRDefault="00522BFB" w:rsidP="00E309C2">
            <w:pPr>
              <w:rPr>
                <w:sz w:val="18"/>
                <w:szCs w:val="18"/>
              </w:rPr>
            </w:pPr>
          </w:p>
          <w:p w14:paraId="3AA3CBB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8CB459C"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693A3D7F"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7A562A71"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56A7342D" w14:textId="77777777" w:rsidR="00522BFB" w:rsidRPr="00345DE2" w:rsidRDefault="00522BFB" w:rsidP="00E309C2"/>
          <w:p w14:paraId="67897764" w14:textId="77777777" w:rsidR="00C118B2" w:rsidRDefault="00741DF2" w:rsidP="00E309C2">
            <w:pPr>
              <w:jc w:val="center"/>
              <w:rPr>
                <w:sz w:val="18"/>
              </w:rPr>
            </w:pPr>
            <w:r>
              <w:rPr>
                <w:noProof/>
              </w:rPr>
              <w:drawing>
                <wp:inline distT="0" distB="0" distL="0" distR="0" wp14:anchorId="61DD9DA0" wp14:editId="0DF4FBFD">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27AC0590" w14:textId="77777777" w:rsidR="004D45D4" w:rsidRDefault="004D45D4" w:rsidP="00E309C2">
      <w:pPr>
        <w:ind w:right="720"/>
      </w:pPr>
    </w:p>
    <w:p w14:paraId="0D5E1B90" w14:textId="77777777" w:rsidR="00F81FE7" w:rsidRPr="00C974A6" w:rsidRDefault="004D45D4" w:rsidP="00F81FE7">
      <w:pPr>
        <w:spacing w:line="192" w:lineRule="auto"/>
        <w:outlineLvl w:val="0"/>
        <w:rPr>
          <w:sz w:val="16"/>
          <w:szCs w:val="16"/>
        </w:rPr>
      </w:pPr>
      <w:r>
        <w:br w:type="page"/>
      </w:r>
    </w:p>
    <w:p w14:paraId="6E542A44"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2DE6736E" w14:textId="77777777" w:rsidR="00BB2B16" w:rsidRPr="00BB2B16" w:rsidRDefault="00BB2B16" w:rsidP="00BB2B16">
      <w:pPr>
        <w:widowControl w:val="0"/>
        <w:snapToGrid w:val="0"/>
        <w:spacing w:line="192" w:lineRule="auto"/>
        <w:outlineLvl w:val="0"/>
        <w:rPr>
          <w:rFonts w:ascii="Arial" w:hAnsi="Arial"/>
          <w:b/>
          <w:i/>
          <w:sz w:val="40"/>
          <w:szCs w:val="20"/>
        </w:rPr>
      </w:pPr>
      <w:r w:rsidRPr="00BB2B16">
        <w:rPr>
          <w:noProof/>
          <w:szCs w:val="20"/>
        </w:rPr>
        <w:lastRenderedPageBreak/>
        <w:drawing>
          <wp:anchor distT="0" distB="0" distL="114300" distR="274320" simplePos="0" relativeHeight="251659264" behindDoc="0" locked="0" layoutInCell="0" allowOverlap="1" wp14:anchorId="0A73CBDD" wp14:editId="015A233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5EC5E1F9">
        <w:rPr>
          <w:rFonts w:ascii="Arial" w:hAnsi="Arial"/>
          <w:b/>
          <w:bCs/>
          <w:i/>
          <w:iCs/>
          <w:sz w:val="40"/>
          <w:szCs w:val="40"/>
        </w:rPr>
        <w:t>Massachusetts Department of</w:t>
      </w:r>
    </w:p>
    <w:p w14:paraId="7CE71F32" w14:textId="77777777" w:rsidR="00BB2B16" w:rsidRPr="00BB2B16" w:rsidRDefault="00BB2B16" w:rsidP="00BB2B16">
      <w:pPr>
        <w:widowControl w:val="0"/>
        <w:snapToGrid w:val="0"/>
        <w:ind w:left="-180"/>
        <w:outlineLvl w:val="0"/>
        <w:rPr>
          <w:rFonts w:ascii="Arial" w:hAnsi="Arial"/>
          <w:b/>
          <w:i/>
          <w:sz w:val="50"/>
          <w:szCs w:val="20"/>
        </w:rPr>
      </w:pPr>
      <w:r w:rsidRPr="00BB2B16">
        <w:rPr>
          <w:rFonts w:ascii="Arial" w:hAnsi="Arial"/>
          <w:b/>
          <w:i/>
          <w:sz w:val="40"/>
          <w:szCs w:val="20"/>
        </w:rPr>
        <w:t>Elementary and Secondary Education</w:t>
      </w:r>
    </w:p>
    <w:p w14:paraId="49A4B201" w14:textId="77777777" w:rsidR="00BB2B16" w:rsidRPr="00BB2B16" w:rsidRDefault="00BB2B16" w:rsidP="00BB2B16">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60288" behindDoc="0" locked="0" layoutInCell="0" allowOverlap="1" wp14:anchorId="7195385E" wp14:editId="7A054AF1">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B1D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4E4DBF7B" w14:textId="77777777" w:rsidR="00BB2B16" w:rsidRPr="00BB2B16" w:rsidRDefault="00BB2B16" w:rsidP="00BB2B16">
      <w:pPr>
        <w:keepNext/>
        <w:widowControl w:val="0"/>
        <w:tabs>
          <w:tab w:val="left" w:pos="5400"/>
          <w:tab w:val="right" w:pos="9000"/>
        </w:tabs>
        <w:snapToGrid w:val="0"/>
        <w:ind w:left="720" w:right="360"/>
        <w:jc w:val="right"/>
        <w:outlineLvl w:val="2"/>
        <w:rPr>
          <w:rFonts w:ascii="Arial" w:hAnsi="Arial"/>
          <w:i/>
          <w:sz w:val="16"/>
          <w:szCs w:val="16"/>
        </w:rPr>
      </w:pPr>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p>
    <w:p w14:paraId="17B7B9D6" w14:textId="77777777" w:rsidR="00BB2B16" w:rsidRPr="00BB2B16" w:rsidRDefault="00BB2B16" w:rsidP="00BB2B16">
      <w:pPr>
        <w:widowControl w:val="0"/>
        <w:snapToGrid w:val="0"/>
        <w:ind w:left="720"/>
        <w:rPr>
          <w:rFonts w:ascii="Arial" w:hAnsi="Arial"/>
          <w:i/>
          <w:sz w:val="16"/>
          <w:szCs w:val="16"/>
        </w:rPr>
      </w:pPr>
    </w:p>
    <w:p w14:paraId="7E610CA6"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6C2F2833"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5F7F6FB9" w14:textId="77777777" w:rsidTr="00BB2B16">
        <w:tc>
          <w:tcPr>
            <w:tcW w:w="2988" w:type="dxa"/>
            <w:hideMark/>
          </w:tcPr>
          <w:p w14:paraId="68261BF2"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190AF0A7"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53BEF30F" w14:textId="77777777" w:rsidR="00BB2B16" w:rsidRPr="00D0485D" w:rsidRDefault="00BB2B16" w:rsidP="00BB2B16">
            <w:pPr>
              <w:snapToGrid w:val="0"/>
              <w:jc w:val="center"/>
              <w:rPr>
                <w:rFonts w:ascii="Arial" w:hAnsi="Arial" w:cs="Arial"/>
                <w:i/>
                <w:sz w:val="16"/>
                <w:szCs w:val="16"/>
              </w:rPr>
            </w:pPr>
          </w:p>
        </w:tc>
      </w:tr>
    </w:tbl>
    <w:p w14:paraId="36EDEDEA" w14:textId="77777777" w:rsidR="00BB2B16" w:rsidRPr="00BB2B16" w:rsidRDefault="00BB2B16" w:rsidP="00BB2B16">
      <w:pPr>
        <w:widowControl w:val="0"/>
        <w:snapToGrid w:val="0"/>
        <w:rPr>
          <w:rFonts w:ascii="Arial" w:hAnsi="Arial"/>
          <w:i/>
          <w:sz w:val="18"/>
          <w:szCs w:val="20"/>
        </w:rPr>
      </w:pPr>
    </w:p>
    <w:p w14:paraId="60CCFE73"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58D2F046" w14:textId="214DC3A5" w:rsidR="00E36646" w:rsidRPr="0005116A" w:rsidRDefault="007C6F51" w:rsidP="00E36646">
      <w:pPr>
        <w:pStyle w:val="NormalWeb"/>
        <w:rPr>
          <w:color w:val="000000"/>
        </w:rPr>
      </w:pPr>
      <w:r>
        <w:t>May</w:t>
      </w:r>
      <w:r w:rsidR="00AF16D7">
        <w:t xml:space="preserve"> </w:t>
      </w:r>
      <w:r w:rsidR="00AF16D7" w:rsidRPr="00AF16D7">
        <w:t>14,</w:t>
      </w:r>
      <w:r w:rsidR="00E36646">
        <w:t xml:space="preserve"> 2021</w:t>
      </w:r>
    </w:p>
    <w:p w14:paraId="2F58A278" w14:textId="77777777" w:rsidR="00E36646" w:rsidRDefault="00E36646" w:rsidP="00E36646"/>
    <w:p w14:paraId="765DA4CA" w14:textId="77777777" w:rsidR="00E36646" w:rsidRDefault="00E36646" w:rsidP="00E36646">
      <w:r>
        <w:t>Dear Members of the General Court:</w:t>
      </w:r>
    </w:p>
    <w:p w14:paraId="0187D95D" w14:textId="77777777" w:rsidR="00E36646" w:rsidRDefault="00E36646" w:rsidP="00E36646"/>
    <w:p w14:paraId="53AA818D" w14:textId="3C737CDA" w:rsidR="00E36646" w:rsidRDefault="00E36646" w:rsidP="00E36646">
      <w:r>
        <w:t xml:space="preserve">I am pleased to submit this Report to the Legislature: </w:t>
      </w:r>
      <w:r w:rsidRPr="5EC5E1F9">
        <w:rPr>
          <w:i/>
          <w:iCs/>
        </w:rPr>
        <w:t>Recovery High School Programs Legislative Report</w:t>
      </w:r>
      <w:r>
        <w:t>. As required by the statute, the enclosed report includes: “(</w:t>
      </w:r>
      <w:r w:rsidR="003F6920">
        <w:t>i</w:t>
      </w:r>
      <w:r>
        <w:t>) the number of youths served per high school; and (</w:t>
      </w:r>
      <w:r w:rsidR="18CDF9C8">
        <w:t>ii</w:t>
      </w:r>
      <w:r>
        <w:t>) outcomes measured for youths</w:t>
      </w:r>
      <w:r w:rsidR="003F6920">
        <w:t>; and (iii) recommendations for new recovery high schools in fiscal year 2022 and fiscal year 2023</w:t>
      </w:r>
      <w:r>
        <w:t xml:space="preserve">.” The data provided in this report was compiled from information submitted by schools to the Massachusetts Department of Elementary and Secondary Education (Department). </w:t>
      </w:r>
    </w:p>
    <w:p w14:paraId="4F38E3FA" w14:textId="77777777" w:rsidR="00E36646" w:rsidRDefault="00E36646" w:rsidP="00E36646"/>
    <w:p w14:paraId="548EC662" w14:textId="7693091E" w:rsidR="00E36646" w:rsidRDefault="00E36646" w:rsidP="00E36646">
      <w:r>
        <w:t xml:space="preserve">For adolescents in recovery from a substance use disorder, school is a setting that may result in interactions with peer groups who are actively using alcohol or other drugs. Unfortunately, after treatment, these students may encounter multiple risk factors when returning to the setting where their substance use problems originated. Recovery High School programs play an important role for these students by offering them another option </w:t>
      </w:r>
      <w:r w:rsidR="003F6920">
        <w:t xml:space="preserve">for a school setting – one </w:t>
      </w:r>
      <w:r>
        <w:t>in which they can feel supported in their recovery while still working towards a high school diploma.</w:t>
      </w:r>
    </w:p>
    <w:p w14:paraId="045D9245" w14:textId="77777777" w:rsidR="00E36646" w:rsidRDefault="00E36646" w:rsidP="00E36646"/>
    <w:p w14:paraId="14C10D6D" w14:textId="77777777" w:rsidR="00E36646" w:rsidRDefault="00E36646" w:rsidP="00E36646">
      <w:r w:rsidRPr="00B446AB">
        <w:t>If you have any questions about this report, please feel free to contact</w:t>
      </w:r>
      <w:r>
        <w:t xml:space="preserve"> Samantha Graham</w:t>
      </w:r>
      <w:r w:rsidRPr="00B446AB">
        <w:t xml:space="preserve">, </w:t>
      </w:r>
      <w:r>
        <w:t>Substance Use Prevention and Intervention Specialist, in the Office of Student and Family Support via</w:t>
      </w:r>
      <w:r w:rsidRPr="00B446AB">
        <w:t xml:space="preserve"> </w:t>
      </w:r>
      <w:hyperlink r:id="rId14" w:history="1">
        <w:r w:rsidRPr="00521DBA">
          <w:rPr>
            <w:rStyle w:val="Hyperlink"/>
          </w:rPr>
          <w:t>samantha.graham@mass.gov</w:t>
        </w:r>
      </w:hyperlink>
      <w:r w:rsidRPr="00B446AB">
        <w:t xml:space="preserve"> or 781-338-</w:t>
      </w:r>
      <w:r>
        <w:t>6305</w:t>
      </w:r>
      <w:r w:rsidRPr="00B446AB">
        <w:t>.</w:t>
      </w:r>
    </w:p>
    <w:p w14:paraId="4D2CD674" w14:textId="77777777" w:rsidR="00E36646" w:rsidRDefault="00E36646" w:rsidP="00E36646"/>
    <w:p w14:paraId="4C2C0166" w14:textId="77777777" w:rsidR="00E36646" w:rsidRDefault="00E36646" w:rsidP="00E36646">
      <w:r w:rsidRPr="00B446AB">
        <w:t>Sincerely,</w:t>
      </w:r>
    </w:p>
    <w:p w14:paraId="4F3E770D" w14:textId="77777777" w:rsidR="00E36646" w:rsidRDefault="00E36646" w:rsidP="00E36646"/>
    <w:p w14:paraId="2A6A1520" w14:textId="77777777" w:rsidR="00E36646" w:rsidRDefault="00E36646" w:rsidP="00E36646"/>
    <w:p w14:paraId="42B93994" w14:textId="77777777" w:rsidR="00E36646" w:rsidRDefault="00E36646" w:rsidP="00E36646"/>
    <w:p w14:paraId="56E2AB25" w14:textId="77777777" w:rsidR="00E36646" w:rsidRDefault="00E36646" w:rsidP="00E36646"/>
    <w:p w14:paraId="50CC961D" w14:textId="77777777" w:rsidR="00E36646" w:rsidRDefault="00E36646" w:rsidP="00E36646">
      <w:r>
        <w:t>Jeffrey C. Riley</w:t>
      </w:r>
    </w:p>
    <w:p w14:paraId="53A7B10C" w14:textId="77777777" w:rsidR="00E36646" w:rsidRDefault="00E36646" w:rsidP="00E36646">
      <w:pPr>
        <w:sectPr w:rsidR="00E36646" w:rsidSect="007102D5">
          <w:endnotePr>
            <w:numFmt w:val="decimal"/>
          </w:endnotePr>
          <w:type w:val="continuous"/>
          <w:pgSz w:w="12240" w:h="15840"/>
          <w:pgMar w:top="1440" w:right="1440" w:bottom="1440" w:left="1440" w:header="1440" w:footer="1440" w:gutter="0"/>
          <w:cols w:space="720"/>
          <w:noEndnote/>
          <w:docGrid w:linePitch="326"/>
        </w:sectPr>
      </w:pPr>
      <w:r>
        <w:t>Commissioner of Elementary and Secondary Education</w:t>
      </w:r>
    </w:p>
    <w:p w14:paraId="06A42F4B"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63B70FA2"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766D6A49" w14:textId="77777777" w:rsidR="00E36646" w:rsidRPr="00B96F07" w:rsidRDefault="00436A76" w:rsidP="00E36646">
      <w:pPr>
        <w:pStyle w:val="TOC1"/>
        <w:rPr>
          <w:rFonts w:asciiTheme="minorHAnsi" w:eastAsiaTheme="minorEastAsia" w:hAnsiTheme="minorHAnsi" w:cstheme="minorBidi"/>
          <w:b w:val="0"/>
          <w:noProof/>
          <w:sz w:val="22"/>
          <w:szCs w:val="22"/>
        </w:rPr>
      </w:pPr>
      <w:hyperlink w:anchor="_Toc7731849" w:history="1">
        <w:r w:rsidR="00E36646" w:rsidRPr="00B96F07">
          <w:rPr>
            <w:rStyle w:val="Hyperlink"/>
            <w:rFonts w:ascii="Times New Roman" w:hAnsi="Times New Roman"/>
            <w:noProof/>
            <w:color w:val="auto"/>
            <w:u w:val="none"/>
          </w:rPr>
          <w:t>Introduction</w:t>
        </w:r>
        <w:r w:rsidR="00E36646" w:rsidRPr="00B96F07">
          <w:rPr>
            <w:noProof/>
            <w:webHidden/>
          </w:rPr>
          <w:tab/>
        </w:r>
        <w:r w:rsidR="00E36646" w:rsidRPr="00B96F07">
          <w:rPr>
            <w:noProof/>
            <w:webHidden/>
          </w:rPr>
          <w:fldChar w:fldCharType="begin"/>
        </w:r>
        <w:r w:rsidR="00E36646" w:rsidRPr="00B96F07">
          <w:rPr>
            <w:noProof/>
            <w:webHidden/>
          </w:rPr>
          <w:instrText xml:space="preserve"> PAGEREF _Toc7731849 \h </w:instrText>
        </w:r>
        <w:r w:rsidR="00E36646" w:rsidRPr="00B96F07">
          <w:rPr>
            <w:noProof/>
            <w:webHidden/>
          </w:rPr>
        </w:r>
        <w:r w:rsidR="00E36646" w:rsidRPr="00B96F07">
          <w:rPr>
            <w:noProof/>
            <w:webHidden/>
          </w:rPr>
          <w:fldChar w:fldCharType="separate"/>
        </w:r>
        <w:r w:rsidR="00E36646" w:rsidRPr="00B96F07">
          <w:rPr>
            <w:noProof/>
            <w:webHidden/>
          </w:rPr>
          <w:t>1</w:t>
        </w:r>
        <w:r w:rsidR="00E36646" w:rsidRPr="00B96F07">
          <w:rPr>
            <w:noProof/>
            <w:webHidden/>
          </w:rPr>
          <w:fldChar w:fldCharType="end"/>
        </w:r>
      </w:hyperlink>
    </w:p>
    <w:p w14:paraId="5E936768" w14:textId="77777777" w:rsidR="00E36646" w:rsidRPr="00B96F07" w:rsidRDefault="00436A76" w:rsidP="00E36646">
      <w:pPr>
        <w:pStyle w:val="TOC1"/>
        <w:rPr>
          <w:rFonts w:asciiTheme="minorHAnsi" w:eastAsiaTheme="minorEastAsia" w:hAnsiTheme="minorHAnsi" w:cstheme="minorBidi"/>
          <w:b w:val="0"/>
          <w:noProof/>
          <w:sz w:val="22"/>
          <w:szCs w:val="22"/>
        </w:rPr>
      </w:pPr>
      <w:hyperlink w:anchor="_Toc7731850" w:history="1">
        <w:r w:rsidR="00E36646" w:rsidRPr="00B96F07">
          <w:rPr>
            <w:rStyle w:val="Hyperlink"/>
            <w:rFonts w:ascii="Times New Roman" w:hAnsi="Times New Roman"/>
            <w:noProof/>
            <w:color w:val="auto"/>
            <w:u w:val="none"/>
          </w:rPr>
          <w:t>The Number of Youths Served Per High School</w:t>
        </w:r>
        <w:r w:rsidR="00E36646" w:rsidRPr="00B96F07">
          <w:rPr>
            <w:noProof/>
            <w:webHidden/>
          </w:rPr>
          <w:tab/>
        </w:r>
        <w:r w:rsidR="00E36646" w:rsidRPr="00B96F07">
          <w:rPr>
            <w:noProof/>
            <w:webHidden/>
          </w:rPr>
          <w:fldChar w:fldCharType="begin"/>
        </w:r>
        <w:r w:rsidR="00E36646" w:rsidRPr="00B96F07">
          <w:rPr>
            <w:noProof/>
            <w:webHidden/>
          </w:rPr>
          <w:instrText xml:space="preserve"> PAGEREF _Toc7731850 \h </w:instrText>
        </w:r>
        <w:r w:rsidR="00E36646" w:rsidRPr="00B96F07">
          <w:rPr>
            <w:noProof/>
            <w:webHidden/>
          </w:rPr>
        </w:r>
        <w:r w:rsidR="00E36646" w:rsidRPr="00B96F07">
          <w:rPr>
            <w:noProof/>
            <w:webHidden/>
          </w:rPr>
          <w:fldChar w:fldCharType="separate"/>
        </w:r>
        <w:r w:rsidR="00E36646" w:rsidRPr="00B96F07">
          <w:rPr>
            <w:noProof/>
            <w:webHidden/>
          </w:rPr>
          <w:t>2</w:t>
        </w:r>
        <w:r w:rsidR="00E36646" w:rsidRPr="00B96F07">
          <w:rPr>
            <w:noProof/>
            <w:webHidden/>
          </w:rPr>
          <w:fldChar w:fldCharType="end"/>
        </w:r>
      </w:hyperlink>
    </w:p>
    <w:p w14:paraId="57F2E868" w14:textId="3117D8E1" w:rsidR="00E36646" w:rsidRPr="00B96F07" w:rsidRDefault="00436A76" w:rsidP="00E36646">
      <w:pPr>
        <w:pStyle w:val="TOC1"/>
        <w:rPr>
          <w:rFonts w:asciiTheme="minorHAnsi" w:eastAsiaTheme="minorEastAsia" w:hAnsiTheme="minorHAnsi" w:cstheme="minorBidi"/>
          <w:b w:val="0"/>
          <w:noProof/>
          <w:sz w:val="22"/>
          <w:szCs w:val="22"/>
        </w:rPr>
      </w:pPr>
      <w:hyperlink w:anchor="_Toc7731851" w:history="1">
        <w:r w:rsidR="00E36646" w:rsidRPr="00B96F07">
          <w:rPr>
            <w:rStyle w:val="Hyperlink"/>
            <w:rFonts w:ascii="Times New Roman" w:hAnsi="Times New Roman"/>
            <w:noProof/>
            <w:color w:val="auto"/>
            <w:u w:val="none"/>
          </w:rPr>
          <w:t>Outcomes Measured for Youths</w:t>
        </w:r>
        <w:r w:rsidR="00E36646" w:rsidRPr="00B96F07">
          <w:rPr>
            <w:noProof/>
            <w:webHidden/>
          </w:rPr>
          <w:tab/>
        </w:r>
        <w:r w:rsidR="002E2983">
          <w:rPr>
            <w:noProof/>
            <w:webHidden/>
          </w:rPr>
          <w:t>3</w:t>
        </w:r>
      </w:hyperlink>
    </w:p>
    <w:p w14:paraId="34232FE3" w14:textId="73A91EE2" w:rsidR="007C6F51" w:rsidRDefault="00436A76" w:rsidP="007C6F51">
      <w:pPr>
        <w:pStyle w:val="TOC1"/>
        <w:rPr>
          <w:rFonts w:asciiTheme="minorHAnsi" w:eastAsiaTheme="minorEastAsia" w:hAnsiTheme="minorHAnsi" w:cstheme="minorBidi"/>
          <w:b w:val="0"/>
          <w:noProof/>
          <w:sz w:val="22"/>
          <w:szCs w:val="22"/>
        </w:rPr>
      </w:pPr>
      <w:hyperlink w:anchor="_Toc7731852" w:history="1">
        <w:r w:rsidR="007C6F51" w:rsidRPr="00576085">
          <w:rPr>
            <w:rStyle w:val="Hyperlink"/>
            <w:rFonts w:ascii="Times New Roman" w:hAnsi="Times New Roman"/>
            <w:noProof/>
            <w:color w:val="auto"/>
            <w:u w:val="none"/>
          </w:rPr>
          <w:t>Recommendations for New Recovery High Schools in Fiscal Years 2022 and 2023</w:t>
        </w:r>
        <w:r w:rsidR="007C6F51">
          <w:rPr>
            <w:noProof/>
            <w:webHidden/>
          </w:rPr>
          <w:tab/>
          <w:t>5</w:t>
        </w:r>
      </w:hyperlink>
    </w:p>
    <w:p w14:paraId="00DFAD52" w14:textId="494EFDDA" w:rsidR="00452287" w:rsidRDefault="00452287"/>
    <w:p w14:paraId="2008D2BF" w14:textId="77777777" w:rsidR="00452287" w:rsidRDefault="00452287"/>
    <w:p w14:paraId="0D89A675" w14:textId="77777777" w:rsidR="00452287" w:rsidRDefault="00452287"/>
    <w:p w14:paraId="74C396E7" w14:textId="77777777" w:rsidR="00452287" w:rsidRDefault="00452287"/>
    <w:p w14:paraId="0E810D8D" w14:textId="77777777" w:rsidR="00452287" w:rsidRDefault="00452287"/>
    <w:p w14:paraId="07F18C34" w14:textId="77777777" w:rsidR="00452287" w:rsidRDefault="00452287"/>
    <w:p w14:paraId="589C6049" w14:textId="77777777" w:rsidR="00452287" w:rsidRDefault="00452287"/>
    <w:p w14:paraId="0226AF9C" w14:textId="77777777" w:rsidR="00452287" w:rsidRDefault="00452287"/>
    <w:p w14:paraId="212B940B" w14:textId="77777777" w:rsidR="00452287" w:rsidRDefault="00452287"/>
    <w:p w14:paraId="1FDB2F76" w14:textId="77777777" w:rsidR="00452287" w:rsidRDefault="00452287"/>
    <w:p w14:paraId="36B87498" w14:textId="77777777" w:rsidR="00452287" w:rsidRDefault="00452287"/>
    <w:p w14:paraId="5D5DC3EF" w14:textId="77777777" w:rsidR="00452287" w:rsidRDefault="00452287"/>
    <w:p w14:paraId="7132840F" w14:textId="77777777" w:rsidR="00452287" w:rsidRDefault="00452287"/>
    <w:p w14:paraId="3A01244B" w14:textId="77777777" w:rsidR="00452287" w:rsidRDefault="00452287"/>
    <w:p w14:paraId="58DA1A00" w14:textId="77777777" w:rsidR="00452287" w:rsidRDefault="00452287"/>
    <w:p w14:paraId="42245A27" w14:textId="77777777" w:rsidR="00452287" w:rsidRDefault="00452287"/>
    <w:p w14:paraId="07A35014" w14:textId="77777777" w:rsidR="00452287" w:rsidRDefault="00452287"/>
    <w:p w14:paraId="1F43D4CD" w14:textId="77777777" w:rsidR="00452287" w:rsidRDefault="00452287"/>
    <w:p w14:paraId="08478588" w14:textId="77777777" w:rsidR="00452287" w:rsidRDefault="00452287"/>
    <w:p w14:paraId="3ADA69B4" w14:textId="77777777" w:rsidR="00452287" w:rsidRDefault="00452287"/>
    <w:p w14:paraId="6815FA2D" w14:textId="77777777" w:rsidR="00452287" w:rsidRDefault="00452287"/>
    <w:p w14:paraId="2E2B7DBF" w14:textId="77777777" w:rsidR="00452287" w:rsidRDefault="00452287"/>
    <w:p w14:paraId="5583C35B" w14:textId="77777777" w:rsidR="00452287" w:rsidRDefault="00452287"/>
    <w:p w14:paraId="3AEA5206" w14:textId="77777777" w:rsidR="00452287" w:rsidRDefault="00452287"/>
    <w:p w14:paraId="4A599376" w14:textId="77777777" w:rsidR="00452287" w:rsidRDefault="00452287">
      <w:pPr>
        <w:sectPr w:rsidR="00452287" w:rsidSect="007102D5">
          <w:pgSz w:w="12240" w:h="15840"/>
          <w:pgMar w:top="1440" w:right="1440" w:bottom="1440" w:left="1440" w:header="720" w:footer="720" w:gutter="0"/>
          <w:cols w:space="720"/>
          <w:docGrid w:linePitch="326"/>
        </w:sectPr>
      </w:pPr>
    </w:p>
    <w:p w14:paraId="697AE331" w14:textId="77777777"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lastRenderedPageBreak/>
        <w:t>Introduction</w:t>
      </w:r>
    </w:p>
    <w:p w14:paraId="2A6ABA06" w14:textId="77777777" w:rsidR="00144CB4" w:rsidRDefault="00144CB4" w:rsidP="00144CB4"/>
    <w:p w14:paraId="50F13D6D" w14:textId="7B0ABF11" w:rsidR="00E36646" w:rsidRDefault="00E36646" w:rsidP="00E36646">
      <w:r>
        <w:t xml:space="preserve">The Department of Elementary and Secondary Education (Department) respectfully submits the Report to the Legislature: Recovery High Schools Legislative Report pursuant to </w:t>
      </w:r>
      <w:hyperlink r:id="rId15" w:history="1">
        <w:r w:rsidR="00FC5BD5" w:rsidRPr="00FC5BD5">
          <w:rPr>
            <w:rStyle w:val="Hyperlink"/>
          </w:rPr>
          <w:t xml:space="preserve">Chapter 227 </w:t>
        </w:r>
        <w:r w:rsidRPr="00FC5BD5">
          <w:rPr>
            <w:rStyle w:val="Hyperlink"/>
          </w:rPr>
          <w:t xml:space="preserve">of </w:t>
        </w:r>
        <w:r w:rsidR="00FC5BD5" w:rsidRPr="00FC5BD5">
          <w:rPr>
            <w:rStyle w:val="Hyperlink"/>
          </w:rPr>
          <w:t xml:space="preserve">the </w:t>
        </w:r>
        <w:r w:rsidRPr="00FC5BD5">
          <w:rPr>
            <w:rStyle w:val="Hyperlink"/>
          </w:rPr>
          <w:t xml:space="preserve">Acts </w:t>
        </w:r>
        <w:r w:rsidR="00FC5BD5" w:rsidRPr="00FC5BD5">
          <w:rPr>
            <w:rStyle w:val="Hyperlink"/>
          </w:rPr>
          <w:t xml:space="preserve">of </w:t>
        </w:r>
        <w:r w:rsidRPr="00FC5BD5">
          <w:rPr>
            <w:rStyle w:val="Hyperlink"/>
          </w:rPr>
          <w:t>20</w:t>
        </w:r>
        <w:r w:rsidR="00FC5BD5" w:rsidRPr="00FC5BD5">
          <w:rPr>
            <w:rStyle w:val="Hyperlink"/>
          </w:rPr>
          <w:t>20</w:t>
        </w:r>
      </w:hyperlink>
      <w:r>
        <w:t xml:space="preserve">, line item </w:t>
      </w:r>
      <w:hyperlink r:id="rId16" w:history="1">
        <w:r w:rsidRPr="00FC5BD5">
          <w:rPr>
            <w:rStyle w:val="Hyperlink"/>
          </w:rPr>
          <w:t>7061-9607</w:t>
        </w:r>
      </w:hyperlink>
      <w:r w:rsidR="00FC5BD5">
        <w:t>, that reads in part</w:t>
      </w:r>
      <w:r>
        <w:t>:</w:t>
      </w:r>
    </w:p>
    <w:p w14:paraId="51CE60D4" w14:textId="77777777" w:rsidR="00E36646" w:rsidRDefault="00E36646" w:rsidP="00E36646"/>
    <w:p w14:paraId="756583DF" w14:textId="42735C08" w:rsidR="00E36646" w:rsidRPr="00FB2DE9" w:rsidRDefault="00FC5BD5" w:rsidP="00E36646">
      <w:pPr>
        <w:ind w:left="720"/>
        <w:rPr>
          <w:i/>
        </w:rPr>
      </w:pPr>
      <w:bookmarkStart w:id="0" w:name="_Hlk70702291"/>
      <w:r>
        <w:rPr>
          <w:i/>
        </w:rPr>
        <w:t>“</w:t>
      </w:r>
      <w:r w:rsidR="00E36646" w:rsidRPr="00FB2DE9">
        <w:rPr>
          <w:i/>
        </w:rPr>
        <w:t xml:space="preserve">For </w:t>
      </w:r>
      <w:r>
        <w:rPr>
          <w:i/>
        </w:rPr>
        <w:t>…</w:t>
      </w:r>
      <w:r w:rsidR="00E36646" w:rsidRPr="00FB2DE9">
        <w:rPr>
          <w:i/>
        </w:rPr>
        <w:t xml:space="preserve">recovery high schools; provided, that the department of elementary and secondary education shall work collaboratively with the bureau of substance addiction services for the successful transition and continued operation of the recovery high schools model; and provided further, that </w:t>
      </w:r>
      <w:r>
        <w:rPr>
          <w:i/>
        </w:rPr>
        <w:t xml:space="preserve">not later than April 1, 2021, </w:t>
      </w:r>
      <w:r w:rsidR="00E36646" w:rsidRPr="00FB2DE9">
        <w:rPr>
          <w:i/>
        </w:rPr>
        <w:t xml:space="preserve">the department shall submit a report to the house and senate committees on ways and means </w:t>
      </w:r>
      <w:r>
        <w:rPr>
          <w:i/>
        </w:rPr>
        <w:t>that shall include, but not be limited to</w:t>
      </w:r>
      <w:r w:rsidR="00E36646" w:rsidRPr="00FB2DE9">
        <w:rPr>
          <w:i/>
        </w:rPr>
        <w:t>: (</w:t>
      </w:r>
      <w:r>
        <w:rPr>
          <w:i/>
        </w:rPr>
        <w:t>i</w:t>
      </w:r>
      <w:r w:rsidR="00E36646" w:rsidRPr="00FB2DE9">
        <w:rPr>
          <w:i/>
        </w:rPr>
        <w:t>) the number of youths served per high school; (</w:t>
      </w:r>
      <w:r>
        <w:rPr>
          <w:i/>
        </w:rPr>
        <w:t>ii</w:t>
      </w:r>
      <w:r w:rsidR="00E36646" w:rsidRPr="00FB2DE9">
        <w:rPr>
          <w:i/>
        </w:rPr>
        <w:t>) outcomes measured for the youths</w:t>
      </w:r>
      <w:r>
        <w:rPr>
          <w:i/>
        </w:rPr>
        <w:t xml:space="preserve">; and (iii) </w:t>
      </w:r>
      <w:r w:rsidRPr="00FC5BD5">
        <w:rPr>
          <w:i/>
        </w:rPr>
        <w:t>recommendations for new recovery high schools in fiscal year 2022 and fiscal year 2023</w:t>
      </w:r>
      <w:r>
        <w:rPr>
          <w:i/>
        </w:rPr>
        <w:t>…”</w:t>
      </w:r>
    </w:p>
    <w:bookmarkEnd w:id="0"/>
    <w:p w14:paraId="52810091" w14:textId="6582097B" w:rsidR="00E36646" w:rsidRDefault="003F6920" w:rsidP="00E36646">
      <w:pPr>
        <w:spacing w:before="100" w:beforeAutospacing="1" w:after="100" w:afterAutospacing="1"/>
        <w:rPr>
          <w:color w:val="000000"/>
        </w:rPr>
      </w:pPr>
      <w:r>
        <w:rPr>
          <w:color w:val="000000"/>
        </w:rPr>
        <w:fldChar w:fldCharType="begin"/>
      </w:r>
      <w:r>
        <w:rPr>
          <w:color w:val="000000"/>
        </w:rPr>
        <w:instrText xml:space="preserve"> HYPERLINK "https://www.doe.mass.edu/sfs/rhs/" </w:instrText>
      </w:r>
      <w:r>
        <w:rPr>
          <w:color w:val="000000"/>
        </w:rPr>
        <w:fldChar w:fldCharType="separate"/>
      </w:r>
      <w:r w:rsidR="00E36646" w:rsidRPr="003F6920">
        <w:rPr>
          <w:rStyle w:val="Hyperlink"/>
        </w:rPr>
        <w:t>Recovery High School programs</w:t>
      </w:r>
      <w:r>
        <w:rPr>
          <w:color w:val="000000"/>
        </w:rPr>
        <w:fldChar w:fldCharType="end"/>
      </w:r>
      <w:r w:rsidR="00E36646" w:rsidRPr="009C1C87">
        <w:rPr>
          <w:color w:val="000000"/>
        </w:rPr>
        <w:t xml:space="preserve"> are public programs, operated by a school district or an educational collaborative, as an educational option for students in recovery from a substance use disorder or dependency. They </w:t>
      </w:r>
      <w:r w:rsidR="00FC5BD5">
        <w:rPr>
          <w:color w:val="000000"/>
        </w:rPr>
        <w:t xml:space="preserve">support </w:t>
      </w:r>
      <w:r w:rsidR="00E36646" w:rsidRPr="009C1C87">
        <w:rPr>
          <w:color w:val="000000"/>
        </w:rPr>
        <w:t xml:space="preserve">students in their recovery while </w:t>
      </w:r>
      <w:r w:rsidR="00FC5BD5">
        <w:rPr>
          <w:color w:val="000000"/>
        </w:rPr>
        <w:t>the students are concurrently</w:t>
      </w:r>
      <w:r w:rsidR="00E857C5">
        <w:rPr>
          <w:color w:val="000000"/>
        </w:rPr>
        <w:t xml:space="preserve"> </w:t>
      </w:r>
      <w:r w:rsidR="00E36646" w:rsidRPr="009C1C87">
        <w:rPr>
          <w:color w:val="000000"/>
        </w:rPr>
        <w:t>working towards their high school degree</w:t>
      </w:r>
      <w:r w:rsidR="00E36646">
        <w:rPr>
          <w:color w:val="000000"/>
        </w:rPr>
        <w:t>.</w:t>
      </w:r>
    </w:p>
    <w:p w14:paraId="17816ADF" w14:textId="7D5E1FE8" w:rsidR="00FF0F52" w:rsidRDefault="00E36646" w:rsidP="00E36646">
      <w:pPr>
        <w:spacing w:before="100" w:beforeAutospacing="1" w:after="100" w:afterAutospacing="1"/>
        <w:rPr>
          <w:color w:val="000000"/>
        </w:rPr>
      </w:pPr>
      <w:r w:rsidRPr="00422CB9">
        <w:t>Recovery High Schools were initially established in Massachusetts in 2006 through a grant program administered by the Department of Public Health (DPH), funded through state line item 4512-0211. In 2009,</w:t>
      </w:r>
      <w:r w:rsidRPr="00FC5BD5">
        <w:rPr>
          <w:rStyle w:val="Hyperlink"/>
        </w:rPr>
        <w:t xml:space="preserve"> </w:t>
      </w:r>
      <w:r w:rsidRPr="007C6F51">
        <w:rPr>
          <w:rStyle w:val="Hyperlink"/>
        </w:rPr>
        <w:t>M.</w:t>
      </w:r>
      <w:hyperlink r:id="rId17" w:tooltip="External Link" w:history="1">
        <w:r w:rsidRPr="007C6F51">
          <w:rPr>
            <w:rStyle w:val="Hyperlink"/>
          </w:rPr>
          <w:t>G.L. c. 71, § 91</w:t>
        </w:r>
      </w:hyperlink>
      <w:r w:rsidRPr="00422CB9">
        <w:t xml:space="preserve"> was enacted to clarify several issues relating to these programs, including data reporting and fiscal responsibility.</w:t>
      </w:r>
      <w:r w:rsidRPr="00585FD5">
        <w:t xml:space="preserve"> </w:t>
      </w:r>
      <w:r w:rsidRPr="00422CB9">
        <w:t xml:space="preserve">Under M.G.L. c. 71, § 91, Recovery High Schools receive the state average foundation budget per </w:t>
      </w:r>
      <w:r w:rsidRPr="00FB2DE9">
        <w:rPr>
          <w:color w:val="000000"/>
        </w:rPr>
        <w:t>pupil for enrolled students from the students' districts of residence</w:t>
      </w:r>
      <w:r>
        <w:rPr>
          <w:color w:val="000000"/>
        </w:rPr>
        <w:t>.</w:t>
      </w:r>
      <w:r w:rsidRPr="00B50DFC">
        <w:rPr>
          <w:color w:val="000000"/>
        </w:rPr>
        <w:t xml:space="preserve"> </w:t>
      </w:r>
      <w:r w:rsidR="003F6920">
        <w:rPr>
          <w:color w:val="000000"/>
        </w:rPr>
        <w:t>R</w:t>
      </w:r>
      <w:r w:rsidR="007C6F51" w:rsidRPr="006510EB">
        <w:rPr>
          <w:color w:val="000000"/>
        </w:rPr>
        <w:t xml:space="preserve">egulations related to RHS programs, </w:t>
      </w:r>
      <w:hyperlink r:id="rId18" w:history="1">
        <w:r w:rsidR="007C6F51" w:rsidRPr="006510EB">
          <w:rPr>
            <w:color w:val="0066CC"/>
            <w:u w:val="single"/>
          </w:rPr>
          <w:t>603 CMR 54.00</w:t>
        </w:r>
      </w:hyperlink>
      <w:r w:rsidR="007C6F51" w:rsidRPr="006510EB">
        <w:rPr>
          <w:color w:val="000000"/>
        </w:rPr>
        <w:t xml:space="preserve">, were adopted by the Board of Elementary and Secondary Education in February 2017. </w:t>
      </w:r>
      <w:r w:rsidR="003F6920">
        <w:rPr>
          <w:color w:val="000000"/>
        </w:rPr>
        <w:t>An</w:t>
      </w:r>
      <w:r w:rsidR="003F6920" w:rsidRPr="006510EB">
        <w:rPr>
          <w:color w:val="000000"/>
        </w:rPr>
        <w:t xml:space="preserve"> </w:t>
      </w:r>
      <w:hyperlink r:id="rId19" w:history="1">
        <w:r w:rsidR="003F6920" w:rsidRPr="006510EB">
          <w:rPr>
            <w:rStyle w:val="Hyperlink"/>
          </w:rPr>
          <w:t>advisory</w:t>
        </w:r>
      </w:hyperlink>
      <w:r w:rsidR="003F6920" w:rsidRPr="006510EB">
        <w:rPr>
          <w:color w:val="000000"/>
        </w:rPr>
        <w:t xml:space="preserve"> </w:t>
      </w:r>
      <w:r w:rsidR="003F6920">
        <w:rPr>
          <w:color w:val="000000"/>
        </w:rPr>
        <w:t xml:space="preserve">(SPED 2019-1) was subsequently issued </w:t>
      </w:r>
      <w:r w:rsidR="003F6920" w:rsidRPr="006510EB">
        <w:rPr>
          <w:color w:val="000000"/>
        </w:rPr>
        <w:t>to address special education service delivery for students with Individualized Education Programs (IEPs) who are attending R</w:t>
      </w:r>
      <w:r w:rsidR="003F6920">
        <w:rPr>
          <w:color w:val="000000"/>
        </w:rPr>
        <w:t xml:space="preserve">ecovery </w:t>
      </w:r>
      <w:r w:rsidR="003F6920" w:rsidRPr="006510EB">
        <w:rPr>
          <w:color w:val="000000"/>
        </w:rPr>
        <w:t>H</w:t>
      </w:r>
      <w:r w:rsidR="003F6920">
        <w:rPr>
          <w:color w:val="000000"/>
        </w:rPr>
        <w:t xml:space="preserve">igh </w:t>
      </w:r>
      <w:r w:rsidR="003F6920" w:rsidRPr="006510EB">
        <w:rPr>
          <w:color w:val="000000"/>
        </w:rPr>
        <w:t>S</w:t>
      </w:r>
      <w:r w:rsidR="003F6920">
        <w:rPr>
          <w:color w:val="000000"/>
        </w:rPr>
        <w:t>chool</w:t>
      </w:r>
      <w:r w:rsidR="003F6920" w:rsidRPr="006510EB">
        <w:rPr>
          <w:color w:val="000000"/>
        </w:rPr>
        <w:t xml:space="preserve"> programs</w:t>
      </w:r>
      <w:r w:rsidR="003F6920">
        <w:rPr>
          <w:color w:val="000000"/>
        </w:rPr>
        <w:t>.</w:t>
      </w:r>
    </w:p>
    <w:p w14:paraId="39FF8C93" w14:textId="1EFB0B62" w:rsidR="00E36646" w:rsidRPr="00422CB9" w:rsidRDefault="00E36646" w:rsidP="00E36646">
      <w:pPr>
        <w:spacing w:before="100" w:beforeAutospacing="1" w:after="100" w:afterAutospacing="1"/>
      </w:pPr>
      <w:r>
        <w:rPr>
          <w:color w:val="000000"/>
        </w:rPr>
        <w:t xml:space="preserve">In July 2018, oversight for the Recovery High Schools was transferred from DPH to the Department, as directed by the Governor and Legislature through the 2019 state budget line item </w:t>
      </w:r>
      <w:hyperlink r:id="rId20" w:history="1">
        <w:r w:rsidRPr="00FD4568">
          <w:rPr>
            <w:rStyle w:val="Hyperlink"/>
          </w:rPr>
          <w:t>7061-9607</w:t>
        </w:r>
      </w:hyperlink>
      <w:r>
        <w:rPr>
          <w:color w:val="000000"/>
        </w:rPr>
        <w:t xml:space="preserve">. </w:t>
      </w:r>
    </w:p>
    <w:p w14:paraId="1BC0AB56" w14:textId="77777777" w:rsidR="00E36646" w:rsidRPr="00422CB9" w:rsidRDefault="00E36646" w:rsidP="00E36646">
      <w:pPr>
        <w:spacing w:before="100" w:beforeAutospacing="1" w:after="100" w:afterAutospacing="1"/>
      </w:pPr>
      <w:r w:rsidRPr="00422CB9">
        <w:t>There are currently five Recovery High Schools in Massachusetts:</w:t>
      </w:r>
    </w:p>
    <w:p w14:paraId="4979C41B" w14:textId="2F9C29AF" w:rsidR="00E36646" w:rsidRPr="00422CB9" w:rsidRDefault="00436A76" w:rsidP="00E36646">
      <w:pPr>
        <w:numPr>
          <w:ilvl w:val="0"/>
          <w:numId w:val="49"/>
        </w:numPr>
        <w:spacing w:before="100" w:beforeAutospacing="1" w:after="100" w:afterAutospacing="1"/>
      </w:pPr>
      <w:hyperlink r:id="rId21" w:history="1">
        <w:r w:rsidR="00E36646" w:rsidRPr="00FB0136">
          <w:rPr>
            <w:rStyle w:val="Hyperlink"/>
          </w:rPr>
          <w:t xml:space="preserve">William J. </w:t>
        </w:r>
        <w:proofErr w:type="spellStart"/>
        <w:r w:rsidR="00E36646" w:rsidRPr="00FB0136">
          <w:rPr>
            <w:rStyle w:val="Hyperlink"/>
          </w:rPr>
          <w:t>Ostiguy</w:t>
        </w:r>
        <w:proofErr w:type="spellEnd"/>
        <w:r w:rsidR="00E36646" w:rsidRPr="00FB0136">
          <w:rPr>
            <w:rStyle w:val="Hyperlink"/>
          </w:rPr>
          <w:t xml:space="preserve"> High School</w:t>
        </w:r>
      </w:hyperlink>
      <w:r w:rsidR="00E36646" w:rsidRPr="00422CB9">
        <w:t xml:space="preserve"> opened in September 2006 in downtown Boston and is operated in partnership with the </w:t>
      </w:r>
      <w:hyperlink r:id="rId22" w:history="1">
        <w:r w:rsidR="00E36646" w:rsidRPr="00FB0136">
          <w:rPr>
            <w:rStyle w:val="Hyperlink"/>
          </w:rPr>
          <w:t>Boston Public Schools</w:t>
        </w:r>
      </w:hyperlink>
      <w:r w:rsidR="00E36646" w:rsidRPr="00422CB9">
        <w:t>.</w:t>
      </w:r>
    </w:p>
    <w:p w14:paraId="5F650CAF" w14:textId="3C2B6737" w:rsidR="00E36646" w:rsidRPr="00422CB9" w:rsidRDefault="00436A76" w:rsidP="00E36646">
      <w:pPr>
        <w:numPr>
          <w:ilvl w:val="0"/>
          <w:numId w:val="49"/>
        </w:numPr>
        <w:spacing w:before="100" w:beforeAutospacing="1" w:after="100" w:afterAutospacing="1"/>
      </w:pPr>
      <w:hyperlink r:id="rId23" w:history="1">
        <w:r w:rsidR="00E36646" w:rsidRPr="00FB0136">
          <w:rPr>
            <w:rStyle w:val="Hyperlink"/>
          </w:rPr>
          <w:t>Northshore Recovery High School</w:t>
        </w:r>
      </w:hyperlink>
      <w:r w:rsidR="00E36646" w:rsidRPr="00422CB9">
        <w:t xml:space="preserve"> opened in September 2007 in Beverly and is operated by </w:t>
      </w:r>
      <w:hyperlink r:id="rId24" w:history="1">
        <w:r w:rsidR="00E36646" w:rsidRPr="00FB0136">
          <w:rPr>
            <w:rStyle w:val="Hyperlink"/>
          </w:rPr>
          <w:t>Northshore Education Consortium</w:t>
        </w:r>
      </w:hyperlink>
      <w:r w:rsidR="00E36646" w:rsidRPr="00422CB9">
        <w:t>.</w:t>
      </w:r>
    </w:p>
    <w:p w14:paraId="42A47D5A" w14:textId="64C6D385" w:rsidR="00E36646" w:rsidRPr="00FB2DE9" w:rsidRDefault="00436A76" w:rsidP="00E36646">
      <w:pPr>
        <w:numPr>
          <w:ilvl w:val="0"/>
          <w:numId w:val="49"/>
        </w:numPr>
        <w:spacing w:before="100" w:beforeAutospacing="1" w:after="100" w:afterAutospacing="1"/>
        <w:rPr>
          <w:color w:val="000000"/>
        </w:rPr>
      </w:pPr>
      <w:hyperlink r:id="rId25" w:history="1">
        <w:r w:rsidR="00E36646" w:rsidRPr="00FB0136">
          <w:rPr>
            <w:rStyle w:val="Hyperlink"/>
          </w:rPr>
          <w:t>Liberty Preparatory</w:t>
        </w:r>
      </w:hyperlink>
      <w:r w:rsidR="00E36646" w:rsidRPr="00FB2DE9">
        <w:rPr>
          <w:color w:val="000000"/>
        </w:rPr>
        <w:t xml:space="preserve"> opened in September 2007 in Springfield and is operated in partnership with the </w:t>
      </w:r>
      <w:hyperlink r:id="rId26" w:history="1">
        <w:r w:rsidR="00E36646" w:rsidRPr="00FB0136">
          <w:rPr>
            <w:rStyle w:val="Hyperlink"/>
          </w:rPr>
          <w:t>Springfield Public Schools</w:t>
        </w:r>
      </w:hyperlink>
      <w:r w:rsidR="00E36646" w:rsidRPr="00FB2DE9">
        <w:rPr>
          <w:color w:val="000000"/>
        </w:rPr>
        <w:t>.</w:t>
      </w:r>
    </w:p>
    <w:p w14:paraId="3B69AF20" w14:textId="5E05B9D0" w:rsidR="00E36646" w:rsidRPr="00FB2DE9" w:rsidRDefault="00436A76" w:rsidP="00E36646">
      <w:pPr>
        <w:numPr>
          <w:ilvl w:val="0"/>
          <w:numId w:val="49"/>
        </w:numPr>
        <w:spacing w:before="100" w:beforeAutospacing="1" w:after="100" w:afterAutospacing="1"/>
        <w:rPr>
          <w:color w:val="000000"/>
        </w:rPr>
      </w:pPr>
      <w:hyperlink r:id="rId27" w:history="1">
        <w:r w:rsidR="00E36646" w:rsidRPr="00FB0136">
          <w:rPr>
            <w:rStyle w:val="Hyperlink"/>
          </w:rPr>
          <w:t>Independence Academy</w:t>
        </w:r>
      </w:hyperlink>
      <w:r w:rsidR="00E36646" w:rsidRPr="00FB2DE9">
        <w:rPr>
          <w:color w:val="000000"/>
        </w:rPr>
        <w:t xml:space="preserve"> opened in September 2012 in Brockton and is operated in partnership with </w:t>
      </w:r>
      <w:hyperlink r:id="rId28" w:history="1">
        <w:r w:rsidR="00E36646" w:rsidRPr="00FB0136">
          <w:rPr>
            <w:rStyle w:val="Hyperlink"/>
          </w:rPr>
          <w:t>North River Collaborative</w:t>
        </w:r>
      </w:hyperlink>
      <w:r w:rsidR="00E36646" w:rsidRPr="00FB2DE9">
        <w:rPr>
          <w:color w:val="000000"/>
        </w:rPr>
        <w:t>.</w:t>
      </w:r>
    </w:p>
    <w:p w14:paraId="607038C3" w14:textId="7E53CC9E" w:rsidR="00E36646" w:rsidRPr="00D45615" w:rsidRDefault="00436A76" w:rsidP="00E36646">
      <w:pPr>
        <w:numPr>
          <w:ilvl w:val="0"/>
          <w:numId w:val="49"/>
        </w:numPr>
        <w:spacing w:before="100" w:beforeAutospacing="1"/>
        <w:rPr>
          <w:color w:val="000000"/>
        </w:rPr>
      </w:pPr>
      <w:hyperlink r:id="rId29" w:history="1">
        <w:r w:rsidR="00E36646" w:rsidRPr="00FB0136">
          <w:rPr>
            <w:rStyle w:val="Hyperlink"/>
          </w:rPr>
          <w:t>Rockdale Recovery High</w:t>
        </w:r>
      </w:hyperlink>
      <w:r w:rsidR="00E36646" w:rsidRPr="00FB2DE9">
        <w:rPr>
          <w:color w:val="000000"/>
        </w:rPr>
        <w:t xml:space="preserve"> School opened in September 2015 in Worcester and is operated by </w:t>
      </w:r>
      <w:hyperlink r:id="rId30" w:history="1">
        <w:r w:rsidR="00E36646" w:rsidRPr="00FB0136">
          <w:rPr>
            <w:rStyle w:val="Hyperlink"/>
          </w:rPr>
          <w:t>Central Massachusetts Special Education Collaborative</w:t>
        </w:r>
      </w:hyperlink>
      <w:r w:rsidR="00E36646" w:rsidRPr="00FB2DE9">
        <w:rPr>
          <w:color w:val="000000"/>
        </w:rPr>
        <w:t>.</w:t>
      </w:r>
    </w:p>
    <w:p w14:paraId="4C3E7E62" w14:textId="77777777" w:rsidR="00E36646" w:rsidRDefault="00E36646" w:rsidP="00E36646">
      <w:pPr>
        <w:rPr>
          <w:rFonts w:cs="NewsGoth BT"/>
          <w:color w:val="221E1F"/>
          <w:sz w:val="20"/>
          <w:szCs w:val="20"/>
        </w:rPr>
      </w:pPr>
    </w:p>
    <w:p w14:paraId="148364E0" w14:textId="7F2309D6" w:rsidR="00E36646" w:rsidRPr="00B96951" w:rsidRDefault="00E36646" w:rsidP="00E36646">
      <w:r w:rsidRPr="5EC5E1F9">
        <w:rPr>
          <w:rFonts w:cs="NewsGoth BT"/>
          <w:color w:val="221E1F"/>
        </w:rPr>
        <w:t>In the spring of 2019, the Collaborative for Educational Services (CES) was commissioned by the De</w:t>
      </w:r>
      <w:r w:rsidRPr="5EC5E1F9">
        <w:rPr>
          <w:rFonts w:cs="NewsGoth BT"/>
        </w:rPr>
        <w:t>partment to conduct an eighteen-month evaluation of the five</w:t>
      </w:r>
      <w:r w:rsidR="23A6F7DE" w:rsidRPr="5EC5E1F9">
        <w:rPr>
          <w:rFonts w:cs="NewsGoth BT"/>
        </w:rPr>
        <w:t xml:space="preserve"> </w:t>
      </w:r>
      <w:r w:rsidRPr="5EC5E1F9">
        <w:rPr>
          <w:rFonts w:cs="NewsGoth BT"/>
        </w:rPr>
        <w:t>RHS programs in the state. The primary purpose of this study was to help inform the Department of the current practices of RHS programs</w:t>
      </w:r>
      <w:r w:rsidR="00882772" w:rsidRPr="5EC5E1F9">
        <w:rPr>
          <w:rFonts w:cs="NewsGoth BT"/>
        </w:rPr>
        <w:t xml:space="preserve"> and</w:t>
      </w:r>
      <w:r w:rsidRPr="5EC5E1F9">
        <w:rPr>
          <w:rFonts w:cs="NewsGoth BT"/>
        </w:rPr>
        <w:t xml:space="preserve"> assist with the Department’s efforts to better support these programs</w:t>
      </w:r>
      <w:r w:rsidRPr="5EC5E1F9">
        <w:rPr>
          <w:rFonts w:cs="NewsGoth BT"/>
          <w:b/>
          <w:bCs/>
          <w:color w:val="BD5927"/>
          <w:sz w:val="20"/>
          <w:szCs w:val="20"/>
        </w:rPr>
        <w:t>.</w:t>
      </w:r>
      <w:r w:rsidRPr="5EC5E1F9">
        <w:rPr>
          <w:rFonts w:cs="NewsGoth BT"/>
          <w:b/>
          <w:bCs/>
          <w:i/>
          <w:iCs/>
          <w:color w:val="BD5927"/>
          <w:sz w:val="20"/>
          <w:szCs w:val="20"/>
        </w:rPr>
        <w:t xml:space="preserve"> </w:t>
      </w:r>
      <w:r w:rsidRPr="5EC5E1F9">
        <w:rPr>
          <w:rFonts w:cs="NewsGoth BT"/>
          <w:color w:val="221E1F"/>
        </w:rPr>
        <w:t xml:space="preserve">The summary report </w:t>
      </w:r>
      <w:r w:rsidR="009B57AC" w:rsidRPr="5EC5E1F9">
        <w:rPr>
          <w:rFonts w:cs="NewsGoth BT"/>
          <w:color w:val="221E1F"/>
        </w:rPr>
        <w:t>describes</w:t>
      </w:r>
      <w:r w:rsidRPr="5EC5E1F9">
        <w:rPr>
          <w:rFonts w:cs="NewsGoth BT"/>
          <w:color w:val="221E1F"/>
        </w:rPr>
        <w:t xml:space="preserve"> the state’s RHS programs, as a whole,</w:t>
      </w:r>
      <w:r w:rsidR="009B465A" w:rsidRPr="5EC5E1F9">
        <w:rPr>
          <w:rFonts w:cs="NewsGoth BT"/>
          <w:color w:val="221E1F"/>
        </w:rPr>
        <w:t xml:space="preserve"> as</w:t>
      </w:r>
      <w:r w:rsidRPr="5EC5E1F9">
        <w:rPr>
          <w:rFonts w:cs="NewsGoth BT"/>
          <w:color w:val="221E1F"/>
        </w:rPr>
        <w:t xml:space="preserve"> a thriving and dynamic set of critical resources for some of the state’s most vulnerable students, staffed by dedicated and caring professionals who are carrying out academic and recovery activities under unique and challenging circumstances</w:t>
      </w:r>
      <w:r w:rsidR="009B465A" w:rsidRPr="5EC5E1F9">
        <w:rPr>
          <w:rFonts w:cs="NewsGoth BT"/>
          <w:color w:val="221E1F"/>
        </w:rPr>
        <w:t>.</w:t>
      </w:r>
      <w:r w:rsidR="00E0515B" w:rsidRPr="5EC5E1F9">
        <w:rPr>
          <w:rFonts w:cs="NewsGoth BT"/>
          <w:color w:val="221E1F"/>
        </w:rPr>
        <w:t xml:space="preserve"> </w:t>
      </w:r>
      <w:r w:rsidR="009B465A" w:rsidRPr="5EC5E1F9">
        <w:rPr>
          <w:rFonts w:cs="NewsGoth BT"/>
          <w:color w:val="221E1F"/>
        </w:rPr>
        <w:t xml:space="preserve">Copies of the </w:t>
      </w:r>
      <w:r w:rsidR="00E0515B" w:rsidRPr="5EC5E1F9">
        <w:rPr>
          <w:rFonts w:cs="NewsGoth BT"/>
          <w:color w:val="221E1F"/>
        </w:rPr>
        <w:t>summary evaluation are available upon request from</w:t>
      </w:r>
      <w:r w:rsidR="00430DD2" w:rsidRPr="5EC5E1F9">
        <w:rPr>
          <w:rFonts w:cs="NewsGoth BT"/>
          <w:color w:val="221E1F"/>
        </w:rPr>
        <w:t xml:space="preserve"> </w:t>
      </w:r>
      <w:hyperlink r:id="rId31">
        <w:r w:rsidR="009E4B97" w:rsidRPr="5EC5E1F9">
          <w:rPr>
            <w:rStyle w:val="Hyperlink"/>
          </w:rPr>
          <w:t>Acheivement@doe.mass.</w:t>
        </w:r>
        <w:r w:rsidR="00430DD2" w:rsidRPr="5EC5E1F9">
          <w:rPr>
            <w:rStyle w:val="Hyperlink"/>
          </w:rPr>
          <w:t>edu</w:t>
        </w:r>
      </w:hyperlink>
      <w:r w:rsidR="00430DD2">
        <w:t>.</w:t>
      </w:r>
      <w:r w:rsidR="00576085">
        <w:t xml:space="preserve"> </w:t>
      </w:r>
    </w:p>
    <w:p w14:paraId="0FC18EBD" w14:textId="77777777" w:rsidR="00E36646" w:rsidRPr="001F34EA" w:rsidRDefault="00E36646" w:rsidP="00E36646">
      <w:pPr>
        <w:pStyle w:val="Heading1"/>
        <w:rPr>
          <w:rFonts w:ascii="Times New Roman" w:hAnsi="Times New Roman" w:cs="Times New Roman"/>
        </w:rPr>
      </w:pPr>
      <w:bookmarkStart w:id="1" w:name="_Toc7731850"/>
      <w:r>
        <w:rPr>
          <w:rFonts w:ascii="Times New Roman" w:hAnsi="Times New Roman" w:cs="Times New Roman"/>
        </w:rPr>
        <w:t>The Number of Youths Served Per High School</w:t>
      </w:r>
      <w:bookmarkEnd w:id="1"/>
      <w:r w:rsidRPr="00992025">
        <w:rPr>
          <w:rFonts w:ascii="Times New Roman" w:hAnsi="Times New Roman" w:cs="Times New Roman"/>
        </w:rPr>
        <w:t xml:space="preserve">  </w:t>
      </w:r>
    </w:p>
    <w:p w14:paraId="0F8DA654" w14:textId="14C05E53" w:rsidR="00E36646" w:rsidRPr="00422CB9" w:rsidRDefault="00E36646" w:rsidP="00E36646">
      <w:bookmarkStart w:id="2" w:name="_Hlk2692771"/>
      <w:r w:rsidRPr="00422CB9">
        <w:t>Enrollment numbers vary among the five R</w:t>
      </w:r>
      <w:r>
        <w:t xml:space="preserve">ecovery </w:t>
      </w:r>
      <w:r w:rsidRPr="00422CB9">
        <w:t>H</w:t>
      </w:r>
      <w:r>
        <w:t xml:space="preserve">igh </w:t>
      </w:r>
      <w:r w:rsidRPr="00422CB9">
        <w:t>S</w:t>
      </w:r>
      <w:r>
        <w:t>chool</w:t>
      </w:r>
      <w:r w:rsidRPr="00422CB9">
        <w:t xml:space="preserve"> programs ranging from a low of </w:t>
      </w:r>
      <w:r w:rsidR="000B7864">
        <w:t>3</w:t>
      </w:r>
      <w:r w:rsidRPr="00422CB9">
        <w:t xml:space="preserve"> students at </w:t>
      </w:r>
      <w:r w:rsidR="000B7864">
        <w:t>Rockdale Recovery High</w:t>
      </w:r>
      <w:r w:rsidRPr="00422CB9">
        <w:t xml:space="preserve"> </w:t>
      </w:r>
      <w:r>
        <w:t xml:space="preserve">School </w:t>
      </w:r>
      <w:r w:rsidRPr="00422CB9">
        <w:t>and a high of 3</w:t>
      </w:r>
      <w:r>
        <w:t>2</w:t>
      </w:r>
      <w:r w:rsidRPr="00422CB9">
        <w:t xml:space="preserve"> students at Northshore</w:t>
      </w:r>
      <w:r>
        <w:t xml:space="preserve"> Education Consortium</w:t>
      </w:r>
      <w:r w:rsidRPr="00422CB9">
        <w:t>. The following table includes the number of enrolled students from the October 20</w:t>
      </w:r>
      <w:r>
        <w:t>20</w:t>
      </w:r>
      <w:r w:rsidRPr="00422CB9">
        <w:t xml:space="preserve"> Student Information Management System (SIMS) for the five recovery high schools across the state.</w:t>
      </w:r>
    </w:p>
    <w:p w14:paraId="4832AACC" w14:textId="77777777" w:rsidR="00E36646" w:rsidRDefault="00E36646" w:rsidP="00E36646">
      <w:pPr>
        <w:rPr>
          <w:b/>
          <w:color w:val="333333"/>
          <w:sz w:val="32"/>
          <w:szCs w:val="32"/>
        </w:rPr>
      </w:pPr>
      <w:bookmarkStart w:id="3" w:name="_Hlk1124267"/>
      <w:bookmarkEnd w:id="2"/>
    </w:p>
    <w:tbl>
      <w:tblPr>
        <w:tblStyle w:val="TableGrid"/>
        <w:tblW w:w="0" w:type="auto"/>
        <w:jc w:val="center"/>
        <w:tblLook w:val="04A0" w:firstRow="1" w:lastRow="0" w:firstColumn="1" w:lastColumn="0" w:noHBand="0" w:noVBand="1"/>
        <w:tblDescription w:val="Oct 2018 student enrollment"/>
      </w:tblPr>
      <w:tblGrid>
        <w:gridCol w:w="3865"/>
        <w:gridCol w:w="2790"/>
      </w:tblGrid>
      <w:tr w:rsidR="00E36646" w14:paraId="30154675" w14:textId="77777777" w:rsidTr="00CD7128">
        <w:trPr>
          <w:tblHeader/>
          <w:jc w:val="center"/>
        </w:trPr>
        <w:tc>
          <w:tcPr>
            <w:tcW w:w="3865" w:type="dxa"/>
            <w:shd w:val="clear" w:color="auto" w:fill="95B3D7" w:themeFill="accent1" w:themeFillTint="99"/>
          </w:tcPr>
          <w:p w14:paraId="5ACF3C7C" w14:textId="77777777" w:rsidR="00E36646" w:rsidRPr="00180776" w:rsidRDefault="00E36646" w:rsidP="00CD7128">
            <w:pPr>
              <w:jc w:val="center"/>
              <w:rPr>
                <w:b/>
                <w:color w:val="333333"/>
                <w:sz w:val="20"/>
                <w:szCs w:val="20"/>
              </w:rPr>
            </w:pPr>
          </w:p>
        </w:tc>
        <w:tc>
          <w:tcPr>
            <w:tcW w:w="2790" w:type="dxa"/>
            <w:shd w:val="clear" w:color="auto" w:fill="95B3D7" w:themeFill="accent1" w:themeFillTint="99"/>
          </w:tcPr>
          <w:p w14:paraId="5B503BDC" w14:textId="77777777" w:rsidR="00E36646" w:rsidRPr="00180776" w:rsidRDefault="00E36646" w:rsidP="00CD7128">
            <w:pPr>
              <w:jc w:val="center"/>
              <w:rPr>
                <w:b/>
                <w:color w:val="333333"/>
                <w:sz w:val="20"/>
                <w:szCs w:val="20"/>
              </w:rPr>
            </w:pPr>
            <w:r w:rsidRPr="00180776">
              <w:rPr>
                <w:b/>
                <w:color w:val="333333"/>
                <w:sz w:val="20"/>
                <w:szCs w:val="20"/>
              </w:rPr>
              <w:t>October 2020 Enrollment</w:t>
            </w:r>
          </w:p>
        </w:tc>
      </w:tr>
      <w:tr w:rsidR="00E36646" w14:paraId="6090A6D1" w14:textId="77777777" w:rsidTr="00CD7128">
        <w:trPr>
          <w:tblHeader/>
          <w:jc w:val="center"/>
        </w:trPr>
        <w:tc>
          <w:tcPr>
            <w:tcW w:w="3865" w:type="dxa"/>
            <w:shd w:val="clear" w:color="auto" w:fill="95B3D7" w:themeFill="accent1" w:themeFillTint="99"/>
          </w:tcPr>
          <w:p w14:paraId="3B3CC0AF" w14:textId="77777777" w:rsidR="00E36646" w:rsidRPr="00180776" w:rsidRDefault="00E36646" w:rsidP="00CD7128">
            <w:pPr>
              <w:jc w:val="center"/>
              <w:rPr>
                <w:b/>
                <w:color w:val="333333"/>
                <w:sz w:val="20"/>
                <w:szCs w:val="20"/>
              </w:rPr>
            </w:pPr>
            <w:r w:rsidRPr="00180776">
              <w:rPr>
                <w:b/>
                <w:color w:val="333333"/>
                <w:sz w:val="20"/>
                <w:szCs w:val="20"/>
              </w:rPr>
              <w:t>Recovery High School</w:t>
            </w:r>
          </w:p>
        </w:tc>
        <w:tc>
          <w:tcPr>
            <w:tcW w:w="2790" w:type="dxa"/>
            <w:shd w:val="clear" w:color="auto" w:fill="95B3D7" w:themeFill="accent1" w:themeFillTint="99"/>
          </w:tcPr>
          <w:p w14:paraId="24B8CCAC" w14:textId="77777777" w:rsidR="00E36646" w:rsidRPr="00180776" w:rsidRDefault="00E36646" w:rsidP="00CD7128">
            <w:pPr>
              <w:jc w:val="center"/>
              <w:rPr>
                <w:b/>
                <w:color w:val="333333"/>
                <w:sz w:val="20"/>
                <w:szCs w:val="20"/>
              </w:rPr>
            </w:pPr>
            <w:r w:rsidRPr="00180776">
              <w:rPr>
                <w:b/>
                <w:color w:val="333333"/>
                <w:sz w:val="20"/>
                <w:szCs w:val="20"/>
              </w:rPr>
              <w:t>Students</w:t>
            </w:r>
          </w:p>
        </w:tc>
      </w:tr>
      <w:tr w:rsidR="00E36646" w14:paraId="35FCD707" w14:textId="77777777" w:rsidTr="00CD7128">
        <w:trPr>
          <w:tblHeader/>
          <w:jc w:val="center"/>
        </w:trPr>
        <w:tc>
          <w:tcPr>
            <w:tcW w:w="3865" w:type="dxa"/>
            <w:shd w:val="clear" w:color="auto" w:fill="B8CCE4" w:themeFill="accent1" w:themeFillTint="66"/>
          </w:tcPr>
          <w:p w14:paraId="285C92F1" w14:textId="77777777" w:rsidR="00E36646" w:rsidRPr="00180776" w:rsidRDefault="00E36646" w:rsidP="00CD7128">
            <w:pPr>
              <w:jc w:val="center"/>
              <w:rPr>
                <w:color w:val="333333"/>
                <w:sz w:val="20"/>
                <w:szCs w:val="20"/>
              </w:rPr>
            </w:pPr>
            <w:r w:rsidRPr="00180776">
              <w:rPr>
                <w:color w:val="333333"/>
                <w:sz w:val="20"/>
                <w:szCs w:val="20"/>
              </w:rPr>
              <w:t>Independence Academy</w:t>
            </w:r>
          </w:p>
        </w:tc>
        <w:tc>
          <w:tcPr>
            <w:tcW w:w="2790" w:type="dxa"/>
            <w:shd w:val="clear" w:color="auto" w:fill="B8CCE4" w:themeFill="accent1" w:themeFillTint="66"/>
          </w:tcPr>
          <w:p w14:paraId="027DFA6D" w14:textId="77777777" w:rsidR="00E36646" w:rsidRPr="00180776" w:rsidRDefault="00E36646" w:rsidP="00CD7128">
            <w:pPr>
              <w:jc w:val="center"/>
              <w:rPr>
                <w:color w:val="333333"/>
                <w:sz w:val="20"/>
                <w:szCs w:val="20"/>
              </w:rPr>
            </w:pPr>
            <w:r w:rsidRPr="00180776">
              <w:rPr>
                <w:color w:val="333333"/>
                <w:sz w:val="20"/>
                <w:szCs w:val="20"/>
              </w:rPr>
              <w:t>10</w:t>
            </w:r>
          </w:p>
        </w:tc>
      </w:tr>
      <w:tr w:rsidR="00E36646" w14:paraId="3546E852" w14:textId="77777777" w:rsidTr="00CD7128">
        <w:trPr>
          <w:tblHeader/>
          <w:jc w:val="center"/>
        </w:trPr>
        <w:tc>
          <w:tcPr>
            <w:tcW w:w="3865" w:type="dxa"/>
            <w:shd w:val="clear" w:color="auto" w:fill="B8CCE4" w:themeFill="accent1" w:themeFillTint="66"/>
          </w:tcPr>
          <w:p w14:paraId="3FD2008F" w14:textId="77777777" w:rsidR="00E36646" w:rsidRPr="00180776" w:rsidRDefault="00E36646" w:rsidP="00CD7128">
            <w:pPr>
              <w:jc w:val="center"/>
              <w:rPr>
                <w:color w:val="333333"/>
                <w:sz w:val="20"/>
                <w:szCs w:val="20"/>
              </w:rPr>
            </w:pPr>
            <w:r w:rsidRPr="00180776">
              <w:rPr>
                <w:color w:val="333333"/>
                <w:sz w:val="20"/>
                <w:szCs w:val="20"/>
              </w:rPr>
              <w:t>Liberty Preparatory School</w:t>
            </w:r>
          </w:p>
        </w:tc>
        <w:tc>
          <w:tcPr>
            <w:tcW w:w="2790" w:type="dxa"/>
            <w:shd w:val="clear" w:color="auto" w:fill="B8CCE4" w:themeFill="accent1" w:themeFillTint="66"/>
          </w:tcPr>
          <w:p w14:paraId="766C56B2" w14:textId="77777777" w:rsidR="00E36646" w:rsidRPr="00180776" w:rsidRDefault="00E36646" w:rsidP="00CD7128">
            <w:pPr>
              <w:jc w:val="center"/>
              <w:rPr>
                <w:color w:val="333333"/>
                <w:sz w:val="20"/>
                <w:szCs w:val="20"/>
              </w:rPr>
            </w:pPr>
            <w:r w:rsidRPr="00180776">
              <w:rPr>
                <w:color w:val="333333"/>
                <w:sz w:val="20"/>
                <w:szCs w:val="20"/>
              </w:rPr>
              <w:t>7</w:t>
            </w:r>
          </w:p>
        </w:tc>
      </w:tr>
      <w:tr w:rsidR="00E36646" w14:paraId="432B04EF" w14:textId="77777777" w:rsidTr="00CD7128">
        <w:trPr>
          <w:tblHeader/>
          <w:jc w:val="center"/>
        </w:trPr>
        <w:tc>
          <w:tcPr>
            <w:tcW w:w="3865" w:type="dxa"/>
            <w:shd w:val="clear" w:color="auto" w:fill="B8CCE4" w:themeFill="accent1" w:themeFillTint="66"/>
          </w:tcPr>
          <w:p w14:paraId="7C4B5CCA" w14:textId="77777777" w:rsidR="00E36646" w:rsidRPr="00180776" w:rsidRDefault="00E36646" w:rsidP="00CD7128">
            <w:pPr>
              <w:jc w:val="center"/>
              <w:rPr>
                <w:color w:val="333333"/>
                <w:sz w:val="20"/>
                <w:szCs w:val="20"/>
              </w:rPr>
            </w:pPr>
            <w:r w:rsidRPr="00180776">
              <w:rPr>
                <w:color w:val="333333"/>
                <w:sz w:val="20"/>
                <w:szCs w:val="20"/>
              </w:rPr>
              <w:t>Northshore Education Consortium</w:t>
            </w:r>
          </w:p>
        </w:tc>
        <w:tc>
          <w:tcPr>
            <w:tcW w:w="2790" w:type="dxa"/>
            <w:shd w:val="clear" w:color="auto" w:fill="B8CCE4" w:themeFill="accent1" w:themeFillTint="66"/>
          </w:tcPr>
          <w:p w14:paraId="7233AAC4" w14:textId="77777777" w:rsidR="00E36646" w:rsidRPr="00180776" w:rsidRDefault="00E36646" w:rsidP="00CD7128">
            <w:pPr>
              <w:jc w:val="center"/>
              <w:rPr>
                <w:color w:val="333333"/>
                <w:sz w:val="20"/>
                <w:szCs w:val="20"/>
              </w:rPr>
            </w:pPr>
            <w:r w:rsidRPr="00180776">
              <w:rPr>
                <w:color w:val="333333"/>
                <w:sz w:val="20"/>
                <w:szCs w:val="20"/>
              </w:rPr>
              <w:t>32</w:t>
            </w:r>
          </w:p>
        </w:tc>
      </w:tr>
      <w:tr w:rsidR="00E36646" w14:paraId="49D57F78" w14:textId="77777777" w:rsidTr="00CD7128">
        <w:trPr>
          <w:tblHeader/>
          <w:jc w:val="center"/>
        </w:trPr>
        <w:tc>
          <w:tcPr>
            <w:tcW w:w="3865" w:type="dxa"/>
            <w:shd w:val="clear" w:color="auto" w:fill="B8CCE4" w:themeFill="accent1" w:themeFillTint="66"/>
          </w:tcPr>
          <w:p w14:paraId="646915AC" w14:textId="77777777" w:rsidR="00E36646" w:rsidRPr="00180776" w:rsidRDefault="00E36646" w:rsidP="00CD7128">
            <w:pPr>
              <w:jc w:val="center"/>
              <w:rPr>
                <w:color w:val="333333"/>
                <w:sz w:val="20"/>
                <w:szCs w:val="20"/>
              </w:rPr>
            </w:pPr>
            <w:r w:rsidRPr="00180776">
              <w:rPr>
                <w:color w:val="333333"/>
                <w:sz w:val="20"/>
                <w:szCs w:val="20"/>
              </w:rPr>
              <w:t>Rockdale Recovery High School</w:t>
            </w:r>
          </w:p>
        </w:tc>
        <w:tc>
          <w:tcPr>
            <w:tcW w:w="2790" w:type="dxa"/>
            <w:shd w:val="clear" w:color="auto" w:fill="B8CCE4" w:themeFill="accent1" w:themeFillTint="66"/>
          </w:tcPr>
          <w:p w14:paraId="2E7140F3" w14:textId="77777777" w:rsidR="00E36646" w:rsidRPr="00180776" w:rsidRDefault="00E36646" w:rsidP="00CD7128">
            <w:pPr>
              <w:jc w:val="center"/>
              <w:rPr>
                <w:color w:val="333333"/>
                <w:sz w:val="20"/>
                <w:szCs w:val="20"/>
              </w:rPr>
            </w:pPr>
            <w:r w:rsidRPr="00180776">
              <w:rPr>
                <w:color w:val="333333"/>
                <w:sz w:val="20"/>
                <w:szCs w:val="20"/>
              </w:rPr>
              <w:t>3</w:t>
            </w:r>
          </w:p>
        </w:tc>
      </w:tr>
      <w:tr w:rsidR="00E36646" w14:paraId="16CED39E" w14:textId="77777777" w:rsidTr="00CD7128">
        <w:trPr>
          <w:tblHeader/>
          <w:jc w:val="center"/>
        </w:trPr>
        <w:tc>
          <w:tcPr>
            <w:tcW w:w="3865" w:type="dxa"/>
            <w:shd w:val="clear" w:color="auto" w:fill="B8CCE4" w:themeFill="accent1" w:themeFillTint="66"/>
          </w:tcPr>
          <w:p w14:paraId="1E880C97" w14:textId="77777777" w:rsidR="00E36646" w:rsidRPr="00180776" w:rsidRDefault="00E36646" w:rsidP="00CD7128">
            <w:pPr>
              <w:jc w:val="center"/>
              <w:rPr>
                <w:color w:val="333333"/>
                <w:sz w:val="20"/>
                <w:szCs w:val="20"/>
              </w:rPr>
            </w:pPr>
            <w:r w:rsidRPr="00180776">
              <w:rPr>
                <w:color w:val="333333"/>
                <w:sz w:val="20"/>
                <w:szCs w:val="20"/>
              </w:rPr>
              <w:t xml:space="preserve">William J. </w:t>
            </w:r>
            <w:proofErr w:type="spellStart"/>
            <w:r w:rsidRPr="00180776">
              <w:rPr>
                <w:color w:val="333333"/>
                <w:sz w:val="20"/>
                <w:szCs w:val="20"/>
              </w:rPr>
              <w:t>Ostiguy</w:t>
            </w:r>
            <w:proofErr w:type="spellEnd"/>
            <w:r w:rsidRPr="00180776">
              <w:rPr>
                <w:color w:val="333333"/>
                <w:sz w:val="20"/>
                <w:szCs w:val="20"/>
              </w:rPr>
              <w:t xml:space="preserve"> High School</w:t>
            </w:r>
          </w:p>
        </w:tc>
        <w:tc>
          <w:tcPr>
            <w:tcW w:w="2790" w:type="dxa"/>
            <w:shd w:val="clear" w:color="auto" w:fill="B8CCE4" w:themeFill="accent1" w:themeFillTint="66"/>
          </w:tcPr>
          <w:p w14:paraId="6457C935" w14:textId="77777777" w:rsidR="00E36646" w:rsidRPr="00180776" w:rsidRDefault="00E36646" w:rsidP="00CD7128">
            <w:pPr>
              <w:jc w:val="center"/>
              <w:rPr>
                <w:color w:val="333333"/>
                <w:sz w:val="20"/>
                <w:szCs w:val="20"/>
              </w:rPr>
            </w:pPr>
            <w:r w:rsidRPr="00180776">
              <w:rPr>
                <w:color w:val="333333"/>
                <w:sz w:val="20"/>
                <w:szCs w:val="20"/>
              </w:rPr>
              <w:t>27</w:t>
            </w:r>
          </w:p>
        </w:tc>
      </w:tr>
    </w:tbl>
    <w:bookmarkEnd w:id="3"/>
    <w:p w14:paraId="17991451" w14:textId="77777777" w:rsidR="00E36646" w:rsidRDefault="00E36646" w:rsidP="00E36646">
      <w:pPr>
        <w:rPr>
          <w:color w:val="333333"/>
        </w:rPr>
      </w:pPr>
      <w:r w:rsidDel="00AD0E93">
        <w:rPr>
          <w:color w:val="333333"/>
        </w:rPr>
        <w:t xml:space="preserve"> </w:t>
      </w:r>
    </w:p>
    <w:p w14:paraId="66AD1894" w14:textId="77777777" w:rsidR="00E36646" w:rsidRPr="00FD7010" w:rsidRDefault="00E36646" w:rsidP="00E36646">
      <w:pPr>
        <w:rPr>
          <w:color w:val="000000"/>
        </w:rPr>
      </w:pPr>
      <w:r>
        <w:rPr>
          <w:color w:val="000000"/>
        </w:rPr>
        <w:t>The table below includes the October 2020 SIMS by grade level, with the majority of the students being identified as 12</w:t>
      </w:r>
      <w:r w:rsidRPr="00FD7010">
        <w:rPr>
          <w:color w:val="000000"/>
          <w:vertAlign w:val="superscript"/>
        </w:rPr>
        <w:t>th</w:t>
      </w:r>
      <w:r>
        <w:rPr>
          <w:color w:val="000000"/>
        </w:rPr>
        <w:t xml:space="preserve"> graders.</w:t>
      </w:r>
    </w:p>
    <w:p w14:paraId="1994C59A" w14:textId="77777777" w:rsidR="00E36646" w:rsidRDefault="00E36646" w:rsidP="00E36646">
      <w:pPr>
        <w:rPr>
          <w:b/>
          <w:color w:val="333333"/>
          <w:sz w:val="32"/>
          <w:szCs w:val="32"/>
        </w:rPr>
      </w:pPr>
    </w:p>
    <w:tbl>
      <w:tblPr>
        <w:tblStyle w:val="TableGrid"/>
        <w:tblW w:w="0" w:type="auto"/>
        <w:jc w:val="center"/>
        <w:tblLook w:val="04A0" w:firstRow="1" w:lastRow="0" w:firstColumn="1" w:lastColumn="0" w:noHBand="0" w:noVBand="1"/>
        <w:tblDescription w:val="Oct 2018 student enrollment by grade"/>
      </w:tblPr>
      <w:tblGrid>
        <w:gridCol w:w="1883"/>
        <w:gridCol w:w="1211"/>
        <w:gridCol w:w="1131"/>
        <w:gridCol w:w="1055"/>
        <w:gridCol w:w="1055"/>
        <w:gridCol w:w="950"/>
      </w:tblGrid>
      <w:tr w:rsidR="00E36646" w14:paraId="370246A2" w14:textId="77777777" w:rsidTr="00CD7128">
        <w:trPr>
          <w:tblHeader/>
          <w:jc w:val="center"/>
        </w:trPr>
        <w:tc>
          <w:tcPr>
            <w:tcW w:w="1883" w:type="dxa"/>
            <w:shd w:val="clear" w:color="auto" w:fill="95B3D7" w:themeFill="accent1" w:themeFillTint="99"/>
          </w:tcPr>
          <w:p w14:paraId="7B6D64A2" w14:textId="77777777" w:rsidR="00E36646" w:rsidRPr="00180776" w:rsidRDefault="00E36646" w:rsidP="00CD7128">
            <w:pPr>
              <w:jc w:val="center"/>
              <w:rPr>
                <w:b/>
                <w:color w:val="333333"/>
                <w:sz w:val="20"/>
                <w:szCs w:val="20"/>
              </w:rPr>
            </w:pPr>
          </w:p>
        </w:tc>
        <w:tc>
          <w:tcPr>
            <w:tcW w:w="4452" w:type="dxa"/>
            <w:gridSpan w:val="4"/>
            <w:shd w:val="clear" w:color="auto" w:fill="95B3D7" w:themeFill="accent1" w:themeFillTint="99"/>
          </w:tcPr>
          <w:p w14:paraId="2EBA83D4" w14:textId="77777777" w:rsidR="00E36646" w:rsidRPr="00180776" w:rsidRDefault="00E36646" w:rsidP="00CD7128">
            <w:pPr>
              <w:jc w:val="center"/>
              <w:rPr>
                <w:b/>
                <w:color w:val="333333"/>
                <w:sz w:val="20"/>
                <w:szCs w:val="20"/>
              </w:rPr>
            </w:pPr>
            <w:r w:rsidRPr="00180776">
              <w:rPr>
                <w:b/>
                <w:color w:val="333333"/>
                <w:sz w:val="20"/>
                <w:szCs w:val="20"/>
              </w:rPr>
              <w:t>October 2020 Enrollment</w:t>
            </w:r>
          </w:p>
        </w:tc>
        <w:tc>
          <w:tcPr>
            <w:tcW w:w="950" w:type="dxa"/>
            <w:shd w:val="clear" w:color="auto" w:fill="95B3D7" w:themeFill="accent1" w:themeFillTint="99"/>
          </w:tcPr>
          <w:p w14:paraId="446021EC" w14:textId="77777777" w:rsidR="00E36646" w:rsidRPr="00180776" w:rsidRDefault="00E36646" w:rsidP="00CD7128">
            <w:pPr>
              <w:jc w:val="center"/>
              <w:rPr>
                <w:b/>
                <w:color w:val="333333"/>
                <w:sz w:val="20"/>
                <w:szCs w:val="20"/>
              </w:rPr>
            </w:pPr>
          </w:p>
        </w:tc>
      </w:tr>
      <w:tr w:rsidR="00E36646" w14:paraId="7DC4181B" w14:textId="77777777" w:rsidTr="00CD7128">
        <w:trPr>
          <w:tblHeader/>
          <w:jc w:val="center"/>
        </w:trPr>
        <w:tc>
          <w:tcPr>
            <w:tcW w:w="1883" w:type="dxa"/>
            <w:shd w:val="clear" w:color="auto" w:fill="95B3D7" w:themeFill="accent1" w:themeFillTint="99"/>
          </w:tcPr>
          <w:p w14:paraId="6D5C7DE7" w14:textId="77777777" w:rsidR="00E36646" w:rsidRPr="00180776" w:rsidRDefault="00E36646" w:rsidP="00CD7128">
            <w:pPr>
              <w:jc w:val="center"/>
              <w:rPr>
                <w:b/>
                <w:color w:val="333333"/>
                <w:sz w:val="20"/>
                <w:szCs w:val="20"/>
              </w:rPr>
            </w:pPr>
            <w:r w:rsidRPr="00180776">
              <w:rPr>
                <w:b/>
                <w:color w:val="333333"/>
                <w:sz w:val="20"/>
                <w:szCs w:val="20"/>
              </w:rPr>
              <w:t>Recovery High School</w:t>
            </w:r>
          </w:p>
        </w:tc>
        <w:tc>
          <w:tcPr>
            <w:tcW w:w="1211" w:type="dxa"/>
            <w:shd w:val="clear" w:color="auto" w:fill="95B3D7" w:themeFill="accent1" w:themeFillTint="99"/>
          </w:tcPr>
          <w:p w14:paraId="10570AF2" w14:textId="77777777" w:rsidR="00E36646" w:rsidRPr="00180776" w:rsidRDefault="00E36646" w:rsidP="00CD7128">
            <w:pPr>
              <w:jc w:val="center"/>
              <w:rPr>
                <w:b/>
                <w:color w:val="333333"/>
                <w:sz w:val="20"/>
                <w:szCs w:val="20"/>
              </w:rPr>
            </w:pPr>
            <w:r w:rsidRPr="00180776">
              <w:rPr>
                <w:b/>
                <w:color w:val="333333"/>
                <w:sz w:val="20"/>
                <w:szCs w:val="20"/>
              </w:rPr>
              <w:t>9</w:t>
            </w:r>
            <w:r w:rsidRPr="00180776">
              <w:rPr>
                <w:b/>
                <w:color w:val="333333"/>
                <w:sz w:val="20"/>
                <w:szCs w:val="20"/>
                <w:vertAlign w:val="superscript"/>
              </w:rPr>
              <w:t>th</w:t>
            </w:r>
            <w:r w:rsidRPr="00180776">
              <w:rPr>
                <w:b/>
                <w:color w:val="333333"/>
                <w:sz w:val="20"/>
                <w:szCs w:val="20"/>
              </w:rPr>
              <w:t xml:space="preserve"> Grade</w:t>
            </w:r>
          </w:p>
        </w:tc>
        <w:tc>
          <w:tcPr>
            <w:tcW w:w="1131" w:type="dxa"/>
            <w:shd w:val="clear" w:color="auto" w:fill="95B3D7" w:themeFill="accent1" w:themeFillTint="99"/>
          </w:tcPr>
          <w:p w14:paraId="764B9B7C" w14:textId="77777777" w:rsidR="00E36646" w:rsidRPr="00180776" w:rsidRDefault="00E36646" w:rsidP="00CD7128">
            <w:pPr>
              <w:jc w:val="center"/>
              <w:rPr>
                <w:b/>
                <w:color w:val="333333"/>
                <w:sz w:val="20"/>
                <w:szCs w:val="20"/>
              </w:rPr>
            </w:pPr>
            <w:r w:rsidRPr="00180776">
              <w:rPr>
                <w:b/>
                <w:color w:val="333333"/>
                <w:sz w:val="20"/>
                <w:szCs w:val="20"/>
              </w:rPr>
              <w:t>10</w:t>
            </w:r>
            <w:r w:rsidRPr="00180776">
              <w:rPr>
                <w:b/>
                <w:color w:val="333333"/>
                <w:sz w:val="20"/>
                <w:szCs w:val="20"/>
                <w:vertAlign w:val="superscript"/>
              </w:rPr>
              <w:t>th</w:t>
            </w:r>
            <w:r w:rsidRPr="00180776">
              <w:rPr>
                <w:b/>
                <w:color w:val="333333"/>
                <w:sz w:val="20"/>
                <w:szCs w:val="20"/>
              </w:rPr>
              <w:t xml:space="preserve"> Grade</w:t>
            </w:r>
          </w:p>
        </w:tc>
        <w:tc>
          <w:tcPr>
            <w:tcW w:w="1055" w:type="dxa"/>
            <w:shd w:val="clear" w:color="auto" w:fill="95B3D7" w:themeFill="accent1" w:themeFillTint="99"/>
          </w:tcPr>
          <w:p w14:paraId="4D98DF61" w14:textId="77777777" w:rsidR="00E36646" w:rsidRPr="00180776" w:rsidRDefault="00E36646" w:rsidP="00CD7128">
            <w:pPr>
              <w:jc w:val="center"/>
              <w:rPr>
                <w:b/>
                <w:color w:val="333333"/>
                <w:sz w:val="20"/>
                <w:szCs w:val="20"/>
              </w:rPr>
            </w:pPr>
            <w:r w:rsidRPr="00180776">
              <w:rPr>
                <w:b/>
                <w:color w:val="333333"/>
                <w:sz w:val="20"/>
                <w:szCs w:val="20"/>
              </w:rPr>
              <w:t>11</w:t>
            </w:r>
            <w:r w:rsidRPr="00180776">
              <w:rPr>
                <w:b/>
                <w:color w:val="333333"/>
                <w:sz w:val="20"/>
                <w:szCs w:val="20"/>
                <w:vertAlign w:val="superscript"/>
              </w:rPr>
              <w:t>th</w:t>
            </w:r>
            <w:r w:rsidRPr="00180776">
              <w:rPr>
                <w:b/>
                <w:color w:val="333333"/>
                <w:sz w:val="20"/>
                <w:szCs w:val="20"/>
              </w:rPr>
              <w:t xml:space="preserve"> Grade</w:t>
            </w:r>
          </w:p>
        </w:tc>
        <w:tc>
          <w:tcPr>
            <w:tcW w:w="1055" w:type="dxa"/>
            <w:shd w:val="clear" w:color="auto" w:fill="95B3D7" w:themeFill="accent1" w:themeFillTint="99"/>
          </w:tcPr>
          <w:p w14:paraId="7CBE6579" w14:textId="77777777" w:rsidR="00E36646" w:rsidRPr="00180776" w:rsidRDefault="00E36646" w:rsidP="00CD7128">
            <w:pPr>
              <w:jc w:val="center"/>
              <w:rPr>
                <w:b/>
                <w:color w:val="333333"/>
                <w:sz w:val="20"/>
                <w:szCs w:val="20"/>
              </w:rPr>
            </w:pPr>
            <w:r w:rsidRPr="00180776">
              <w:rPr>
                <w:b/>
                <w:color w:val="333333"/>
                <w:sz w:val="20"/>
                <w:szCs w:val="20"/>
              </w:rPr>
              <w:t>12</w:t>
            </w:r>
            <w:r w:rsidRPr="00180776">
              <w:rPr>
                <w:b/>
                <w:color w:val="333333"/>
                <w:sz w:val="20"/>
                <w:szCs w:val="20"/>
                <w:vertAlign w:val="superscript"/>
              </w:rPr>
              <w:t>th</w:t>
            </w:r>
            <w:r w:rsidRPr="00180776">
              <w:rPr>
                <w:b/>
                <w:color w:val="333333"/>
                <w:sz w:val="20"/>
                <w:szCs w:val="20"/>
              </w:rPr>
              <w:t xml:space="preserve"> Grade</w:t>
            </w:r>
          </w:p>
        </w:tc>
        <w:tc>
          <w:tcPr>
            <w:tcW w:w="950" w:type="dxa"/>
            <w:shd w:val="clear" w:color="auto" w:fill="95B3D7" w:themeFill="accent1" w:themeFillTint="99"/>
          </w:tcPr>
          <w:p w14:paraId="2F47DFF9" w14:textId="77777777" w:rsidR="00E36646" w:rsidRPr="00704010" w:rsidRDefault="00E36646" w:rsidP="00CD7128">
            <w:pPr>
              <w:jc w:val="center"/>
              <w:rPr>
                <w:b/>
                <w:color w:val="333333"/>
                <w:sz w:val="16"/>
                <w:szCs w:val="16"/>
              </w:rPr>
            </w:pPr>
            <w:r w:rsidRPr="00704010">
              <w:rPr>
                <w:b/>
                <w:color w:val="333333"/>
                <w:sz w:val="16"/>
                <w:szCs w:val="16"/>
              </w:rPr>
              <w:t>Special</w:t>
            </w:r>
          </w:p>
          <w:p w14:paraId="73682799" w14:textId="609C06EC" w:rsidR="00E36646" w:rsidRPr="00180776" w:rsidRDefault="00E36646" w:rsidP="00CD7128">
            <w:pPr>
              <w:jc w:val="center"/>
              <w:rPr>
                <w:b/>
                <w:color w:val="333333"/>
                <w:sz w:val="20"/>
                <w:szCs w:val="20"/>
              </w:rPr>
            </w:pPr>
            <w:r w:rsidRPr="00704010">
              <w:rPr>
                <w:b/>
                <w:color w:val="333333"/>
                <w:sz w:val="16"/>
                <w:szCs w:val="16"/>
              </w:rPr>
              <w:t>Education</w:t>
            </w:r>
            <w:r w:rsidR="007A62D4" w:rsidRPr="00704010">
              <w:rPr>
                <w:b/>
                <w:color w:val="333333"/>
                <w:sz w:val="16"/>
                <w:szCs w:val="16"/>
              </w:rPr>
              <w:t xml:space="preserve"> Student</w:t>
            </w:r>
            <w:r w:rsidR="00B07156" w:rsidRPr="00704010">
              <w:rPr>
                <w:b/>
                <w:color w:val="333333"/>
                <w:sz w:val="16"/>
                <w:szCs w:val="16"/>
              </w:rPr>
              <w:t xml:space="preserve"> Beyond 12</w:t>
            </w:r>
            <w:r w:rsidR="00B07156" w:rsidRPr="00704010">
              <w:rPr>
                <w:b/>
                <w:color w:val="333333"/>
                <w:sz w:val="16"/>
                <w:szCs w:val="16"/>
                <w:vertAlign w:val="superscript"/>
              </w:rPr>
              <w:t>th</w:t>
            </w:r>
            <w:r w:rsidR="00B07156" w:rsidRPr="00704010">
              <w:rPr>
                <w:b/>
                <w:color w:val="333333"/>
                <w:sz w:val="16"/>
                <w:szCs w:val="16"/>
              </w:rPr>
              <w:t xml:space="preserve"> Grade</w:t>
            </w:r>
          </w:p>
        </w:tc>
      </w:tr>
      <w:tr w:rsidR="00E36646" w14:paraId="2618F8A8" w14:textId="77777777" w:rsidTr="00CD7128">
        <w:trPr>
          <w:trHeight w:val="620"/>
          <w:tblHeader/>
          <w:jc w:val="center"/>
        </w:trPr>
        <w:tc>
          <w:tcPr>
            <w:tcW w:w="1883" w:type="dxa"/>
            <w:shd w:val="clear" w:color="auto" w:fill="B8CCE4" w:themeFill="accent1" w:themeFillTint="66"/>
          </w:tcPr>
          <w:p w14:paraId="66DDCA01" w14:textId="77777777" w:rsidR="00E36646" w:rsidRPr="00180776" w:rsidRDefault="00E36646" w:rsidP="00CD7128">
            <w:pPr>
              <w:jc w:val="center"/>
              <w:rPr>
                <w:color w:val="333333"/>
                <w:sz w:val="20"/>
                <w:szCs w:val="20"/>
              </w:rPr>
            </w:pPr>
            <w:r w:rsidRPr="00180776">
              <w:rPr>
                <w:color w:val="333333"/>
                <w:sz w:val="20"/>
                <w:szCs w:val="20"/>
              </w:rPr>
              <w:t>Independence Academy</w:t>
            </w:r>
          </w:p>
          <w:p w14:paraId="659B6E7D" w14:textId="77777777" w:rsidR="00E36646" w:rsidRPr="00180776" w:rsidRDefault="00E36646" w:rsidP="00CD7128">
            <w:pPr>
              <w:jc w:val="center"/>
              <w:rPr>
                <w:color w:val="333333"/>
                <w:sz w:val="20"/>
                <w:szCs w:val="20"/>
              </w:rPr>
            </w:pPr>
          </w:p>
        </w:tc>
        <w:tc>
          <w:tcPr>
            <w:tcW w:w="1211" w:type="dxa"/>
            <w:shd w:val="clear" w:color="auto" w:fill="B8CCE4" w:themeFill="accent1" w:themeFillTint="66"/>
          </w:tcPr>
          <w:p w14:paraId="16EAA15B" w14:textId="77777777" w:rsidR="00E36646" w:rsidRPr="00180776" w:rsidRDefault="00E36646" w:rsidP="00CD7128">
            <w:pPr>
              <w:jc w:val="center"/>
              <w:rPr>
                <w:color w:val="333333"/>
                <w:sz w:val="20"/>
                <w:szCs w:val="20"/>
              </w:rPr>
            </w:pPr>
            <w:r w:rsidRPr="00180776">
              <w:rPr>
                <w:color w:val="333333"/>
                <w:sz w:val="20"/>
                <w:szCs w:val="20"/>
              </w:rPr>
              <w:t>2</w:t>
            </w:r>
          </w:p>
        </w:tc>
        <w:tc>
          <w:tcPr>
            <w:tcW w:w="1131" w:type="dxa"/>
            <w:shd w:val="clear" w:color="auto" w:fill="B8CCE4" w:themeFill="accent1" w:themeFillTint="66"/>
          </w:tcPr>
          <w:p w14:paraId="423CE1C5" w14:textId="77777777" w:rsidR="00E36646" w:rsidRPr="00180776" w:rsidRDefault="00E36646" w:rsidP="00CD7128">
            <w:pPr>
              <w:jc w:val="center"/>
              <w:rPr>
                <w:color w:val="333333"/>
                <w:sz w:val="20"/>
                <w:szCs w:val="20"/>
              </w:rPr>
            </w:pPr>
            <w:r w:rsidRPr="00180776">
              <w:rPr>
                <w:color w:val="333333"/>
                <w:sz w:val="20"/>
                <w:szCs w:val="20"/>
              </w:rPr>
              <w:t>1</w:t>
            </w:r>
          </w:p>
        </w:tc>
        <w:tc>
          <w:tcPr>
            <w:tcW w:w="1055" w:type="dxa"/>
            <w:shd w:val="clear" w:color="auto" w:fill="B8CCE4" w:themeFill="accent1" w:themeFillTint="66"/>
          </w:tcPr>
          <w:p w14:paraId="34AE27DF" w14:textId="77777777" w:rsidR="00E36646" w:rsidRPr="00180776" w:rsidRDefault="00E36646" w:rsidP="00CD7128">
            <w:pPr>
              <w:jc w:val="center"/>
              <w:rPr>
                <w:color w:val="333333"/>
                <w:sz w:val="20"/>
                <w:szCs w:val="20"/>
              </w:rPr>
            </w:pPr>
            <w:r w:rsidRPr="00180776">
              <w:rPr>
                <w:color w:val="333333"/>
                <w:sz w:val="20"/>
                <w:szCs w:val="20"/>
              </w:rPr>
              <w:t>2</w:t>
            </w:r>
          </w:p>
        </w:tc>
        <w:tc>
          <w:tcPr>
            <w:tcW w:w="1055" w:type="dxa"/>
            <w:shd w:val="clear" w:color="auto" w:fill="B8CCE4" w:themeFill="accent1" w:themeFillTint="66"/>
          </w:tcPr>
          <w:p w14:paraId="183C5FAB" w14:textId="77777777" w:rsidR="00E36646" w:rsidRPr="00180776" w:rsidRDefault="00E36646" w:rsidP="00CD7128">
            <w:pPr>
              <w:jc w:val="center"/>
              <w:rPr>
                <w:color w:val="333333"/>
                <w:sz w:val="20"/>
                <w:szCs w:val="20"/>
              </w:rPr>
            </w:pPr>
            <w:r w:rsidRPr="00180776">
              <w:rPr>
                <w:color w:val="333333"/>
                <w:sz w:val="20"/>
                <w:szCs w:val="20"/>
              </w:rPr>
              <w:t>5</w:t>
            </w:r>
          </w:p>
        </w:tc>
        <w:tc>
          <w:tcPr>
            <w:tcW w:w="950" w:type="dxa"/>
            <w:shd w:val="clear" w:color="auto" w:fill="B8CCE4" w:themeFill="accent1" w:themeFillTint="66"/>
          </w:tcPr>
          <w:p w14:paraId="5F2EEBCD" w14:textId="77777777" w:rsidR="00E36646" w:rsidRPr="00180776" w:rsidRDefault="00E36646" w:rsidP="00CD7128">
            <w:pPr>
              <w:jc w:val="center"/>
              <w:rPr>
                <w:color w:val="333333"/>
                <w:sz w:val="20"/>
                <w:szCs w:val="20"/>
              </w:rPr>
            </w:pPr>
            <w:r w:rsidRPr="00180776">
              <w:rPr>
                <w:color w:val="333333"/>
                <w:sz w:val="20"/>
                <w:szCs w:val="20"/>
              </w:rPr>
              <w:t>0</w:t>
            </w:r>
          </w:p>
        </w:tc>
      </w:tr>
      <w:tr w:rsidR="00E36646" w14:paraId="5552E5E1" w14:textId="77777777" w:rsidTr="00CD7128">
        <w:trPr>
          <w:tblHeader/>
          <w:jc w:val="center"/>
        </w:trPr>
        <w:tc>
          <w:tcPr>
            <w:tcW w:w="1883" w:type="dxa"/>
            <w:shd w:val="clear" w:color="auto" w:fill="B8CCE4" w:themeFill="accent1" w:themeFillTint="66"/>
          </w:tcPr>
          <w:p w14:paraId="27080F10" w14:textId="77777777" w:rsidR="00E36646" w:rsidRPr="00180776" w:rsidRDefault="00E36646" w:rsidP="00CD7128">
            <w:pPr>
              <w:jc w:val="center"/>
              <w:rPr>
                <w:color w:val="333333"/>
                <w:sz w:val="20"/>
                <w:szCs w:val="20"/>
              </w:rPr>
            </w:pPr>
            <w:r w:rsidRPr="00180776">
              <w:rPr>
                <w:color w:val="333333"/>
                <w:sz w:val="20"/>
                <w:szCs w:val="20"/>
              </w:rPr>
              <w:t>Liberty Preparatory School</w:t>
            </w:r>
          </w:p>
        </w:tc>
        <w:tc>
          <w:tcPr>
            <w:tcW w:w="1211" w:type="dxa"/>
            <w:shd w:val="clear" w:color="auto" w:fill="B8CCE4" w:themeFill="accent1" w:themeFillTint="66"/>
          </w:tcPr>
          <w:p w14:paraId="7B369DF8" w14:textId="77777777" w:rsidR="00E36646" w:rsidRPr="00180776" w:rsidRDefault="00E36646" w:rsidP="00CD7128">
            <w:pPr>
              <w:jc w:val="center"/>
              <w:rPr>
                <w:color w:val="333333"/>
                <w:sz w:val="20"/>
                <w:szCs w:val="20"/>
              </w:rPr>
            </w:pPr>
            <w:r w:rsidRPr="00180776">
              <w:rPr>
                <w:color w:val="333333"/>
                <w:sz w:val="20"/>
                <w:szCs w:val="20"/>
              </w:rPr>
              <w:t>0</w:t>
            </w:r>
          </w:p>
        </w:tc>
        <w:tc>
          <w:tcPr>
            <w:tcW w:w="1131" w:type="dxa"/>
            <w:shd w:val="clear" w:color="auto" w:fill="B8CCE4" w:themeFill="accent1" w:themeFillTint="66"/>
          </w:tcPr>
          <w:p w14:paraId="79572608" w14:textId="77777777" w:rsidR="00E36646" w:rsidRPr="00180776" w:rsidRDefault="00E36646" w:rsidP="00CD7128">
            <w:pPr>
              <w:jc w:val="center"/>
              <w:rPr>
                <w:color w:val="333333"/>
                <w:sz w:val="20"/>
                <w:szCs w:val="20"/>
              </w:rPr>
            </w:pPr>
            <w:r w:rsidRPr="00180776">
              <w:rPr>
                <w:color w:val="333333"/>
                <w:sz w:val="20"/>
                <w:szCs w:val="20"/>
              </w:rPr>
              <w:t>3</w:t>
            </w:r>
          </w:p>
        </w:tc>
        <w:tc>
          <w:tcPr>
            <w:tcW w:w="1055" w:type="dxa"/>
            <w:shd w:val="clear" w:color="auto" w:fill="B8CCE4" w:themeFill="accent1" w:themeFillTint="66"/>
          </w:tcPr>
          <w:p w14:paraId="1F5AF353" w14:textId="77777777" w:rsidR="00E36646" w:rsidRPr="00180776" w:rsidRDefault="00E36646" w:rsidP="00CD7128">
            <w:pPr>
              <w:jc w:val="center"/>
              <w:rPr>
                <w:color w:val="333333"/>
                <w:sz w:val="20"/>
                <w:szCs w:val="20"/>
              </w:rPr>
            </w:pPr>
            <w:r w:rsidRPr="00180776">
              <w:rPr>
                <w:color w:val="333333"/>
                <w:sz w:val="20"/>
                <w:szCs w:val="20"/>
              </w:rPr>
              <w:t>3</w:t>
            </w:r>
          </w:p>
        </w:tc>
        <w:tc>
          <w:tcPr>
            <w:tcW w:w="1055" w:type="dxa"/>
            <w:shd w:val="clear" w:color="auto" w:fill="B8CCE4" w:themeFill="accent1" w:themeFillTint="66"/>
          </w:tcPr>
          <w:p w14:paraId="7F3578B6" w14:textId="77777777" w:rsidR="00E36646" w:rsidRPr="00180776" w:rsidRDefault="00E36646" w:rsidP="00CD7128">
            <w:pPr>
              <w:jc w:val="center"/>
              <w:rPr>
                <w:color w:val="333333"/>
                <w:sz w:val="20"/>
                <w:szCs w:val="20"/>
              </w:rPr>
            </w:pPr>
            <w:r w:rsidRPr="00180776">
              <w:rPr>
                <w:color w:val="333333"/>
                <w:sz w:val="20"/>
                <w:szCs w:val="20"/>
              </w:rPr>
              <w:t>1</w:t>
            </w:r>
          </w:p>
        </w:tc>
        <w:tc>
          <w:tcPr>
            <w:tcW w:w="950" w:type="dxa"/>
            <w:shd w:val="clear" w:color="auto" w:fill="B8CCE4" w:themeFill="accent1" w:themeFillTint="66"/>
          </w:tcPr>
          <w:p w14:paraId="4164DBD9" w14:textId="77777777" w:rsidR="00E36646" w:rsidRPr="00180776" w:rsidRDefault="00E36646" w:rsidP="00CD7128">
            <w:pPr>
              <w:jc w:val="center"/>
              <w:rPr>
                <w:color w:val="333333"/>
                <w:sz w:val="20"/>
                <w:szCs w:val="20"/>
              </w:rPr>
            </w:pPr>
            <w:r w:rsidRPr="00180776">
              <w:rPr>
                <w:color w:val="333333"/>
                <w:sz w:val="20"/>
                <w:szCs w:val="20"/>
              </w:rPr>
              <w:t>0</w:t>
            </w:r>
          </w:p>
        </w:tc>
      </w:tr>
      <w:tr w:rsidR="00E36646" w14:paraId="54B78083" w14:textId="77777777" w:rsidTr="00CD7128">
        <w:trPr>
          <w:tblHeader/>
          <w:jc w:val="center"/>
        </w:trPr>
        <w:tc>
          <w:tcPr>
            <w:tcW w:w="1883" w:type="dxa"/>
            <w:shd w:val="clear" w:color="auto" w:fill="B8CCE4" w:themeFill="accent1" w:themeFillTint="66"/>
          </w:tcPr>
          <w:p w14:paraId="6849BE9B" w14:textId="77777777" w:rsidR="00E36646" w:rsidRPr="00180776" w:rsidRDefault="00E36646" w:rsidP="00CD7128">
            <w:pPr>
              <w:jc w:val="center"/>
              <w:rPr>
                <w:color w:val="333333"/>
                <w:sz w:val="20"/>
                <w:szCs w:val="20"/>
              </w:rPr>
            </w:pPr>
            <w:r w:rsidRPr="00180776">
              <w:rPr>
                <w:color w:val="333333"/>
                <w:sz w:val="20"/>
                <w:szCs w:val="20"/>
              </w:rPr>
              <w:t>Northshore Education Consortium</w:t>
            </w:r>
          </w:p>
        </w:tc>
        <w:tc>
          <w:tcPr>
            <w:tcW w:w="1211" w:type="dxa"/>
            <w:shd w:val="clear" w:color="auto" w:fill="B8CCE4" w:themeFill="accent1" w:themeFillTint="66"/>
          </w:tcPr>
          <w:p w14:paraId="7022204A" w14:textId="77777777" w:rsidR="00E36646" w:rsidRPr="00180776" w:rsidRDefault="00E36646" w:rsidP="00CD7128">
            <w:pPr>
              <w:jc w:val="center"/>
              <w:rPr>
                <w:color w:val="333333"/>
                <w:sz w:val="20"/>
                <w:szCs w:val="20"/>
              </w:rPr>
            </w:pPr>
            <w:r w:rsidRPr="00180776">
              <w:rPr>
                <w:color w:val="333333"/>
                <w:sz w:val="20"/>
                <w:szCs w:val="20"/>
              </w:rPr>
              <w:t>0</w:t>
            </w:r>
          </w:p>
        </w:tc>
        <w:tc>
          <w:tcPr>
            <w:tcW w:w="1131" w:type="dxa"/>
            <w:shd w:val="clear" w:color="auto" w:fill="B8CCE4" w:themeFill="accent1" w:themeFillTint="66"/>
          </w:tcPr>
          <w:p w14:paraId="683DAADF" w14:textId="77777777" w:rsidR="00E36646" w:rsidRPr="00180776" w:rsidRDefault="00E36646" w:rsidP="00CD7128">
            <w:pPr>
              <w:jc w:val="center"/>
              <w:rPr>
                <w:color w:val="333333"/>
                <w:sz w:val="20"/>
                <w:szCs w:val="20"/>
              </w:rPr>
            </w:pPr>
            <w:r w:rsidRPr="00180776">
              <w:rPr>
                <w:color w:val="333333"/>
                <w:sz w:val="20"/>
                <w:szCs w:val="20"/>
              </w:rPr>
              <w:t>5</w:t>
            </w:r>
          </w:p>
        </w:tc>
        <w:tc>
          <w:tcPr>
            <w:tcW w:w="1055" w:type="dxa"/>
            <w:shd w:val="clear" w:color="auto" w:fill="B8CCE4" w:themeFill="accent1" w:themeFillTint="66"/>
          </w:tcPr>
          <w:p w14:paraId="20D10DBF" w14:textId="77777777" w:rsidR="00E36646" w:rsidRPr="00180776" w:rsidRDefault="00E36646" w:rsidP="00CD7128">
            <w:pPr>
              <w:jc w:val="center"/>
              <w:rPr>
                <w:color w:val="333333"/>
                <w:sz w:val="20"/>
                <w:szCs w:val="20"/>
              </w:rPr>
            </w:pPr>
            <w:r w:rsidRPr="00180776">
              <w:rPr>
                <w:color w:val="333333"/>
                <w:sz w:val="20"/>
                <w:szCs w:val="20"/>
              </w:rPr>
              <w:t>10</w:t>
            </w:r>
          </w:p>
        </w:tc>
        <w:tc>
          <w:tcPr>
            <w:tcW w:w="1055" w:type="dxa"/>
            <w:shd w:val="clear" w:color="auto" w:fill="B8CCE4" w:themeFill="accent1" w:themeFillTint="66"/>
          </w:tcPr>
          <w:p w14:paraId="0F091EF9" w14:textId="77777777" w:rsidR="00E36646" w:rsidRPr="00180776" w:rsidRDefault="00E36646" w:rsidP="00CD7128">
            <w:pPr>
              <w:jc w:val="center"/>
              <w:rPr>
                <w:color w:val="333333"/>
                <w:sz w:val="20"/>
                <w:szCs w:val="20"/>
              </w:rPr>
            </w:pPr>
            <w:r w:rsidRPr="00180776">
              <w:rPr>
                <w:color w:val="333333"/>
                <w:sz w:val="20"/>
                <w:szCs w:val="20"/>
              </w:rPr>
              <w:t>15</w:t>
            </w:r>
          </w:p>
        </w:tc>
        <w:tc>
          <w:tcPr>
            <w:tcW w:w="950" w:type="dxa"/>
            <w:shd w:val="clear" w:color="auto" w:fill="B8CCE4" w:themeFill="accent1" w:themeFillTint="66"/>
          </w:tcPr>
          <w:p w14:paraId="6BF5EDFA" w14:textId="77777777" w:rsidR="00E36646" w:rsidRPr="00180776" w:rsidRDefault="00E36646" w:rsidP="00CD7128">
            <w:pPr>
              <w:jc w:val="center"/>
              <w:rPr>
                <w:color w:val="333333"/>
                <w:sz w:val="20"/>
                <w:szCs w:val="20"/>
              </w:rPr>
            </w:pPr>
            <w:r w:rsidRPr="00180776">
              <w:rPr>
                <w:color w:val="333333"/>
                <w:sz w:val="20"/>
                <w:szCs w:val="20"/>
              </w:rPr>
              <w:t>2</w:t>
            </w:r>
          </w:p>
        </w:tc>
      </w:tr>
      <w:tr w:rsidR="00E36646" w14:paraId="39C404F7" w14:textId="77777777" w:rsidTr="00CD7128">
        <w:trPr>
          <w:tblHeader/>
          <w:jc w:val="center"/>
        </w:trPr>
        <w:tc>
          <w:tcPr>
            <w:tcW w:w="1883" w:type="dxa"/>
            <w:shd w:val="clear" w:color="auto" w:fill="B8CCE4" w:themeFill="accent1" w:themeFillTint="66"/>
          </w:tcPr>
          <w:p w14:paraId="1ECA02A0" w14:textId="77777777" w:rsidR="00E36646" w:rsidRPr="00180776" w:rsidRDefault="00E36646" w:rsidP="00CD7128">
            <w:pPr>
              <w:jc w:val="center"/>
              <w:rPr>
                <w:color w:val="333333"/>
                <w:sz w:val="20"/>
                <w:szCs w:val="20"/>
              </w:rPr>
            </w:pPr>
            <w:r w:rsidRPr="00180776">
              <w:rPr>
                <w:color w:val="333333"/>
                <w:sz w:val="20"/>
                <w:szCs w:val="20"/>
              </w:rPr>
              <w:t>Rockdale Recovery High School</w:t>
            </w:r>
          </w:p>
        </w:tc>
        <w:tc>
          <w:tcPr>
            <w:tcW w:w="1211" w:type="dxa"/>
            <w:shd w:val="clear" w:color="auto" w:fill="B8CCE4" w:themeFill="accent1" w:themeFillTint="66"/>
          </w:tcPr>
          <w:p w14:paraId="46D37038" w14:textId="77777777" w:rsidR="00E36646" w:rsidRPr="00180776" w:rsidRDefault="00E36646" w:rsidP="00CD7128">
            <w:pPr>
              <w:jc w:val="center"/>
              <w:rPr>
                <w:color w:val="333333"/>
                <w:sz w:val="20"/>
                <w:szCs w:val="20"/>
              </w:rPr>
            </w:pPr>
            <w:r w:rsidRPr="00180776">
              <w:rPr>
                <w:color w:val="333333"/>
                <w:sz w:val="20"/>
                <w:szCs w:val="20"/>
              </w:rPr>
              <w:t>0</w:t>
            </w:r>
          </w:p>
        </w:tc>
        <w:tc>
          <w:tcPr>
            <w:tcW w:w="1131" w:type="dxa"/>
            <w:shd w:val="clear" w:color="auto" w:fill="B8CCE4" w:themeFill="accent1" w:themeFillTint="66"/>
          </w:tcPr>
          <w:p w14:paraId="3884E1BF" w14:textId="77777777" w:rsidR="00E36646" w:rsidRPr="00180776" w:rsidRDefault="00E36646" w:rsidP="00CD7128">
            <w:pPr>
              <w:jc w:val="center"/>
              <w:rPr>
                <w:color w:val="333333"/>
                <w:sz w:val="20"/>
                <w:szCs w:val="20"/>
              </w:rPr>
            </w:pPr>
            <w:r w:rsidRPr="00180776">
              <w:rPr>
                <w:color w:val="333333"/>
                <w:sz w:val="20"/>
                <w:szCs w:val="20"/>
              </w:rPr>
              <w:t>0</w:t>
            </w:r>
          </w:p>
        </w:tc>
        <w:tc>
          <w:tcPr>
            <w:tcW w:w="1055" w:type="dxa"/>
            <w:shd w:val="clear" w:color="auto" w:fill="B8CCE4" w:themeFill="accent1" w:themeFillTint="66"/>
          </w:tcPr>
          <w:p w14:paraId="5CD52836" w14:textId="77777777" w:rsidR="00E36646" w:rsidRPr="00180776" w:rsidRDefault="00E36646" w:rsidP="00CD7128">
            <w:pPr>
              <w:jc w:val="center"/>
              <w:rPr>
                <w:color w:val="333333"/>
                <w:sz w:val="20"/>
                <w:szCs w:val="20"/>
              </w:rPr>
            </w:pPr>
            <w:r w:rsidRPr="00180776">
              <w:rPr>
                <w:color w:val="333333"/>
                <w:sz w:val="20"/>
                <w:szCs w:val="20"/>
              </w:rPr>
              <w:t>0</w:t>
            </w:r>
          </w:p>
        </w:tc>
        <w:tc>
          <w:tcPr>
            <w:tcW w:w="1055" w:type="dxa"/>
            <w:shd w:val="clear" w:color="auto" w:fill="B8CCE4" w:themeFill="accent1" w:themeFillTint="66"/>
          </w:tcPr>
          <w:p w14:paraId="787498EC" w14:textId="77777777" w:rsidR="00E36646" w:rsidRPr="00180776" w:rsidRDefault="00E36646" w:rsidP="00CD7128">
            <w:pPr>
              <w:jc w:val="center"/>
              <w:rPr>
                <w:color w:val="333333"/>
                <w:sz w:val="20"/>
                <w:szCs w:val="20"/>
              </w:rPr>
            </w:pPr>
            <w:r w:rsidRPr="00180776">
              <w:rPr>
                <w:color w:val="333333"/>
                <w:sz w:val="20"/>
                <w:szCs w:val="20"/>
              </w:rPr>
              <w:t>2</w:t>
            </w:r>
          </w:p>
        </w:tc>
        <w:tc>
          <w:tcPr>
            <w:tcW w:w="950" w:type="dxa"/>
            <w:shd w:val="clear" w:color="auto" w:fill="B8CCE4" w:themeFill="accent1" w:themeFillTint="66"/>
          </w:tcPr>
          <w:p w14:paraId="2C1B98DC" w14:textId="77777777" w:rsidR="00E36646" w:rsidRPr="00180776" w:rsidRDefault="00E36646" w:rsidP="00CD7128">
            <w:pPr>
              <w:jc w:val="center"/>
              <w:rPr>
                <w:color w:val="333333"/>
                <w:sz w:val="20"/>
                <w:szCs w:val="20"/>
              </w:rPr>
            </w:pPr>
            <w:r w:rsidRPr="00180776">
              <w:rPr>
                <w:color w:val="333333"/>
                <w:sz w:val="20"/>
                <w:szCs w:val="20"/>
              </w:rPr>
              <w:t>1</w:t>
            </w:r>
          </w:p>
        </w:tc>
      </w:tr>
      <w:tr w:rsidR="00E36646" w14:paraId="186F4D35" w14:textId="77777777" w:rsidTr="00CD7128">
        <w:trPr>
          <w:tblHeader/>
          <w:jc w:val="center"/>
        </w:trPr>
        <w:tc>
          <w:tcPr>
            <w:tcW w:w="1883" w:type="dxa"/>
            <w:shd w:val="clear" w:color="auto" w:fill="B8CCE4" w:themeFill="accent1" w:themeFillTint="66"/>
          </w:tcPr>
          <w:p w14:paraId="2FFF57CA" w14:textId="77777777" w:rsidR="00E36646" w:rsidRPr="00180776" w:rsidRDefault="00E36646" w:rsidP="00CD7128">
            <w:pPr>
              <w:jc w:val="center"/>
              <w:rPr>
                <w:color w:val="333333"/>
                <w:sz w:val="20"/>
                <w:szCs w:val="20"/>
              </w:rPr>
            </w:pPr>
            <w:r w:rsidRPr="00180776">
              <w:rPr>
                <w:color w:val="333333"/>
                <w:sz w:val="20"/>
                <w:szCs w:val="20"/>
              </w:rPr>
              <w:t xml:space="preserve">William J. </w:t>
            </w:r>
            <w:proofErr w:type="spellStart"/>
            <w:r w:rsidRPr="00180776">
              <w:rPr>
                <w:color w:val="333333"/>
                <w:sz w:val="20"/>
                <w:szCs w:val="20"/>
              </w:rPr>
              <w:t>Ostiguy</w:t>
            </w:r>
            <w:proofErr w:type="spellEnd"/>
            <w:r w:rsidRPr="00180776">
              <w:rPr>
                <w:color w:val="333333"/>
                <w:sz w:val="20"/>
                <w:szCs w:val="20"/>
              </w:rPr>
              <w:t xml:space="preserve"> High School</w:t>
            </w:r>
          </w:p>
        </w:tc>
        <w:tc>
          <w:tcPr>
            <w:tcW w:w="1211" w:type="dxa"/>
            <w:shd w:val="clear" w:color="auto" w:fill="B8CCE4" w:themeFill="accent1" w:themeFillTint="66"/>
          </w:tcPr>
          <w:p w14:paraId="71D7B4F9" w14:textId="77777777" w:rsidR="00E36646" w:rsidRPr="00180776" w:rsidRDefault="00E36646" w:rsidP="00CD7128">
            <w:pPr>
              <w:jc w:val="center"/>
              <w:rPr>
                <w:color w:val="333333"/>
                <w:sz w:val="20"/>
                <w:szCs w:val="20"/>
              </w:rPr>
            </w:pPr>
            <w:r w:rsidRPr="00180776">
              <w:rPr>
                <w:color w:val="333333"/>
                <w:sz w:val="20"/>
                <w:szCs w:val="20"/>
              </w:rPr>
              <w:t>0</w:t>
            </w:r>
          </w:p>
        </w:tc>
        <w:tc>
          <w:tcPr>
            <w:tcW w:w="1131" w:type="dxa"/>
            <w:shd w:val="clear" w:color="auto" w:fill="B8CCE4" w:themeFill="accent1" w:themeFillTint="66"/>
          </w:tcPr>
          <w:p w14:paraId="7B46B76E" w14:textId="77777777" w:rsidR="00E36646" w:rsidRPr="00180776" w:rsidRDefault="00E36646" w:rsidP="00CD7128">
            <w:pPr>
              <w:jc w:val="center"/>
              <w:rPr>
                <w:color w:val="333333"/>
                <w:sz w:val="20"/>
                <w:szCs w:val="20"/>
              </w:rPr>
            </w:pPr>
            <w:r w:rsidRPr="00180776">
              <w:rPr>
                <w:color w:val="333333"/>
                <w:sz w:val="20"/>
                <w:szCs w:val="20"/>
              </w:rPr>
              <w:t>2</w:t>
            </w:r>
          </w:p>
        </w:tc>
        <w:tc>
          <w:tcPr>
            <w:tcW w:w="1055" w:type="dxa"/>
            <w:shd w:val="clear" w:color="auto" w:fill="B8CCE4" w:themeFill="accent1" w:themeFillTint="66"/>
          </w:tcPr>
          <w:p w14:paraId="62F7E448" w14:textId="77777777" w:rsidR="00E36646" w:rsidRPr="00180776" w:rsidRDefault="00E36646" w:rsidP="00CD7128">
            <w:pPr>
              <w:jc w:val="center"/>
              <w:rPr>
                <w:color w:val="333333"/>
                <w:sz w:val="20"/>
                <w:szCs w:val="20"/>
              </w:rPr>
            </w:pPr>
            <w:r w:rsidRPr="00180776">
              <w:rPr>
                <w:color w:val="333333"/>
                <w:sz w:val="20"/>
                <w:szCs w:val="20"/>
              </w:rPr>
              <w:t>4</w:t>
            </w:r>
          </w:p>
        </w:tc>
        <w:tc>
          <w:tcPr>
            <w:tcW w:w="1055" w:type="dxa"/>
            <w:shd w:val="clear" w:color="auto" w:fill="B8CCE4" w:themeFill="accent1" w:themeFillTint="66"/>
          </w:tcPr>
          <w:p w14:paraId="5AFD7898" w14:textId="77777777" w:rsidR="00E36646" w:rsidRPr="00180776" w:rsidRDefault="00E36646" w:rsidP="00CD7128">
            <w:pPr>
              <w:jc w:val="center"/>
              <w:rPr>
                <w:color w:val="333333"/>
                <w:sz w:val="20"/>
                <w:szCs w:val="20"/>
              </w:rPr>
            </w:pPr>
            <w:r w:rsidRPr="00180776">
              <w:rPr>
                <w:color w:val="333333"/>
                <w:sz w:val="20"/>
                <w:szCs w:val="20"/>
              </w:rPr>
              <w:t>21</w:t>
            </w:r>
          </w:p>
        </w:tc>
        <w:tc>
          <w:tcPr>
            <w:tcW w:w="950" w:type="dxa"/>
            <w:shd w:val="clear" w:color="auto" w:fill="B8CCE4" w:themeFill="accent1" w:themeFillTint="66"/>
          </w:tcPr>
          <w:p w14:paraId="49084246" w14:textId="77777777" w:rsidR="00E36646" w:rsidRDefault="00E36646" w:rsidP="00CD7128">
            <w:pPr>
              <w:jc w:val="center"/>
              <w:rPr>
                <w:color w:val="333333"/>
                <w:sz w:val="20"/>
                <w:szCs w:val="20"/>
              </w:rPr>
            </w:pPr>
            <w:r w:rsidRPr="00180776">
              <w:rPr>
                <w:color w:val="333333"/>
                <w:sz w:val="20"/>
                <w:szCs w:val="20"/>
              </w:rPr>
              <w:t>0</w:t>
            </w:r>
          </w:p>
          <w:p w14:paraId="5CE35636" w14:textId="77777777" w:rsidR="00E36646" w:rsidRPr="00180776" w:rsidRDefault="00E36646" w:rsidP="00CD7128">
            <w:pPr>
              <w:jc w:val="center"/>
              <w:rPr>
                <w:color w:val="333333"/>
                <w:sz w:val="20"/>
                <w:szCs w:val="20"/>
              </w:rPr>
            </w:pPr>
          </w:p>
        </w:tc>
      </w:tr>
    </w:tbl>
    <w:p w14:paraId="4FA76754" w14:textId="77777777" w:rsidR="00E36646" w:rsidRPr="00263DBB" w:rsidRDefault="00E36646" w:rsidP="00E36646">
      <w:pPr>
        <w:pStyle w:val="Heading1"/>
        <w:rPr>
          <w:highlight w:val="yellow"/>
        </w:rPr>
      </w:pPr>
      <w:bookmarkStart w:id="4" w:name="_Toc7731851"/>
      <w:r>
        <w:rPr>
          <w:rFonts w:ascii="Times New Roman" w:hAnsi="Times New Roman" w:cs="Times New Roman"/>
        </w:rPr>
        <w:lastRenderedPageBreak/>
        <w:t>Outcomes Measured for Youths</w:t>
      </w:r>
      <w:bookmarkEnd w:id="4"/>
    </w:p>
    <w:p w14:paraId="6433F162" w14:textId="518A99CC" w:rsidR="00E36646" w:rsidRDefault="00E36646" w:rsidP="00E36646">
      <w:r w:rsidRPr="0070366F">
        <w:t xml:space="preserve">Recovery High School programs serve a complex population </w:t>
      </w:r>
      <w:r w:rsidRPr="0070366F">
        <w:rPr>
          <w:color w:val="221E1F"/>
        </w:rPr>
        <w:t>that require</w:t>
      </w:r>
      <w:r>
        <w:rPr>
          <w:color w:val="221E1F"/>
        </w:rPr>
        <w:t>s</w:t>
      </w:r>
      <w:r w:rsidRPr="0070366F">
        <w:rPr>
          <w:color w:val="221E1F"/>
        </w:rPr>
        <w:t xml:space="preserve"> a specialized approach to balance the unique academic and therapeutic programming</w:t>
      </w:r>
      <w:r w:rsidRPr="0070366F">
        <w:t xml:space="preserve">. </w:t>
      </w:r>
      <w:r w:rsidR="00500EF4">
        <w:t>T</w:t>
      </w:r>
      <w:r w:rsidRPr="0070366F">
        <w:t xml:space="preserve">hese programs also have the challenge of </w:t>
      </w:r>
      <w:r w:rsidR="00566BAC">
        <w:t xml:space="preserve">meeting the needs of </w:t>
      </w:r>
      <w:r w:rsidRPr="0070366F">
        <w:t xml:space="preserve"> students who are at a significantly higher percentage than the </w:t>
      </w:r>
      <w:hyperlink r:id="rId32" w:history="1">
        <w:r w:rsidRPr="00E42B48">
          <w:rPr>
            <w:rStyle w:val="Hyperlink"/>
          </w:rPr>
          <w:t>state average</w:t>
        </w:r>
      </w:hyperlink>
      <w:r w:rsidRPr="0070366F">
        <w:t xml:space="preserve"> of students with disabilities and who are</w:t>
      </w:r>
      <w:r w:rsidRPr="00422CB9">
        <w:t xml:space="preserve"> </w:t>
      </w:r>
      <w:r>
        <w:t>considered economically disadvantaged.</w:t>
      </w:r>
      <w:r w:rsidRPr="002E0FF9">
        <w:t xml:space="preserve"> </w:t>
      </w:r>
    </w:p>
    <w:p w14:paraId="37C0292C" w14:textId="77777777" w:rsidR="00E36646" w:rsidRPr="002E0FF9" w:rsidRDefault="00E36646" w:rsidP="00E36646"/>
    <w:tbl>
      <w:tblPr>
        <w:tblStyle w:val="TableGrid"/>
        <w:tblW w:w="0" w:type="auto"/>
        <w:jc w:val="center"/>
        <w:tblLook w:val="04A0" w:firstRow="1" w:lastRow="0" w:firstColumn="1" w:lastColumn="0" w:noHBand="0" w:noVBand="1"/>
        <w:tblDescription w:val="Eco Dis students and students with disabilities"/>
      </w:tblPr>
      <w:tblGrid>
        <w:gridCol w:w="3325"/>
        <w:gridCol w:w="3239"/>
        <w:gridCol w:w="2786"/>
      </w:tblGrid>
      <w:tr w:rsidR="00E36646" w:rsidRPr="000167CB" w14:paraId="04E06A34" w14:textId="77777777" w:rsidTr="00CD7128">
        <w:trPr>
          <w:tblHeader/>
          <w:jc w:val="center"/>
        </w:trPr>
        <w:tc>
          <w:tcPr>
            <w:tcW w:w="3325" w:type="dxa"/>
            <w:shd w:val="clear" w:color="auto" w:fill="95B3D7" w:themeFill="accent1" w:themeFillTint="99"/>
          </w:tcPr>
          <w:p w14:paraId="61F85E64" w14:textId="77777777" w:rsidR="00E36646" w:rsidRDefault="00E36646" w:rsidP="00CD7128">
            <w:pPr>
              <w:rPr>
                <w:b/>
                <w:color w:val="333333"/>
              </w:rPr>
            </w:pPr>
          </w:p>
        </w:tc>
        <w:tc>
          <w:tcPr>
            <w:tcW w:w="3239" w:type="dxa"/>
            <w:shd w:val="clear" w:color="auto" w:fill="95B3D7" w:themeFill="accent1" w:themeFillTint="99"/>
          </w:tcPr>
          <w:p w14:paraId="104A0144" w14:textId="77777777" w:rsidR="00E36646" w:rsidRPr="002E0FF9" w:rsidRDefault="00E36646" w:rsidP="00CD7128">
            <w:pPr>
              <w:jc w:val="center"/>
              <w:rPr>
                <w:b/>
                <w:color w:val="333333"/>
                <w:sz w:val="20"/>
                <w:szCs w:val="20"/>
              </w:rPr>
            </w:pPr>
            <w:r w:rsidRPr="002E0FF9">
              <w:rPr>
                <w:b/>
                <w:color w:val="333333"/>
                <w:sz w:val="20"/>
                <w:szCs w:val="20"/>
              </w:rPr>
              <w:t>Recovery High Schools</w:t>
            </w:r>
          </w:p>
        </w:tc>
        <w:tc>
          <w:tcPr>
            <w:tcW w:w="2786" w:type="dxa"/>
            <w:shd w:val="clear" w:color="auto" w:fill="95B3D7" w:themeFill="accent1" w:themeFillTint="99"/>
          </w:tcPr>
          <w:p w14:paraId="021F4681" w14:textId="77777777" w:rsidR="00E36646" w:rsidRPr="002E0FF9" w:rsidRDefault="00E36646" w:rsidP="00CD7128">
            <w:pPr>
              <w:jc w:val="center"/>
              <w:rPr>
                <w:b/>
                <w:color w:val="333333"/>
                <w:sz w:val="20"/>
                <w:szCs w:val="20"/>
              </w:rPr>
            </w:pPr>
            <w:r w:rsidRPr="002E0FF9">
              <w:rPr>
                <w:b/>
                <w:color w:val="333333"/>
                <w:sz w:val="20"/>
                <w:szCs w:val="20"/>
              </w:rPr>
              <w:t>Massachusetts School Districts (Average)</w:t>
            </w:r>
          </w:p>
        </w:tc>
      </w:tr>
      <w:tr w:rsidR="00E36646" w:rsidRPr="000167CB" w14:paraId="08722E22" w14:textId="77777777" w:rsidTr="00CD7128">
        <w:trPr>
          <w:tblHeader/>
          <w:jc w:val="center"/>
        </w:trPr>
        <w:tc>
          <w:tcPr>
            <w:tcW w:w="3325" w:type="dxa"/>
            <w:shd w:val="clear" w:color="auto" w:fill="B8CCE4" w:themeFill="accent1" w:themeFillTint="66"/>
          </w:tcPr>
          <w:p w14:paraId="30570E3B" w14:textId="77777777" w:rsidR="00E36646" w:rsidRPr="00263DBB" w:rsidRDefault="00E36646" w:rsidP="00CD7128">
            <w:pPr>
              <w:jc w:val="center"/>
              <w:rPr>
                <w:color w:val="333333"/>
                <w:sz w:val="20"/>
                <w:szCs w:val="20"/>
              </w:rPr>
            </w:pPr>
            <w:r w:rsidRPr="00263DBB">
              <w:rPr>
                <w:color w:val="333333"/>
                <w:sz w:val="20"/>
                <w:szCs w:val="20"/>
              </w:rPr>
              <w:t xml:space="preserve">Economically Disadvantaged </w:t>
            </w:r>
          </w:p>
        </w:tc>
        <w:tc>
          <w:tcPr>
            <w:tcW w:w="3239" w:type="dxa"/>
            <w:shd w:val="clear" w:color="auto" w:fill="B8CCE4" w:themeFill="accent1" w:themeFillTint="66"/>
          </w:tcPr>
          <w:p w14:paraId="16C9C6E4" w14:textId="77777777" w:rsidR="00E36646" w:rsidRPr="002E0FF9" w:rsidRDefault="00E36646" w:rsidP="00CD7128">
            <w:pPr>
              <w:jc w:val="center"/>
              <w:rPr>
                <w:color w:val="333333"/>
                <w:sz w:val="20"/>
                <w:szCs w:val="20"/>
              </w:rPr>
            </w:pPr>
            <w:r>
              <w:rPr>
                <w:color w:val="333333"/>
                <w:sz w:val="20"/>
                <w:szCs w:val="20"/>
              </w:rPr>
              <w:t>58.2</w:t>
            </w:r>
            <w:r w:rsidRPr="002E0FF9">
              <w:rPr>
                <w:color w:val="333333"/>
                <w:sz w:val="20"/>
                <w:szCs w:val="20"/>
              </w:rPr>
              <w:t>%</w:t>
            </w:r>
          </w:p>
        </w:tc>
        <w:tc>
          <w:tcPr>
            <w:tcW w:w="2786" w:type="dxa"/>
            <w:shd w:val="clear" w:color="auto" w:fill="B8CCE4" w:themeFill="accent1" w:themeFillTint="66"/>
          </w:tcPr>
          <w:p w14:paraId="55DFDEC6" w14:textId="77777777" w:rsidR="00E36646" w:rsidRPr="002E0FF9" w:rsidRDefault="00E36646" w:rsidP="00CD7128">
            <w:pPr>
              <w:jc w:val="center"/>
              <w:rPr>
                <w:color w:val="333333"/>
                <w:sz w:val="20"/>
                <w:szCs w:val="20"/>
              </w:rPr>
            </w:pPr>
            <w:r w:rsidRPr="002E0FF9">
              <w:rPr>
                <w:color w:val="333333"/>
                <w:sz w:val="20"/>
                <w:szCs w:val="20"/>
              </w:rPr>
              <w:t>3</w:t>
            </w:r>
            <w:r>
              <w:rPr>
                <w:color w:val="333333"/>
                <w:sz w:val="20"/>
                <w:szCs w:val="20"/>
              </w:rPr>
              <w:t>6.6</w:t>
            </w:r>
            <w:r w:rsidRPr="002E0FF9">
              <w:rPr>
                <w:color w:val="333333"/>
                <w:sz w:val="20"/>
                <w:szCs w:val="20"/>
              </w:rPr>
              <w:t>%</w:t>
            </w:r>
          </w:p>
        </w:tc>
      </w:tr>
      <w:tr w:rsidR="00E36646" w:rsidRPr="000167CB" w14:paraId="5AB6F5C1" w14:textId="77777777" w:rsidTr="00CD7128">
        <w:trPr>
          <w:tblHeader/>
          <w:jc w:val="center"/>
        </w:trPr>
        <w:tc>
          <w:tcPr>
            <w:tcW w:w="3325" w:type="dxa"/>
            <w:shd w:val="clear" w:color="auto" w:fill="B8CCE4" w:themeFill="accent1" w:themeFillTint="66"/>
          </w:tcPr>
          <w:p w14:paraId="1F608234" w14:textId="77777777" w:rsidR="00E36646" w:rsidRPr="00263DBB" w:rsidRDefault="00E36646" w:rsidP="00CD7128">
            <w:pPr>
              <w:jc w:val="center"/>
              <w:rPr>
                <w:color w:val="333333"/>
                <w:sz w:val="20"/>
                <w:szCs w:val="20"/>
              </w:rPr>
            </w:pPr>
            <w:r w:rsidRPr="00263DBB">
              <w:rPr>
                <w:color w:val="333333"/>
                <w:sz w:val="20"/>
                <w:szCs w:val="20"/>
              </w:rPr>
              <w:t>Students with Disabilities</w:t>
            </w:r>
          </w:p>
        </w:tc>
        <w:tc>
          <w:tcPr>
            <w:tcW w:w="3239" w:type="dxa"/>
            <w:shd w:val="clear" w:color="auto" w:fill="B8CCE4" w:themeFill="accent1" w:themeFillTint="66"/>
          </w:tcPr>
          <w:p w14:paraId="546FD30A" w14:textId="77777777" w:rsidR="00E36646" w:rsidRPr="002E0FF9" w:rsidRDefault="00E36646" w:rsidP="00CD7128">
            <w:pPr>
              <w:jc w:val="center"/>
              <w:rPr>
                <w:color w:val="333333"/>
                <w:sz w:val="20"/>
                <w:szCs w:val="20"/>
              </w:rPr>
            </w:pPr>
            <w:r w:rsidRPr="002E0FF9">
              <w:rPr>
                <w:color w:val="333333"/>
                <w:sz w:val="20"/>
                <w:szCs w:val="20"/>
              </w:rPr>
              <w:t>3</w:t>
            </w:r>
            <w:r>
              <w:rPr>
                <w:color w:val="333333"/>
                <w:sz w:val="20"/>
                <w:szCs w:val="20"/>
              </w:rPr>
              <w:t>8</w:t>
            </w:r>
            <w:r w:rsidRPr="002E0FF9">
              <w:rPr>
                <w:color w:val="333333"/>
                <w:sz w:val="20"/>
                <w:szCs w:val="20"/>
              </w:rPr>
              <w:t>%</w:t>
            </w:r>
          </w:p>
        </w:tc>
        <w:tc>
          <w:tcPr>
            <w:tcW w:w="2786" w:type="dxa"/>
            <w:shd w:val="clear" w:color="auto" w:fill="B8CCE4" w:themeFill="accent1" w:themeFillTint="66"/>
          </w:tcPr>
          <w:p w14:paraId="610011C7" w14:textId="77777777" w:rsidR="00E36646" w:rsidRPr="002E0FF9" w:rsidRDefault="00E36646" w:rsidP="00CD7128">
            <w:pPr>
              <w:jc w:val="center"/>
              <w:rPr>
                <w:color w:val="333333"/>
                <w:sz w:val="20"/>
                <w:szCs w:val="20"/>
              </w:rPr>
            </w:pPr>
            <w:r w:rsidRPr="002E0FF9">
              <w:rPr>
                <w:color w:val="333333"/>
                <w:sz w:val="20"/>
                <w:szCs w:val="20"/>
              </w:rPr>
              <w:t>18.</w:t>
            </w:r>
            <w:r>
              <w:rPr>
                <w:color w:val="333333"/>
                <w:sz w:val="20"/>
                <w:szCs w:val="20"/>
              </w:rPr>
              <w:t>7</w:t>
            </w:r>
            <w:r w:rsidRPr="002E0FF9">
              <w:rPr>
                <w:color w:val="333333"/>
                <w:sz w:val="20"/>
                <w:szCs w:val="20"/>
              </w:rPr>
              <w:t>%</w:t>
            </w:r>
          </w:p>
        </w:tc>
      </w:tr>
    </w:tbl>
    <w:p w14:paraId="37FECD9F" w14:textId="77777777" w:rsidR="00E36646" w:rsidRDefault="00E36646" w:rsidP="00E36646"/>
    <w:p w14:paraId="7047B6B8" w14:textId="178E104F" w:rsidR="00E36646" w:rsidRDefault="00E36646" w:rsidP="00E36646">
      <w:pPr>
        <w:rPr>
          <w:rFonts w:cs="NewsGoth BT"/>
          <w:color w:val="221E1F"/>
        </w:rPr>
      </w:pPr>
      <w:r>
        <w:rPr>
          <w:rFonts w:cs="NewsGoth BT"/>
          <w:color w:val="221E1F"/>
        </w:rPr>
        <w:t>The eighteen-month evaluation commissioned by the Department in the spring of 2019 found the majority of</w:t>
      </w:r>
      <w:r w:rsidRPr="00650A5A">
        <w:rPr>
          <w:rFonts w:cs="NewsGoth BT"/>
          <w:color w:val="221E1F"/>
        </w:rPr>
        <w:t xml:space="preserve"> students highly valued their Recovery High School experience. </w:t>
      </w:r>
      <w:r>
        <w:rPr>
          <w:rFonts w:cs="NewsGoth BT"/>
          <w:color w:val="221E1F"/>
        </w:rPr>
        <w:t>As part of the study, the evaluators asked a series of questions to students</w:t>
      </w:r>
      <w:r w:rsidR="00053B21">
        <w:rPr>
          <w:rFonts w:cs="NewsGoth BT"/>
          <w:color w:val="221E1F"/>
        </w:rPr>
        <w:t xml:space="preserve"> (see Tables 1-3)</w:t>
      </w:r>
      <w:r>
        <w:rPr>
          <w:rFonts w:cs="NewsGoth BT"/>
          <w:color w:val="221E1F"/>
        </w:rPr>
        <w:t xml:space="preserve">. </w:t>
      </w:r>
    </w:p>
    <w:p w14:paraId="0A39A06A" w14:textId="77777777" w:rsidR="00E36646" w:rsidRDefault="00E36646" w:rsidP="00E36646">
      <w:pPr>
        <w:rPr>
          <w:rFonts w:cs="NewsGoth BT"/>
          <w:color w:val="221E1F"/>
        </w:rPr>
      </w:pPr>
    </w:p>
    <w:p w14:paraId="391ED825" w14:textId="77777777" w:rsidR="003D2DE0" w:rsidRDefault="003D2DE0" w:rsidP="00E36646">
      <w:pPr>
        <w:rPr>
          <w:noProof/>
        </w:rPr>
      </w:pPr>
    </w:p>
    <w:p w14:paraId="5FCBC7D1" w14:textId="156A49FA" w:rsidR="00E36646" w:rsidRDefault="00E36646" w:rsidP="00385ABE">
      <w:pPr>
        <w:ind w:left="-270"/>
        <w:rPr>
          <w:rFonts w:cs="NewsGoth BT"/>
          <w:color w:val="221E1F"/>
        </w:rPr>
      </w:pPr>
      <w:r>
        <w:rPr>
          <w:noProof/>
        </w:rPr>
        <w:drawing>
          <wp:inline distT="0" distB="0" distL="0" distR="0" wp14:anchorId="7DAE7BCA" wp14:editId="20DDD692">
            <wp:extent cx="6513968" cy="3724275"/>
            <wp:effectExtent l="190500" t="190500" r="191770" b="180975"/>
            <wp:docPr id="12" name="Picture 12" descr="(Title) Most students strongly agree or somewhat agree that their RHS helps them build personal recovery capital regarding academics and plans for the future. &#10;&#10;Statement (and number of students responding) : % strongly disagree / % somewhat disagree / % somewhat agree / % strongly agree&#10;- This school helps me meet my graduation requirements (n=61) : 5 / 0 / 16 / 79&#10;- This school helps me think about my hopes and dreams, and how to achieve them (n=59) : 7 / 3 / 29 / 61 &#10;- This school helps me explore my academic interests (n=61) : 8 / 5 / 41 / 46&#10;- This school helps me think about my post-RHS plans and opportunities (n=61) : 8 / 11 / 28 / 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tle) Most students strongly agree or somewhat agree that their RHS helps them build personal recovery capital regarding academics and plans for the future. &#10;&#10;Statement (and number of students responding) : % strongly disagree / % somewhat disagree / % somewhat agree / % strongly agree&#10;- This school helps me meet my graduation requirements (n=61) : 5 / 0 / 16 / 79&#10;- This school helps me think about my hopes and dreams, and how to achieve them (n=59) : 7 / 3 / 29 / 61 &#10;- This school helps me explore my academic interests (n=61) : 8 / 5 / 41 / 46&#10;- This school helps me think about my post-RHS plans and opportunities (n=61) : 8 / 11 / 28 / 52&#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6513968" cy="3724275"/>
                    </a:xfrm>
                    <a:prstGeom prst="rect">
                      <a:avLst/>
                    </a:prstGeom>
                    <a:ln>
                      <a:noFill/>
                    </a:ln>
                    <a:effectLst>
                      <a:outerShdw blurRad="190500" algn="tl" rotWithShape="0">
                        <a:srgbClr val="000000">
                          <a:alpha val="70000"/>
                        </a:srgbClr>
                      </a:outerShdw>
                    </a:effectLst>
                  </pic:spPr>
                </pic:pic>
              </a:graphicData>
            </a:graphic>
          </wp:inline>
        </w:drawing>
      </w:r>
    </w:p>
    <w:p w14:paraId="40145382" w14:textId="2E100361" w:rsidR="00053B21" w:rsidRPr="00434065" w:rsidRDefault="00053B21" w:rsidP="00053B21">
      <w:pPr>
        <w:pStyle w:val="xmsonormal"/>
        <w:shd w:val="clear" w:color="auto" w:fill="FFFFFF"/>
        <w:spacing w:before="0" w:beforeAutospacing="0" w:after="0" w:afterAutospacing="0"/>
        <w:rPr>
          <w:rFonts w:ascii="Arial Narrow" w:hAnsi="Arial Narrow" w:cs="Arial"/>
          <w:color w:val="201F1E"/>
          <w:sz w:val="20"/>
          <w:szCs w:val="20"/>
        </w:rPr>
      </w:pPr>
      <w:r>
        <w:rPr>
          <w:rFonts w:ascii="Arial Narrow" w:hAnsi="Arial Narrow" w:cs="Arial"/>
          <w:i/>
          <w:iCs/>
          <w:color w:val="201F1E"/>
          <w:sz w:val="20"/>
          <w:szCs w:val="20"/>
        </w:rPr>
        <w:t>Table</w:t>
      </w:r>
      <w:r w:rsidRPr="00434065">
        <w:rPr>
          <w:rFonts w:ascii="Arial Narrow" w:hAnsi="Arial Narrow" w:cs="Arial"/>
          <w:i/>
          <w:iCs/>
          <w:color w:val="201F1E"/>
          <w:sz w:val="20"/>
          <w:szCs w:val="20"/>
        </w:rPr>
        <w:t xml:space="preserve"> </w:t>
      </w:r>
      <w:r w:rsidR="00B02CA7" w:rsidRPr="00434065">
        <w:rPr>
          <w:rFonts w:ascii="Arial Narrow" w:hAnsi="Arial Narrow" w:cs="Arial"/>
          <w:i/>
          <w:iCs/>
          <w:color w:val="201F1E"/>
          <w:sz w:val="20"/>
          <w:szCs w:val="20"/>
        </w:rPr>
        <w:t>1.</w:t>
      </w:r>
      <w:r w:rsidR="00B02CA7">
        <w:rPr>
          <w:rFonts w:ascii="Arial Narrow" w:hAnsi="Arial Narrow" w:cs="Arial"/>
          <w:i/>
          <w:iCs/>
          <w:color w:val="201F1E"/>
          <w:sz w:val="20"/>
          <w:szCs w:val="20"/>
        </w:rPr>
        <w:t xml:space="preserve"> Majority</w:t>
      </w:r>
      <w:r w:rsidR="00017C17">
        <w:rPr>
          <w:rFonts w:ascii="Arial Narrow" w:hAnsi="Arial Narrow" w:cs="Arial"/>
          <w:i/>
          <w:iCs/>
          <w:color w:val="201F1E"/>
          <w:sz w:val="20"/>
          <w:szCs w:val="20"/>
        </w:rPr>
        <w:t xml:space="preserve"> of students agree</w:t>
      </w:r>
      <w:r w:rsidR="00B02CA7">
        <w:rPr>
          <w:rFonts w:ascii="Arial Narrow" w:hAnsi="Arial Narrow" w:cs="Arial"/>
          <w:i/>
          <w:iCs/>
          <w:color w:val="201F1E"/>
          <w:sz w:val="20"/>
          <w:szCs w:val="20"/>
        </w:rPr>
        <w:t xml:space="preserve"> with statements</w:t>
      </w:r>
      <w:r w:rsidR="00017C17">
        <w:rPr>
          <w:rFonts w:ascii="Arial Narrow" w:hAnsi="Arial Narrow" w:cs="Arial"/>
          <w:i/>
          <w:iCs/>
          <w:color w:val="201F1E"/>
          <w:sz w:val="20"/>
          <w:szCs w:val="20"/>
        </w:rPr>
        <w:t xml:space="preserve"> that their RHS helps them build personal recovery gains regarding academics and plans for the future</w:t>
      </w:r>
      <w:r w:rsidRPr="00434065">
        <w:rPr>
          <w:rFonts w:ascii="Arial Narrow" w:hAnsi="Arial Narrow" w:cs="Arial"/>
          <w:i/>
          <w:iCs/>
          <w:color w:val="201F1E"/>
          <w:sz w:val="20"/>
          <w:szCs w:val="20"/>
        </w:rPr>
        <w:t>.</w:t>
      </w:r>
    </w:p>
    <w:p w14:paraId="27BD7771" w14:textId="77777777" w:rsidR="00E36646" w:rsidRDefault="00E36646" w:rsidP="00E36646">
      <w:pPr>
        <w:rPr>
          <w:rFonts w:cs="NewsGoth BT"/>
          <w:color w:val="221E1F"/>
        </w:rPr>
      </w:pPr>
    </w:p>
    <w:p w14:paraId="2A9BEDB6" w14:textId="77777777" w:rsidR="00E36646" w:rsidRDefault="00E36646" w:rsidP="00385ABE">
      <w:pPr>
        <w:ind w:left="-270"/>
        <w:rPr>
          <w:rFonts w:cs="NewsGoth BT"/>
          <w:color w:val="221E1F"/>
        </w:rPr>
      </w:pPr>
      <w:r>
        <w:rPr>
          <w:noProof/>
        </w:rPr>
        <w:lastRenderedPageBreak/>
        <w:drawing>
          <wp:inline distT="0" distB="0" distL="0" distR="0" wp14:anchorId="284BE2A9" wp14:editId="01C9C0FA">
            <wp:extent cx="6102350" cy="3257550"/>
            <wp:effectExtent l="190500" t="190500" r="184150" b="190500"/>
            <wp:docPr id="13" name="Picture 13" descr="&#10;(Title) Most students strongly agree or somewhat agree that their RHS helps them build personal recovery capital regarding substance use.&#10;&#10;Statement (and number of students responding) : % strongly disagree / % somewhat disagree / % somewhat agree / % strongly agree&#10;- This school helps me understand what's required for me to recover from my addiction (n=61) : 3 / 2 / 23 / 64&#10;- This school helps me understand my addiction (n=61) : 5 / 5 / 23 / 67 &#10;- This school helps me establish recovery rituals (n=61) : 5 / 5 / 43 / 48&#10;- This school helps me deepen my commitment to recovery (n=61) : 7 / 8 / 31 / 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10;(Title) Most students strongly agree or somewhat agree that their RHS helps them build personal recovery capital regarding substance use.&#10;&#10;Statement (and number of students responding) : % strongly disagree / % somewhat disagree / % somewhat agree / % strongly agree&#10;- This school helps me understand what's required for me to recover from my addiction (n=61) : 3 / 2 / 23 / 64&#10;- This school helps me understand my addiction (n=61) : 5 / 5 / 23 / 67 &#10;- This school helps me establish recovery rituals (n=61) : 5 / 5 / 43 / 48&#10;- This school helps me deepen my commitment to recovery (n=61) : 7 / 8 / 31 / 54&#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102350" cy="3257550"/>
                    </a:xfrm>
                    <a:prstGeom prst="rect">
                      <a:avLst/>
                    </a:prstGeom>
                    <a:ln>
                      <a:noFill/>
                    </a:ln>
                    <a:effectLst>
                      <a:outerShdw blurRad="190500" algn="tl" rotWithShape="0">
                        <a:srgbClr val="000000">
                          <a:alpha val="70000"/>
                        </a:srgbClr>
                      </a:outerShdw>
                    </a:effectLst>
                  </pic:spPr>
                </pic:pic>
              </a:graphicData>
            </a:graphic>
          </wp:inline>
        </w:drawing>
      </w:r>
    </w:p>
    <w:p w14:paraId="671CF586" w14:textId="00D3F982" w:rsidR="00053B21" w:rsidRDefault="00053B21" w:rsidP="00053B21">
      <w:pPr>
        <w:pStyle w:val="xmsonormal"/>
        <w:shd w:val="clear" w:color="auto" w:fill="FFFFFF"/>
        <w:spacing w:before="0" w:beforeAutospacing="0" w:after="0" w:afterAutospacing="0"/>
        <w:rPr>
          <w:rFonts w:ascii="Arial Narrow" w:hAnsi="Arial Narrow" w:cs="Arial"/>
          <w:i/>
          <w:iCs/>
          <w:color w:val="201F1E"/>
          <w:sz w:val="20"/>
          <w:szCs w:val="20"/>
        </w:rPr>
      </w:pPr>
      <w:r>
        <w:rPr>
          <w:rFonts w:ascii="Arial Narrow" w:hAnsi="Arial Narrow" w:cs="Arial"/>
          <w:i/>
          <w:iCs/>
          <w:color w:val="201F1E"/>
          <w:sz w:val="20"/>
          <w:szCs w:val="20"/>
        </w:rPr>
        <w:t>Table 2</w:t>
      </w:r>
      <w:r w:rsidRPr="00434065">
        <w:rPr>
          <w:rFonts w:ascii="Arial Narrow" w:hAnsi="Arial Narrow" w:cs="Arial"/>
          <w:i/>
          <w:iCs/>
          <w:color w:val="201F1E"/>
          <w:sz w:val="20"/>
          <w:szCs w:val="20"/>
        </w:rPr>
        <w:t>. </w:t>
      </w:r>
      <w:r w:rsidR="00017C17">
        <w:rPr>
          <w:rFonts w:ascii="Arial Narrow" w:hAnsi="Arial Narrow" w:cs="Arial"/>
          <w:i/>
          <w:iCs/>
          <w:color w:val="201F1E"/>
          <w:sz w:val="20"/>
          <w:szCs w:val="20"/>
        </w:rPr>
        <w:t>Majority of students agree</w:t>
      </w:r>
      <w:r w:rsidR="00B02CA7">
        <w:rPr>
          <w:rFonts w:ascii="Arial Narrow" w:hAnsi="Arial Narrow" w:cs="Arial"/>
          <w:i/>
          <w:iCs/>
          <w:color w:val="201F1E"/>
          <w:sz w:val="20"/>
          <w:szCs w:val="20"/>
        </w:rPr>
        <w:t xml:space="preserve"> with statement that</w:t>
      </w:r>
      <w:r w:rsidR="00017C17">
        <w:rPr>
          <w:rFonts w:ascii="Arial Narrow" w:hAnsi="Arial Narrow" w:cs="Arial"/>
          <w:i/>
          <w:iCs/>
          <w:color w:val="201F1E"/>
          <w:sz w:val="20"/>
          <w:szCs w:val="20"/>
        </w:rPr>
        <w:t xml:space="preserve"> their RHS helps them build personal recovery gains regarding substance use.</w:t>
      </w:r>
    </w:p>
    <w:p w14:paraId="5F17AE44" w14:textId="77777777" w:rsidR="00531746" w:rsidRPr="00434065" w:rsidRDefault="00531746" w:rsidP="00053B21">
      <w:pPr>
        <w:pStyle w:val="xmsonormal"/>
        <w:shd w:val="clear" w:color="auto" w:fill="FFFFFF"/>
        <w:spacing w:before="0" w:beforeAutospacing="0" w:after="0" w:afterAutospacing="0"/>
        <w:rPr>
          <w:rFonts w:ascii="Arial Narrow" w:hAnsi="Arial Narrow" w:cs="Arial"/>
          <w:color w:val="201F1E"/>
          <w:sz w:val="20"/>
          <w:szCs w:val="20"/>
        </w:rPr>
      </w:pPr>
    </w:p>
    <w:p w14:paraId="243F1B6D" w14:textId="77777777" w:rsidR="00053B21" w:rsidRDefault="003D20E5" w:rsidP="00385ABE">
      <w:pPr>
        <w:ind w:left="-270"/>
      </w:pPr>
      <w:r>
        <w:rPr>
          <w:noProof/>
        </w:rPr>
        <w:drawing>
          <wp:inline distT="0" distB="0" distL="0" distR="0" wp14:anchorId="5A6930CC" wp14:editId="1FA4FF69">
            <wp:extent cx="6121400" cy="3257550"/>
            <wp:effectExtent l="190500" t="190500" r="184150" b="190500"/>
            <wp:docPr id="6" name="Picture 6" descr="(Title) Most students strongly agree or somewhat agree that their RHS helps them build social recovery capital.&#10;&#10;Statement (and number of students responding) : % strongly disagree / % somewhat disagree / % somewhat agree / % strongly agree&#10;- This school has a unique culture that helps me feel a sense of belonging (n=61) : 5 / 7 / 25 / 64&#10;- This school helps me learn about outside recovery resources (detox, AA meetings, etc.) (n=61) : 7 / 5 / 18 / 70 &#10;- This school helps me form and maintain positive relationships with people who support my recovery (n=60) : 8 / 5 / 28 / 58&#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tle) Most students strongly agree or somewhat agree that their RHS helps them build social recovery capital.&#10;&#10;Statement (and number of students responding) : % strongly disagree / % somewhat disagree / % somewhat agree / % strongly agree&#10;- This school has a unique culture that helps me feel a sense of belonging (n=61) : 5 / 7 / 25 / 64&#10;- This school helps me learn about outside recovery resources (detox, AA meetings, etc.) (n=61) : 7 / 5 / 18 / 70 &#10;- This school helps me form and maintain positive relationships with people who support my recovery (n=60) : 8 / 5 / 28 / 58&#10;&#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6121400" cy="3257550"/>
                    </a:xfrm>
                    <a:prstGeom prst="rect">
                      <a:avLst/>
                    </a:prstGeom>
                    <a:ln>
                      <a:noFill/>
                    </a:ln>
                    <a:effectLst>
                      <a:outerShdw blurRad="190500" algn="tl" rotWithShape="0">
                        <a:srgbClr val="000000">
                          <a:alpha val="70000"/>
                        </a:srgbClr>
                      </a:outerShdw>
                    </a:effectLst>
                  </pic:spPr>
                </pic:pic>
              </a:graphicData>
            </a:graphic>
          </wp:inline>
        </w:drawing>
      </w:r>
    </w:p>
    <w:p w14:paraId="248E6319" w14:textId="0B101D64" w:rsidR="00053B21" w:rsidRDefault="00053B21" w:rsidP="00053B21">
      <w:pPr>
        <w:pStyle w:val="xmsonormal"/>
        <w:shd w:val="clear" w:color="auto" w:fill="FFFFFF"/>
        <w:spacing w:before="0" w:beforeAutospacing="0" w:after="0" w:afterAutospacing="0"/>
        <w:rPr>
          <w:rFonts w:ascii="Arial Narrow" w:hAnsi="Arial Narrow" w:cs="Arial"/>
          <w:i/>
          <w:iCs/>
          <w:color w:val="201F1E"/>
          <w:sz w:val="20"/>
          <w:szCs w:val="20"/>
        </w:rPr>
      </w:pPr>
      <w:r>
        <w:rPr>
          <w:rFonts w:ascii="Arial Narrow" w:hAnsi="Arial Narrow" w:cs="Arial"/>
          <w:i/>
          <w:iCs/>
          <w:color w:val="201F1E"/>
          <w:sz w:val="20"/>
          <w:szCs w:val="20"/>
        </w:rPr>
        <w:t>Table 3</w:t>
      </w:r>
      <w:r w:rsidRPr="00434065">
        <w:rPr>
          <w:rFonts w:ascii="Arial Narrow" w:hAnsi="Arial Narrow" w:cs="Arial"/>
          <w:i/>
          <w:iCs/>
          <w:color w:val="201F1E"/>
          <w:sz w:val="20"/>
          <w:szCs w:val="20"/>
        </w:rPr>
        <w:t>. </w:t>
      </w:r>
      <w:r>
        <w:rPr>
          <w:rFonts w:ascii="Arial Narrow" w:hAnsi="Arial Narrow" w:cs="Arial"/>
          <w:i/>
          <w:iCs/>
          <w:color w:val="201F1E"/>
          <w:sz w:val="20"/>
          <w:szCs w:val="20"/>
        </w:rPr>
        <w:t>Majority of students</w:t>
      </w:r>
      <w:r w:rsidR="00B02CA7">
        <w:rPr>
          <w:rFonts w:ascii="Arial Narrow" w:hAnsi="Arial Narrow" w:cs="Arial"/>
          <w:i/>
          <w:iCs/>
          <w:color w:val="201F1E"/>
          <w:sz w:val="20"/>
          <w:szCs w:val="20"/>
        </w:rPr>
        <w:t xml:space="preserve"> </w:t>
      </w:r>
      <w:r>
        <w:rPr>
          <w:rFonts w:ascii="Arial Narrow" w:hAnsi="Arial Narrow" w:cs="Arial"/>
          <w:i/>
          <w:iCs/>
          <w:color w:val="201F1E"/>
          <w:sz w:val="20"/>
          <w:szCs w:val="20"/>
        </w:rPr>
        <w:t>agree</w:t>
      </w:r>
      <w:r w:rsidR="00B02CA7">
        <w:rPr>
          <w:rFonts w:ascii="Arial Narrow" w:hAnsi="Arial Narrow" w:cs="Arial"/>
          <w:i/>
          <w:iCs/>
          <w:color w:val="201F1E"/>
          <w:sz w:val="20"/>
          <w:szCs w:val="20"/>
        </w:rPr>
        <w:t xml:space="preserve"> with statements</w:t>
      </w:r>
      <w:r>
        <w:rPr>
          <w:rFonts w:ascii="Arial Narrow" w:hAnsi="Arial Narrow" w:cs="Arial"/>
          <w:i/>
          <w:iCs/>
          <w:color w:val="201F1E"/>
          <w:sz w:val="20"/>
          <w:szCs w:val="20"/>
        </w:rPr>
        <w:t xml:space="preserve"> that their RHS helps them build </w:t>
      </w:r>
      <w:r w:rsidR="00B45785">
        <w:rPr>
          <w:rFonts w:ascii="Arial Narrow" w:hAnsi="Arial Narrow" w:cs="Arial"/>
          <w:i/>
          <w:iCs/>
          <w:color w:val="201F1E"/>
          <w:sz w:val="20"/>
          <w:szCs w:val="20"/>
        </w:rPr>
        <w:t xml:space="preserve">social </w:t>
      </w:r>
      <w:r w:rsidR="00017C17">
        <w:rPr>
          <w:rFonts w:ascii="Arial Narrow" w:hAnsi="Arial Narrow" w:cs="Arial"/>
          <w:i/>
          <w:iCs/>
          <w:color w:val="201F1E"/>
          <w:sz w:val="20"/>
          <w:szCs w:val="20"/>
        </w:rPr>
        <w:t>recovery gains.</w:t>
      </w:r>
    </w:p>
    <w:p w14:paraId="05F5EC19" w14:textId="77777777" w:rsidR="00053B21" w:rsidRPr="00434065" w:rsidRDefault="00053B21" w:rsidP="00053B21">
      <w:pPr>
        <w:pStyle w:val="xmsonormal"/>
        <w:shd w:val="clear" w:color="auto" w:fill="FFFFFF"/>
        <w:spacing w:before="0" w:beforeAutospacing="0" w:after="0" w:afterAutospacing="0"/>
        <w:rPr>
          <w:rFonts w:ascii="Arial Narrow" w:hAnsi="Arial Narrow" w:cs="Arial"/>
          <w:color w:val="201F1E"/>
          <w:sz w:val="20"/>
          <w:szCs w:val="20"/>
        </w:rPr>
      </w:pPr>
    </w:p>
    <w:p w14:paraId="3561A2C7" w14:textId="57BA6199" w:rsidR="00E36646" w:rsidRPr="00BA7F5A" w:rsidRDefault="00E36646" w:rsidP="00E36646">
      <w:r>
        <w:lastRenderedPageBreak/>
        <w:t xml:space="preserve">Recovery High School programs play an important role for students diagnosed with a substance use disorder. They support the individual needs of their students by developing and following an </w:t>
      </w:r>
      <w:r w:rsidR="003126F7">
        <w:t>i</w:t>
      </w:r>
      <w:r>
        <w:t xml:space="preserve">ndividualized </w:t>
      </w:r>
      <w:r w:rsidR="003126F7">
        <w:t>r</w:t>
      </w:r>
      <w:r>
        <w:t xml:space="preserve">ecovery </w:t>
      </w:r>
      <w:r w:rsidR="003126F7">
        <w:t>p</w:t>
      </w:r>
      <w:r>
        <w:t xml:space="preserve">lan </w:t>
      </w:r>
      <w:r w:rsidR="003126F7">
        <w:t xml:space="preserve">while </w:t>
      </w:r>
      <w:r>
        <w:t>provid</w:t>
      </w:r>
      <w:r w:rsidR="003126F7">
        <w:t>ing</w:t>
      </w:r>
      <w:r>
        <w:t xml:space="preserve"> a comprehensive four-year high school </w:t>
      </w:r>
      <w:r w:rsidR="00150506">
        <w:t>education helping</w:t>
      </w:r>
      <w:r>
        <w:t xml:space="preserve"> these students reach success in their academic and personal lives. </w:t>
      </w:r>
    </w:p>
    <w:p w14:paraId="7E1D5621" w14:textId="50E8CC1C" w:rsidR="007C6F51" w:rsidRPr="00E9266F" w:rsidRDefault="007C6F51" w:rsidP="007C6F51">
      <w:pPr>
        <w:pStyle w:val="Heading1"/>
        <w:ind w:right="-270"/>
        <w:rPr>
          <w:b w:val="0"/>
        </w:rPr>
      </w:pPr>
      <w:bookmarkStart w:id="5" w:name="_Toc7731852"/>
      <w:r w:rsidRPr="00E9266F">
        <w:rPr>
          <w:rFonts w:ascii="Times New Roman" w:hAnsi="Times New Roman" w:cs="Times New Roman"/>
        </w:rPr>
        <w:t xml:space="preserve">Recommendations </w:t>
      </w:r>
      <w:r>
        <w:rPr>
          <w:rFonts w:ascii="Times New Roman" w:hAnsi="Times New Roman" w:cs="Times New Roman"/>
        </w:rPr>
        <w:t>for</w:t>
      </w:r>
      <w:r w:rsidRPr="00E9266F">
        <w:rPr>
          <w:rFonts w:ascii="Times New Roman" w:hAnsi="Times New Roman" w:cs="Times New Roman"/>
        </w:rPr>
        <w:t xml:space="preserve"> New Recovery High Schools in </w:t>
      </w:r>
      <w:r>
        <w:rPr>
          <w:rFonts w:ascii="Times New Roman" w:hAnsi="Times New Roman" w:cs="Times New Roman"/>
        </w:rPr>
        <w:t>Fiscal Years 2022 and 202</w:t>
      </w:r>
      <w:bookmarkEnd w:id="5"/>
      <w:r>
        <w:rPr>
          <w:rFonts w:ascii="Times New Roman" w:hAnsi="Times New Roman" w:cs="Times New Roman"/>
        </w:rPr>
        <w:t>3</w:t>
      </w:r>
      <w:r w:rsidRPr="00E9266F">
        <w:rPr>
          <w:rFonts w:ascii="Times New Roman" w:hAnsi="Times New Roman" w:cs="Times New Roman"/>
        </w:rPr>
        <w:t xml:space="preserve"> </w:t>
      </w:r>
    </w:p>
    <w:p w14:paraId="467E3463" w14:textId="46CF0D97" w:rsidR="007C6F51" w:rsidRPr="00422CB9" w:rsidRDefault="007C6F51" w:rsidP="007C6F51">
      <w:r w:rsidRPr="00422CB9">
        <w:t>The Department is currently in discussions with school districts, R</w:t>
      </w:r>
      <w:r>
        <w:t xml:space="preserve">ecovery </w:t>
      </w:r>
      <w:r w:rsidRPr="00422CB9">
        <w:t>H</w:t>
      </w:r>
      <w:r>
        <w:t xml:space="preserve">igh </w:t>
      </w:r>
      <w:r w:rsidRPr="00422CB9">
        <w:t>S</w:t>
      </w:r>
      <w:r>
        <w:t>chool</w:t>
      </w:r>
      <w:r w:rsidRPr="00422CB9">
        <w:t xml:space="preserve"> programs and other partners to determine how, collectively, to best meet the needs of students with substance use disorders. At this time, a new Recovery High School is not recommended as the Department continues to evaluate these programs.</w:t>
      </w:r>
    </w:p>
    <w:p w14:paraId="5AF514C2" w14:textId="77777777" w:rsidR="00AA2AF8" w:rsidRPr="002C2113" w:rsidRDefault="00AA2AF8" w:rsidP="002C2113"/>
    <w:sectPr w:rsidR="00AA2AF8" w:rsidRPr="002C2113" w:rsidSect="007102D5">
      <w:footerReference w:type="default" r:id="rId3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A8E13" w14:textId="77777777" w:rsidR="00436A76" w:rsidRDefault="00436A76" w:rsidP="00FD2C86">
      <w:r>
        <w:separator/>
      </w:r>
    </w:p>
  </w:endnote>
  <w:endnote w:type="continuationSeparator" w:id="0">
    <w:p w14:paraId="41E6516B" w14:textId="77777777" w:rsidR="00436A76" w:rsidRDefault="00436A76"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sGoth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88D9"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D9EDD" w14:textId="77777777" w:rsidR="00436A76" w:rsidRDefault="00436A76" w:rsidP="00FD2C86">
      <w:r>
        <w:separator/>
      </w:r>
    </w:p>
  </w:footnote>
  <w:footnote w:type="continuationSeparator" w:id="0">
    <w:p w14:paraId="5B6B3AB0" w14:textId="77777777" w:rsidR="00436A76" w:rsidRDefault="00436A76"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5pt;height:10.5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0B8A0E4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2F461D6C"/>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9E47EE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9027182"/>
    <w:lvl w:ilvl="0" w:tplc="4FDC05E2">
      <w:start w:val="1"/>
      <w:numFmt w:val="bullet"/>
      <w:lvlText w:val=""/>
      <w:lvlJc w:val="left"/>
      <w:pPr>
        <w:tabs>
          <w:tab w:val="num" w:pos="1800"/>
        </w:tabs>
        <w:ind w:left="1800" w:hanging="360"/>
      </w:pPr>
      <w:rPr>
        <w:rFonts w:ascii="Symbol" w:hAnsi="Symbol" w:hint="default"/>
      </w:rPr>
    </w:lvl>
    <w:lvl w:ilvl="1" w:tplc="F9582AC4">
      <w:numFmt w:val="decimal"/>
      <w:lvlText w:val=""/>
      <w:lvlJc w:val="left"/>
    </w:lvl>
    <w:lvl w:ilvl="2" w:tplc="FA22B374">
      <w:numFmt w:val="decimal"/>
      <w:lvlText w:val=""/>
      <w:lvlJc w:val="left"/>
    </w:lvl>
    <w:lvl w:ilvl="3" w:tplc="046CE3A6">
      <w:numFmt w:val="decimal"/>
      <w:lvlText w:val=""/>
      <w:lvlJc w:val="left"/>
    </w:lvl>
    <w:lvl w:ilvl="4" w:tplc="DB4ECF50">
      <w:numFmt w:val="decimal"/>
      <w:lvlText w:val=""/>
      <w:lvlJc w:val="left"/>
    </w:lvl>
    <w:lvl w:ilvl="5" w:tplc="DBA8480C">
      <w:numFmt w:val="decimal"/>
      <w:lvlText w:val=""/>
      <w:lvlJc w:val="left"/>
    </w:lvl>
    <w:lvl w:ilvl="6" w:tplc="724EB822">
      <w:numFmt w:val="decimal"/>
      <w:lvlText w:val=""/>
      <w:lvlJc w:val="left"/>
    </w:lvl>
    <w:lvl w:ilvl="7" w:tplc="7540B454">
      <w:numFmt w:val="decimal"/>
      <w:lvlText w:val=""/>
      <w:lvlJc w:val="left"/>
    </w:lvl>
    <w:lvl w:ilvl="8" w:tplc="B17EE520">
      <w:numFmt w:val="decimal"/>
      <w:lvlText w:val=""/>
      <w:lvlJc w:val="left"/>
    </w:lvl>
  </w:abstractNum>
  <w:abstractNum w:abstractNumId="5" w15:restartNumberingAfterBreak="0">
    <w:nsid w:val="FFFFFF81"/>
    <w:multiLevelType w:val="hybridMultilevel"/>
    <w:tmpl w:val="19205A54"/>
    <w:lvl w:ilvl="0" w:tplc="EE503ACE">
      <w:start w:val="1"/>
      <w:numFmt w:val="bullet"/>
      <w:lvlText w:val=""/>
      <w:lvlJc w:val="left"/>
      <w:pPr>
        <w:tabs>
          <w:tab w:val="num" w:pos="1440"/>
        </w:tabs>
        <w:ind w:left="1440" w:hanging="360"/>
      </w:pPr>
      <w:rPr>
        <w:rFonts w:ascii="Symbol" w:hAnsi="Symbol" w:hint="default"/>
      </w:rPr>
    </w:lvl>
    <w:lvl w:ilvl="1" w:tplc="651E8942">
      <w:numFmt w:val="decimal"/>
      <w:lvlText w:val=""/>
      <w:lvlJc w:val="left"/>
    </w:lvl>
    <w:lvl w:ilvl="2" w:tplc="48660358">
      <w:numFmt w:val="decimal"/>
      <w:lvlText w:val=""/>
      <w:lvlJc w:val="left"/>
    </w:lvl>
    <w:lvl w:ilvl="3" w:tplc="C1D0EDA4">
      <w:numFmt w:val="decimal"/>
      <w:lvlText w:val=""/>
      <w:lvlJc w:val="left"/>
    </w:lvl>
    <w:lvl w:ilvl="4" w:tplc="48FC48FE">
      <w:numFmt w:val="decimal"/>
      <w:lvlText w:val=""/>
      <w:lvlJc w:val="left"/>
    </w:lvl>
    <w:lvl w:ilvl="5" w:tplc="907C79BE">
      <w:numFmt w:val="decimal"/>
      <w:lvlText w:val=""/>
      <w:lvlJc w:val="left"/>
    </w:lvl>
    <w:lvl w:ilvl="6" w:tplc="EA44B06E">
      <w:numFmt w:val="decimal"/>
      <w:lvlText w:val=""/>
      <w:lvlJc w:val="left"/>
    </w:lvl>
    <w:lvl w:ilvl="7" w:tplc="E662CC02">
      <w:numFmt w:val="decimal"/>
      <w:lvlText w:val=""/>
      <w:lvlJc w:val="left"/>
    </w:lvl>
    <w:lvl w:ilvl="8" w:tplc="025A98DE">
      <w:numFmt w:val="decimal"/>
      <w:lvlText w:val=""/>
      <w:lvlJc w:val="left"/>
    </w:lvl>
  </w:abstractNum>
  <w:abstractNum w:abstractNumId="6" w15:restartNumberingAfterBreak="0">
    <w:nsid w:val="FFFFFF82"/>
    <w:multiLevelType w:val="multilevel"/>
    <w:tmpl w:val="BE8CB494"/>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8CB69D36"/>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E25214DC"/>
    <w:lvl w:ilvl="0">
      <w:start w:val="1"/>
      <w:numFmt w:val="upperRoman"/>
      <w:lvlText w:val="%1."/>
      <w:lvlJc w:val="right"/>
      <w:pPr>
        <w:tabs>
          <w:tab w:val="num" w:pos="720"/>
        </w:tabs>
        <w:ind w:left="720" w:hanging="360"/>
      </w:pPr>
      <w:rPr>
        <w:rFonts w:hint="default"/>
        <w:strike w:val="0"/>
        <w:d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F9B8AB20"/>
    <w:lvl w:ilvl="0">
      <w:start w:val="1"/>
      <w:numFmt w:val="bullet"/>
      <w:pStyle w:val="ESEBullet-Lev1"/>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hybridMultilevel"/>
    <w:tmpl w:val="1A00D806"/>
    <w:lvl w:ilvl="0" w:tplc="6AC43D58">
      <w:start w:val="1"/>
      <w:numFmt w:val="decimal"/>
      <w:lvlText w:val="%1."/>
      <w:lvlJc w:val="left"/>
      <w:pPr>
        <w:tabs>
          <w:tab w:val="num" w:pos="360"/>
        </w:tabs>
        <w:ind w:left="720" w:hanging="360"/>
      </w:pPr>
      <w:rPr>
        <w:rFonts w:hint="default"/>
      </w:rPr>
    </w:lvl>
    <w:lvl w:ilvl="1" w:tplc="D318E5EC">
      <w:start w:val="1"/>
      <w:numFmt w:val="lowerLetter"/>
      <w:lvlText w:val="%2."/>
      <w:lvlJc w:val="left"/>
      <w:pPr>
        <w:tabs>
          <w:tab w:val="num" w:pos="1080"/>
        </w:tabs>
        <w:ind w:left="1080" w:hanging="360"/>
      </w:pPr>
      <w:rPr>
        <w:rFonts w:hint="default"/>
      </w:rPr>
    </w:lvl>
    <w:lvl w:ilvl="2" w:tplc="4928D2E6">
      <w:start w:val="1"/>
      <w:numFmt w:val="lowerRoman"/>
      <w:lvlText w:val="%3."/>
      <w:lvlJc w:val="left"/>
      <w:pPr>
        <w:tabs>
          <w:tab w:val="num" w:pos="1440"/>
        </w:tabs>
        <w:ind w:left="1440" w:hanging="360"/>
      </w:pPr>
      <w:rPr>
        <w:rFonts w:hint="default"/>
      </w:rPr>
    </w:lvl>
    <w:lvl w:ilvl="3" w:tplc="69C2A186">
      <w:start w:val="1"/>
      <w:numFmt w:val="decimal"/>
      <w:lvlText w:val="(%4)"/>
      <w:lvlJc w:val="left"/>
      <w:pPr>
        <w:tabs>
          <w:tab w:val="num" w:pos="1800"/>
        </w:tabs>
        <w:ind w:left="1800" w:hanging="360"/>
      </w:pPr>
      <w:rPr>
        <w:rFonts w:hint="default"/>
      </w:rPr>
    </w:lvl>
    <w:lvl w:ilvl="4" w:tplc="33C67F54">
      <w:start w:val="1"/>
      <w:numFmt w:val="lowerLetter"/>
      <w:lvlText w:val="(%5)"/>
      <w:lvlJc w:val="left"/>
      <w:pPr>
        <w:tabs>
          <w:tab w:val="num" w:pos="1800"/>
        </w:tabs>
        <w:ind w:left="1800" w:hanging="360"/>
      </w:pPr>
      <w:rPr>
        <w:rFonts w:hint="default"/>
      </w:rPr>
    </w:lvl>
    <w:lvl w:ilvl="5" w:tplc="1A0A5AF8">
      <w:start w:val="1"/>
      <w:numFmt w:val="lowerRoman"/>
      <w:lvlText w:val="(%6)"/>
      <w:lvlJc w:val="left"/>
      <w:pPr>
        <w:tabs>
          <w:tab w:val="num" w:pos="2160"/>
        </w:tabs>
        <w:ind w:left="2160" w:hanging="360"/>
      </w:pPr>
      <w:rPr>
        <w:rFonts w:hint="default"/>
      </w:rPr>
    </w:lvl>
    <w:lvl w:ilvl="6" w:tplc="59988670">
      <w:start w:val="1"/>
      <w:numFmt w:val="decimal"/>
      <w:lvlText w:val="%7."/>
      <w:lvlJc w:val="left"/>
      <w:pPr>
        <w:tabs>
          <w:tab w:val="num" w:pos="2520"/>
        </w:tabs>
        <w:ind w:left="2520" w:hanging="360"/>
      </w:pPr>
      <w:rPr>
        <w:rFonts w:hint="default"/>
      </w:rPr>
    </w:lvl>
    <w:lvl w:ilvl="7" w:tplc="F5380472">
      <w:start w:val="1"/>
      <w:numFmt w:val="lowerLetter"/>
      <w:lvlText w:val="%8."/>
      <w:lvlJc w:val="left"/>
      <w:pPr>
        <w:tabs>
          <w:tab w:val="num" w:pos="2880"/>
        </w:tabs>
        <w:ind w:left="2880" w:hanging="360"/>
      </w:pPr>
      <w:rPr>
        <w:rFonts w:hint="default"/>
      </w:rPr>
    </w:lvl>
    <w:lvl w:ilvl="8" w:tplc="F328E13A">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hybrid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E5556C"/>
    <w:multiLevelType w:val="multilevel"/>
    <w:tmpl w:val="998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61DA8"/>
    <w:multiLevelType w:val="multilevel"/>
    <w:tmpl w:val="384E6C8C"/>
    <w:numStyleLink w:val="ESEList-Numbers"/>
  </w:abstractNum>
  <w:abstractNum w:abstractNumId="3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412926"/>
    <w:multiLevelType w:val="hybridMultilevel"/>
    <w:tmpl w:val="0409001D"/>
    <w:lvl w:ilvl="0" w:tplc="8CA89E88">
      <w:start w:val="1"/>
      <w:numFmt w:val="bullet"/>
      <w:lvlText w:val=""/>
      <w:lvlJc w:val="left"/>
      <w:pPr>
        <w:ind w:left="360" w:hanging="360"/>
      </w:pPr>
      <w:rPr>
        <w:rFonts w:ascii="Symbol" w:hAnsi="Symbol" w:hint="default"/>
        <w:color w:val="auto"/>
      </w:rPr>
    </w:lvl>
    <w:lvl w:ilvl="1" w:tplc="60261F5E">
      <w:start w:val="1"/>
      <w:numFmt w:val="bullet"/>
      <w:lvlText w:val=""/>
      <w:lvlJc w:val="left"/>
      <w:pPr>
        <w:ind w:left="720" w:hanging="360"/>
      </w:pPr>
      <w:rPr>
        <w:rFonts w:ascii="Wingdings" w:hAnsi="Wingdings" w:hint="default"/>
        <w:color w:val="auto"/>
      </w:rPr>
    </w:lvl>
    <w:lvl w:ilvl="2" w:tplc="A0C667C2">
      <w:start w:val="1"/>
      <w:numFmt w:val="lowerRoman"/>
      <w:lvlText w:val="%3)"/>
      <w:lvlJc w:val="left"/>
      <w:pPr>
        <w:ind w:left="1080" w:hanging="360"/>
      </w:pPr>
    </w:lvl>
    <w:lvl w:ilvl="3" w:tplc="E6BC6F22">
      <w:start w:val="1"/>
      <w:numFmt w:val="decimal"/>
      <w:lvlText w:val="(%4)"/>
      <w:lvlJc w:val="left"/>
      <w:pPr>
        <w:ind w:left="1440" w:hanging="360"/>
      </w:pPr>
    </w:lvl>
    <w:lvl w:ilvl="4" w:tplc="C38E97D4">
      <w:start w:val="1"/>
      <w:numFmt w:val="lowerLetter"/>
      <w:lvlText w:val="(%5)"/>
      <w:lvlJc w:val="left"/>
      <w:pPr>
        <w:ind w:left="1800" w:hanging="360"/>
      </w:pPr>
    </w:lvl>
    <w:lvl w:ilvl="5" w:tplc="2D06C80E">
      <w:start w:val="1"/>
      <w:numFmt w:val="lowerRoman"/>
      <w:lvlText w:val="(%6)"/>
      <w:lvlJc w:val="left"/>
      <w:pPr>
        <w:ind w:left="2160" w:hanging="360"/>
      </w:pPr>
    </w:lvl>
    <w:lvl w:ilvl="6" w:tplc="6C7ADB54">
      <w:start w:val="1"/>
      <w:numFmt w:val="decimal"/>
      <w:lvlText w:val="%7."/>
      <w:lvlJc w:val="left"/>
      <w:pPr>
        <w:ind w:left="2520" w:hanging="360"/>
      </w:pPr>
    </w:lvl>
    <w:lvl w:ilvl="7" w:tplc="A8B48CC0">
      <w:start w:val="1"/>
      <w:numFmt w:val="lowerLetter"/>
      <w:lvlText w:val="%8."/>
      <w:lvlJc w:val="left"/>
      <w:pPr>
        <w:ind w:left="2880" w:hanging="360"/>
      </w:pPr>
    </w:lvl>
    <w:lvl w:ilvl="8" w:tplc="4EB6176E">
      <w:start w:val="1"/>
      <w:numFmt w:val="lowerRoman"/>
      <w:lvlText w:val="%9."/>
      <w:lvlJc w:val="left"/>
      <w:pPr>
        <w:ind w:left="3240" w:hanging="360"/>
      </w:pPr>
    </w:lvl>
  </w:abstractNum>
  <w:abstractNum w:abstractNumId="33"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F977CD"/>
    <w:multiLevelType w:val="hybridMultilevel"/>
    <w:tmpl w:val="384E6C8C"/>
    <w:numStyleLink w:val="ESEList-Numbers"/>
  </w:abstractNum>
  <w:abstractNum w:abstractNumId="36"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B77274"/>
    <w:multiLevelType w:val="hybridMultilevel"/>
    <w:tmpl w:val="D37487D6"/>
    <w:lvl w:ilvl="0" w:tplc="DA822CB4">
      <w:start w:val="1"/>
      <w:numFmt w:val="decimal"/>
      <w:lvlText w:val="%1."/>
      <w:lvlJc w:val="left"/>
      <w:pPr>
        <w:ind w:left="720" w:hanging="360"/>
      </w:pPr>
      <w:rPr>
        <w:rFonts w:hint="default"/>
      </w:rPr>
    </w:lvl>
    <w:lvl w:ilvl="1" w:tplc="53B6DF7C">
      <w:start w:val="1"/>
      <w:numFmt w:val="lowerLetter"/>
      <w:lvlText w:val="%2."/>
      <w:lvlJc w:val="left"/>
      <w:pPr>
        <w:tabs>
          <w:tab w:val="num" w:pos="1800"/>
        </w:tabs>
        <w:ind w:left="1440" w:hanging="360"/>
      </w:pPr>
      <w:rPr>
        <w:rFonts w:hint="default"/>
      </w:rPr>
    </w:lvl>
    <w:lvl w:ilvl="2" w:tplc="346C9E6E">
      <w:start w:val="1"/>
      <w:numFmt w:val="decimal"/>
      <w:lvlText w:val="%3."/>
      <w:lvlJc w:val="left"/>
      <w:pPr>
        <w:tabs>
          <w:tab w:val="num" w:pos="2520"/>
        </w:tabs>
        <w:ind w:left="2160" w:hanging="360"/>
      </w:pPr>
      <w:rPr>
        <w:rFonts w:hint="default"/>
        <w:sz w:val="24"/>
      </w:rPr>
    </w:lvl>
    <w:lvl w:ilvl="3" w:tplc="607E535A">
      <w:start w:val="1"/>
      <w:numFmt w:val="decimal"/>
      <w:lvlText w:val="%4."/>
      <w:lvlJc w:val="left"/>
      <w:pPr>
        <w:tabs>
          <w:tab w:val="num" w:pos="3240"/>
        </w:tabs>
        <w:ind w:left="2880" w:hanging="360"/>
      </w:pPr>
      <w:rPr>
        <w:rFonts w:hint="default"/>
      </w:rPr>
    </w:lvl>
    <w:lvl w:ilvl="4" w:tplc="37F626AA">
      <w:start w:val="1"/>
      <w:numFmt w:val="lowerLetter"/>
      <w:lvlText w:val="%5."/>
      <w:lvlJc w:val="left"/>
      <w:pPr>
        <w:tabs>
          <w:tab w:val="num" w:pos="3960"/>
        </w:tabs>
        <w:ind w:left="3600" w:hanging="360"/>
      </w:pPr>
      <w:rPr>
        <w:rFonts w:hint="default"/>
      </w:rPr>
    </w:lvl>
    <w:lvl w:ilvl="5" w:tplc="B914C086">
      <w:start w:val="1"/>
      <w:numFmt w:val="lowerRoman"/>
      <w:lvlText w:val="%6."/>
      <w:lvlJc w:val="right"/>
      <w:pPr>
        <w:tabs>
          <w:tab w:val="num" w:pos="4680"/>
        </w:tabs>
        <w:ind w:left="4320" w:hanging="360"/>
      </w:pPr>
      <w:rPr>
        <w:rFonts w:hint="default"/>
      </w:rPr>
    </w:lvl>
    <w:lvl w:ilvl="6" w:tplc="7E40CC08">
      <w:start w:val="1"/>
      <w:numFmt w:val="decimal"/>
      <w:lvlText w:val="%7."/>
      <w:lvlJc w:val="left"/>
      <w:pPr>
        <w:tabs>
          <w:tab w:val="num" w:pos="5400"/>
        </w:tabs>
        <w:ind w:left="5040" w:hanging="360"/>
      </w:pPr>
      <w:rPr>
        <w:rFonts w:hint="default"/>
      </w:rPr>
    </w:lvl>
    <w:lvl w:ilvl="7" w:tplc="0B6A2A46">
      <w:start w:val="1"/>
      <w:numFmt w:val="lowerLetter"/>
      <w:lvlText w:val="%8."/>
      <w:lvlJc w:val="left"/>
      <w:pPr>
        <w:tabs>
          <w:tab w:val="num" w:pos="6120"/>
        </w:tabs>
        <w:ind w:left="5760" w:hanging="360"/>
      </w:pPr>
      <w:rPr>
        <w:rFonts w:hint="default"/>
      </w:rPr>
    </w:lvl>
    <w:lvl w:ilvl="8" w:tplc="1F4E6488">
      <w:start w:val="1"/>
      <w:numFmt w:val="lowerRoman"/>
      <w:lvlText w:val="%9."/>
      <w:lvlJc w:val="right"/>
      <w:pPr>
        <w:tabs>
          <w:tab w:val="num" w:pos="6840"/>
        </w:tabs>
        <w:ind w:left="6480" w:hanging="360"/>
      </w:pPr>
      <w:rPr>
        <w:rFonts w:hint="default"/>
      </w:rPr>
    </w:lvl>
  </w:abstractNum>
  <w:abstractNum w:abstractNumId="39" w15:restartNumberingAfterBreak="0">
    <w:nsid w:val="6AC42922"/>
    <w:multiLevelType w:val="multilevel"/>
    <w:tmpl w:val="384E6C8C"/>
    <w:numStyleLink w:val="ESEList-Numbers"/>
  </w:abstractNum>
  <w:abstractNum w:abstractNumId="40"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D66E4"/>
    <w:multiLevelType w:val="hybridMultilevel"/>
    <w:tmpl w:val="2C1212C2"/>
    <w:lvl w:ilvl="0" w:tplc="4C82A438">
      <w:start w:val="1"/>
      <w:numFmt w:val="upperRoman"/>
      <w:lvlText w:val="%1."/>
      <w:lvlJc w:val="left"/>
      <w:pPr>
        <w:tabs>
          <w:tab w:val="num" w:pos="1080"/>
        </w:tabs>
        <w:ind w:left="1080" w:hanging="720"/>
      </w:pPr>
      <w:rPr>
        <w:rFonts w:hint="default"/>
      </w:rPr>
    </w:lvl>
    <w:lvl w:ilvl="1" w:tplc="9708A326">
      <w:start w:val="1"/>
      <w:numFmt w:val="lowerLetter"/>
      <w:lvlText w:val="%2."/>
      <w:lvlJc w:val="left"/>
      <w:pPr>
        <w:tabs>
          <w:tab w:val="num" w:pos="1440"/>
        </w:tabs>
        <w:ind w:left="1440" w:hanging="360"/>
      </w:pPr>
      <w:rPr>
        <w:rFonts w:hint="default"/>
      </w:rPr>
    </w:lvl>
    <w:lvl w:ilvl="2" w:tplc="547A27C4">
      <w:start w:val="1"/>
      <w:numFmt w:val="decimal"/>
      <w:lvlText w:val="%3."/>
      <w:lvlJc w:val="left"/>
      <w:pPr>
        <w:tabs>
          <w:tab w:val="num" w:pos="2340"/>
        </w:tabs>
        <w:ind w:left="2340" w:hanging="360"/>
      </w:pPr>
      <w:rPr>
        <w:sz w:val="24"/>
      </w:rPr>
    </w:lvl>
    <w:lvl w:ilvl="3" w:tplc="E67E18A6">
      <w:start w:val="1"/>
      <w:numFmt w:val="decimal"/>
      <w:lvlText w:val="%4."/>
      <w:lvlJc w:val="left"/>
      <w:pPr>
        <w:tabs>
          <w:tab w:val="num" w:pos="2880"/>
        </w:tabs>
        <w:ind w:left="2880" w:hanging="360"/>
      </w:pPr>
    </w:lvl>
    <w:lvl w:ilvl="4" w:tplc="1A6ADB9E">
      <w:start w:val="1"/>
      <w:numFmt w:val="lowerLetter"/>
      <w:lvlText w:val="%5."/>
      <w:lvlJc w:val="left"/>
      <w:pPr>
        <w:tabs>
          <w:tab w:val="num" w:pos="3600"/>
        </w:tabs>
        <w:ind w:left="3600" w:hanging="360"/>
      </w:pPr>
    </w:lvl>
    <w:lvl w:ilvl="5" w:tplc="FF0ACA56">
      <w:start w:val="1"/>
      <w:numFmt w:val="lowerRoman"/>
      <w:lvlText w:val="%6."/>
      <w:lvlJc w:val="right"/>
      <w:pPr>
        <w:tabs>
          <w:tab w:val="num" w:pos="4320"/>
        </w:tabs>
        <w:ind w:left="4320" w:hanging="180"/>
      </w:pPr>
    </w:lvl>
    <w:lvl w:ilvl="6" w:tplc="D1DC8BB6">
      <w:start w:val="1"/>
      <w:numFmt w:val="decimal"/>
      <w:lvlText w:val="%7."/>
      <w:lvlJc w:val="left"/>
      <w:pPr>
        <w:tabs>
          <w:tab w:val="num" w:pos="5040"/>
        </w:tabs>
        <w:ind w:left="5040" w:hanging="360"/>
      </w:pPr>
    </w:lvl>
    <w:lvl w:ilvl="7" w:tplc="670E0B2A">
      <w:start w:val="1"/>
      <w:numFmt w:val="lowerLetter"/>
      <w:lvlText w:val="%8."/>
      <w:lvlJc w:val="left"/>
      <w:pPr>
        <w:tabs>
          <w:tab w:val="num" w:pos="5760"/>
        </w:tabs>
        <w:ind w:left="5760" w:hanging="360"/>
      </w:pPr>
    </w:lvl>
    <w:lvl w:ilvl="8" w:tplc="B08684A6">
      <w:start w:val="1"/>
      <w:numFmt w:val="lowerRoman"/>
      <w:lvlText w:val="%9."/>
      <w:lvlJc w:val="right"/>
      <w:pPr>
        <w:tabs>
          <w:tab w:val="num" w:pos="6480"/>
        </w:tabs>
        <w:ind w:left="6480" w:hanging="180"/>
      </w:pPr>
    </w:lvl>
  </w:abstractNum>
  <w:abstractNum w:abstractNumId="42" w15:restartNumberingAfterBreak="0">
    <w:nsid w:val="6DFD4992"/>
    <w:multiLevelType w:val="multilevel"/>
    <w:tmpl w:val="384E6C8C"/>
    <w:numStyleLink w:val="ESEList-Numbers"/>
  </w:abstractNum>
  <w:abstractNum w:abstractNumId="43"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3"/>
  </w:num>
  <w:num w:numId="2">
    <w:abstractNumId w:val="9"/>
  </w:num>
  <w:num w:numId="3">
    <w:abstractNumId w:val="40"/>
  </w:num>
  <w:num w:numId="4">
    <w:abstractNumId w:val="21"/>
  </w:num>
  <w:num w:numId="5">
    <w:abstractNumId w:val="22"/>
  </w:num>
  <w:num w:numId="6">
    <w:abstractNumId w:val="8"/>
  </w:num>
  <w:num w:numId="7">
    <w:abstractNumId w:val="44"/>
  </w:num>
  <w:num w:numId="8">
    <w:abstractNumId w:val="32"/>
  </w:num>
  <w:num w:numId="9">
    <w:abstractNumId w:val="28"/>
  </w:num>
  <w:num w:numId="10">
    <w:abstractNumId w:val="24"/>
  </w:num>
  <w:num w:numId="11">
    <w:abstractNumId w:val="37"/>
  </w:num>
  <w:num w:numId="12">
    <w:abstractNumId w:val="36"/>
  </w:num>
  <w:num w:numId="13">
    <w:abstractNumId w:val="27"/>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41"/>
  </w:num>
  <w:num w:numId="25">
    <w:abstractNumId w:val="13"/>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1"/>
  </w:num>
  <w:num w:numId="32">
    <w:abstractNumId w:val="18"/>
  </w:num>
  <w:num w:numId="33">
    <w:abstractNumId w:val="20"/>
  </w:num>
  <w:num w:numId="34">
    <w:abstractNumId w:val="15"/>
  </w:num>
  <w:num w:numId="35">
    <w:abstractNumId w:val="16"/>
  </w:num>
  <w:num w:numId="36">
    <w:abstractNumId w:val="30"/>
  </w:num>
  <w:num w:numId="37">
    <w:abstractNumId w:val="39"/>
  </w:num>
  <w:num w:numId="38">
    <w:abstractNumId w:val="17"/>
  </w:num>
  <w:num w:numId="39">
    <w:abstractNumId w:val="26"/>
  </w:num>
  <w:num w:numId="40">
    <w:abstractNumId w:val="14"/>
  </w:num>
  <w:num w:numId="41">
    <w:abstractNumId w:val="25"/>
  </w:num>
  <w:num w:numId="42">
    <w:abstractNumId w:val="35"/>
  </w:num>
  <w:num w:numId="43">
    <w:abstractNumId w:val="29"/>
  </w:num>
  <w:num w:numId="44">
    <w:abstractNumId w:val="19"/>
  </w:num>
  <w:num w:numId="45">
    <w:abstractNumId w:val="10"/>
  </w:num>
  <w:num w:numId="46">
    <w:abstractNumId w:val="34"/>
  </w:num>
  <w:num w:numId="47">
    <w:abstractNumId w:val="11"/>
  </w:num>
  <w:num w:numId="48">
    <w:abstractNumId w:val="4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46"/>
    <w:rsid w:val="00017C17"/>
    <w:rsid w:val="000506EE"/>
    <w:rsid w:val="00053B21"/>
    <w:rsid w:val="00053C57"/>
    <w:rsid w:val="000711BA"/>
    <w:rsid w:val="00076BD2"/>
    <w:rsid w:val="000852C4"/>
    <w:rsid w:val="00091A5F"/>
    <w:rsid w:val="00092A27"/>
    <w:rsid w:val="000A7F57"/>
    <w:rsid w:val="000B7864"/>
    <w:rsid w:val="000C3B85"/>
    <w:rsid w:val="000C5AF1"/>
    <w:rsid w:val="000D0E81"/>
    <w:rsid w:val="000D1FA5"/>
    <w:rsid w:val="000E0833"/>
    <w:rsid w:val="000F6798"/>
    <w:rsid w:val="0010001F"/>
    <w:rsid w:val="00100600"/>
    <w:rsid w:val="001042D1"/>
    <w:rsid w:val="001051D6"/>
    <w:rsid w:val="00112CE2"/>
    <w:rsid w:val="00114A93"/>
    <w:rsid w:val="001171AA"/>
    <w:rsid w:val="00124323"/>
    <w:rsid w:val="0013726F"/>
    <w:rsid w:val="00137B48"/>
    <w:rsid w:val="0014102A"/>
    <w:rsid w:val="001446C4"/>
    <w:rsid w:val="00144CB4"/>
    <w:rsid w:val="00147F76"/>
    <w:rsid w:val="00150506"/>
    <w:rsid w:val="00152CC8"/>
    <w:rsid w:val="00154761"/>
    <w:rsid w:val="00161A3F"/>
    <w:rsid w:val="00161B1F"/>
    <w:rsid w:val="0017022D"/>
    <w:rsid w:val="00184ACF"/>
    <w:rsid w:val="00187373"/>
    <w:rsid w:val="00191705"/>
    <w:rsid w:val="00197AB6"/>
    <w:rsid w:val="001A028D"/>
    <w:rsid w:val="001A60F4"/>
    <w:rsid w:val="001B0849"/>
    <w:rsid w:val="001B25AC"/>
    <w:rsid w:val="001C1CF3"/>
    <w:rsid w:val="001C1E0E"/>
    <w:rsid w:val="001C3FD0"/>
    <w:rsid w:val="002034A0"/>
    <w:rsid w:val="0020780F"/>
    <w:rsid w:val="0021234C"/>
    <w:rsid w:val="00247105"/>
    <w:rsid w:val="002625B1"/>
    <w:rsid w:val="00270FB2"/>
    <w:rsid w:val="00271731"/>
    <w:rsid w:val="002729BC"/>
    <w:rsid w:val="00272C35"/>
    <w:rsid w:val="00274356"/>
    <w:rsid w:val="00294DFB"/>
    <w:rsid w:val="002A3729"/>
    <w:rsid w:val="002C079F"/>
    <w:rsid w:val="002C120B"/>
    <w:rsid w:val="002C2113"/>
    <w:rsid w:val="002D1F95"/>
    <w:rsid w:val="002D411F"/>
    <w:rsid w:val="002D750F"/>
    <w:rsid w:val="002E2983"/>
    <w:rsid w:val="002F201B"/>
    <w:rsid w:val="002F5DC5"/>
    <w:rsid w:val="003126F7"/>
    <w:rsid w:val="00313DEF"/>
    <w:rsid w:val="003151B0"/>
    <w:rsid w:val="00324E05"/>
    <w:rsid w:val="00345DE2"/>
    <w:rsid w:val="00385ABE"/>
    <w:rsid w:val="00397FCF"/>
    <w:rsid w:val="003A6C79"/>
    <w:rsid w:val="003B1D70"/>
    <w:rsid w:val="003D0635"/>
    <w:rsid w:val="003D20E5"/>
    <w:rsid w:val="003D2DE0"/>
    <w:rsid w:val="003D40D2"/>
    <w:rsid w:val="003E01D3"/>
    <w:rsid w:val="003E38E1"/>
    <w:rsid w:val="003F3636"/>
    <w:rsid w:val="003F6920"/>
    <w:rsid w:val="003F7E36"/>
    <w:rsid w:val="00420A3E"/>
    <w:rsid w:val="00426714"/>
    <w:rsid w:val="00426D86"/>
    <w:rsid w:val="00430DD2"/>
    <w:rsid w:val="00433321"/>
    <w:rsid w:val="00436A76"/>
    <w:rsid w:val="00440BAB"/>
    <w:rsid w:val="00441F51"/>
    <w:rsid w:val="0044758D"/>
    <w:rsid w:val="00452287"/>
    <w:rsid w:val="00464491"/>
    <w:rsid w:val="00484A33"/>
    <w:rsid w:val="00493AFA"/>
    <w:rsid w:val="004B79FD"/>
    <w:rsid w:val="004C0CCD"/>
    <w:rsid w:val="004C1FFA"/>
    <w:rsid w:val="004D3CD6"/>
    <w:rsid w:val="004D45D4"/>
    <w:rsid w:val="004E0CA6"/>
    <w:rsid w:val="004E5242"/>
    <w:rsid w:val="004F1C4B"/>
    <w:rsid w:val="004F70F5"/>
    <w:rsid w:val="00500EF4"/>
    <w:rsid w:val="005017CF"/>
    <w:rsid w:val="005152E7"/>
    <w:rsid w:val="00522BFB"/>
    <w:rsid w:val="00531746"/>
    <w:rsid w:val="00533A13"/>
    <w:rsid w:val="005350D7"/>
    <w:rsid w:val="00543117"/>
    <w:rsid w:val="00543C6D"/>
    <w:rsid w:val="00566BAC"/>
    <w:rsid w:val="00576085"/>
    <w:rsid w:val="0059138F"/>
    <w:rsid w:val="00595540"/>
    <w:rsid w:val="005A0983"/>
    <w:rsid w:val="005A367D"/>
    <w:rsid w:val="005B30C7"/>
    <w:rsid w:val="005D081D"/>
    <w:rsid w:val="005E6ACA"/>
    <w:rsid w:val="005E7464"/>
    <w:rsid w:val="005F037D"/>
    <w:rsid w:val="005F152D"/>
    <w:rsid w:val="005F1897"/>
    <w:rsid w:val="005F3853"/>
    <w:rsid w:val="00603BD5"/>
    <w:rsid w:val="00611066"/>
    <w:rsid w:val="006240F7"/>
    <w:rsid w:val="0065736C"/>
    <w:rsid w:val="0066221E"/>
    <w:rsid w:val="00675B1B"/>
    <w:rsid w:val="0069558B"/>
    <w:rsid w:val="006A7E81"/>
    <w:rsid w:val="006B5927"/>
    <w:rsid w:val="006C5ACA"/>
    <w:rsid w:val="006C6F88"/>
    <w:rsid w:val="006D04E9"/>
    <w:rsid w:val="006D1B5E"/>
    <w:rsid w:val="006D31F4"/>
    <w:rsid w:val="006F4CF2"/>
    <w:rsid w:val="006F7E53"/>
    <w:rsid w:val="007012FA"/>
    <w:rsid w:val="007033C4"/>
    <w:rsid w:val="00704010"/>
    <w:rsid w:val="007102D5"/>
    <w:rsid w:val="0071289B"/>
    <w:rsid w:val="00712E66"/>
    <w:rsid w:val="00717847"/>
    <w:rsid w:val="007204A2"/>
    <w:rsid w:val="00726D05"/>
    <w:rsid w:val="0073628D"/>
    <w:rsid w:val="00740C0D"/>
    <w:rsid w:val="00741DF2"/>
    <w:rsid w:val="00742D11"/>
    <w:rsid w:val="00755977"/>
    <w:rsid w:val="00763DDA"/>
    <w:rsid w:val="00765318"/>
    <w:rsid w:val="00765C2A"/>
    <w:rsid w:val="0077336E"/>
    <w:rsid w:val="007771D5"/>
    <w:rsid w:val="0077761F"/>
    <w:rsid w:val="00782514"/>
    <w:rsid w:val="007848DF"/>
    <w:rsid w:val="007A62D4"/>
    <w:rsid w:val="007C0E3E"/>
    <w:rsid w:val="007C3083"/>
    <w:rsid w:val="007C4EAF"/>
    <w:rsid w:val="007C6F51"/>
    <w:rsid w:val="007E1BE9"/>
    <w:rsid w:val="007E6DA4"/>
    <w:rsid w:val="0081592D"/>
    <w:rsid w:val="00826061"/>
    <w:rsid w:val="00826563"/>
    <w:rsid w:val="00832115"/>
    <w:rsid w:val="00840662"/>
    <w:rsid w:val="00840E0C"/>
    <w:rsid w:val="008475B1"/>
    <w:rsid w:val="00871349"/>
    <w:rsid w:val="008734A6"/>
    <w:rsid w:val="00876A58"/>
    <w:rsid w:val="0088258A"/>
    <w:rsid w:val="00882772"/>
    <w:rsid w:val="00884567"/>
    <w:rsid w:val="008A16F3"/>
    <w:rsid w:val="008A6C52"/>
    <w:rsid w:val="008B34F7"/>
    <w:rsid w:val="008C3D75"/>
    <w:rsid w:val="008C575C"/>
    <w:rsid w:val="008C65E5"/>
    <w:rsid w:val="008D77C0"/>
    <w:rsid w:val="008E260F"/>
    <w:rsid w:val="008E78B4"/>
    <w:rsid w:val="00900BF3"/>
    <w:rsid w:val="00901891"/>
    <w:rsid w:val="00907BC7"/>
    <w:rsid w:val="00917329"/>
    <w:rsid w:val="00961C35"/>
    <w:rsid w:val="0096794E"/>
    <w:rsid w:val="00975F4D"/>
    <w:rsid w:val="00976882"/>
    <w:rsid w:val="00992913"/>
    <w:rsid w:val="0099682E"/>
    <w:rsid w:val="00997BDB"/>
    <w:rsid w:val="009A3016"/>
    <w:rsid w:val="009A5EBB"/>
    <w:rsid w:val="009B465A"/>
    <w:rsid w:val="009B57AC"/>
    <w:rsid w:val="009C4322"/>
    <w:rsid w:val="009C550C"/>
    <w:rsid w:val="009C7281"/>
    <w:rsid w:val="009D04CB"/>
    <w:rsid w:val="009D1266"/>
    <w:rsid w:val="009D7BA2"/>
    <w:rsid w:val="009E45FA"/>
    <w:rsid w:val="009E4B97"/>
    <w:rsid w:val="009E52E7"/>
    <w:rsid w:val="00A03535"/>
    <w:rsid w:val="00A11174"/>
    <w:rsid w:val="00A1558A"/>
    <w:rsid w:val="00A476CE"/>
    <w:rsid w:val="00A5157F"/>
    <w:rsid w:val="00A60B29"/>
    <w:rsid w:val="00A66C86"/>
    <w:rsid w:val="00A72209"/>
    <w:rsid w:val="00A72DB3"/>
    <w:rsid w:val="00A73051"/>
    <w:rsid w:val="00AA29F8"/>
    <w:rsid w:val="00AA2AF8"/>
    <w:rsid w:val="00AB0D8E"/>
    <w:rsid w:val="00AD0A1F"/>
    <w:rsid w:val="00AD298F"/>
    <w:rsid w:val="00AD72FC"/>
    <w:rsid w:val="00AE264E"/>
    <w:rsid w:val="00AE53BE"/>
    <w:rsid w:val="00AE6A00"/>
    <w:rsid w:val="00AF16D7"/>
    <w:rsid w:val="00AF1841"/>
    <w:rsid w:val="00B02CA7"/>
    <w:rsid w:val="00B0427B"/>
    <w:rsid w:val="00B07156"/>
    <w:rsid w:val="00B129CE"/>
    <w:rsid w:val="00B205B5"/>
    <w:rsid w:val="00B206F3"/>
    <w:rsid w:val="00B316B3"/>
    <w:rsid w:val="00B35594"/>
    <w:rsid w:val="00B42CA2"/>
    <w:rsid w:val="00B45785"/>
    <w:rsid w:val="00B55562"/>
    <w:rsid w:val="00B56D13"/>
    <w:rsid w:val="00B601E6"/>
    <w:rsid w:val="00B616AF"/>
    <w:rsid w:val="00B61B2F"/>
    <w:rsid w:val="00B7278D"/>
    <w:rsid w:val="00B81EF9"/>
    <w:rsid w:val="00B87F39"/>
    <w:rsid w:val="00B9061D"/>
    <w:rsid w:val="00B97EA1"/>
    <w:rsid w:val="00BA12E2"/>
    <w:rsid w:val="00BA2FDA"/>
    <w:rsid w:val="00BB2B16"/>
    <w:rsid w:val="00BC227D"/>
    <w:rsid w:val="00BE39EF"/>
    <w:rsid w:val="00C0401E"/>
    <w:rsid w:val="00C052D1"/>
    <w:rsid w:val="00C0573F"/>
    <w:rsid w:val="00C0581B"/>
    <w:rsid w:val="00C118B2"/>
    <w:rsid w:val="00C444A9"/>
    <w:rsid w:val="00C46F7C"/>
    <w:rsid w:val="00C65476"/>
    <w:rsid w:val="00C6738A"/>
    <w:rsid w:val="00C73C1E"/>
    <w:rsid w:val="00C850EA"/>
    <w:rsid w:val="00C87B1B"/>
    <w:rsid w:val="00CA455D"/>
    <w:rsid w:val="00CB3873"/>
    <w:rsid w:val="00CB5EE8"/>
    <w:rsid w:val="00CC22F1"/>
    <w:rsid w:val="00CD08F3"/>
    <w:rsid w:val="00CD5012"/>
    <w:rsid w:val="00CE1085"/>
    <w:rsid w:val="00CE576B"/>
    <w:rsid w:val="00CF0304"/>
    <w:rsid w:val="00CF2C4C"/>
    <w:rsid w:val="00CF6B07"/>
    <w:rsid w:val="00D01C91"/>
    <w:rsid w:val="00D0485D"/>
    <w:rsid w:val="00D16C52"/>
    <w:rsid w:val="00D2676C"/>
    <w:rsid w:val="00D3078C"/>
    <w:rsid w:val="00D40A4A"/>
    <w:rsid w:val="00D42AD8"/>
    <w:rsid w:val="00D53B5E"/>
    <w:rsid w:val="00D674EF"/>
    <w:rsid w:val="00D72BD5"/>
    <w:rsid w:val="00D769F8"/>
    <w:rsid w:val="00D823D4"/>
    <w:rsid w:val="00D826E3"/>
    <w:rsid w:val="00D84AAA"/>
    <w:rsid w:val="00D95C96"/>
    <w:rsid w:val="00D97241"/>
    <w:rsid w:val="00DA2EA9"/>
    <w:rsid w:val="00DC2200"/>
    <w:rsid w:val="00DD07C4"/>
    <w:rsid w:val="00DD4A21"/>
    <w:rsid w:val="00DE0201"/>
    <w:rsid w:val="00DE1217"/>
    <w:rsid w:val="00E0377E"/>
    <w:rsid w:val="00E04B8E"/>
    <w:rsid w:val="00E0515B"/>
    <w:rsid w:val="00E068D5"/>
    <w:rsid w:val="00E1054B"/>
    <w:rsid w:val="00E253B2"/>
    <w:rsid w:val="00E309C2"/>
    <w:rsid w:val="00E34296"/>
    <w:rsid w:val="00E3460D"/>
    <w:rsid w:val="00E36646"/>
    <w:rsid w:val="00E36ACD"/>
    <w:rsid w:val="00E42B48"/>
    <w:rsid w:val="00E53ECD"/>
    <w:rsid w:val="00E7273C"/>
    <w:rsid w:val="00E72815"/>
    <w:rsid w:val="00E857C5"/>
    <w:rsid w:val="00E94E92"/>
    <w:rsid w:val="00EB1F6F"/>
    <w:rsid w:val="00EB21ED"/>
    <w:rsid w:val="00EB344E"/>
    <w:rsid w:val="00EB7F04"/>
    <w:rsid w:val="00EC4160"/>
    <w:rsid w:val="00ED25CF"/>
    <w:rsid w:val="00ED4C91"/>
    <w:rsid w:val="00ED55E0"/>
    <w:rsid w:val="00F03CB1"/>
    <w:rsid w:val="00F13965"/>
    <w:rsid w:val="00F36062"/>
    <w:rsid w:val="00F364C2"/>
    <w:rsid w:val="00F37C71"/>
    <w:rsid w:val="00F44C7B"/>
    <w:rsid w:val="00F47C49"/>
    <w:rsid w:val="00F66EB7"/>
    <w:rsid w:val="00F67E40"/>
    <w:rsid w:val="00F7310B"/>
    <w:rsid w:val="00F7387F"/>
    <w:rsid w:val="00F80753"/>
    <w:rsid w:val="00F81FE7"/>
    <w:rsid w:val="00FA0025"/>
    <w:rsid w:val="00FA37DE"/>
    <w:rsid w:val="00FB0136"/>
    <w:rsid w:val="00FB3818"/>
    <w:rsid w:val="00FC06EE"/>
    <w:rsid w:val="00FC5BD5"/>
    <w:rsid w:val="00FD2C86"/>
    <w:rsid w:val="00FD69E2"/>
    <w:rsid w:val="00FD72F8"/>
    <w:rsid w:val="00FF0F52"/>
    <w:rsid w:val="18CDF9C8"/>
    <w:rsid w:val="2260FBFE"/>
    <w:rsid w:val="23A6F7DE"/>
    <w:rsid w:val="42263DFD"/>
    <w:rsid w:val="5EC5E1F9"/>
    <w:rsid w:val="7CD8EB60"/>
    <w:rsid w:val="7FCFB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8F5AE"/>
  <w15:docId w15:val="{19B24299-5ADC-44DB-B58C-BC4DCCB3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FollowedHyperlink">
    <w:name w:val="FollowedHyperlink"/>
    <w:basedOn w:val="DefaultParagraphFont"/>
    <w:semiHidden/>
    <w:unhideWhenUsed/>
    <w:rsid w:val="00FC5BD5"/>
    <w:rPr>
      <w:color w:val="800080" w:themeColor="followedHyperlink"/>
      <w:u w:val="single"/>
    </w:rPr>
  </w:style>
  <w:style w:type="character" w:styleId="UnresolvedMention">
    <w:name w:val="Unresolved Mention"/>
    <w:basedOn w:val="DefaultParagraphFont"/>
    <w:uiPriority w:val="99"/>
    <w:semiHidden/>
    <w:unhideWhenUsed/>
    <w:rsid w:val="00FC5BD5"/>
    <w:rPr>
      <w:color w:val="605E5C"/>
      <w:shd w:val="clear" w:color="auto" w:fill="E1DFDD"/>
    </w:rPr>
  </w:style>
  <w:style w:type="character" w:styleId="CommentReference">
    <w:name w:val="annotation reference"/>
    <w:basedOn w:val="DefaultParagraphFont"/>
    <w:semiHidden/>
    <w:unhideWhenUsed/>
    <w:rsid w:val="00E857C5"/>
    <w:rPr>
      <w:sz w:val="16"/>
      <w:szCs w:val="16"/>
    </w:rPr>
  </w:style>
  <w:style w:type="paragraph" w:styleId="CommentText">
    <w:name w:val="annotation text"/>
    <w:basedOn w:val="Normal"/>
    <w:link w:val="CommentTextChar"/>
    <w:semiHidden/>
    <w:unhideWhenUsed/>
    <w:rsid w:val="00E857C5"/>
    <w:rPr>
      <w:sz w:val="20"/>
      <w:szCs w:val="20"/>
    </w:rPr>
  </w:style>
  <w:style w:type="character" w:customStyle="1" w:styleId="CommentTextChar">
    <w:name w:val="Comment Text Char"/>
    <w:basedOn w:val="DefaultParagraphFont"/>
    <w:link w:val="CommentText"/>
    <w:semiHidden/>
    <w:rsid w:val="00E857C5"/>
  </w:style>
  <w:style w:type="paragraph" w:styleId="CommentSubject">
    <w:name w:val="annotation subject"/>
    <w:basedOn w:val="CommentText"/>
    <w:next w:val="CommentText"/>
    <w:link w:val="CommentSubjectChar"/>
    <w:semiHidden/>
    <w:unhideWhenUsed/>
    <w:rsid w:val="00E857C5"/>
    <w:rPr>
      <w:b/>
      <w:bCs/>
    </w:rPr>
  </w:style>
  <w:style w:type="character" w:customStyle="1" w:styleId="CommentSubjectChar">
    <w:name w:val="Comment Subject Char"/>
    <w:basedOn w:val="CommentTextChar"/>
    <w:link w:val="CommentSubject"/>
    <w:semiHidden/>
    <w:rsid w:val="00E857C5"/>
    <w:rPr>
      <w:b/>
      <w:bCs/>
    </w:rPr>
  </w:style>
  <w:style w:type="paragraph" w:customStyle="1" w:styleId="xmsonormal">
    <w:name w:val="x_msonormal"/>
    <w:basedOn w:val="Normal"/>
    <w:rsid w:val="00053B21"/>
    <w:pPr>
      <w:spacing w:before="100" w:beforeAutospacing="1" w:after="100" w:afterAutospacing="1"/>
    </w:pPr>
  </w:style>
  <w:style w:type="paragraph" w:styleId="Revision">
    <w:name w:val="Revision"/>
    <w:hidden/>
    <w:uiPriority w:val="99"/>
    <w:semiHidden/>
    <w:rsid w:val="007178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doe.mass.edu/lawsregs/603cmr54.html" TargetMode="External"/><Relationship Id="rId26" Type="http://schemas.openxmlformats.org/officeDocument/2006/relationships/hyperlink" Target="https://profiles.doe.mass.edu/general/general.aspx?topNavID=1&amp;leftNavId=100&amp;orgcode=02810000&amp;orgtypecode=5"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stiguyhigh.org/" TargetMode="External"/><Relationship Id="rId34" Type="http://schemas.openxmlformats.org/officeDocument/2006/relationships/image" Target="cid:ii_knj4u6rg1"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malegislature.gov/Laws/GeneralLaws/PartI/TitleXII/Chapter71/Section91" TargetMode="External"/><Relationship Id="rId25" Type="http://schemas.openxmlformats.org/officeDocument/2006/relationships/hyperlink" Target="https://libertyprep.springfieldpublicschools.com/" TargetMode="External"/><Relationship Id="rId33" Type="http://schemas.openxmlformats.org/officeDocument/2006/relationships/image" Target="media/image5.jpeg"/><Relationship Id="rId38" Type="http://schemas.openxmlformats.org/officeDocument/2006/relationships/image" Target="cid:ii_knj4upkn4" TargetMode="External"/><Relationship Id="rId2" Type="http://schemas.openxmlformats.org/officeDocument/2006/relationships/customXml" Target="../customXml/item2.xml"/><Relationship Id="rId16" Type="http://schemas.openxmlformats.org/officeDocument/2006/relationships/hyperlink" Target="https://budget.digital.mass.gov/summary/fy21/enacted/education/education-k-12/70619607" TargetMode="External"/><Relationship Id="rId20" Type="http://schemas.openxmlformats.org/officeDocument/2006/relationships/hyperlink" Target="https://budget.digital.mass.gov/bb/gaa/fy2019/app_19/act_19/h70619607.htm" TargetMode="External"/><Relationship Id="rId29" Type="http://schemas.openxmlformats.org/officeDocument/2006/relationships/hyperlink" Target="https://www.cmasscollaborative.org/Recovery_High_Schoo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rofiles.doe.mass.edu/profiles/general.aspx?topNavID=1&amp;orgcode=05460005&amp;orgtypecode=4" TargetMode="External"/><Relationship Id="rId32" Type="http://schemas.openxmlformats.org/officeDocument/2006/relationships/hyperlink" Target="https://profiles.doe.mass.edu/profiles/student.aspx?orgcode=00000000&amp;orgtypecode=0&amp;leftNavId=305&amp;" TargetMode="External"/><Relationship Id="rId37" Type="http://schemas.openxmlformats.org/officeDocument/2006/relationships/image" Target="media/image7.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legislature.gov/Budget/FY2021/FinalBudget" TargetMode="External"/><Relationship Id="rId23" Type="http://schemas.openxmlformats.org/officeDocument/2006/relationships/hyperlink" Target="https://www.nsedu.org/schools/northshore-recovery-high-school/" TargetMode="External"/><Relationship Id="rId28" Type="http://schemas.openxmlformats.org/officeDocument/2006/relationships/hyperlink" Target="https://profiles.doe.mass.edu/profiles/general.aspx?topNavId=9001&amp;orgcode=05440000&amp;orgtypecode=3&amp;" TargetMode="External"/><Relationship Id="rId36" Type="http://schemas.openxmlformats.org/officeDocument/2006/relationships/image" Target="cid:ii_knj4u6rm2" TargetMode="External"/><Relationship Id="rId10" Type="http://schemas.openxmlformats.org/officeDocument/2006/relationships/endnotes" Target="endnotes.xml"/><Relationship Id="rId19" Type="http://schemas.openxmlformats.org/officeDocument/2006/relationships/hyperlink" Target="http://www.doe.mass.edu/sped/advisories/2019-1.html" TargetMode="External"/><Relationship Id="rId31" Type="http://schemas.openxmlformats.org/officeDocument/2006/relationships/hyperlink" Target="mailto:Acheivement@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graham@mass.govedu" TargetMode="External"/><Relationship Id="rId22" Type="http://schemas.openxmlformats.org/officeDocument/2006/relationships/hyperlink" Target="https://profiles.doe.mass.edu/general/general.aspx?topNavID=1&amp;leftNavId=100&amp;orgcode=00350000&amp;orgtypecode=5" TargetMode="External"/><Relationship Id="rId27" Type="http://schemas.openxmlformats.org/officeDocument/2006/relationships/hyperlink" Target="http://iarecoveryhs.org/" TargetMode="External"/><Relationship Id="rId30" Type="http://schemas.openxmlformats.org/officeDocument/2006/relationships/hyperlink" Target="https://profiles.doe.mass.edu/profiles/general.aspx?topNavId=9001&amp;orgcode=05180000&amp;orgtypecode=3&amp;" TargetMode="External"/><Relationship Id="rId35"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ham\Downloads\UPDATED%202021%20Legislative%20Report%20Template%20M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16AD0B87B144592FAC5CFBFB7993A" ma:contentTypeVersion="4" ma:contentTypeDescription="Create a new document." ma:contentTypeScope="" ma:versionID="b17ed968eda4d3262a6d829a78f93158">
  <xsd:schema xmlns:xsd="http://www.w3.org/2001/XMLSchema" xmlns:xs="http://www.w3.org/2001/XMLSchema" xmlns:p="http://schemas.microsoft.com/office/2006/metadata/properties" xmlns:ns2="ec710b58-47a0-4465-ab00-b9120c73393c" xmlns:ns3="7a12eb2f-f040-4639-9fb2-5a6588dc8035" targetNamespace="http://schemas.microsoft.com/office/2006/metadata/properties" ma:root="true" ma:fieldsID="5e4705d44e8d4aec401ea888c5b450e6" ns2:_="" ns3:_="">
    <xsd:import namespace="ec710b58-47a0-4465-ab00-b9120c73393c"/>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10b58-47a0-4465-ab00-b9120c733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50A1AAAB-98CF-42AE-B9ED-339C1DA71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10b58-47a0-4465-ab00-b9120c73393c"/>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UPDATED 2021 Legislative Report Template MD (1).dotx</Template>
  <TotalTime>3</TotalTime>
  <Pages>9</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Recovery High School Legislative Report - May 2021</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High School Legislative Report - May 2021</dc:title>
  <dc:subject/>
  <dc:creator>DESE</dc:creator>
  <cp:keywords/>
  <cp:lastModifiedBy>Zou, Dong (EOE)</cp:lastModifiedBy>
  <cp:revision>5</cp:revision>
  <cp:lastPrinted>2020-02-05T22:27:00Z</cp:lastPrinted>
  <dcterms:created xsi:type="dcterms:W3CDTF">2023-01-06T21:35:00Z</dcterms:created>
  <dcterms:modified xsi:type="dcterms:W3CDTF">2023-01-06T21:54:00Z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2023 12:00AM</vt:lpwstr>
  </property>
</Properties>
</file>