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30" w:type="dxa"/>
        <w:tblInd w:w="810" w:type="dxa"/>
        <w:tblLayout w:type="fixed"/>
        <w:tblCellMar>
          <w:left w:w="115" w:type="dxa"/>
          <w:right w:w="115" w:type="dxa"/>
        </w:tblCellMar>
        <w:tblLook w:val="00A0" w:firstRow="1" w:lastRow="0" w:firstColumn="1" w:lastColumn="0" w:noHBand="0" w:noVBand="0"/>
      </w:tblPr>
      <w:tblGrid>
        <w:gridCol w:w="3990"/>
        <w:gridCol w:w="4740"/>
      </w:tblGrid>
      <w:tr w:rsidR="005F037D" w14:paraId="54F85DB0" w14:textId="77777777" w:rsidTr="00323CFA">
        <w:trPr>
          <w:trHeight w:val="5040"/>
        </w:trPr>
        <w:tc>
          <w:tcPr>
            <w:tcW w:w="8730" w:type="dxa"/>
            <w:gridSpan w:val="2"/>
          </w:tcPr>
          <w:p w14:paraId="78F4734E" w14:textId="54ED39E4" w:rsidR="005F037D" w:rsidRDefault="005F037D" w:rsidP="00CE1085"/>
        </w:tc>
      </w:tr>
      <w:tr w:rsidR="005F037D" w14:paraId="05DE1F20" w14:textId="77777777" w:rsidTr="00323CFA">
        <w:trPr>
          <w:cantSplit/>
          <w:trHeight w:val="200"/>
        </w:trPr>
        <w:tc>
          <w:tcPr>
            <w:tcW w:w="3990" w:type="dxa"/>
            <w:vMerge w:val="restart"/>
            <w:vAlign w:val="bottom"/>
          </w:tcPr>
          <w:p w14:paraId="572F0792" w14:textId="77777777" w:rsidR="005F037D" w:rsidRPr="00274356" w:rsidRDefault="005F037D" w:rsidP="00EF7FBC">
            <w:pPr>
              <w:pStyle w:val="arial9"/>
            </w:pPr>
          </w:p>
        </w:tc>
        <w:tc>
          <w:tcPr>
            <w:tcW w:w="4740" w:type="dxa"/>
            <w:vAlign w:val="bottom"/>
          </w:tcPr>
          <w:p w14:paraId="424255B0" w14:textId="7239C96F" w:rsidR="005F037D" w:rsidRPr="009A5EBB" w:rsidRDefault="00207D58" w:rsidP="00F66EB7">
            <w:pPr>
              <w:pStyle w:val="ESEReportName"/>
              <w:rPr>
                <w:rFonts w:ascii="Times New Roman" w:hAnsi="Times New Roman"/>
                <w:sz w:val="40"/>
                <w:szCs w:val="40"/>
              </w:rPr>
            </w:pPr>
            <w:r>
              <w:rPr>
                <w:rStyle w:val="normaltextrun"/>
                <w:rFonts w:cs="Arial"/>
                <w:b w:val="0"/>
                <w:bCs/>
                <w:sz w:val="32"/>
                <w:szCs w:val="32"/>
                <w:bdr w:val="none" w:sz="0" w:space="0" w:color="auto" w:frame="1"/>
              </w:rPr>
              <w:t>Annual Report on Students with Disabilities</w:t>
            </w:r>
            <w:r w:rsidR="00A426DB">
              <w:rPr>
                <w:rStyle w:val="normaltextrun"/>
                <w:rFonts w:cs="Arial"/>
                <w:b w:val="0"/>
                <w:bCs/>
                <w:sz w:val="32"/>
                <w:szCs w:val="32"/>
                <w:bdr w:val="none" w:sz="0" w:space="0" w:color="auto" w:frame="1"/>
              </w:rPr>
              <w:t xml:space="preserve"> </w:t>
            </w:r>
            <w:r w:rsidR="004F593A">
              <w:rPr>
                <w:rStyle w:val="normaltextrun"/>
                <w:rFonts w:cs="Arial"/>
                <w:b w:val="0"/>
                <w:bCs/>
                <w:sz w:val="32"/>
                <w:szCs w:val="32"/>
                <w:bdr w:val="none" w:sz="0" w:space="0" w:color="auto" w:frame="1"/>
              </w:rPr>
              <w:t>2019-2020</w:t>
            </w:r>
          </w:p>
        </w:tc>
      </w:tr>
      <w:tr w:rsidR="005F037D" w14:paraId="1DBE6540" w14:textId="77777777" w:rsidTr="00323CFA">
        <w:trPr>
          <w:cantSplit/>
          <w:trHeight w:val="240"/>
        </w:trPr>
        <w:tc>
          <w:tcPr>
            <w:tcW w:w="3990" w:type="dxa"/>
            <w:vMerge/>
            <w:vAlign w:val="bottom"/>
          </w:tcPr>
          <w:p w14:paraId="355CCE77" w14:textId="77777777" w:rsidR="005F037D" w:rsidRDefault="005F037D">
            <w:pPr>
              <w:spacing w:line="400" w:lineRule="exact"/>
              <w:rPr>
                <w:rFonts w:ascii="Arial" w:hAnsi="Arial"/>
                <w:color w:val="000000"/>
              </w:rPr>
            </w:pPr>
          </w:p>
        </w:tc>
        <w:tc>
          <w:tcPr>
            <w:tcW w:w="4740" w:type="dxa"/>
          </w:tcPr>
          <w:p w14:paraId="44697BC7" w14:textId="77777777" w:rsidR="005F037D" w:rsidRPr="00EB1F6F" w:rsidRDefault="00BB4EBF" w:rsidP="00323CFA">
            <w:pPr>
              <w:ind w:right="-320"/>
            </w:pPr>
            <w:r>
              <w:pict w14:anchorId="6E4EE7D6">
                <v:rect id="_x0000_i1025" style="width:0;height:1.5pt" o:hrstd="t" o:hr="t" fillcolor="#aaa" stroked="f"/>
              </w:pict>
            </w:r>
          </w:p>
        </w:tc>
      </w:tr>
      <w:tr w:rsidR="005F037D" w14:paraId="2378F646" w14:textId="77777777" w:rsidTr="00323CFA">
        <w:trPr>
          <w:cantSplit/>
          <w:trHeight w:val="760"/>
        </w:trPr>
        <w:tc>
          <w:tcPr>
            <w:tcW w:w="3990" w:type="dxa"/>
            <w:vMerge/>
            <w:vAlign w:val="bottom"/>
          </w:tcPr>
          <w:p w14:paraId="2C3F0791" w14:textId="77777777" w:rsidR="005F037D" w:rsidRDefault="005F037D">
            <w:pPr>
              <w:spacing w:line="400" w:lineRule="exact"/>
              <w:rPr>
                <w:rFonts w:ascii="Arial" w:hAnsi="Arial"/>
                <w:color w:val="000000"/>
              </w:rPr>
            </w:pPr>
          </w:p>
        </w:tc>
        <w:tc>
          <w:tcPr>
            <w:tcW w:w="4740" w:type="dxa"/>
          </w:tcPr>
          <w:p w14:paraId="09120BD0" w14:textId="2E8332C9" w:rsidR="00F66EB7" w:rsidRPr="009A5EBB" w:rsidRDefault="00EF7FBC" w:rsidP="00EB1F6F">
            <w:pPr>
              <w:pStyle w:val="arial9"/>
              <w:rPr>
                <w:rFonts w:ascii="Times New Roman" w:hAnsi="Times New Roman"/>
                <w:sz w:val="20"/>
                <w:szCs w:val="20"/>
              </w:rPr>
            </w:pPr>
            <w:r>
              <w:rPr>
                <w:rFonts w:ascii="Times New Roman" w:hAnsi="Times New Roman"/>
                <w:sz w:val="20"/>
                <w:szCs w:val="20"/>
              </w:rPr>
              <w:t xml:space="preserve">Pursuant to </w:t>
            </w:r>
            <w:r w:rsidR="00FD0E2A" w:rsidRPr="00EF7FBC">
              <w:rPr>
                <w:rFonts w:ascii="Times New Roman" w:hAnsi="Times New Roman"/>
                <w:sz w:val="20"/>
                <w:szCs w:val="20"/>
              </w:rPr>
              <w:t>Section 432 Chapter 159 Acts of</w:t>
            </w:r>
            <w:r w:rsidR="00FD0E2A" w:rsidRPr="00323CFA">
              <w:rPr>
                <w:rStyle w:val="normaltextrun"/>
                <w:rFonts w:cs="Arial"/>
                <w:color w:val="000000"/>
                <w:sz w:val="32"/>
                <w:szCs w:val="32"/>
                <w:shd w:val="clear" w:color="auto" w:fill="FFFFFF"/>
              </w:rPr>
              <w:t xml:space="preserve"> </w:t>
            </w:r>
            <w:r w:rsidR="00FD0E2A" w:rsidRPr="00323CFA">
              <w:rPr>
                <w:rFonts w:ascii="Times New Roman" w:hAnsi="Times New Roman"/>
                <w:sz w:val="20"/>
                <w:szCs w:val="20"/>
              </w:rPr>
              <w:t>2000</w:t>
            </w:r>
            <w:r w:rsidR="00FD0E2A" w:rsidRPr="00EF7FBC">
              <w:rPr>
                <w:rFonts w:ascii="Times New Roman" w:hAnsi="Times New Roman"/>
                <w:sz w:val="20"/>
                <w:szCs w:val="20"/>
              </w:rPr>
              <w:t> </w:t>
            </w:r>
          </w:p>
          <w:p w14:paraId="145BDEA4" w14:textId="1A2C90A7" w:rsidR="005F037D" w:rsidRPr="009A5EBB" w:rsidRDefault="005F037D" w:rsidP="00EB1F6F">
            <w:pPr>
              <w:pStyle w:val="arial9"/>
              <w:rPr>
                <w:rFonts w:ascii="Times New Roman" w:hAnsi="Times New Roman"/>
                <w:sz w:val="20"/>
                <w:szCs w:val="20"/>
              </w:rPr>
            </w:pPr>
          </w:p>
        </w:tc>
      </w:tr>
      <w:tr w:rsidR="005F037D" w14:paraId="567BE19C" w14:textId="77777777" w:rsidTr="00323CFA">
        <w:trPr>
          <w:cantSplit/>
          <w:trHeight w:val="6246"/>
        </w:trPr>
        <w:tc>
          <w:tcPr>
            <w:tcW w:w="3990" w:type="dxa"/>
            <w:vMerge/>
            <w:vAlign w:val="bottom"/>
          </w:tcPr>
          <w:p w14:paraId="728C93D9" w14:textId="77777777" w:rsidR="005F037D" w:rsidRDefault="005F037D">
            <w:pPr>
              <w:spacing w:line="400" w:lineRule="exact"/>
              <w:rPr>
                <w:rFonts w:ascii="Arial" w:hAnsi="Arial"/>
                <w:color w:val="000000"/>
              </w:rPr>
            </w:pPr>
          </w:p>
        </w:tc>
        <w:tc>
          <w:tcPr>
            <w:tcW w:w="4740" w:type="dxa"/>
            <w:vAlign w:val="bottom"/>
          </w:tcPr>
          <w:p w14:paraId="1610E36C" w14:textId="77777777" w:rsidR="005F037D" w:rsidRPr="009A5EBB" w:rsidRDefault="005F037D" w:rsidP="004E0CA6">
            <w:pPr>
              <w:pStyle w:val="AgencyTitle"/>
              <w:rPr>
                <w:rFonts w:ascii="Times New Roman" w:hAnsi="Times New Roman"/>
                <w:sz w:val="20"/>
                <w:szCs w:val="20"/>
              </w:rPr>
            </w:pPr>
            <w:r w:rsidRPr="009A5EBB">
              <w:rPr>
                <w:rFonts w:ascii="Times New Roman" w:hAnsi="Times New Roman"/>
                <w:sz w:val="20"/>
                <w:szCs w:val="20"/>
              </w:rPr>
              <w:t xml:space="preserve">Massachusetts Department of </w:t>
            </w:r>
            <w:r w:rsidR="00440BAB" w:rsidRPr="009A5EBB">
              <w:rPr>
                <w:rFonts w:ascii="Times New Roman" w:hAnsi="Times New Roman"/>
                <w:sz w:val="20"/>
                <w:szCs w:val="20"/>
              </w:rPr>
              <w:t xml:space="preserve">Elementary and Secondary </w:t>
            </w:r>
            <w:r w:rsidRPr="009A5EBB">
              <w:rPr>
                <w:rFonts w:ascii="Times New Roman" w:hAnsi="Times New Roman"/>
                <w:sz w:val="20"/>
                <w:szCs w:val="20"/>
              </w:rPr>
              <w:t>Education</w:t>
            </w:r>
          </w:p>
          <w:p w14:paraId="20F155D1" w14:textId="77777777" w:rsidR="005F037D" w:rsidRPr="009A5EBB" w:rsidRDefault="005152E7" w:rsidP="00EB1F6F">
            <w:pPr>
              <w:pStyle w:val="arial9"/>
              <w:rPr>
                <w:rFonts w:ascii="Times New Roman" w:hAnsi="Times New Roman"/>
                <w:snapToGrid w:val="0"/>
                <w:sz w:val="20"/>
                <w:szCs w:val="20"/>
              </w:rPr>
            </w:pPr>
            <w:r w:rsidRPr="009A5EBB">
              <w:rPr>
                <w:rFonts w:ascii="Times New Roman" w:hAnsi="Times New Roman"/>
                <w:snapToGrid w:val="0"/>
                <w:sz w:val="20"/>
                <w:szCs w:val="20"/>
              </w:rPr>
              <w:t>75 Pleasant</w:t>
            </w:r>
            <w:r w:rsidR="005F037D" w:rsidRPr="009A5EBB">
              <w:rPr>
                <w:rFonts w:ascii="Times New Roman" w:hAnsi="Times New Roman"/>
                <w:snapToGrid w:val="0"/>
                <w:sz w:val="20"/>
                <w:szCs w:val="20"/>
              </w:rPr>
              <w:t xml:space="preserve"> Street, Malden, MA 02148</w:t>
            </w:r>
            <w:r w:rsidR="00740C0D" w:rsidRPr="009A5EBB">
              <w:rPr>
                <w:rFonts w:ascii="Times New Roman" w:hAnsi="Times New Roman"/>
                <w:snapToGrid w:val="0"/>
                <w:sz w:val="20"/>
                <w:szCs w:val="20"/>
              </w:rPr>
              <w:t>-4906</w:t>
            </w:r>
          </w:p>
          <w:p w14:paraId="6575F383" w14:textId="77777777" w:rsidR="0020780F" w:rsidRPr="009A5EBB" w:rsidRDefault="0020780F" w:rsidP="00EB1F6F">
            <w:pPr>
              <w:pStyle w:val="arial9"/>
              <w:rPr>
                <w:rFonts w:ascii="Times New Roman" w:hAnsi="Times New Roman"/>
                <w:snapToGrid w:val="0"/>
                <w:sz w:val="20"/>
                <w:szCs w:val="20"/>
              </w:rPr>
            </w:pPr>
            <w:r w:rsidRPr="009A5EBB">
              <w:rPr>
                <w:rFonts w:ascii="Times New Roman" w:hAnsi="Times New Roman"/>
                <w:snapToGrid w:val="0"/>
                <w:sz w:val="20"/>
                <w:szCs w:val="20"/>
              </w:rPr>
              <w:t xml:space="preserve">Phone </w:t>
            </w:r>
            <w:r w:rsidR="005F037D" w:rsidRPr="009A5EBB">
              <w:rPr>
                <w:rFonts w:ascii="Times New Roman" w:hAnsi="Times New Roman"/>
                <w:snapToGrid w:val="0"/>
                <w:sz w:val="20"/>
                <w:szCs w:val="20"/>
              </w:rPr>
              <w:t xml:space="preserve">781-338-3000  </w:t>
            </w:r>
            <w:r w:rsidRPr="009A5EBB">
              <w:rPr>
                <w:rFonts w:ascii="Times New Roman" w:hAnsi="Times New Roman"/>
                <w:snapToGrid w:val="0"/>
                <w:sz w:val="20"/>
                <w:szCs w:val="20"/>
              </w:rPr>
              <w:t>TTY: N.E.T. Relay 800-439-2370</w:t>
            </w:r>
          </w:p>
          <w:p w14:paraId="790BD874" w14:textId="77777777" w:rsidR="005F037D" w:rsidRDefault="005F037D" w:rsidP="00EB1F6F">
            <w:pPr>
              <w:pStyle w:val="arial9"/>
            </w:pPr>
            <w:r w:rsidRPr="009A5EBB">
              <w:rPr>
                <w:rFonts w:ascii="Times New Roman" w:hAnsi="Times New Roman"/>
                <w:snapToGrid w:val="0"/>
                <w:sz w:val="20"/>
                <w:szCs w:val="20"/>
              </w:rPr>
              <w:t>www.doe.mass.edu</w:t>
            </w:r>
          </w:p>
        </w:tc>
      </w:tr>
    </w:tbl>
    <w:p w14:paraId="0A93595C" w14:textId="77777777" w:rsidR="00BB2B16" w:rsidRPr="00BB2B16" w:rsidRDefault="00BB2B16" w:rsidP="00BB2B16">
      <w:pPr>
        <w:rPr>
          <w:snapToGrid w:val="0"/>
          <w:szCs w:val="20"/>
        </w:rPr>
        <w:sectPr w:rsidR="00BB2B16" w:rsidRPr="00BB2B16" w:rsidSect="004F5379">
          <w:footerReference w:type="default" r:id="rId11"/>
          <w:endnotePr>
            <w:numFmt w:val="decimal"/>
          </w:endnotePr>
          <w:type w:val="continuous"/>
          <w:pgSz w:w="12240" w:h="15840"/>
          <w:pgMar w:top="864" w:right="432" w:bottom="1440" w:left="432" w:header="1440" w:footer="1440" w:gutter="0"/>
          <w:cols w:space="720"/>
          <w:titlePg/>
          <w:docGrid w:linePitch="326"/>
        </w:sectPr>
      </w:pPr>
    </w:p>
    <w:p w14:paraId="659786A0" w14:textId="77777777" w:rsidR="00323CFA" w:rsidRDefault="00323CFA" w:rsidP="00144CB4">
      <w:pPr>
        <w:pStyle w:val="Heading1"/>
        <w:rPr>
          <w:rFonts w:ascii="Times New Roman" w:hAnsi="Times New Roman" w:cs="Times New Roman"/>
        </w:rPr>
      </w:pPr>
      <w:bookmarkStart w:id="0" w:name="_Toc143788343"/>
    </w:p>
    <w:p w14:paraId="67F305B0" w14:textId="64171BEF" w:rsidR="00144CB4" w:rsidRPr="009A5EBB" w:rsidRDefault="00144CB4" w:rsidP="00144CB4">
      <w:pPr>
        <w:pStyle w:val="Heading1"/>
        <w:rPr>
          <w:rFonts w:ascii="Times New Roman" w:hAnsi="Times New Roman" w:cs="Times New Roman"/>
        </w:rPr>
      </w:pPr>
      <w:r w:rsidRPr="009A5EBB">
        <w:rPr>
          <w:rFonts w:ascii="Times New Roman" w:hAnsi="Times New Roman" w:cs="Times New Roman"/>
        </w:rPr>
        <w:t>Introduction</w:t>
      </w:r>
      <w:bookmarkEnd w:id="0"/>
    </w:p>
    <w:p w14:paraId="712E145D" w14:textId="77777777" w:rsidR="00144CB4" w:rsidRDefault="00144CB4" w:rsidP="00144CB4"/>
    <w:p w14:paraId="252AFFE8" w14:textId="08CB6130" w:rsidR="0040648B" w:rsidRPr="001617CE" w:rsidRDefault="0040648B" w:rsidP="0040648B">
      <w:pPr>
        <w:pStyle w:val="paragraph"/>
        <w:spacing w:before="0" w:beforeAutospacing="0" w:after="0" w:afterAutospacing="0"/>
        <w:textAlignment w:val="baseline"/>
      </w:pPr>
      <w:r w:rsidRPr="001617CE">
        <w:rPr>
          <w:rStyle w:val="normaltextrun"/>
        </w:rPr>
        <w:t>The Department of Elementary and Secondary Education (“the Department” or “ESE”) respectfully submits this Report to the Legislature for</w:t>
      </w:r>
      <w:r w:rsidR="00323CFA">
        <w:rPr>
          <w:rStyle w:val="normaltextrun"/>
        </w:rPr>
        <w:t xml:space="preserve"> fiscal year 2020 </w:t>
      </w:r>
      <w:r w:rsidRPr="001617CE">
        <w:rPr>
          <w:rStyle w:val="normaltextrun"/>
        </w:rPr>
        <w:t xml:space="preserve">pursuant to Chapter 159 of the Acts of 2000, Section 432, which reads in relevant part: </w:t>
      </w:r>
      <w:r w:rsidRPr="001617CE">
        <w:rPr>
          <w:rStyle w:val="tabchar"/>
        </w:rPr>
        <w:tab/>
      </w:r>
      <w:r w:rsidRPr="001617CE">
        <w:rPr>
          <w:rStyle w:val="eop"/>
        </w:rPr>
        <w:t> </w:t>
      </w:r>
    </w:p>
    <w:p w14:paraId="7DA83414" w14:textId="77777777" w:rsidR="0040648B" w:rsidRPr="001617CE" w:rsidRDefault="0040648B" w:rsidP="0040648B">
      <w:pPr>
        <w:pStyle w:val="paragraph"/>
        <w:spacing w:before="0" w:beforeAutospacing="0" w:after="0" w:afterAutospacing="0"/>
        <w:textAlignment w:val="baseline"/>
      </w:pPr>
      <w:r w:rsidRPr="001617CE">
        <w:rPr>
          <w:rStyle w:val="eop"/>
        </w:rPr>
        <w:t> </w:t>
      </w:r>
    </w:p>
    <w:p w14:paraId="38E2EA70" w14:textId="77777777" w:rsidR="0040648B" w:rsidRPr="001617CE" w:rsidRDefault="0040648B" w:rsidP="0040648B">
      <w:pPr>
        <w:pStyle w:val="paragraph"/>
        <w:spacing w:before="0" w:beforeAutospacing="0" w:after="0" w:afterAutospacing="0"/>
        <w:textAlignment w:val="baseline"/>
      </w:pPr>
      <w:r w:rsidRPr="001617CE">
        <w:rPr>
          <w:rStyle w:val="normaltextrun"/>
          <w:i/>
          <w:iCs/>
        </w:rPr>
        <w:t>Section 432. The department of education shall annually, on or before November 1, report to the General Court on the implementation of the provisions of this act. Such report shall include a description on the progress made by school districts in implementing the federal standard, cost increases or savings in cities and towns, the degree of success in providing students with special services within the district or the commonwealth, the extent of the development of education collaboratives to provide necessary services, the increase or decrease of the number of students served, federal non-compliance issues and other matters as said department deems appropriate. Such report shall be filed with the Clerks of the House and Senate who shall forward the same to the joint committee on education, arts and humanities and the house and senate committees on ways and means. The joint committee on education, arts and humanities shall hold an oversight hearing to review implementation of the provisions of this act, including but not limited to the issues raised in the department’s report.</w:t>
      </w:r>
      <w:r w:rsidRPr="001617CE">
        <w:rPr>
          <w:rStyle w:val="eop"/>
        </w:rPr>
        <w:t> </w:t>
      </w:r>
    </w:p>
    <w:p w14:paraId="419DE046" w14:textId="47FF1289" w:rsidR="00144CB4" w:rsidRDefault="00144CB4" w:rsidP="00144CB4"/>
    <w:p w14:paraId="0216A75E" w14:textId="591D120D" w:rsidR="005B6C69" w:rsidRPr="004A5B05" w:rsidRDefault="005B6C69" w:rsidP="005B6C69">
      <w:pPr>
        <w:pStyle w:val="paragraph"/>
        <w:spacing w:before="0" w:beforeAutospacing="0" w:after="0" w:afterAutospacing="0"/>
        <w:textAlignment w:val="baseline"/>
      </w:pPr>
      <w:r w:rsidRPr="00323CFA">
        <w:rPr>
          <w:rStyle w:val="normaltextrun"/>
          <w:color w:val="000000" w:themeColor="text1"/>
          <w:shd w:val="clear" w:color="auto" w:fill="FFFFFF"/>
        </w:rPr>
        <w:t>T</w:t>
      </w:r>
      <w:r w:rsidRPr="00323CFA">
        <w:rPr>
          <w:color w:val="000000" w:themeColor="text1"/>
        </w:rPr>
        <w:t>he Department also makes publicly available on its website extensive information relating to special education services, including but not limited to much of the data relied upon for this report. For more information, please visit</w:t>
      </w:r>
      <w:r w:rsidRPr="004A5B05">
        <w:rPr>
          <w:color w:val="000000" w:themeColor="text1"/>
        </w:rPr>
        <w:t xml:space="preserve">: </w:t>
      </w:r>
      <w:hyperlink r:id="rId12" w:tgtFrame="_blank" w:history="1">
        <w:r w:rsidRPr="004A5B05">
          <w:rPr>
            <w:rStyle w:val="normaltextrun"/>
            <w:color w:val="0000FF"/>
          </w:rPr>
          <w:t>https://www.doe.mass.edu/sped/</w:t>
        </w:r>
      </w:hyperlink>
      <w:r w:rsidRPr="004A5B05">
        <w:rPr>
          <w:rStyle w:val="normaltextrun"/>
          <w:color w:val="D13438"/>
          <w:shd w:val="clear" w:color="auto" w:fill="FFFFFF"/>
        </w:rPr>
        <w:t xml:space="preserve"> </w:t>
      </w:r>
      <w:r w:rsidRPr="004A5B05">
        <w:rPr>
          <w:rStyle w:val="normaltextrun"/>
          <w:color w:val="000000" w:themeColor="text1"/>
          <w:shd w:val="clear" w:color="auto" w:fill="FFFFFF"/>
        </w:rPr>
        <w:t xml:space="preserve">and </w:t>
      </w:r>
      <w:hyperlink r:id="rId13" w:history="1">
        <w:r w:rsidRPr="004A5B05">
          <w:rPr>
            <w:rStyle w:val="Hyperlink"/>
            <w:u w:val="none"/>
          </w:rPr>
          <w:t>https://profiles.doe.mass.edu</w:t>
        </w:r>
      </w:hyperlink>
      <w:r w:rsidRPr="004A5B05">
        <w:rPr>
          <w:rStyle w:val="normaltextrun"/>
        </w:rPr>
        <w:t>.</w:t>
      </w:r>
    </w:p>
    <w:p w14:paraId="1E99AF2E" w14:textId="5387E648" w:rsidR="00144CB4" w:rsidRPr="004C0232" w:rsidRDefault="00F83037" w:rsidP="004C0232">
      <w:pPr>
        <w:pStyle w:val="Heading1"/>
        <w:rPr>
          <w:rFonts w:ascii="Times New Roman" w:hAnsi="Times New Roman" w:cs="Times New Roman"/>
        </w:rPr>
      </w:pPr>
      <w:r w:rsidRPr="004C0232">
        <w:rPr>
          <w:rFonts w:ascii="Times New Roman" w:hAnsi="Times New Roman" w:cs="Times New Roman"/>
        </w:rPr>
        <w:t>Reported Progress and Degree of Success</w:t>
      </w:r>
    </w:p>
    <w:p w14:paraId="4E2C2C0A" w14:textId="77777777" w:rsidR="00AF2F35" w:rsidRPr="00077A68" w:rsidRDefault="00AF2F35" w:rsidP="00AF2F35">
      <w:pPr>
        <w:pStyle w:val="paragraph"/>
        <w:shd w:val="clear" w:color="auto" w:fill="FFFFFF"/>
        <w:spacing w:before="0" w:beforeAutospacing="0" w:after="0" w:afterAutospacing="0"/>
        <w:textAlignment w:val="baseline"/>
        <w:rPr>
          <w:color w:val="000000" w:themeColor="text1"/>
        </w:rPr>
      </w:pPr>
      <w:r w:rsidRPr="00077A68">
        <w:rPr>
          <w:rStyle w:val="normaltextrun"/>
          <w:color w:val="000000" w:themeColor="text1"/>
        </w:rPr>
        <w:t>Under the Individuals with Disabilities Education Act (IDEA), each state is required to submit a state performance plan/annual performance report (SPP/APR) to the federal government.</w:t>
      </w:r>
      <w:r w:rsidRPr="00077A68">
        <w:rPr>
          <w:rStyle w:val="eop"/>
          <w:color w:val="000000" w:themeColor="text1"/>
        </w:rPr>
        <w:t> </w:t>
      </w:r>
    </w:p>
    <w:p w14:paraId="0FA25301" w14:textId="77777777" w:rsidR="00AF2F35" w:rsidRPr="00077A68" w:rsidRDefault="00AF2F35" w:rsidP="00AF2F35">
      <w:pPr>
        <w:pStyle w:val="paragraph"/>
        <w:shd w:val="clear" w:color="auto" w:fill="FFFFFF"/>
        <w:spacing w:before="0" w:beforeAutospacing="0" w:after="0" w:afterAutospacing="0"/>
        <w:textAlignment w:val="baseline"/>
        <w:rPr>
          <w:color w:val="000000" w:themeColor="text1"/>
        </w:rPr>
      </w:pPr>
      <w:r w:rsidRPr="00077A68">
        <w:rPr>
          <w:rStyle w:val="normaltextrun"/>
          <w:color w:val="000000" w:themeColor="text1"/>
        </w:rPr>
        <w:t> </w:t>
      </w:r>
      <w:r w:rsidRPr="00077A68">
        <w:rPr>
          <w:rStyle w:val="eop"/>
          <w:color w:val="000000" w:themeColor="text1"/>
        </w:rPr>
        <w:t> </w:t>
      </w:r>
    </w:p>
    <w:p w14:paraId="6156F8E5" w14:textId="77777777" w:rsidR="00AF2F35" w:rsidRPr="00077A68" w:rsidRDefault="00AF2F35" w:rsidP="00AF2F35">
      <w:pPr>
        <w:pStyle w:val="paragraph"/>
        <w:shd w:val="clear" w:color="auto" w:fill="FFFFFF"/>
        <w:spacing w:before="0" w:beforeAutospacing="0" w:after="0" w:afterAutospacing="0"/>
        <w:textAlignment w:val="baseline"/>
        <w:rPr>
          <w:color w:val="000000" w:themeColor="text1"/>
        </w:rPr>
      </w:pPr>
      <w:r w:rsidRPr="00077A68">
        <w:rPr>
          <w:rStyle w:val="normaltextrun"/>
          <w:color w:val="000000" w:themeColor="text1"/>
        </w:rPr>
        <w:t>This SPP/APR explains how the state is working to meet IDEA's requirements. SPP/APRs include:</w:t>
      </w:r>
      <w:r w:rsidRPr="00077A68">
        <w:rPr>
          <w:rStyle w:val="eop"/>
          <w:color w:val="000000" w:themeColor="text1"/>
        </w:rPr>
        <w:t> </w:t>
      </w:r>
    </w:p>
    <w:p w14:paraId="6097577C" w14:textId="01647B0E" w:rsidR="00AF2F35" w:rsidRPr="00077A68" w:rsidRDefault="00AF2F35" w:rsidP="00B73919">
      <w:pPr>
        <w:pStyle w:val="paragraph"/>
        <w:numPr>
          <w:ilvl w:val="0"/>
          <w:numId w:val="7"/>
        </w:numPr>
        <w:shd w:val="clear" w:color="auto" w:fill="FFFFFF"/>
        <w:spacing w:before="0" w:beforeAutospacing="0" w:after="0" w:afterAutospacing="0"/>
        <w:ind w:left="1080" w:firstLine="0"/>
        <w:textAlignment w:val="baseline"/>
        <w:rPr>
          <w:color w:val="000000" w:themeColor="text1"/>
        </w:rPr>
      </w:pPr>
      <w:r w:rsidRPr="00077A68">
        <w:rPr>
          <w:rStyle w:val="normaltextrun"/>
          <w:color w:val="000000" w:themeColor="text1"/>
        </w:rPr>
        <w:t xml:space="preserve">Indicators that measure child and family outcomes. These are called "Performance </w:t>
      </w:r>
      <w:r w:rsidRPr="00077A68">
        <w:rPr>
          <w:rStyle w:val="normaltextrun"/>
          <w:color w:val="000000" w:themeColor="text1"/>
        </w:rPr>
        <w:tab/>
        <w:t>Indicators." There are eight Performance Indicators.</w:t>
      </w:r>
      <w:r w:rsidRPr="00077A68">
        <w:rPr>
          <w:rStyle w:val="eop"/>
          <w:color w:val="000000" w:themeColor="text1"/>
        </w:rPr>
        <w:t> </w:t>
      </w:r>
    </w:p>
    <w:p w14:paraId="29041846" w14:textId="06D16A8F" w:rsidR="00AF2F35" w:rsidRPr="00077A68" w:rsidRDefault="00AF2F35" w:rsidP="00B73919">
      <w:pPr>
        <w:pStyle w:val="paragraph"/>
        <w:numPr>
          <w:ilvl w:val="0"/>
          <w:numId w:val="7"/>
        </w:numPr>
        <w:shd w:val="clear" w:color="auto" w:fill="FFFFFF"/>
        <w:spacing w:before="0" w:beforeAutospacing="0" w:after="0" w:afterAutospacing="0"/>
        <w:ind w:left="1080" w:firstLine="0"/>
        <w:textAlignment w:val="baseline"/>
        <w:rPr>
          <w:rStyle w:val="eop"/>
          <w:color w:val="000000" w:themeColor="text1"/>
        </w:rPr>
      </w:pPr>
      <w:r w:rsidRPr="00077A68">
        <w:rPr>
          <w:rStyle w:val="normaltextrun"/>
          <w:color w:val="000000" w:themeColor="text1"/>
        </w:rPr>
        <w:t xml:space="preserve">Indicators that measure compliance with IDEA. These are called "Compliance </w:t>
      </w:r>
      <w:r w:rsidRPr="00077A68">
        <w:rPr>
          <w:rStyle w:val="normaltextrun"/>
          <w:color w:val="000000" w:themeColor="text1"/>
        </w:rPr>
        <w:tab/>
        <w:t>Indicators." There are nine Compliance Indicators.</w:t>
      </w:r>
      <w:r w:rsidRPr="00077A68">
        <w:rPr>
          <w:rStyle w:val="eop"/>
          <w:color w:val="000000" w:themeColor="text1"/>
        </w:rPr>
        <w:t> </w:t>
      </w:r>
    </w:p>
    <w:p w14:paraId="10880743" w14:textId="77777777" w:rsidR="00AF2F35" w:rsidRPr="00077A68" w:rsidRDefault="00AF2F35" w:rsidP="00AF2F35">
      <w:pPr>
        <w:pStyle w:val="paragraph"/>
        <w:shd w:val="clear" w:color="auto" w:fill="FFFFFF"/>
        <w:spacing w:before="0" w:beforeAutospacing="0" w:after="0" w:afterAutospacing="0"/>
        <w:ind w:left="1080"/>
        <w:textAlignment w:val="baseline"/>
        <w:rPr>
          <w:color w:val="000000" w:themeColor="text1"/>
        </w:rPr>
      </w:pPr>
    </w:p>
    <w:p w14:paraId="21D1FB79" w14:textId="77777777" w:rsidR="000721C0" w:rsidRPr="00F87029" w:rsidRDefault="000721C0" w:rsidP="000721C0">
      <w:pPr>
        <w:pStyle w:val="paragraph"/>
        <w:shd w:val="clear" w:color="auto" w:fill="FFFFFF"/>
        <w:spacing w:before="0" w:beforeAutospacing="0" w:after="0" w:afterAutospacing="0"/>
        <w:textAlignment w:val="baseline"/>
      </w:pPr>
      <w:r w:rsidRPr="00F87029">
        <w:rPr>
          <w:rStyle w:val="normaltextrun"/>
          <w:color w:val="242424"/>
        </w:rPr>
        <w:t xml:space="preserve">The state systemic improvement plan (SSIP) is part of the SPP/APR but required a separate report until FFY2020. (FFY refers to Federal Fiscal Year.) These reports are submitted and approved by </w:t>
      </w:r>
      <w:r w:rsidRPr="00F87029">
        <w:rPr>
          <w:rStyle w:val="normaltextrun"/>
          <w:color w:val="000000"/>
        </w:rPr>
        <w:t xml:space="preserve">the Office of Special Education Programs (OSEP) </w:t>
      </w:r>
      <w:r w:rsidRPr="00F87029">
        <w:rPr>
          <w:rStyle w:val="normaltextrun"/>
          <w:color w:val="242424"/>
        </w:rPr>
        <w:t>each year.</w:t>
      </w:r>
    </w:p>
    <w:p w14:paraId="0979521E" w14:textId="77777777" w:rsidR="00AF2F35" w:rsidRPr="00AF2F35" w:rsidRDefault="00AF2F35" w:rsidP="00AF2F35">
      <w:pPr>
        <w:pStyle w:val="paragraph"/>
        <w:shd w:val="clear" w:color="auto" w:fill="FFFFFF"/>
        <w:spacing w:before="0" w:beforeAutospacing="0" w:after="0" w:afterAutospacing="0"/>
        <w:textAlignment w:val="baseline"/>
      </w:pPr>
      <w:r w:rsidRPr="00AF2F35">
        <w:rPr>
          <w:rStyle w:val="normaltextrun"/>
          <w:color w:val="000000"/>
        </w:rPr>
        <w:t> </w:t>
      </w:r>
      <w:r w:rsidRPr="00AF2F35">
        <w:rPr>
          <w:rStyle w:val="eop"/>
          <w:color w:val="000000"/>
        </w:rPr>
        <w:t> </w:t>
      </w:r>
    </w:p>
    <w:p w14:paraId="23F49504" w14:textId="77777777" w:rsidR="004A5B05" w:rsidRDefault="004A5B05">
      <w:pPr>
        <w:rPr>
          <w:rStyle w:val="normaltextrun"/>
          <w:b/>
          <w:bCs/>
          <w:color w:val="000000"/>
        </w:rPr>
      </w:pPr>
      <w:r>
        <w:rPr>
          <w:rStyle w:val="normaltextrun"/>
          <w:b/>
          <w:bCs/>
          <w:color w:val="000000"/>
        </w:rPr>
        <w:br w:type="page"/>
      </w:r>
    </w:p>
    <w:p w14:paraId="0E4FEBF8" w14:textId="2521FD06" w:rsidR="00AF2F35" w:rsidRPr="00440B89" w:rsidRDefault="00AF2F35" w:rsidP="00AF2F35">
      <w:pPr>
        <w:pStyle w:val="paragraph"/>
        <w:shd w:val="clear" w:color="auto" w:fill="FFFFFF"/>
        <w:spacing w:before="0" w:beforeAutospacing="0" w:after="0" w:afterAutospacing="0"/>
        <w:textAlignment w:val="baseline"/>
        <w:rPr>
          <w:b/>
          <w:bCs/>
        </w:rPr>
      </w:pPr>
      <w:r w:rsidRPr="00440B89">
        <w:rPr>
          <w:rStyle w:val="normaltextrun"/>
          <w:b/>
          <w:bCs/>
          <w:color w:val="000000"/>
        </w:rPr>
        <w:lastRenderedPageBreak/>
        <w:t>Massachusetts's SPP/APR Submissions:</w:t>
      </w:r>
      <w:r w:rsidRPr="00440B89">
        <w:rPr>
          <w:rStyle w:val="eop"/>
          <w:b/>
          <w:bCs/>
          <w:color w:val="000000"/>
        </w:rPr>
        <w:t> </w:t>
      </w:r>
    </w:p>
    <w:p w14:paraId="2B1C3CDF" w14:textId="77777777" w:rsidR="00AF2F35" w:rsidRPr="00AF2F35" w:rsidRDefault="00AF2F35" w:rsidP="00AF2F35">
      <w:pPr>
        <w:pStyle w:val="paragraph"/>
        <w:shd w:val="clear" w:color="auto" w:fill="FFFFFF"/>
        <w:spacing w:before="0" w:beforeAutospacing="0" w:after="0" w:afterAutospacing="0"/>
        <w:textAlignment w:val="baseline"/>
      </w:pPr>
      <w:r w:rsidRPr="00AF2F35">
        <w:rPr>
          <w:rStyle w:val="normaltextrun"/>
          <w:color w:val="000000"/>
        </w:rPr>
        <w:t> </w:t>
      </w:r>
      <w:r w:rsidRPr="00AF2F35">
        <w:rPr>
          <w:rStyle w:val="eop"/>
          <w:color w:val="000000"/>
        </w:rPr>
        <w:t> </w:t>
      </w:r>
    </w:p>
    <w:p w14:paraId="7557FE31" w14:textId="77777777" w:rsidR="00AF2F35" w:rsidRPr="00AF2F35" w:rsidRDefault="00AF2F35" w:rsidP="00AF2F35">
      <w:pPr>
        <w:pStyle w:val="paragraph"/>
        <w:shd w:val="clear" w:color="auto" w:fill="FFFFFF"/>
        <w:spacing w:before="0" w:beforeAutospacing="0" w:after="0" w:afterAutospacing="0"/>
        <w:textAlignment w:val="baseline"/>
      </w:pPr>
      <w:r w:rsidRPr="00AF2F35">
        <w:rPr>
          <w:rStyle w:val="normaltextrun"/>
          <w:color w:val="000000"/>
        </w:rPr>
        <w:t>Below you will find the most recent State Performance Plan/Annual Performance Report (SPP/APR) and the Office of Special Education Programs' (OSEP) response, including any required actions.</w:t>
      </w:r>
      <w:r w:rsidRPr="00AF2F35">
        <w:rPr>
          <w:rStyle w:val="eop"/>
          <w:color w:val="000000"/>
        </w:rPr>
        <w:t> </w:t>
      </w:r>
    </w:p>
    <w:p w14:paraId="4BBF8D12" w14:textId="5C7C45C7" w:rsidR="00AF2F35" w:rsidRPr="00AF2F35" w:rsidRDefault="00AF2F35" w:rsidP="00AF2F35">
      <w:pPr>
        <w:pStyle w:val="paragraph"/>
        <w:shd w:val="clear" w:color="auto" w:fill="FFFFFF"/>
        <w:spacing w:before="0" w:beforeAutospacing="0" w:after="0" w:afterAutospacing="0"/>
        <w:textAlignment w:val="baseline"/>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2"/>
        <w:gridCol w:w="290"/>
        <w:gridCol w:w="4582"/>
      </w:tblGrid>
      <w:tr w:rsidR="00AF2F35" w:rsidRPr="00AF2F35" w14:paraId="5016B5AF" w14:textId="77777777" w:rsidTr="00FB5AC9">
        <w:trPr>
          <w:trHeight w:val="300"/>
        </w:trPr>
        <w:tc>
          <w:tcPr>
            <w:tcW w:w="4472" w:type="dxa"/>
            <w:tcBorders>
              <w:top w:val="single" w:sz="6" w:space="0" w:color="DEE2E6"/>
              <w:left w:val="single" w:sz="6" w:space="0" w:color="DEE2E6"/>
              <w:bottom w:val="single" w:sz="12" w:space="0" w:color="DEE2E6"/>
              <w:right w:val="single" w:sz="6" w:space="0" w:color="DEE2E6"/>
            </w:tcBorders>
            <w:shd w:val="clear" w:color="auto" w:fill="auto"/>
            <w:vAlign w:val="bottom"/>
            <w:hideMark/>
          </w:tcPr>
          <w:p w14:paraId="0E93BB57" w14:textId="77777777" w:rsidR="00AF2F35" w:rsidRPr="00AF2F35" w:rsidRDefault="00AF2F35" w:rsidP="00AF2F35">
            <w:pPr>
              <w:pStyle w:val="paragraph"/>
              <w:spacing w:before="0" w:beforeAutospacing="0" w:after="0" w:afterAutospacing="0"/>
              <w:jc w:val="center"/>
              <w:textAlignment w:val="baseline"/>
            </w:pPr>
            <w:r w:rsidRPr="00AF2F35">
              <w:rPr>
                <w:rStyle w:val="normaltextrun"/>
                <w:b/>
                <w:bCs/>
                <w:color w:val="000000"/>
              </w:rPr>
              <w:t>SPP/APR Results</w:t>
            </w:r>
            <w:r w:rsidRPr="00AF2F35">
              <w:rPr>
                <w:rStyle w:val="eop"/>
                <w:color w:val="000000"/>
              </w:rPr>
              <w:t> </w:t>
            </w:r>
          </w:p>
        </w:tc>
        <w:tc>
          <w:tcPr>
            <w:tcW w:w="4872" w:type="dxa"/>
            <w:gridSpan w:val="2"/>
            <w:tcBorders>
              <w:top w:val="single" w:sz="6" w:space="0" w:color="DEE2E6"/>
              <w:left w:val="nil"/>
              <w:bottom w:val="single" w:sz="12" w:space="0" w:color="DEE2E6"/>
              <w:right w:val="single" w:sz="6" w:space="0" w:color="DEE2E6"/>
            </w:tcBorders>
            <w:shd w:val="clear" w:color="auto" w:fill="auto"/>
            <w:vAlign w:val="bottom"/>
            <w:hideMark/>
          </w:tcPr>
          <w:p w14:paraId="5486BD3D" w14:textId="77777777" w:rsidR="00AF2F35" w:rsidRPr="00AF2F35" w:rsidRDefault="00AF2F35" w:rsidP="00AF2F35">
            <w:pPr>
              <w:pStyle w:val="paragraph"/>
              <w:spacing w:before="0" w:beforeAutospacing="0" w:after="0" w:afterAutospacing="0"/>
              <w:jc w:val="center"/>
              <w:textAlignment w:val="baseline"/>
            </w:pPr>
            <w:r w:rsidRPr="00AF2F35">
              <w:rPr>
                <w:rStyle w:val="normaltextrun"/>
                <w:b/>
                <w:bCs/>
                <w:color w:val="000000"/>
              </w:rPr>
              <w:t>SSIP</w:t>
            </w:r>
            <w:r w:rsidRPr="00AF2F35">
              <w:rPr>
                <w:rStyle w:val="eop"/>
                <w:color w:val="000000"/>
              </w:rPr>
              <w:t> </w:t>
            </w:r>
          </w:p>
        </w:tc>
      </w:tr>
      <w:tr w:rsidR="00FB5AC9" w:rsidRPr="00AF2F35" w14:paraId="4483E658" w14:textId="77777777" w:rsidTr="007B7A4A">
        <w:trPr>
          <w:trHeight w:val="300"/>
        </w:trPr>
        <w:tc>
          <w:tcPr>
            <w:tcW w:w="4762" w:type="dxa"/>
            <w:gridSpan w:val="2"/>
            <w:tcBorders>
              <w:top w:val="nil"/>
              <w:left w:val="single" w:sz="6" w:space="0" w:color="DEE2E6"/>
              <w:bottom w:val="single" w:sz="6" w:space="0" w:color="DEE2E6"/>
              <w:right w:val="single" w:sz="6" w:space="0" w:color="DEE2E6"/>
            </w:tcBorders>
            <w:shd w:val="clear" w:color="auto" w:fill="auto"/>
          </w:tcPr>
          <w:p w14:paraId="414CDE03" w14:textId="77777777" w:rsidR="00FB5AC9" w:rsidRDefault="00BB4EBF" w:rsidP="00B73919">
            <w:pPr>
              <w:pStyle w:val="paragraph"/>
              <w:numPr>
                <w:ilvl w:val="0"/>
                <w:numId w:val="8"/>
              </w:numPr>
              <w:spacing w:before="0" w:beforeAutospacing="0" w:after="0" w:afterAutospacing="0"/>
              <w:jc w:val="center"/>
              <w:textAlignment w:val="baseline"/>
              <w:rPr>
                <w:color w:val="000000"/>
              </w:rPr>
            </w:pPr>
            <w:hyperlink r:id="rId14" w:history="1">
              <w:r w:rsidR="00FB5AC9" w:rsidRPr="00FB5AC9">
                <w:rPr>
                  <w:rStyle w:val="Hyperlink"/>
                  <w:color w:val="000000"/>
                </w:rPr>
                <w:t>Massachusetts SPP APR for FFY 2019 </w:t>
              </w:r>
            </w:hyperlink>
          </w:p>
          <w:p w14:paraId="1244E354" w14:textId="4AA544CA" w:rsidR="00FB5AC9" w:rsidRPr="00FB5AC9" w:rsidRDefault="00FB5AC9" w:rsidP="007B7A4A">
            <w:pPr>
              <w:pStyle w:val="paragraph"/>
              <w:spacing w:before="0" w:beforeAutospacing="0" w:after="0" w:afterAutospacing="0"/>
              <w:ind w:left="720"/>
              <w:jc w:val="center"/>
              <w:textAlignment w:val="baseline"/>
            </w:pPr>
            <w:r>
              <w:rPr>
                <w:color w:val="000000"/>
              </w:rPr>
              <w:t>(state fiscal year 2020)</w:t>
            </w:r>
          </w:p>
        </w:tc>
        <w:tc>
          <w:tcPr>
            <w:tcW w:w="4582" w:type="dxa"/>
            <w:tcBorders>
              <w:top w:val="nil"/>
              <w:left w:val="nil"/>
              <w:bottom w:val="single" w:sz="6" w:space="0" w:color="DEE2E6"/>
              <w:right w:val="single" w:sz="6" w:space="0" w:color="DEE2E6"/>
            </w:tcBorders>
            <w:shd w:val="clear" w:color="auto" w:fill="auto"/>
          </w:tcPr>
          <w:p w14:paraId="73F7C513" w14:textId="77777777" w:rsidR="00F31A59" w:rsidRDefault="00BB4EBF" w:rsidP="00B73919">
            <w:pPr>
              <w:pStyle w:val="paragraph"/>
              <w:numPr>
                <w:ilvl w:val="0"/>
                <w:numId w:val="8"/>
              </w:numPr>
              <w:spacing w:before="0" w:beforeAutospacing="0" w:after="0" w:afterAutospacing="0"/>
              <w:jc w:val="center"/>
              <w:textAlignment w:val="baseline"/>
              <w:rPr>
                <w:color w:val="000000"/>
              </w:rPr>
            </w:pPr>
            <w:hyperlink r:id="rId15" w:history="1">
              <w:r w:rsidR="00FB5AC9" w:rsidRPr="00FB5AC9">
                <w:rPr>
                  <w:rStyle w:val="Hyperlink"/>
                  <w:color w:val="000000"/>
                </w:rPr>
                <w:t>MA SSIP FFY 2019 </w:t>
              </w:r>
            </w:hyperlink>
          </w:p>
          <w:p w14:paraId="77D1BE71" w14:textId="0DF7BC19" w:rsidR="00FB5AC9" w:rsidRPr="00FB5AC9" w:rsidRDefault="00FB5AC9" w:rsidP="007B7A4A">
            <w:pPr>
              <w:pStyle w:val="paragraph"/>
              <w:spacing w:before="0" w:beforeAutospacing="0" w:after="0" w:afterAutospacing="0"/>
              <w:ind w:left="720"/>
              <w:jc w:val="center"/>
              <w:textAlignment w:val="baseline"/>
            </w:pPr>
            <w:r>
              <w:rPr>
                <w:color w:val="000000"/>
              </w:rPr>
              <w:t>(state fiscal year 2020)</w:t>
            </w:r>
          </w:p>
        </w:tc>
      </w:tr>
    </w:tbl>
    <w:p w14:paraId="6AC43739" w14:textId="1887A015" w:rsidR="00A42140" w:rsidRPr="004C0232" w:rsidRDefault="00A42140" w:rsidP="004C0232">
      <w:pPr>
        <w:pStyle w:val="Heading1"/>
        <w:rPr>
          <w:rFonts w:ascii="Times New Roman" w:hAnsi="Times New Roman" w:cs="Times New Roman"/>
        </w:rPr>
      </w:pPr>
      <w:r w:rsidRPr="004C0232">
        <w:rPr>
          <w:rFonts w:ascii="Times New Roman" w:hAnsi="Times New Roman" w:cs="Times New Roman"/>
        </w:rPr>
        <w:t>U.S. Department of Education Feedback and Engagement</w:t>
      </w:r>
    </w:p>
    <w:p w14:paraId="1189517C" w14:textId="77777777" w:rsidR="00A415AC" w:rsidRDefault="001D1115" w:rsidP="00144CB4">
      <w:r>
        <w:t xml:space="preserve">On June 20, 2019, </w:t>
      </w:r>
      <w:r w:rsidR="00E61202">
        <w:t>the U.S. Department of Education issued a letter to the Massachusetts Department of Elementary and Secondary Educa</w:t>
      </w:r>
      <w:r w:rsidR="003836EA">
        <w:t xml:space="preserve">tion determining that Massachusetts meets the requirements and purposes of Part B of the Individuals with Disabilities </w:t>
      </w:r>
      <w:r w:rsidR="00A415AC">
        <w:t xml:space="preserve">Education Act (IDEA). </w:t>
      </w:r>
    </w:p>
    <w:p w14:paraId="2FD13B96" w14:textId="77777777" w:rsidR="00A415AC" w:rsidRDefault="00A415AC" w:rsidP="00144CB4"/>
    <w:p w14:paraId="19052E47" w14:textId="5C07BC57" w:rsidR="004F64A6" w:rsidRDefault="00A445CB" w:rsidP="00144CB4">
      <w:r>
        <w:t>On August 15, 2019, The U</w:t>
      </w:r>
      <w:r w:rsidR="00046048">
        <w:t>.S. Department of Education’s Office of Special Education and Rehabilitation Services</w:t>
      </w:r>
      <w:r w:rsidR="0077782C">
        <w:t xml:space="preserve"> (OSEP) issued a letter</w:t>
      </w:r>
      <w:r w:rsidR="007B08AD">
        <w:t xml:space="preserve"> in response to a complaint </w:t>
      </w:r>
      <w:r w:rsidR="00FC04D2">
        <w:t>from</w:t>
      </w:r>
      <w:r w:rsidR="0077782C">
        <w:t xml:space="preserve"> </w:t>
      </w:r>
      <w:r w:rsidR="00531473">
        <w:t>October 27, 2017</w:t>
      </w:r>
      <w:r w:rsidR="00A85624">
        <w:t xml:space="preserve"> pursuant to 20 U.S.C. 1412(a)(10)(A)(v) of the Individuals with Disabilities Education Act (IDEA). The complainants</w:t>
      </w:r>
      <w:r w:rsidR="00531473">
        <w:t xml:space="preserve"> </w:t>
      </w:r>
      <w:r w:rsidR="00A705B8">
        <w:t xml:space="preserve">appealed the final decisions of the Massachusetts Department of Elementary and Secondary Education (ESE) on complaints filed against </w:t>
      </w:r>
      <w:r w:rsidR="00525104">
        <w:t>ESE</w:t>
      </w:r>
      <w:r w:rsidR="00A705B8">
        <w:t xml:space="preserve"> and 25 local educational agencies (LEAs) related to compliance with certain IDEA requirements. Specifically, </w:t>
      </w:r>
      <w:r w:rsidR="004F64A6">
        <w:t xml:space="preserve">the complainants </w:t>
      </w:r>
      <w:r w:rsidR="00A705B8">
        <w:t xml:space="preserve">stated that </w:t>
      </w:r>
      <w:r w:rsidR="004F64A6">
        <w:t>they</w:t>
      </w:r>
      <w:r w:rsidR="00A705B8">
        <w:t xml:space="preserve"> are dissatisfied with </w:t>
      </w:r>
      <w:r w:rsidR="004F64A6">
        <w:t>ESE’s</w:t>
      </w:r>
      <w:r w:rsidR="00A705B8">
        <w:t xml:space="preserve"> final decisions on these complaints because </w:t>
      </w:r>
      <w:r w:rsidR="004F64A6">
        <w:t>ESE</w:t>
      </w:r>
      <w:r w:rsidR="00A705B8">
        <w:t>: (1) failed to consider the child find allegations in the complaints; (2) limited the scope of its review to a one-year period; (3) did not require LEAs to produce evidence that the required amount of IDEA Part B funds were spent on equitable services and failed to address “supplement but not supplant” and LEA “maintenance of effort” requirements; and (4) did not require appropriate corrective actions</w:t>
      </w:r>
      <w:r w:rsidR="004F64A6">
        <w:t>.</w:t>
      </w:r>
      <w:r w:rsidR="00D262A3">
        <w:t xml:space="preserve">  </w:t>
      </w:r>
    </w:p>
    <w:p w14:paraId="19BD4A78" w14:textId="77777777" w:rsidR="00C03265" w:rsidRDefault="00C03265" w:rsidP="00144CB4"/>
    <w:p w14:paraId="67188830" w14:textId="4D4BA939" w:rsidR="00FD2C86" w:rsidRDefault="00C03265">
      <w:r>
        <w:t>In the letter</w:t>
      </w:r>
      <w:r w:rsidR="00A33DD2">
        <w:t>,</w:t>
      </w:r>
      <w:r>
        <w:t xml:space="preserve"> OSEP noted that it had completed its review of ESE’s decisions on the complaint and </w:t>
      </w:r>
      <w:r w:rsidR="005F39AD">
        <w:t xml:space="preserve">that the </w:t>
      </w:r>
      <w:r>
        <w:t xml:space="preserve">decision </w:t>
      </w:r>
      <w:r w:rsidR="005F39AD">
        <w:t>would be OSEP’s</w:t>
      </w:r>
      <w:r>
        <w:t xml:space="preserve"> final action in this matter. </w:t>
      </w:r>
      <w:r w:rsidR="005F39AD">
        <w:t xml:space="preserve">The letter included an enclosure that included </w:t>
      </w:r>
      <w:r>
        <w:t xml:space="preserve">relevant background information and a description of the procedures </w:t>
      </w:r>
      <w:r w:rsidR="00882B38">
        <w:t>followed in the review ESE’s decisions</w:t>
      </w:r>
      <w:r>
        <w:t>. The enclosure also provide</w:t>
      </w:r>
      <w:r w:rsidR="00882B38">
        <w:t>d</w:t>
      </w:r>
      <w:r>
        <w:t xml:space="preserve"> findings of fact, analyses, conclusions, and any corrective actions required to address </w:t>
      </w:r>
      <w:r w:rsidR="00882B38">
        <w:t xml:space="preserve">the </w:t>
      </w:r>
      <w:r>
        <w:t>allegations</w:t>
      </w:r>
      <w:r w:rsidR="00882B38">
        <w:t xml:space="preserve"> of the complainants</w:t>
      </w:r>
      <w:r w:rsidR="00A166A9">
        <w:t xml:space="preserve">.  A copy of the letter and enclosure can be found </w:t>
      </w:r>
      <w:hyperlink r:id="rId16" w:history="1">
        <w:r w:rsidR="00A166A9" w:rsidRPr="008555A8">
          <w:rPr>
            <w:rStyle w:val="Hyperlink"/>
          </w:rPr>
          <w:t>here</w:t>
        </w:r>
      </w:hyperlink>
      <w:r w:rsidR="00A166A9">
        <w:t>.</w:t>
      </w:r>
    </w:p>
    <w:p w14:paraId="332D74B4" w14:textId="7F02A237" w:rsidR="00AA2AF8" w:rsidRPr="004C0232" w:rsidRDefault="00736D17" w:rsidP="004C0232">
      <w:pPr>
        <w:pStyle w:val="Heading1"/>
        <w:rPr>
          <w:rFonts w:ascii="Times New Roman" w:hAnsi="Times New Roman" w:cs="Times New Roman"/>
        </w:rPr>
      </w:pPr>
      <w:r w:rsidRPr="004C0232">
        <w:rPr>
          <w:rFonts w:ascii="Times New Roman" w:hAnsi="Times New Roman" w:cs="Times New Roman"/>
        </w:rPr>
        <w:t>Financ</w:t>
      </w:r>
      <w:r w:rsidR="00143980">
        <w:rPr>
          <w:rFonts w:ascii="Times New Roman" w:hAnsi="Times New Roman" w:cs="Times New Roman"/>
        </w:rPr>
        <w:t>ial Summary</w:t>
      </w:r>
    </w:p>
    <w:p w14:paraId="7763ABCA" w14:textId="77777777" w:rsidR="00F852DB" w:rsidRDefault="00F852DB" w:rsidP="00F852DB">
      <w:pPr>
        <w:pStyle w:val="Heading2"/>
        <w:spacing w:after="240"/>
      </w:pPr>
      <w:bookmarkStart w:id="1" w:name="_Hlk144821981"/>
      <w:r>
        <w:t>FY13-FY20</w:t>
      </w:r>
    </w:p>
    <w:p w14:paraId="45C24FE8" w14:textId="77777777" w:rsidR="00F852DB" w:rsidRDefault="00F852DB" w:rsidP="00F852DB">
      <w:pPr>
        <w:pStyle w:val="Heading2"/>
        <w:spacing w:after="240"/>
      </w:pPr>
      <w:r>
        <w:t>Financial Summary</w:t>
      </w:r>
    </w:p>
    <w:p w14:paraId="4A8043EF" w14:textId="18580CE1" w:rsidR="00F852DB" w:rsidRDefault="00F852DB" w:rsidP="00F852DB">
      <w:pPr>
        <w:spacing w:after="120"/>
      </w:pPr>
      <w:r>
        <w:t>Public school districts report special education expenditures to the Department at the end of each year</w:t>
      </w:r>
      <w:r w:rsidRPr="00BB27E5">
        <w:t xml:space="preserve">. Table </w:t>
      </w:r>
      <w:r>
        <w:t>1</w:t>
      </w:r>
      <w:r w:rsidRPr="00BB27E5">
        <w:t xml:space="preserve"> below shows the most recent available data and indicates that both total school operating budgets and combined special education expenditures have increased over the </w:t>
      </w:r>
      <w:r>
        <w:t>past eight years</w:t>
      </w:r>
      <w:r w:rsidRPr="00BB27E5">
        <w:t xml:space="preserve">. </w:t>
      </w:r>
      <w:r>
        <w:t xml:space="preserve">Columns A–D include general fund expenditures, including school committee and </w:t>
      </w:r>
      <w:r>
        <w:lastRenderedPageBreak/>
        <w:t>city or town appropriations, and expenditures from the</w:t>
      </w:r>
      <w:r w:rsidRPr="00BB27E5">
        <w:t xml:space="preserve"> </w:t>
      </w:r>
      <w:hyperlink r:id="rId17" w:history="1">
        <w:r w:rsidRPr="00BB27E5">
          <w:rPr>
            <w:color w:val="0000FF"/>
            <w:u w:val="single"/>
          </w:rPr>
          <w:t>Special Education Reimbursement (Circuit Breaker) Program</w:t>
        </w:r>
      </w:hyperlink>
      <w:r>
        <w:t>. Column E includes special education related spending from grants, such as the Individuals with Disabilities Education Act (IDEA) grant program, and other r</w:t>
      </w:r>
      <w:r w:rsidRPr="00BB27E5">
        <w:t>evolving accounts</w:t>
      </w:r>
      <w:r>
        <w:t xml:space="preserve">. </w:t>
      </w:r>
      <w:r w:rsidRPr="00BB27E5">
        <w:t>The operating budget includes municipal indirect spending for schools</w:t>
      </w:r>
      <w:r>
        <w:t xml:space="preserve"> but</w:t>
      </w:r>
      <w:r w:rsidRPr="00BB27E5">
        <w:t xml:space="preserve"> excludes capital expenditures and transportation. </w:t>
      </w:r>
    </w:p>
    <w:p w14:paraId="35BAFAB2" w14:textId="77777777" w:rsidR="00F852DB" w:rsidRPr="00BB27E5" w:rsidRDefault="00F852DB" w:rsidP="00F852DB">
      <w:pPr>
        <w:pStyle w:val="ListParagraph"/>
        <w:numPr>
          <w:ilvl w:val="0"/>
          <w:numId w:val="9"/>
        </w:numPr>
        <w:spacing w:after="120"/>
      </w:pPr>
      <w:r w:rsidRPr="007E0780">
        <w:rPr>
          <w:i/>
        </w:rPr>
        <w:t>Direct special education expenditures</w:t>
      </w:r>
      <w:r w:rsidRPr="00BB27E5">
        <w:t xml:space="preserve"> include only those that can be related specifically to pupils receiving special education services.</w:t>
      </w:r>
    </w:p>
    <w:p w14:paraId="61305475" w14:textId="77777777" w:rsidR="00F852DB" w:rsidRPr="00BB27E5" w:rsidRDefault="00F852DB" w:rsidP="00F852DB">
      <w:pPr>
        <w:numPr>
          <w:ilvl w:val="0"/>
          <w:numId w:val="9"/>
        </w:numPr>
        <w:spacing w:after="120"/>
      </w:pPr>
      <w:r w:rsidRPr="00BB27E5">
        <w:rPr>
          <w:i/>
        </w:rPr>
        <w:t>Other instructional</w:t>
      </w:r>
      <w:r w:rsidRPr="00BB27E5">
        <w:t xml:space="preserve"> includes supervisory, textbooks and instructional equipment, guidance, and psychological services. </w:t>
      </w:r>
    </w:p>
    <w:p w14:paraId="1624E586" w14:textId="77777777" w:rsidR="00F852DB" w:rsidRDefault="00F852DB" w:rsidP="00F852DB">
      <w:pPr>
        <w:numPr>
          <w:ilvl w:val="0"/>
          <w:numId w:val="9"/>
        </w:numPr>
        <w:spacing w:after="120"/>
      </w:pPr>
      <w:r w:rsidRPr="00BB27E5">
        <w:rPr>
          <w:i/>
        </w:rPr>
        <w:t>MA Public Schools and Collaboratives</w:t>
      </w:r>
      <w:r w:rsidRPr="00BB27E5">
        <w:t xml:space="preserve"> includes other public</w:t>
      </w:r>
      <w:r>
        <w:t xml:space="preserve"> </w:t>
      </w:r>
      <w:r w:rsidRPr="00BB27E5">
        <w:t>school districts, educational collaboratives, and charter schools.</w:t>
      </w:r>
    </w:p>
    <w:p w14:paraId="2085F111" w14:textId="77777777" w:rsidR="00F852DB" w:rsidRDefault="00F852DB" w:rsidP="00F852DB">
      <w:pPr>
        <w:numPr>
          <w:ilvl w:val="0"/>
          <w:numId w:val="9"/>
        </w:numPr>
      </w:pPr>
      <w:r>
        <w:rPr>
          <w:i/>
        </w:rPr>
        <w:t>Grants and Revolving Funds</w:t>
      </w:r>
      <w:r w:rsidRPr="00BB27E5">
        <w:t xml:space="preserve"> </w:t>
      </w:r>
      <w:r>
        <w:t>includes special education related spending from grants and other revolving funds.</w:t>
      </w:r>
    </w:p>
    <w:p w14:paraId="4D7DD32B" w14:textId="77777777" w:rsidR="00F852DB" w:rsidRDefault="00F852DB" w:rsidP="00F852DB">
      <w:pPr>
        <w:sectPr w:rsidR="00F852DB">
          <w:pgSz w:w="12240" w:h="15840"/>
          <w:pgMar w:top="1440" w:right="1440" w:bottom="1440" w:left="1440" w:header="720" w:footer="720" w:gutter="0"/>
          <w:cols w:space="720"/>
          <w:docGrid w:linePitch="360"/>
        </w:sectPr>
      </w:pPr>
    </w:p>
    <w:p w14:paraId="6F1B0916" w14:textId="0E0A2BA3" w:rsidR="00F852DB" w:rsidRPr="0047309B" w:rsidRDefault="00F852DB" w:rsidP="00F852DB">
      <w:r w:rsidRPr="00BB27E5">
        <w:rPr>
          <w:b/>
        </w:rPr>
        <w:t xml:space="preserve">Table </w:t>
      </w:r>
      <w:r>
        <w:rPr>
          <w:b/>
        </w:rPr>
        <w:t>1</w:t>
      </w:r>
      <w:r w:rsidRPr="00BB27E5">
        <w:rPr>
          <w:b/>
        </w:rPr>
        <w:t>: Direct Special Education Expenditures, FY</w:t>
      </w:r>
      <w:r>
        <w:rPr>
          <w:b/>
        </w:rPr>
        <w:t>13</w:t>
      </w:r>
      <w:r w:rsidRPr="00BB27E5">
        <w:rPr>
          <w:b/>
        </w:rPr>
        <w:t>–FY</w:t>
      </w:r>
      <w:r>
        <w:rPr>
          <w:b/>
        </w:rPr>
        <w:t>20</w:t>
      </w:r>
    </w:p>
    <w:tbl>
      <w:tblPr>
        <w:tblStyle w:val="GridTable1Light"/>
        <w:tblW w:w="13004" w:type="dxa"/>
        <w:tblLook w:val="04A0" w:firstRow="1" w:lastRow="0" w:firstColumn="1" w:lastColumn="0" w:noHBand="0" w:noVBand="1"/>
      </w:tblPr>
      <w:tblGrid>
        <w:gridCol w:w="996"/>
        <w:gridCol w:w="1353"/>
        <w:gridCol w:w="1203"/>
        <w:gridCol w:w="1218"/>
        <w:gridCol w:w="1198"/>
        <w:gridCol w:w="1216"/>
        <w:gridCol w:w="1356"/>
        <w:gridCol w:w="905"/>
        <w:gridCol w:w="1567"/>
        <w:gridCol w:w="996"/>
        <w:gridCol w:w="996"/>
      </w:tblGrid>
      <w:tr w:rsidR="00F852DB" w:rsidRPr="000B7764" w14:paraId="5C8F2BC1" w14:textId="77777777" w:rsidTr="007364AA">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7B38837B" w14:textId="77777777" w:rsidR="00F852DB" w:rsidRPr="000B7764" w:rsidRDefault="00F852DB" w:rsidP="007364AA">
            <w:pPr>
              <w:rPr>
                <w:sz w:val="20"/>
                <w:szCs w:val="20"/>
              </w:rPr>
            </w:pPr>
          </w:p>
        </w:tc>
        <w:tc>
          <w:tcPr>
            <w:tcW w:w="2556" w:type="dxa"/>
            <w:gridSpan w:val="2"/>
            <w:noWrap/>
            <w:vAlign w:val="center"/>
            <w:hideMark/>
          </w:tcPr>
          <w:p w14:paraId="4218F481" w14:textId="77777777" w:rsidR="00F852DB" w:rsidRPr="000B7764" w:rsidRDefault="00F852DB" w:rsidP="007364A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0B7764">
              <w:rPr>
                <w:rFonts w:ascii="Calibri" w:hAnsi="Calibri" w:cs="Calibri"/>
                <w:sz w:val="20"/>
                <w:szCs w:val="20"/>
              </w:rPr>
              <w:t>In-District Instruction</w:t>
            </w:r>
          </w:p>
        </w:tc>
        <w:tc>
          <w:tcPr>
            <w:tcW w:w="2416" w:type="dxa"/>
            <w:gridSpan w:val="2"/>
            <w:noWrap/>
            <w:vAlign w:val="center"/>
            <w:hideMark/>
          </w:tcPr>
          <w:p w14:paraId="5268C537" w14:textId="77777777" w:rsidR="00F852DB" w:rsidRPr="000B7764" w:rsidRDefault="00F852DB" w:rsidP="007364A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0B7764">
              <w:rPr>
                <w:rFonts w:ascii="Calibri" w:hAnsi="Calibri" w:cs="Calibri"/>
                <w:sz w:val="20"/>
                <w:szCs w:val="20"/>
              </w:rPr>
              <w:t>Out-of-District Tuition</w:t>
            </w:r>
          </w:p>
        </w:tc>
        <w:tc>
          <w:tcPr>
            <w:tcW w:w="1216" w:type="dxa"/>
            <w:noWrap/>
            <w:hideMark/>
          </w:tcPr>
          <w:p w14:paraId="1862AC58" w14:textId="77777777" w:rsidR="00F852DB" w:rsidRPr="000B7764" w:rsidRDefault="00F852DB" w:rsidP="007364A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tc>
        <w:tc>
          <w:tcPr>
            <w:tcW w:w="1356" w:type="dxa"/>
            <w:noWrap/>
            <w:hideMark/>
          </w:tcPr>
          <w:p w14:paraId="1C7A6BE3" w14:textId="77777777" w:rsidR="00F852DB" w:rsidRPr="000B7764" w:rsidRDefault="00F852DB" w:rsidP="007364AA">
            <w:pPr>
              <w:cnfStyle w:val="100000000000" w:firstRow="1" w:lastRow="0" w:firstColumn="0" w:lastColumn="0" w:oddVBand="0" w:evenVBand="0" w:oddHBand="0" w:evenHBand="0" w:firstRowFirstColumn="0" w:firstRowLastColumn="0" w:lastRowFirstColumn="0" w:lastRowLastColumn="0"/>
              <w:rPr>
                <w:sz w:val="20"/>
                <w:szCs w:val="20"/>
              </w:rPr>
            </w:pPr>
          </w:p>
        </w:tc>
        <w:tc>
          <w:tcPr>
            <w:tcW w:w="905" w:type="dxa"/>
            <w:noWrap/>
            <w:hideMark/>
          </w:tcPr>
          <w:p w14:paraId="1F89949F" w14:textId="77777777" w:rsidR="00F852DB" w:rsidRPr="000B7764" w:rsidRDefault="00F852DB" w:rsidP="007364AA">
            <w:pPr>
              <w:cnfStyle w:val="100000000000" w:firstRow="1" w:lastRow="0" w:firstColumn="0" w:lastColumn="0" w:oddVBand="0" w:evenVBand="0" w:oddHBand="0" w:evenHBand="0" w:firstRowFirstColumn="0" w:firstRowLastColumn="0" w:lastRowFirstColumn="0" w:lastRowLastColumn="0"/>
              <w:rPr>
                <w:sz w:val="20"/>
                <w:szCs w:val="20"/>
              </w:rPr>
            </w:pPr>
          </w:p>
        </w:tc>
        <w:tc>
          <w:tcPr>
            <w:tcW w:w="1567" w:type="dxa"/>
            <w:noWrap/>
            <w:hideMark/>
          </w:tcPr>
          <w:p w14:paraId="7C17513A" w14:textId="77777777" w:rsidR="00F852DB" w:rsidRPr="000B7764" w:rsidRDefault="00F852DB" w:rsidP="007364AA">
            <w:pPr>
              <w:cnfStyle w:val="100000000000" w:firstRow="1" w:lastRow="0" w:firstColumn="0" w:lastColumn="0" w:oddVBand="0" w:evenVBand="0" w:oddHBand="0" w:evenHBand="0" w:firstRowFirstColumn="0" w:firstRowLastColumn="0" w:lastRowFirstColumn="0" w:lastRowLastColumn="0"/>
              <w:rPr>
                <w:sz w:val="20"/>
                <w:szCs w:val="20"/>
              </w:rPr>
            </w:pPr>
          </w:p>
        </w:tc>
        <w:tc>
          <w:tcPr>
            <w:tcW w:w="996" w:type="dxa"/>
            <w:noWrap/>
            <w:hideMark/>
          </w:tcPr>
          <w:p w14:paraId="25942A7D" w14:textId="77777777" w:rsidR="00F852DB" w:rsidRPr="000B7764" w:rsidRDefault="00F852DB" w:rsidP="007364AA">
            <w:pPr>
              <w:cnfStyle w:val="100000000000" w:firstRow="1" w:lastRow="0" w:firstColumn="0" w:lastColumn="0" w:oddVBand="0" w:evenVBand="0" w:oddHBand="0" w:evenHBand="0" w:firstRowFirstColumn="0" w:firstRowLastColumn="0" w:lastRowFirstColumn="0" w:lastRowLastColumn="0"/>
              <w:rPr>
                <w:sz w:val="20"/>
                <w:szCs w:val="20"/>
              </w:rPr>
            </w:pPr>
          </w:p>
        </w:tc>
        <w:tc>
          <w:tcPr>
            <w:tcW w:w="996" w:type="dxa"/>
            <w:noWrap/>
            <w:hideMark/>
          </w:tcPr>
          <w:p w14:paraId="402EC02C" w14:textId="77777777" w:rsidR="00F852DB" w:rsidRPr="000B7764" w:rsidRDefault="00F852DB" w:rsidP="007364AA">
            <w:pPr>
              <w:cnfStyle w:val="100000000000" w:firstRow="1" w:lastRow="0" w:firstColumn="0" w:lastColumn="0" w:oddVBand="0" w:evenVBand="0" w:oddHBand="0" w:evenHBand="0" w:firstRowFirstColumn="0" w:firstRowLastColumn="0" w:lastRowFirstColumn="0" w:lastRowLastColumn="0"/>
              <w:rPr>
                <w:sz w:val="20"/>
                <w:szCs w:val="20"/>
              </w:rPr>
            </w:pPr>
          </w:p>
        </w:tc>
      </w:tr>
      <w:tr w:rsidR="00F852DB" w:rsidRPr="000B7764" w14:paraId="4EE93285"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7B8E67CC" w14:textId="77777777" w:rsidR="00F852DB" w:rsidRPr="000B7764" w:rsidRDefault="00F852DB" w:rsidP="007364AA">
            <w:pPr>
              <w:rPr>
                <w:sz w:val="20"/>
                <w:szCs w:val="20"/>
              </w:rPr>
            </w:pPr>
          </w:p>
        </w:tc>
        <w:tc>
          <w:tcPr>
            <w:tcW w:w="1353" w:type="dxa"/>
            <w:noWrap/>
            <w:vAlign w:val="center"/>
            <w:hideMark/>
          </w:tcPr>
          <w:p w14:paraId="2130F166" w14:textId="77777777" w:rsidR="00F852DB" w:rsidRPr="000B7764" w:rsidRDefault="00F852D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A</w:t>
            </w:r>
          </w:p>
        </w:tc>
        <w:tc>
          <w:tcPr>
            <w:tcW w:w="1203" w:type="dxa"/>
            <w:noWrap/>
            <w:vAlign w:val="center"/>
            <w:hideMark/>
          </w:tcPr>
          <w:p w14:paraId="6DA9AC4B" w14:textId="77777777" w:rsidR="00F852DB" w:rsidRPr="000B7764" w:rsidRDefault="00F852D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B</w:t>
            </w:r>
          </w:p>
        </w:tc>
        <w:tc>
          <w:tcPr>
            <w:tcW w:w="1218" w:type="dxa"/>
            <w:noWrap/>
            <w:vAlign w:val="center"/>
            <w:hideMark/>
          </w:tcPr>
          <w:p w14:paraId="2143BC13" w14:textId="77777777" w:rsidR="00F852DB" w:rsidRPr="000B7764" w:rsidRDefault="00F852D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C</w:t>
            </w:r>
          </w:p>
        </w:tc>
        <w:tc>
          <w:tcPr>
            <w:tcW w:w="1198" w:type="dxa"/>
            <w:noWrap/>
            <w:vAlign w:val="center"/>
            <w:hideMark/>
          </w:tcPr>
          <w:p w14:paraId="3E92DE13" w14:textId="77777777" w:rsidR="00F852DB" w:rsidRPr="000B7764" w:rsidRDefault="00F852D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D</w:t>
            </w:r>
          </w:p>
        </w:tc>
        <w:tc>
          <w:tcPr>
            <w:tcW w:w="1216" w:type="dxa"/>
            <w:noWrap/>
            <w:vAlign w:val="center"/>
            <w:hideMark/>
          </w:tcPr>
          <w:p w14:paraId="235E4915" w14:textId="77777777" w:rsidR="00F852DB" w:rsidRPr="000B7764" w:rsidRDefault="00F852D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E</w:t>
            </w:r>
          </w:p>
        </w:tc>
        <w:tc>
          <w:tcPr>
            <w:tcW w:w="1356" w:type="dxa"/>
            <w:noWrap/>
            <w:vAlign w:val="center"/>
            <w:hideMark/>
          </w:tcPr>
          <w:p w14:paraId="73267DB9" w14:textId="77777777" w:rsidR="00F852DB" w:rsidRPr="000B7764" w:rsidRDefault="00F852D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F</w:t>
            </w:r>
          </w:p>
        </w:tc>
        <w:tc>
          <w:tcPr>
            <w:tcW w:w="905" w:type="dxa"/>
            <w:noWrap/>
            <w:vAlign w:val="center"/>
            <w:hideMark/>
          </w:tcPr>
          <w:p w14:paraId="26B20CE8" w14:textId="77777777" w:rsidR="00F852DB" w:rsidRPr="000B7764" w:rsidRDefault="00F852D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567" w:type="dxa"/>
            <w:noWrap/>
            <w:vAlign w:val="center"/>
            <w:hideMark/>
          </w:tcPr>
          <w:p w14:paraId="17A5ECF0" w14:textId="77777777" w:rsidR="00F852DB" w:rsidRPr="000B7764" w:rsidRDefault="00F852D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G</w:t>
            </w:r>
          </w:p>
        </w:tc>
        <w:tc>
          <w:tcPr>
            <w:tcW w:w="996" w:type="dxa"/>
            <w:noWrap/>
            <w:vAlign w:val="center"/>
            <w:hideMark/>
          </w:tcPr>
          <w:p w14:paraId="537F5FB2" w14:textId="77777777" w:rsidR="00F852DB" w:rsidRPr="000B7764" w:rsidRDefault="00F852D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6" w:type="dxa"/>
            <w:noWrap/>
            <w:vAlign w:val="center"/>
            <w:hideMark/>
          </w:tcPr>
          <w:p w14:paraId="58870575" w14:textId="77777777" w:rsidR="00F852DB" w:rsidRPr="000B7764" w:rsidRDefault="00F852D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H</w:t>
            </w:r>
          </w:p>
        </w:tc>
      </w:tr>
      <w:tr w:rsidR="00F852DB" w:rsidRPr="000B7764" w14:paraId="41919CE4" w14:textId="77777777" w:rsidTr="007364AA">
        <w:trPr>
          <w:trHeight w:val="840"/>
        </w:trPr>
        <w:tc>
          <w:tcPr>
            <w:cnfStyle w:val="001000000000" w:firstRow="0" w:lastRow="0" w:firstColumn="1" w:lastColumn="0" w:oddVBand="0" w:evenVBand="0" w:oddHBand="0" w:evenHBand="0" w:firstRowFirstColumn="0" w:firstRowLastColumn="0" w:lastRowFirstColumn="0" w:lastRowLastColumn="0"/>
            <w:tcW w:w="996" w:type="dxa"/>
            <w:noWrap/>
            <w:vAlign w:val="center"/>
            <w:hideMark/>
          </w:tcPr>
          <w:p w14:paraId="6343EA10" w14:textId="77777777" w:rsidR="00F852DB" w:rsidRPr="000B7764" w:rsidRDefault="00F852DB" w:rsidP="007364AA">
            <w:pPr>
              <w:rPr>
                <w:rFonts w:ascii="Calibri" w:hAnsi="Calibri" w:cs="Calibri"/>
                <w:sz w:val="16"/>
                <w:szCs w:val="16"/>
              </w:rPr>
            </w:pPr>
            <w:r w:rsidRPr="000B7764">
              <w:rPr>
                <w:rFonts w:ascii="Calibri" w:hAnsi="Calibri" w:cs="Calibri"/>
                <w:sz w:val="16"/>
                <w:szCs w:val="16"/>
              </w:rPr>
              <w:t>Fiscal Year</w:t>
            </w:r>
          </w:p>
        </w:tc>
        <w:tc>
          <w:tcPr>
            <w:tcW w:w="1353" w:type="dxa"/>
            <w:vAlign w:val="center"/>
            <w:hideMark/>
          </w:tcPr>
          <w:p w14:paraId="3F77482C" w14:textId="77777777" w:rsidR="00F852DB" w:rsidRPr="000B7764" w:rsidRDefault="00F852D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Teaching</w:t>
            </w:r>
          </w:p>
        </w:tc>
        <w:tc>
          <w:tcPr>
            <w:tcW w:w="1203" w:type="dxa"/>
            <w:vAlign w:val="center"/>
            <w:hideMark/>
          </w:tcPr>
          <w:p w14:paraId="5E188A16" w14:textId="77777777" w:rsidR="00F852DB" w:rsidRPr="000B7764" w:rsidRDefault="00F852D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Other Instructional</w:t>
            </w:r>
          </w:p>
        </w:tc>
        <w:tc>
          <w:tcPr>
            <w:tcW w:w="1218" w:type="dxa"/>
            <w:vAlign w:val="center"/>
            <w:hideMark/>
          </w:tcPr>
          <w:p w14:paraId="6E76607B" w14:textId="77777777" w:rsidR="00F852DB" w:rsidRPr="000B7764" w:rsidRDefault="00F852D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MA Public Schools and Collaboratives</w:t>
            </w:r>
          </w:p>
        </w:tc>
        <w:tc>
          <w:tcPr>
            <w:tcW w:w="1198" w:type="dxa"/>
            <w:vAlign w:val="center"/>
            <w:hideMark/>
          </w:tcPr>
          <w:p w14:paraId="4E603D81" w14:textId="77777777" w:rsidR="00F852DB" w:rsidRPr="000B7764" w:rsidRDefault="00F852D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Private and Out-of-State Schools</w:t>
            </w:r>
          </w:p>
        </w:tc>
        <w:tc>
          <w:tcPr>
            <w:tcW w:w="1216" w:type="dxa"/>
            <w:vAlign w:val="center"/>
            <w:hideMark/>
          </w:tcPr>
          <w:p w14:paraId="5D244A37" w14:textId="77777777" w:rsidR="00F852DB" w:rsidRPr="000B7764" w:rsidRDefault="00F852D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Grants and Revolving Funds</w:t>
            </w:r>
          </w:p>
        </w:tc>
        <w:tc>
          <w:tcPr>
            <w:tcW w:w="1356" w:type="dxa"/>
            <w:vAlign w:val="center"/>
            <w:hideMark/>
          </w:tcPr>
          <w:p w14:paraId="543FFD57" w14:textId="77777777" w:rsidR="00F852DB" w:rsidRPr="000B7764" w:rsidRDefault="00F852D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Combined Special Ed</w:t>
            </w:r>
            <w:r>
              <w:rPr>
                <w:rFonts w:ascii="Calibri" w:hAnsi="Calibri" w:cs="Calibri"/>
                <w:sz w:val="16"/>
                <w:szCs w:val="16"/>
              </w:rPr>
              <w:t>ucation</w:t>
            </w:r>
            <w:r w:rsidRPr="000B7764">
              <w:rPr>
                <w:rFonts w:ascii="Calibri" w:hAnsi="Calibri" w:cs="Calibri"/>
                <w:sz w:val="16"/>
                <w:szCs w:val="16"/>
              </w:rPr>
              <w:t xml:space="preserve"> Expenditures (A+B+C+D+E)</w:t>
            </w:r>
          </w:p>
        </w:tc>
        <w:tc>
          <w:tcPr>
            <w:tcW w:w="905" w:type="dxa"/>
            <w:vAlign w:val="center"/>
            <w:hideMark/>
          </w:tcPr>
          <w:p w14:paraId="35E6D8E2" w14:textId="77777777" w:rsidR="00F852DB" w:rsidRPr="000B7764" w:rsidRDefault="00F852D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 xml:space="preserve">Combined Special Education </w:t>
            </w:r>
            <w:r w:rsidRPr="000B7764">
              <w:rPr>
                <w:rFonts w:ascii="Calibri" w:hAnsi="Calibri" w:cs="Calibri"/>
                <w:sz w:val="16"/>
                <w:szCs w:val="16"/>
              </w:rPr>
              <w:t>% Change</w:t>
            </w:r>
          </w:p>
        </w:tc>
        <w:tc>
          <w:tcPr>
            <w:tcW w:w="1567" w:type="dxa"/>
            <w:vAlign w:val="center"/>
            <w:hideMark/>
          </w:tcPr>
          <w:p w14:paraId="741B2D9D" w14:textId="77777777" w:rsidR="00F852DB" w:rsidRPr="000B7764" w:rsidRDefault="00F852D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 xml:space="preserve">Total </w:t>
            </w:r>
            <w:r>
              <w:rPr>
                <w:rFonts w:ascii="Calibri" w:hAnsi="Calibri" w:cs="Calibri"/>
                <w:sz w:val="16"/>
                <w:szCs w:val="16"/>
              </w:rPr>
              <w:t>District</w:t>
            </w:r>
            <w:r w:rsidRPr="000B7764">
              <w:rPr>
                <w:rFonts w:ascii="Calibri" w:hAnsi="Calibri" w:cs="Calibri"/>
                <w:sz w:val="16"/>
                <w:szCs w:val="16"/>
              </w:rPr>
              <w:t xml:space="preserve"> Operating Budget</w:t>
            </w:r>
          </w:p>
        </w:tc>
        <w:tc>
          <w:tcPr>
            <w:tcW w:w="996" w:type="dxa"/>
            <w:vAlign w:val="center"/>
            <w:hideMark/>
          </w:tcPr>
          <w:p w14:paraId="51B1E63B" w14:textId="77777777" w:rsidR="00F852DB" w:rsidRPr="000B7764" w:rsidRDefault="00F852D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 xml:space="preserve">Total District Operating </w:t>
            </w:r>
            <w:r w:rsidRPr="000B7764">
              <w:rPr>
                <w:rFonts w:ascii="Calibri" w:hAnsi="Calibri" w:cs="Calibri"/>
                <w:sz w:val="16"/>
                <w:szCs w:val="16"/>
              </w:rPr>
              <w:t>%</w:t>
            </w:r>
            <w:r>
              <w:rPr>
                <w:rFonts w:ascii="Calibri" w:hAnsi="Calibri" w:cs="Calibri"/>
                <w:sz w:val="16"/>
                <w:szCs w:val="16"/>
              </w:rPr>
              <w:t xml:space="preserve"> </w:t>
            </w:r>
            <w:r w:rsidRPr="000B7764">
              <w:rPr>
                <w:rFonts w:ascii="Calibri" w:hAnsi="Calibri" w:cs="Calibri"/>
                <w:sz w:val="16"/>
                <w:szCs w:val="16"/>
              </w:rPr>
              <w:t>Change</w:t>
            </w:r>
          </w:p>
        </w:tc>
        <w:tc>
          <w:tcPr>
            <w:tcW w:w="996" w:type="dxa"/>
            <w:vAlign w:val="center"/>
            <w:hideMark/>
          </w:tcPr>
          <w:p w14:paraId="30DA4B90" w14:textId="77777777" w:rsidR="00F852DB" w:rsidRPr="000B7764" w:rsidRDefault="00F852D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Special Education % of Budget (F/G)</w:t>
            </w:r>
          </w:p>
        </w:tc>
      </w:tr>
      <w:tr w:rsidR="00F852DB" w:rsidRPr="000B7764" w14:paraId="15AA376D"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0A3CBEE8" w14:textId="77777777" w:rsidR="00F852DB" w:rsidRPr="000B7764" w:rsidRDefault="00F852DB" w:rsidP="007364AA">
            <w:pPr>
              <w:jc w:val="right"/>
              <w:rPr>
                <w:rFonts w:ascii="Calibri" w:hAnsi="Calibri" w:cs="Calibri"/>
                <w:sz w:val="16"/>
                <w:szCs w:val="16"/>
              </w:rPr>
            </w:pPr>
            <w:r w:rsidRPr="000B7764">
              <w:rPr>
                <w:rFonts w:ascii="Calibri" w:hAnsi="Calibri" w:cs="Calibri"/>
                <w:sz w:val="16"/>
                <w:szCs w:val="16"/>
              </w:rPr>
              <w:t>2013</w:t>
            </w:r>
          </w:p>
        </w:tc>
        <w:tc>
          <w:tcPr>
            <w:tcW w:w="1353" w:type="dxa"/>
            <w:noWrap/>
            <w:hideMark/>
          </w:tcPr>
          <w:p w14:paraId="57748938"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$1,391,965,489</w:t>
            </w:r>
          </w:p>
        </w:tc>
        <w:tc>
          <w:tcPr>
            <w:tcW w:w="1203" w:type="dxa"/>
            <w:noWrap/>
            <w:hideMark/>
          </w:tcPr>
          <w:p w14:paraId="2CC1195D"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$248,371,565</w:t>
            </w:r>
          </w:p>
        </w:tc>
        <w:tc>
          <w:tcPr>
            <w:tcW w:w="1218" w:type="dxa"/>
            <w:noWrap/>
            <w:hideMark/>
          </w:tcPr>
          <w:p w14:paraId="06F6CD78"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$257,399,529</w:t>
            </w:r>
          </w:p>
        </w:tc>
        <w:tc>
          <w:tcPr>
            <w:tcW w:w="1198" w:type="dxa"/>
            <w:noWrap/>
            <w:hideMark/>
          </w:tcPr>
          <w:p w14:paraId="45352F6A"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$507,772,957</w:t>
            </w:r>
          </w:p>
        </w:tc>
        <w:tc>
          <w:tcPr>
            <w:tcW w:w="1216" w:type="dxa"/>
            <w:noWrap/>
            <w:hideMark/>
          </w:tcPr>
          <w:p w14:paraId="2468BF8A"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$261,401,934</w:t>
            </w:r>
          </w:p>
        </w:tc>
        <w:tc>
          <w:tcPr>
            <w:tcW w:w="1356" w:type="dxa"/>
            <w:noWrap/>
            <w:hideMark/>
          </w:tcPr>
          <w:p w14:paraId="6188D64A"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$2,666,911,473</w:t>
            </w:r>
          </w:p>
        </w:tc>
        <w:tc>
          <w:tcPr>
            <w:tcW w:w="905" w:type="dxa"/>
            <w:noWrap/>
            <w:hideMark/>
          </w:tcPr>
          <w:p w14:paraId="5991C7D2"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5.5%</w:t>
            </w:r>
          </w:p>
        </w:tc>
        <w:tc>
          <w:tcPr>
            <w:tcW w:w="1567" w:type="dxa"/>
            <w:noWrap/>
            <w:hideMark/>
          </w:tcPr>
          <w:p w14:paraId="48ABB58E"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$13,781,893,000</w:t>
            </w:r>
          </w:p>
        </w:tc>
        <w:tc>
          <w:tcPr>
            <w:tcW w:w="996" w:type="dxa"/>
            <w:noWrap/>
            <w:hideMark/>
          </w:tcPr>
          <w:p w14:paraId="7E60E27F"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3.1%</w:t>
            </w:r>
          </w:p>
        </w:tc>
        <w:tc>
          <w:tcPr>
            <w:tcW w:w="996" w:type="dxa"/>
            <w:noWrap/>
            <w:hideMark/>
          </w:tcPr>
          <w:p w14:paraId="65DE2123"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19.0%</w:t>
            </w:r>
          </w:p>
        </w:tc>
      </w:tr>
      <w:tr w:rsidR="00F852DB" w:rsidRPr="000B7764" w14:paraId="0A994804"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3E1CFFCE" w14:textId="77777777" w:rsidR="00F852DB" w:rsidRPr="000B7764" w:rsidRDefault="00F852DB" w:rsidP="007364AA">
            <w:pPr>
              <w:jc w:val="right"/>
              <w:rPr>
                <w:rFonts w:ascii="Calibri" w:hAnsi="Calibri" w:cs="Calibri"/>
                <w:sz w:val="16"/>
                <w:szCs w:val="16"/>
              </w:rPr>
            </w:pPr>
            <w:r w:rsidRPr="000B7764">
              <w:rPr>
                <w:rFonts w:ascii="Calibri" w:hAnsi="Calibri" w:cs="Calibri"/>
                <w:sz w:val="16"/>
                <w:szCs w:val="16"/>
              </w:rPr>
              <w:t>2014</w:t>
            </w:r>
          </w:p>
        </w:tc>
        <w:tc>
          <w:tcPr>
            <w:tcW w:w="1353" w:type="dxa"/>
            <w:noWrap/>
            <w:hideMark/>
          </w:tcPr>
          <w:p w14:paraId="798E45F1"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$1,459,052,497</w:t>
            </w:r>
          </w:p>
        </w:tc>
        <w:tc>
          <w:tcPr>
            <w:tcW w:w="1203" w:type="dxa"/>
            <w:noWrap/>
            <w:hideMark/>
          </w:tcPr>
          <w:p w14:paraId="621E3306"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$257,503,366</w:t>
            </w:r>
          </w:p>
        </w:tc>
        <w:tc>
          <w:tcPr>
            <w:tcW w:w="1218" w:type="dxa"/>
            <w:noWrap/>
            <w:hideMark/>
          </w:tcPr>
          <w:p w14:paraId="3B984C6A"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$260,473,181</w:t>
            </w:r>
          </w:p>
        </w:tc>
        <w:tc>
          <w:tcPr>
            <w:tcW w:w="1198" w:type="dxa"/>
            <w:noWrap/>
            <w:hideMark/>
          </w:tcPr>
          <w:p w14:paraId="5CB8532D"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$511,950,369</w:t>
            </w:r>
          </w:p>
        </w:tc>
        <w:tc>
          <w:tcPr>
            <w:tcW w:w="1216" w:type="dxa"/>
            <w:noWrap/>
            <w:hideMark/>
          </w:tcPr>
          <w:p w14:paraId="265BC8EE"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$251,854,882</w:t>
            </w:r>
          </w:p>
        </w:tc>
        <w:tc>
          <w:tcPr>
            <w:tcW w:w="1356" w:type="dxa"/>
            <w:noWrap/>
            <w:hideMark/>
          </w:tcPr>
          <w:p w14:paraId="2A38154C"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$2,740,834,295</w:t>
            </w:r>
          </w:p>
        </w:tc>
        <w:tc>
          <w:tcPr>
            <w:tcW w:w="905" w:type="dxa"/>
            <w:noWrap/>
            <w:hideMark/>
          </w:tcPr>
          <w:p w14:paraId="4495DF59"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2.8%</w:t>
            </w:r>
          </w:p>
        </w:tc>
        <w:tc>
          <w:tcPr>
            <w:tcW w:w="1567" w:type="dxa"/>
            <w:noWrap/>
            <w:hideMark/>
          </w:tcPr>
          <w:p w14:paraId="44A631E6"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$14,280,267,791</w:t>
            </w:r>
          </w:p>
        </w:tc>
        <w:tc>
          <w:tcPr>
            <w:tcW w:w="996" w:type="dxa"/>
            <w:noWrap/>
            <w:hideMark/>
          </w:tcPr>
          <w:p w14:paraId="36D512DB"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3.6%</w:t>
            </w:r>
          </w:p>
        </w:tc>
        <w:tc>
          <w:tcPr>
            <w:tcW w:w="996" w:type="dxa"/>
            <w:noWrap/>
            <w:hideMark/>
          </w:tcPr>
          <w:p w14:paraId="27412E48"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19.0%</w:t>
            </w:r>
          </w:p>
        </w:tc>
      </w:tr>
      <w:tr w:rsidR="00F852DB" w:rsidRPr="000B7764" w14:paraId="3D51F2A5"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356C7C59" w14:textId="77777777" w:rsidR="00F852DB" w:rsidRPr="000B7764" w:rsidRDefault="00F852DB" w:rsidP="007364AA">
            <w:pPr>
              <w:jc w:val="right"/>
              <w:rPr>
                <w:rFonts w:ascii="Calibri" w:hAnsi="Calibri" w:cs="Calibri"/>
                <w:sz w:val="16"/>
                <w:szCs w:val="16"/>
              </w:rPr>
            </w:pPr>
            <w:r w:rsidRPr="000B7764">
              <w:rPr>
                <w:rFonts w:ascii="Calibri" w:hAnsi="Calibri" w:cs="Calibri"/>
                <w:sz w:val="16"/>
                <w:szCs w:val="16"/>
              </w:rPr>
              <w:t>2015</w:t>
            </w:r>
          </w:p>
        </w:tc>
        <w:tc>
          <w:tcPr>
            <w:tcW w:w="1353" w:type="dxa"/>
            <w:noWrap/>
            <w:hideMark/>
          </w:tcPr>
          <w:p w14:paraId="1DEB3355"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$1,538,264,046</w:t>
            </w:r>
          </w:p>
        </w:tc>
        <w:tc>
          <w:tcPr>
            <w:tcW w:w="1203" w:type="dxa"/>
            <w:noWrap/>
            <w:hideMark/>
          </w:tcPr>
          <w:p w14:paraId="631D04EA"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$274,350,220</w:t>
            </w:r>
          </w:p>
        </w:tc>
        <w:tc>
          <w:tcPr>
            <w:tcW w:w="1218" w:type="dxa"/>
            <w:noWrap/>
            <w:hideMark/>
          </w:tcPr>
          <w:p w14:paraId="6B527852"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$277,668,145</w:t>
            </w:r>
          </w:p>
        </w:tc>
        <w:tc>
          <w:tcPr>
            <w:tcW w:w="1198" w:type="dxa"/>
            <w:noWrap/>
            <w:hideMark/>
          </w:tcPr>
          <w:p w14:paraId="55DED088"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$515,440,784</w:t>
            </w:r>
          </w:p>
        </w:tc>
        <w:tc>
          <w:tcPr>
            <w:tcW w:w="1216" w:type="dxa"/>
            <w:noWrap/>
            <w:hideMark/>
          </w:tcPr>
          <w:p w14:paraId="5FF2DD3A"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$259,489,205</w:t>
            </w:r>
          </w:p>
        </w:tc>
        <w:tc>
          <w:tcPr>
            <w:tcW w:w="1356" w:type="dxa"/>
            <w:noWrap/>
            <w:hideMark/>
          </w:tcPr>
          <w:p w14:paraId="031DE286"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$2,865,212,400</w:t>
            </w:r>
          </w:p>
        </w:tc>
        <w:tc>
          <w:tcPr>
            <w:tcW w:w="905" w:type="dxa"/>
            <w:noWrap/>
            <w:hideMark/>
          </w:tcPr>
          <w:p w14:paraId="2C87EA19"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4.5%</w:t>
            </w:r>
          </w:p>
        </w:tc>
        <w:tc>
          <w:tcPr>
            <w:tcW w:w="1567" w:type="dxa"/>
            <w:noWrap/>
            <w:hideMark/>
          </w:tcPr>
          <w:p w14:paraId="752C9C7E"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$14,687,931,063</w:t>
            </w:r>
          </w:p>
        </w:tc>
        <w:tc>
          <w:tcPr>
            <w:tcW w:w="996" w:type="dxa"/>
            <w:noWrap/>
            <w:hideMark/>
          </w:tcPr>
          <w:p w14:paraId="4B7C95B1"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2.9%</w:t>
            </w:r>
          </w:p>
        </w:tc>
        <w:tc>
          <w:tcPr>
            <w:tcW w:w="996" w:type="dxa"/>
            <w:noWrap/>
            <w:hideMark/>
          </w:tcPr>
          <w:p w14:paraId="05879453"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20.0%</w:t>
            </w:r>
          </w:p>
        </w:tc>
      </w:tr>
      <w:tr w:rsidR="00F852DB" w:rsidRPr="000B7764" w14:paraId="5341A022"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0BD66A27" w14:textId="77777777" w:rsidR="00F852DB" w:rsidRPr="000B7764" w:rsidRDefault="00F852DB" w:rsidP="007364AA">
            <w:pPr>
              <w:jc w:val="right"/>
              <w:rPr>
                <w:rFonts w:ascii="Calibri" w:hAnsi="Calibri" w:cs="Calibri"/>
                <w:sz w:val="16"/>
                <w:szCs w:val="16"/>
              </w:rPr>
            </w:pPr>
            <w:r w:rsidRPr="000B7764">
              <w:rPr>
                <w:rFonts w:ascii="Calibri" w:hAnsi="Calibri" w:cs="Calibri"/>
                <w:sz w:val="16"/>
                <w:szCs w:val="16"/>
              </w:rPr>
              <w:t>2016</w:t>
            </w:r>
          </w:p>
        </w:tc>
        <w:tc>
          <w:tcPr>
            <w:tcW w:w="1353" w:type="dxa"/>
            <w:noWrap/>
            <w:hideMark/>
          </w:tcPr>
          <w:p w14:paraId="3BB31536"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$1,606,671,742</w:t>
            </w:r>
          </w:p>
        </w:tc>
        <w:tc>
          <w:tcPr>
            <w:tcW w:w="1203" w:type="dxa"/>
            <w:noWrap/>
            <w:hideMark/>
          </w:tcPr>
          <w:p w14:paraId="6041978D"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$290,935,527</w:t>
            </w:r>
          </w:p>
        </w:tc>
        <w:tc>
          <w:tcPr>
            <w:tcW w:w="1218" w:type="dxa"/>
            <w:noWrap/>
            <w:hideMark/>
          </w:tcPr>
          <w:p w14:paraId="4F5FDB62"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$294,603,572</w:t>
            </w:r>
          </w:p>
        </w:tc>
        <w:tc>
          <w:tcPr>
            <w:tcW w:w="1198" w:type="dxa"/>
            <w:noWrap/>
            <w:hideMark/>
          </w:tcPr>
          <w:p w14:paraId="2B700C4E"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$537,325,210</w:t>
            </w:r>
          </w:p>
        </w:tc>
        <w:tc>
          <w:tcPr>
            <w:tcW w:w="1216" w:type="dxa"/>
            <w:noWrap/>
            <w:hideMark/>
          </w:tcPr>
          <w:p w14:paraId="0494CDAD"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$259,710,031</w:t>
            </w:r>
          </w:p>
        </w:tc>
        <w:tc>
          <w:tcPr>
            <w:tcW w:w="1356" w:type="dxa"/>
            <w:noWrap/>
            <w:hideMark/>
          </w:tcPr>
          <w:p w14:paraId="5BA3284F"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$2,989,246,081</w:t>
            </w:r>
          </w:p>
        </w:tc>
        <w:tc>
          <w:tcPr>
            <w:tcW w:w="905" w:type="dxa"/>
            <w:noWrap/>
            <w:hideMark/>
          </w:tcPr>
          <w:p w14:paraId="1D4E3CF6"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4.3%</w:t>
            </w:r>
          </w:p>
        </w:tc>
        <w:tc>
          <w:tcPr>
            <w:tcW w:w="1567" w:type="dxa"/>
            <w:noWrap/>
            <w:hideMark/>
          </w:tcPr>
          <w:p w14:paraId="5D85702C"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$15,225,058,386</w:t>
            </w:r>
          </w:p>
        </w:tc>
        <w:tc>
          <w:tcPr>
            <w:tcW w:w="996" w:type="dxa"/>
            <w:noWrap/>
            <w:hideMark/>
          </w:tcPr>
          <w:p w14:paraId="632D3AC6"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3.7%</w:t>
            </w:r>
          </w:p>
        </w:tc>
        <w:tc>
          <w:tcPr>
            <w:tcW w:w="996" w:type="dxa"/>
            <w:noWrap/>
            <w:hideMark/>
          </w:tcPr>
          <w:p w14:paraId="5934A242"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20.0%</w:t>
            </w:r>
          </w:p>
        </w:tc>
      </w:tr>
      <w:tr w:rsidR="00F852DB" w:rsidRPr="000B7764" w14:paraId="23B24530"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17A9103F" w14:textId="77777777" w:rsidR="00F852DB" w:rsidRPr="000B7764" w:rsidRDefault="00F852DB" w:rsidP="007364AA">
            <w:pPr>
              <w:jc w:val="right"/>
              <w:rPr>
                <w:rFonts w:ascii="Calibri" w:hAnsi="Calibri" w:cs="Calibri"/>
                <w:sz w:val="16"/>
                <w:szCs w:val="16"/>
              </w:rPr>
            </w:pPr>
            <w:r w:rsidRPr="000B7764">
              <w:rPr>
                <w:rFonts w:ascii="Calibri" w:hAnsi="Calibri" w:cs="Calibri"/>
                <w:sz w:val="16"/>
                <w:szCs w:val="16"/>
              </w:rPr>
              <w:t>2017</w:t>
            </w:r>
          </w:p>
        </w:tc>
        <w:tc>
          <w:tcPr>
            <w:tcW w:w="1353" w:type="dxa"/>
            <w:noWrap/>
            <w:hideMark/>
          </w:tcPr>
          <w:p w14:paraId="4BE0F6D6"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$1,691,764,688</w:t>
            </w:r>
          </w:p>
        </w:tc>
        <w:tc>
          <w:tcPr>
            <w:tcW w:w="1203" w:type="dxa"/>
            <w:noWrap/>
            <w:hideMark/>
          </w:tcPr>
          <w:p w14:paraId="106A4131"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$304,185,064</w:t>
            </w:r>
          </w:p>
        </w:tc>
        <w:tc>
          <w:tcPr>
            <w:tcW w:w="1218" w:type="dxa"/>
            <w:noWrap/>
            <w:hideMark/>
          </w:tcPr>
          <w:p w14:paraId="5753B949"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$313,607,976</w:t>
            </w:r>
          </w:p>
        </w:tc>
        <w:tc>
          <w:tcPr>
            <w:tcW w:w="1198" w:type="dxa"/>
            <w:noWrap/>
            <w:hideMark/>
          </w:tcPr>
          <w:p w14:paraId="41F8001C"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$566,149,194</w:t>
            </w:r>
          </w:p>
        </w:tc>
        <w:tc>
          <w:tcPr>
            <w:tcW w:w="1216" w:type="dxa"/>
            <w:noWrap/>
            <w:hideMark/>
          </w:tcPr>
          <w:p w14:paraId="6228FCCC"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$256,952,238</w:t>
            </w:r>
          </w:p>
        </w:tc>
        <w:tc>
          <w:tcPr>
            <w:tcW w:w="1356" w:type="dxa"/>
            <w:noWrap/>
            <w:hideMark/>
          </w:tcPr>
          <w:p w14:paraId="59771B03"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$3,132,659,160</w:t>
            </w:r>
          </w:p>
        </w:tc>
        <w:tc>
          <w:tcPr>
            <w:tcW w:w="905" w:type="dxa"/>
            <w:noWrap/>
            <w:hideMark/>
          </w:tcPr>
          <w:p w14:paraId="49543A6D"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4.8%</w:t>
            </w:r>
          </w:p>
        </w:tc>
        <w:tc>
          <w:tcPr>
            <w:tcW w:w="1567" w:type="dxa"/>
            <w:noWrap/>
            <w:hideMark/>
          </w:tcPr>
          <w:p w14:paraId="3F52367F"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$15,730,321,535</w:t>
            </w:r>
          </w:p>
        </w:tc>
        <w:tc>
          <w:tcPr>
            <w:tcW w:w="996" w:type="dxa"/>
            <w:noWrap/>
            <w:hideMark/>
          </w:tcPr>
          <w:p w14:paraId="50018A3E"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3.3%</w:t>
            </w:r>
          </w:p>
        </w:tc>
        <w:tc>
          <w:tcPr>
            <w:tcW w:w="996" w:type="dxa"/>
            <w:noWrap/>
            <w:hideMark/>
          </w:tcPr>
          <w:p w14:paraId="662139C6"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20.0%</w:t>
            </w:r>
          </w:p>
        </w:tc>
      </w:tr>
      <w:tr w:rsidR="00F852DB" w:rsidRPr="000B7764" w14:paraId="5544F449"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0914F744" w14:textId="77777777" w:rsidR="00F852DB" w:rsidRPr="000B7764" w:rsidRDefault="00F852DB" w:rsidP="007364AA">
            <w:pPr>
              <w:jc w:val="right"/>
              <w:rPr>
                <w:rFonts w:ascii="Calibri" w:hAnsi="Calibri" w:cs="Calibri"/>
                <w:sz w:val="16"/>
                <w:szCs w:val="16"/>
              </w:rPr>
            </w:pPr>
            <w:r w:rsidRPr="000B7764">
              <w:rPr>
                <w:rFonts w:ascii="Calibri" w:hAnsi="Calibri" w:cs="Calibri"/>
                <w:sz w:val="16"/>
                <w:szCs w:val="16"/>
              </w:rPr>
              <w:t>2018</w:t>
            </w:r>
          </w:p>
        </w:tc>
        <w:tc>
          <w:tcPr>
            <w:tcW w:w="1353" w:type="dxa"/>
            <w:noWrap/>
            <w:hideMark/>
          </w:tcPr>
          <w:p w14:paraId="045EA15B"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$1,733,576,347</w:t>
            </w:r>
          </w:p>
        </w:tc>
        <w:tc>
          <w:tcPr>
            <w:tcW w:w="1203" w:type="dxa"/>
            <w:noWrap/>
            <w:hideMark/>
          </w:tcPr>
          <w:p w14:paraId="3D60D5A2"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$349,237,443</w:t>
            </w:r>
          </w:p>
        </w:tc>
        <w:tc>
          <w:tcPr>
            <w:tcW w:w="1218" w:type="dxa"/>
            <w:noWrap/>
            <w:hideMark/>
          </w:tcPr>
          <w:p w14:paraId="46F07CD2"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$327,056,409</w:t>
            </w:r>
          </w:p>
        </w:tc>
        <w:tc>
          <w:tcPr>
            <w:tcW w:w="1198" w:type="dxa"/>
            <w:noWrap/>
            <w:hideMark/>
          </w:tcPr>
          <w:p w14:paraId="12F15D62"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$580,878,940</w:t>
            </w:r>
          </w:p>
        </w:tc>
        <w:tc>
          <w:tcPr>
            <w:tcW w:w="1216" w:type="dxa"/>
            <w:noWrap/>
            <w:hideMark/>
          </w:tcPr>
          <w:p w14:paraId="50982AF4"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$252,630,545</w:t>
            </w:r>
          </w:p>
        </w:tc>
        <w:tc>
          <w:tcPr>
            <w:tcW w:w="1356" w:type="dxa"/>
            <w:noWrap/>
            <w:hideMark/>
          </w:tcPr>
          <w:p w14:paraId="78B4AEE0"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$3,243,379,684</w:t>
            </w:r>
          </w:p>
        </w:tc>
        <w:tc>
          <w:tcPr>
            <w:tcW w:w="905" w:type="dxa"/>
            <w:noWrap/>
            <w:hideMark/>
          </w:tcPr>
          <w:p w14:paraId="46A5B838"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3.5%</w:t>
            </w:r>
          </w:p>
        </w:tc>
        <w:tc>
          <w:tcPr>
            <w:tcW w:w="1567" w:type="dxa"/>
            <w:noWrap/>
            <w:hideMark/>
          </w:tcPr>
          <w:p w14:paraId="5E990519"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$16,307,929,489</w:t>
            </w:r>
          </w:p>
        </w:tc>
        <w:tc>
          <w:tcPr>
            <w:tcW w:w="996" w:type="dxa"/>
            <w:noWrap/>
            <w:hideMark/>
          </w:tcPr>
          <w:p w14:paraId="2F65783C"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3.7%</w:t>
            </w:r>
          </w:p>
        </w:tc>
        <w:tc>
          <w:tcPr>
            <w:tcW w:w="996" w:type="dxa"/>
            <w:noWrap/>
            <w:hideMark/>
          </w:tcPr>
          <w:p w14:paraId="62C25BB4"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20.0%</w:t>
            </w:r>
          </w:p>
        </w:tc>
      </w:tr>
      <w:tr w:rsidR="00F852DB" w:rsidRPr="000B7764" w14:paraId="345D6186"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515C83F0" w14:textId="77777777" w:rsidR="00F852DB" w:rsidRPr="000B7764" w:rsidRDefault="00F852DB" w:rsidP="007364AA">
            <w:pPr>
              <w:jc w:val="right"/>
              <w:rPr>
                <w:rFonts w:ascii="Calibri" w:hAnsi="Calibri" w:cs="Calibri"/>
                <w:sz w:val="16"/>
                <w:szCs w:val="16"/>
              </w:rPr>
            </w:pPr>
            <w:r w:rsidRPr="000B7764">
              <w:rPr>
                <w:rFonts w:ascii="Calibri" w:hAnsi="Calibri" w:cs="Calibri"/>
                <w:sz w:val="16"/>
                <w:szCs w:val="16"/>
              </w:rPr>
              <w:t>2019</w:t>
            </w:r>
          </w:p>
        </w:tc>
        <w:tc>
          <w:tcPr>
            <w:tcW w:w="1353" w:type="dxa"/>
            <w:noWrap/>
            <w:hideMark/>
          </w:tcPr>
          <w:p w14:paraId="653E6BD9"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$1,844,737,499</w:t>
            </w:r>
          </w:p>
        </w:tc>
        <w:tc>
          <w:tcPr>
            <w:tcW w:w="1203" w:type="dxa"/>
            <w:noWrap/>
            <w:hideMark/>
          </w:tcPr>
          <w:p w14:paraId="26BC3F9F"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$370,876,288</w:t>
            </w:r>
          </w:p>
        </w:tc>
        <w:tc>
          <w:tcPr>
            <w:tcW w:w="1218" w:type="dxa"/>
            <w:noWrap/>
            <w:hideMark/>
          </w:tcPr>
          <w:p w14:paraId="1EE17DCC"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$342,788,045</w:t>
            </w:r>
          </w:p>
        </w:tc>
        <w:tc>
          <w:tcPr>
            <w:tcW w:w="1198" w:type="dxa"/>
            <w:noWrap/>
            <w:hideMark/>
          </w:tcPr>
          <w:p w14:paraId="4BA3B614"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$608,873,354</w:t>
            </w:r>
          </w:p>
        </w:tc>
        <w:tc>
          <w:tcPr>
            <w:tcW w:w="1216" w:type="dxa"/>
            <w:noWrap/>
            <w:hideMark/>
          </w:tcPr>
          <w:p w14:paraId="628CF53B"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$262,782,191</w:t>
            </w:r>
          </w:p>
        </w:tc>
        <w:tc>
          <w:tcPr>
            <w:tcW w:w="1356" w:type="dxa"/>
            <w:noWrap/>
            <w:hideMark/>
          </w:tcPr>
          <w:p w14:paraId="54A8BBB6"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$3,430,057,376</w:t>
            </w:r>
          </w:p>
        </w:tc>
        <w:tc>
          <w:tcPr>
            <w:tcW w:w="905" w:type="dxa"/>
            <w:noWrap/>
            <w:hideMark/>
          </w:tcPr>
          <w:p w14:paraId="683628CE"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5.8%</w:t>
            </w:r>
          </w:p>
        </w:tc>
        <w:tc>
          <w:tcPr>
            <w:tcW w:w="1567" w:type="dxa"/>
            <w:noWrap/>
            <w:hideMark/>
          </w:tcPr>
          <w:p w14:paraId="00C85210"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$16,892,047,814</w:t>
            </w:r>
          </w:p>
        </w:tc>
        <w:tc>
          <w:tcPr>
            <w:tcW w:w="996" w:type="dxa"/>
            <w:noWrap/>
            <w:hideMark/>
          </w:tcPr>
          <w:p w14:paraId="2000E085"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3.6%</w:t>
            </w:r>
          </w:p>
        </w:tc>
        <w:tc>
          <w:tcPr>
            <w:tcW w:w="996" w:type="dxa"/>
            <w:noWrap/>
            <w:hideMark/>
          </w:tcPr>
          <w:p w14:paraId="5CB20457"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20.0%</w:t>
            </w:r>
          </w:p>
        </w:tc>
      </w:tr>
      <w:tr w:rsidR="00F852DB" w:rsidRPr="000B7764" w14:paraId="2A5F4C97"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7D7320A7" w14:textId="77777777" w:rsidR="00F852DB" w:rsidRPr="000B7764" w:rsidRDefault="00F852DB" w:rsidP="007364AA">
            <w:pPr>
              <w:jc w:val="right"/>
              <w:rPr>
                <w:rFonts w:ascii="Calibri" w:hAnsi="Calibri" w:cs="Calibri"/>
                <w:sz w:val="16"/>
                <w:szCs w:val="16"/>
              </w:rPr>
            </w:pPr>
            <w:r w:rsidRPr="000B7764">
              <w:rPr>
                <w:rFonts w:ascii="Calibri" w:hAnsi="Calibri" w:cs="Calibri"/>
                <w:sz w:val="16"/>
                <w:szCs w:val="16"/>
              </w:rPr>
              <w:t>2020</w:t>
            </w:r>
          </w:p>
        </w:tc>
        <w:tc>
          <w:tcPr>
            <w:tcW w:w="1353" w:type="dxa"/>
            <w:noWrap/>
            <w:hideMark/>
          </w:tcPr>
          <w:p w14:paraId="44B891BE"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$1,954,275,798</w:t>
            </w:r>
          </w:p>
        </w:tc>
        <w:tc>
          <w:tcPr>
            <w:tcW w:w="1203" w:type="dxa"/>
            <w:noWrap/>
            <w:hideMark/>
          </w:tcPr>
          <w:p w14:paraId="77BBEF3A"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$398,436,833</w:t>
            </w:r>
          </w:p>
        </w:tc>
        <w:tc>
          <w:tcPr>
            <w:tcW w:w="1218" w:type="dxa"/>
            <w:noWrap/>
            <w:hideMark/>
          </w:tcPr>
          <w:p w14:paraId="7FD56FAA"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$346,232,704</w:t>
            </w:r>
          </w:p>
        </w:tc>
        <w:tc>
          <w:tcPr>
            <w:tcW w:w="1198" w:type="dxa"/>
            <w:noWrap/>
            <w:hideMark/>
          </w:tcPr>
          <w:p w14:paraId="3A29C6AB"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$650,824,562</w:t>
            </w:r>
          </w:p>
        </w:tc>
        <w:tc>
          <w:tcPr>
            <w:tcW w:w="1216" w:type="dxa"/>
            <w:noWrap/>
            <w:hideMark/>
          </w:tcPr>
          <w:p w14:paraId="6FB755FA"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$250,697,756</w:t>
            </w:r>
          </w:p>
        </w:tc>
        <w:tc>
          <w:tcPr>
            <w:tcW w:w="1356" w:type="dxa"/>
            <w:noWrap/>
            <w:hideMark/>
          </w:tcPr>
          <w:p w14:paraId="676A3913"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$3,600,467,653</w:t>
            </w:r>
          </w:p>
        </w:tc>
        <w:tc>
          <w:tcPr>
            <w:tcW w:w="905" w:type="dxa"/>
            <w:noWrap/>
            <w:hideMark/>
          </w:tcPr>
          <w:p w14:paraId="711C8569"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5.0%</w:t>
            </w:r>
          </w:p>
        </w:tc>
        <w:tc>
          <w:tcPr>
            <w:tcW w:w="1567" w:type="dxa"/>
            <w:noWrap/>
            <w:hideMark/>
          </w:tcPr>
          <w:p w14:paraId="6E37027B"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$17,286,853,771</w:t>
            </w:r>
          </w:p>
        </w:tc>
        <w:tc>
          <w:tcPr>
            <w:tcW w:w="996" w:type="dxa"/>
            <w:noWrap/>
            <w:hideMark/>
          </w:tcPr>
          <w:p w14:paraId="4F6713E8"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2.3%</w:t>
            </w:r>
          </w:p>
        </w:tc>
        <w:tc>
          <w:tcPr>
            <w:tcW w:w="996" w:type="dxa"/>
            <w:noWrap/>
            <w:hideMark/>
          </w:tcPr>
          <w:p w14:paraId="4073826C" w14:textId="77777777" w:rsidR="00F852DB" w:rsidRPr="000B7764" w:rsidRDefault="00F852D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21.0%</w:t>
            </w:r>
          </w:p>
        </w:tc>
      </w:tr>
    </w:tbl>
    <w:p w14:paraId="726C6828" w14:textId="77777777" w:rsidR="00F852DB" w:rsidRDefault="00F852DB" w:rsidP="00F852DB">
      <w:pPr>
        <w:spacing w:after="240"/>
        <w:rPr>
          <w:i/>
          <w:sz w:val="20"/>
          <w:szCs w:val="20"/>
        </w:rPr>
      </w:pPr>
      <w:r w:rsidRPr="00BB27E5">
        <w:rPr>
          <w:i/>
          <w:sz w:val="20"/>
          <w:szCs w:val="20"/>
        </w:rPr>
        <w:t>Source: End of Year Pupil and Financial Report, Schedule 4 – Special Education Expenditures</w:t>
      </w:r>
    </w:p>
    <w:p w14:paraId="059615ED" w14:textId="77777777" w:rsidR="00F852DB" w:rsidRDefault="00F852DB" w:rsidP="00F852DB">
      <w:pPr>
        <w:spacing w:after="240"/>
      </w:pPr>
      <w:r>
        <w:t xml:space="preserve">From FY13 to FY20, statewide </w:t>
      </w:r>
      <w:r w:rsidRPr="00B447DA">
        <w:t xml:space="preserve">growth in direct special education expenditures outpaced growth in the total school operating budget. Average annual growth over this period for special education expenditures was </w:t>
      </w:r>
      <w:r>
        <w:t>4.5</w:t>
      </w:r>
      <w:r w:rsidRPr="00B447DA">
        <w:t xml:space="preserve"> percent</w:t>
      </w:r>
      <w:r>
        <w:t xml:space="preserve"> and for total district</w:t>
      </w:r>
      <w:r w:rsidRPr="00B447DA">
        <w:t xml:space="preserve"> operating</w:t>
      </w:r>
      <w:r>
        <w:t xml:space="preserve"> expenditures it was 3.3 percent. Since this is a statewide average, individual districts do not necessarily follow this pattern, though the trend in the Commonwealth’s 29 urban districts was similar, with special education expenditures growing by 5.2 percent compared to 3.6 percent for total operating expenditures. </w:t>
      </w:r>
      <w:r w:rsidRPr="00B447DA">
        <w:t xml:space="preserve">On average, growth in special education spending has put some pressure on the rest of the operating budget </w:t>
      </w:r>
      <w:r>
        <w:t>for many districts</w:t>
      </w:r>
      <w:r w:rsidRPr="00B447DA">
        <w:t>.</w:t>
      </w:r>
    </w:p>
    <w:p w14:paraId="3883E4AC" w14:textId="77777777" w:rsidR="00F852DB" w:rsidRDefault="00F852DB" w:rsidP="00F852DB">
      <w:pPr>
        <w:spacing w:after="240"/>
        <w:rPr>
          <w:i/>
          <w:sz w:val="20"/>
          <w:szCs w:val="20"/>
        </w:rPr>
      </w:pPr>
    </w:p>
    <w:p w14:paraId="250A1127" w14:textId="43E4B86C" w:rsidR="00F852DB" w:rsidRDefault="00F852DB" w:rsidP="00F852DB">
      <w:pPr>
        <w:spacing w:after="240"/>
        <w:rPr>
          <w:i/>
          <w:sz w:val="20"/>
          <w:szCs w:val="20"/>
        </w:rPr>
        <w:sectPr w:rsidR="00F852DB" w:rsidSect="0047309B">
          <w:pgSz w:w="15840" w:h="12240" w:orient="landscape"/>
          <w:pgMar w:top="1440" w:right="1440" w:bottom="1440" w:left="1440" w:header="720" w:footer="720" w:gutter="0"/>
          <w:cols w:space="720"/>
          <w:docGrid w:linePitch="360"/>
        </w:sectPr>
      </w:pPr>
    </w:p>
    <w:bookmarkEnd w:id="1"/>
    <w:p w14:paraId="6A4A86CA" w14:textId="77777777" w:rsidR="004E74D3" w:rsidRDefault="004E74D3" w:rsidP="004E74D3">
      <w:pPr>
        <w:pStyle w:val="Heading2"/>
        <w:spacing w:after="240"/>
      </w:pPr>
      <w:r>
        <w:t>Circuit Breaker</w:t>
      </w:r>
    </w:p>
    <w:p w14:paraId="4821D95C" w14:textId="77777777" w:rsidR="004E74D3" w:rsidRDefault="004E74D3" w:rsidP="004E74D3">
      <w:pPr>
        <w:pStyle w:val="xmsonormal"/>
        <w:spacing w:after="120"/>
        <w:rPr>
          <w:rFonts w:ascii="Times New Roman" w:hAnsi="Times New Roman" w:cs="Times New Roman"/>
          <w:color w:val="000000"/>
          <w:sz w:val="24"/>
          <w:szCs w:val="24"/>
        </w:rPr>
      </w:pPr>
      <w:r>
        <w:rPr>
          <w:rFonts w:ascii="Times New Roman" w:hAnsi="Times New Roman" w:cs="Times New Roman"/>
          <w:color w:val="000000"/>
          <w:sz w:val="24"/>
          <w:szCs w:val="24"/>
        </w:rPr>
        <w:t>The state Special Education Reimbursement (“Circuit Breaker”) Program, enacted by the Legislature in 2000 under c. 159, § 171, was first implemented in FY04. The Circuit Breaker program is designed to provide additional state financial assistance to school districts that have incurred exceptionally high costs in educating individual students with disabilities. The law supports shared costs between the Department and the school district when costs rise above a certain level, at which point the state will share up to 75 percent of the costs. Massachusetts state funds are available to reimburse a school district for students with disabilities whose special education costs exceed four times the state average foundation budget per pupil. </w:t>
      </w:r>
    </w:p>
    <w:p w14:paraId="559C806D" w14:textId="77777777" w:rsidR="004E74D3" w:rsidRDefault="004E74D3" w:rsidP="004E74D3">
      <w:pPr>
        <w:pStyle w:val="xmsonormal"/>
        <w:rPr>
          <w:rFonts w:ascii="Times New Roman" w:hAnsi="Times New Roman" w:cs="Times New Roman"/>
          <w:color w:val="000000"/>
          <w:sz w:val="24"/>
          <w:szCs w:val="24"/>
        </w:rPr>
      </w:pPr>
      <w:r>
        <w:rPr>
          <w:rFonts w:ascii="Times New Roman" w:hAnsi="Times New Roman" w:cs="Times New Roman"/>
          <w:color w:val="000000"/>
          <w:sz w:val="24"/>
          <w:szCs w:val="24"/>
        </w:rPr>
        <w:t xml:space="preserve">Annual reports for reimbursement rates can be found at </w:t>
      </w:r>
      <w:hyperlink r:id="rId18" w:history="1">
        <w:r>
          <w:rPr>
            <w:rStyle w:val="Hyperlink"/>
            <w:rFonts w:ascii="Times New Roman" w:hAnsi="Times New Roman" w:cs="Times New Roman"/>
            <w:sz w:val="24"/>
            <w:szCs w:val="24"/>
          </w:rPr>
          <w:t>https://www.doe.mass.edu/finance/circuitbreaker/rates.html</w:t>
        </w:r>
      </w:hyperlink>
      <w:r>
        <w:rPr>
          <w:rFonts w:ascii="Times New Roman" w:hAnsi="Times New Roman" w:cs="Times New Roman"/>
          <w:color w:val="000000"/>
          <w:sz w:val="24"/>
          <w:szCs w:val="24"/>
        </w:rPr>
        <w:t xml:space="preserve">, while payments by district can be found at </w:t>
      </w:r>
      <w:hyperlink r:id="rId19" w:history="1">
        <w:r>
          <w:rPr>
            <w:rStyle w:val="Hyperlink"/>
            <w:rFonts w:ascii="Times New Roman" w:hAnsi="Times New Roman" w:cs="Times New Roman"/>
            <w:sz w:val="24"/>
            <w:szCs w:val="24"/>
          </w:rPr>
          <w:t>https://www.doe.mass.edu/finance/circuitbreaker/payments/</w:t>
        </w:r>
      </w:hyperlink>
      <w:r>
        <w:rPr>
          <w:rFonts w:ascii="Times New Roman" w:hAnsi="Times New Roman" w:cs="Times New Roman"/>
          <w:color w:val="000000"/>
          <w:sz w:val="24"/>
          <w:szCs w:val="24"/>
        </w:rPr>
        <w:t> </w:t>
      </w:r>
    </w:p>
    <w:p w14:paraId="6D12916D" w14:textId="7A51A8FE" w:rsidR="007432E5" w:rsidRPr="004C0232" w:rsidRDefault="007432E5" w:rsidP="004C0232">
      <w:pPr>
        <w:pStyle w:val="Heading1"/>
        <w:rPr>
          <w:rFonts w:ascii="Times New Roman" w:hAnsi="Times New Roman" w:cs="Times New Roman"/>
        </w:rPr>
      </w:pPr>
      <w:r w:rsidRPr="004C0232">
        <w:rPr>
          <w:rFonts w:ascii="Times New Roman" w:hAnsi="Times New Roman" w:cs="Times New Roman"/>
        </w:rPr>
        <w:t>Development of Education Collaboratives</w:t>
      </w:r>
    </w:p>
    <w:p w14:paraId="5E40ABB0" w14:textId="77777777" w:rsidR="0046788E" w:rsidRDefault="0046788E" w:rsidP="0046788E">
      <w:pPr>
        <w:pStyle w:val="paragraph"/>
        <w:spacing w:before="0" w:beforeAutospacing="0" w:after="0" w:afterAutospacing="0"/>
        <w:textAlignment w:val="baseline"/>
      </w:pPr>
      <w:r>
        <w:rPr>
          <w:rStyle w:val="normaltextrun"/>
        </w:rPr>
        <w:t xml:space="preserve">Formed through an agreement among two or more local school committees and/or charter school boards under the provisions of </w:t>
      </w:r>
      <w:hyperlink r:id="rId20" w:tgtFrame="_blank" w:history="1">
        <w:r>
          <w:rPr>
            <w:rStyle w:val="normaltextrun"/>
            <w:color w:val="0000FF"/>
          </w:rPr>
          <w:t>Chapter 40, Section 4E</w:t>
        </w:r>
      </w:hyperlink>
      <w:r>
        <w:rPr>
          <w:rStyle w:val="normaltextrun"/>
        </w:rPr>
        <w:t xml:space="preserve">, </w:t>
      </w:r>
      <w:hyperlink r:id="rId21" w:tgtFrame="_blank" w:history="1">
        <w:r>
          <w:rPr>
            <w:rStyle w:val="normaltextrun"/>
            <w:color w:val="0000FF"/>
          </w:rPr>
          <w:t>education collaboratives</w:t>
        </w:r>
      </w:hyperlink>
      <w:r>
        <w:rPr>
          <w:rStyle w:val="normaltextrun"/>
        </w:rPr>
        <w:t xml:space="preserve"> provide programming that supplements and strengthens the programs and services offered by local school committees and charter school boards.</w:t>
      </w:r>
      <w:r>
        <w:t xml:space="preserve"> Education collaboratives enhance</w:t>
      </w:r>
      <w:r>
        <w:rPr>
          <w:color w:val="2B2B2B"/>
          <w:shd w:val="clear" w:color="auto" w:fill="FFFFFF"/>
        </w:rPr>
        <w:t xml:space="preserve"> regional educational capacity </w:t>
      </w:r>
      <w:r>
        <w:rPr>
          <w:color w:val="000000"/>
          <w:shd w:val="clear" w:color="auto" w:fill="FFFFFF"/>
        </w:rPr>
        <w:t xml:space="preserve">while providing cost-effective services and </w:t>
      </w:r>
      <w:r>
        <w:rPr>
          <w:color w:val="2B2B2B"/>
          <w:shd w:val="clear" w:color="auto" w:fill="FFFFFF"/>
        </w:rPr>
        <w:t>resources</w:t>
      </w:r>
      <w:r>
        <w:rPr>
          <w:color w:val="000000"/>
          <w:shd w:val="clear" w:color="auto" w:fill="FFFFFF"/>
        </w:rPr>
        <w:t xml:space="preserve"> to member and non-member districts</w:t>
      </w:r>
      <w:r>
        <w:t>.</w:t>
      </w:r>
      <w:r>
        <w:rPr>
          <w:rStyle w:val="eop"/>
        </w:rPr>
        <w:t> </w:t>
      </w:r>
    </w:p>
    <w:p w14:paraId="720770C0" w14:textId="77777777" w:rsidR="0046788E" w:rsidRDefault="0046788E" w:rsidP="0046788E">
      <w:pPr>
        <w:pStyle w:val="paragraph"/>
        <w:spacing w:before="0" w:beforeAutospacing="0" w:after="0" w:afterAutospacing="0"/>
        <w:textAlignment w:val="baseline"/>
      </w:pPr>
    </w:p>
    <w:p w14:paraId="227D7295" w14:textId="5061BD4A" w:rsidR="0046788E" w:rsidRDefault="0046788E" w:rsidP="0046788E">
      <w:pPr>
        <w:pStyle w:val="paragraph"/>
        <w:spacing w:before="0" w:beforeAutospacing="0" w:after="0" w:afterAutospacing="0"/>
        <w:textAlignment w:val="baseline"/>
      </w:pPr>
      <w:r>
        <w:rPr>
          <w:rStyle w:val="normaltextrun"/>
        </w:rPr>
        <w:t xml:space="preserve">In FY2020, 4,244 students with </w:t>
      </w:r>
      <w:r>
        <w:t>a full range of special needs were provided high-quality and tailored education. Responsible for educating many of the most vulnerable students, collaboratives have played a leadership role in developing a broad range of innovative programming to meet a variety of needs by providing training and sharing educational practices.</w:t>
      </w:r>
      <w:r>
        <w:rPr>
          <w:rStyle w:val="eop"/>
          <w:color w:val="2B2B2B"/>
        </w:rPr>
        <w:t> </w:t>
      </w:r>
    </w:p>
    <w:p w14:paraId="61B2EEE8" w14:textId="5245F1CD" w:rsidR="007432E5" w:rsidRPr="00160ADA" w:rsidRDefault="0046788E" w:rsidP="00160ADA">
      <w:pPr>
        <w:pStyle w:val="paragraph"/>
        <w:spacing w:before="0" w:beforeAutospacing="0" w:after="0" w:afterAutospacing="0"/>
        <w:textAlignment w:val="baseline"/>
        <w:rPr>
          <w:rStyle w:val="normaltextrun"/>
          <w:color w:val="000000"/>
        </w:rPr>
      </w:pPr>
      <w:r>
        <w:rPr>
          <w:rStyle w:val="normaltextrun"/>
          <w:color w:val="000000"/>
        </w:rPr>
        <w:t xml:space="preserve">Additional information on collaboratives, including the authorizing law and companion regulations </w:t>
      </w:r>
      <w:hyperlink r:id="rId22" w:anchor=":~:text=authority%20of%20M.G.L.-,c.,and%20operation%20of%20educational%20collaboratives." w:tgtFrame="_blank" w:history="1">
        <w:r>
          <w:rPr>
            <w:rStyle w:val="normaltextrun"/>
            <w:color w:val="0000FF"/>
          </w:rPr>
          <w:t>(603 CMR 50.00)</w:t>
        </w:r>
      </w:hyperlink>
      <w:r>
        <w:rPr>
          <w:rStyle w:val="normaltextrun"/>
          <w:color w:val="000000"/>
        </w:rPr>
        <w:t xml:space="preserve"> may be accessed on DESE’s </w:t>
      </w:r>
      <w:hyperlink r:id="rId23" w:tgtFrame="_blank" w:history="1">
        <w:r>
          <w:rPr>
            <w:rStyle w:val="normaltextrun"/>
            <w:color w:val="0000FF"/>
          </w:rPr>
          <w:t>website</w:t>
        </w:r>
      </w:hyperlink>
      <w:r>
        <w:rPr>
          <w:rStyle w:val="normaltextrun"/>
          <w:color w:val="000000"/>
        </w:rPr>
        <w:t>.</w:t>
      </w:r>
      <w:r>
        <w:rPr>
          <w:rStyle w:val="eop"/>
          <w:color w:val="000000"/>
        </w:rPr>
        <w:t> </w:t>
      </w:r>
    </w:p>
    <w:p w14:paraId="70A55CAB" w14:textId="4CBAF766" w:rsidR="007432E5" w:rsidRPr="004C0232" w:rsidRDefault="00C42B82" w:rsidP="004C0232">
      <w:pPr>
        <w:pStyle w:val="Heading1"/>
        <w:rPr>
          <w:rFonts w:ascii="Times New Roman" w:hAnsi="Times New Roman" w:cs="Times New Roman"/>
        </w:rPr>
      </w:pPr>
      <w:r w:rsidRPr="004C0232">
        <w:rPr>
          <w:rFonts w:ascii="Times New Roman" w:hAnsi="Times New Roman" w:cs="Times New Roman"/>
        </w:rPr>
        <w:t>Enrollment</w:t>
      </w:r>
    </w:p>
    <w:p w14:paraId="468065C6" w14:textId="4B331B90" w:rsidR="00437B14" w:rsidRDefault="00727AFD" w:rsidP="002C2113">
      <w:pPr>
        <w:rPr>
          <w:rStyle w:val="normaltextrun"/>
          <w:color w:val="000000"/>
        </w:rPr>
      </w:pPr>
      <w:r w:rsidRPr="00727AFD">
        <w:rPr>
          <w:rStyle w:val="normaltextrun"/>
          <w:color w:val="000000"/>
        </w:rPr>
        <w:t xml:space="preserve">Massachusetts’ total student enrollment decreased from school year 2018-2019 (FY19) to 2019-2020 (FY20), while the number of students receiving special education services increased. The percentage of students with Individualized Education Programs (IEPs) enrolled in Massachusetts public schools increased by 0.3 percentage points in FY20 (Table </w:t>
      </w:r>
      <w:r w:rsidR="00115B8C">
        <w:rPr>
          <w:rStyle w:val="normaltextrun"/>
          <w:color w:val="000000"/>
        </w:rPr>
        <w:t>2</w:t>
      </w:r>
      <w:r w:rsidRPr="00727AFD">
        <w:rPr>
          <w:rStyle w:val="normaltextrun"/>
          <w:color w:val="000000"/>
        </w:rPr>
        <w:t>). It should be noted that Massachusetts uses the total number of publicly enrolled students as the denominator when calculating the percentage enrollment of students with disabilities in special education.</w:t>
      </w:r>
    </w:p>
    <w:p w14:paraId="7B6E3D92" w14:textId="77777777" w:rsidR="00437B14" w:rsidRPr="00727AFD" w:rsidRDefault="00437B14" w:rsidP="002C2113">
      <w:pPr>
        <w:rPr>
          <w:rStyle w:val="normaltextrun"/>
          <w:color w:val="000000"/>
        </w:rPr>
      </w:pPr>
    </w:p>
    <w:tbl>
      <w:tblPr>
        <w:tblW w:w="5000" w:type="pct"/>
        <w:tblLook w:val="04A0" w:firstRow="1" w:lastRow="0" w:firstColumn="1" w:lastColumn="0" w:noHBand="0" w:noVBand="1"/>
      </w:tblPr>
      <w:tblGrid>
        <w:gridCol w:w="2340"/>
        <w:gridCol w:w="2340"/>
        <w:gridCol w:w="2340"/>
        <w:gridCol w:w="2340"/>
      </w:tblGrid>
      <w:tr w:rsidR="007E2309" w14:paraId="2F296A94" w14:textId="77777777" w:rsidTr="62441336">
        <w:trPr>
          <w:trHeight w:val="324"/>
        </w:trPr>
        <w:tc>
          <w:tcPr>
            <w:tcW w:w="5000" w:type="pct"/>
            <w:gridSpan w:val="4"/>
            <w:tcBorders>
              <w:bottom w:val="single" w:sz="8" w:space="0" w:color="auto"/>
            </w:tcBorders>
            <w:shd w:val="clear" w:color="auto" w:fill="auto"/>
            <w:noWrap/>
            <w:vAlign w:val="center"/>
            <w:hideMark/>
          </w:tcPr>
          <w:p w14:paraId="38D71ABC" w14:textId="7D65396F" w:rsidR="007E2309" w:rsidRDefault="007E2309" w:rsidP="00727AFD">
            <w:pPr>
              <w:rPr>
                <w:b/>
                <w:bCs/>
                <w:color w:val="000000"/>
              </w:rPr>
            </w:pPr>
            <w:r>
              <w:rPr>
                <w:b/>
                <w:bCs/>
                <w:color w:val="000000"/>
              </w:rPr>
              <w:t xml:space="preserve">Table </w:t>
            </w:r>
            <w:r w:rsidR="00115B8C">
              <w:rPr>
                <w:b/>
                <w:bCs/>
                <w:color w:val="000000"/>
              </w:rPr>
              <w:t>2</w:t>
            </w:r>
            <w:r>
              <w:rPr>
                <w:b/>
                <w:bCs/>
                <w:color w:val="000000"/>
              </w:rPr>
              <w:t>: Number and Percentage of Students with Disabilities, FY07–FY20</w:t>
            </w:r>
          </w:p>
        </w:tc>
      </w:tr>
      <w:tr w:rsidR="007E2309" w14:paraId="4B974ACC" w14:textId="77777777" w:rsidTr="62441336">
        <w:trPr>
          <w:trHeight w:val="564"/>
        </w:trPr>
        <w:tc>
          <w:tcPr>
            <w:tcW w:w="1250" w:type="pct"/>
            <w:tcBorders>
              <w:top w:val="single" w:sz="8" w:space="0" w:color="auto"/>
              <w:bottom w:val="single" w:sz="8" w:space="0" w:color="auto"/>
            </w:tcBorders>
            <w:shd w:val="clear" w:color="auto" w:fill="auto"/>
            <w:vAlign w:val="center"/>
            <w:hideMark/>
          </w:tcPr>
          <w:p w14:paraId="4FA83AFE" w14:textId="3C2F2EBC" w:rsidR="007E2309" w:rsidRDefault="007E2309" w:rsidP="62441336">
            <w:pPr>
              <w:jc w:val="center"/>
              <w:rPr>
                <w:color w:val="000000" w:themeColor="text1"/>
                <w:sz w:val="22"/>
                <w:szCs w:val="22"/>
              </w:rPr>
            </w:pPr>
            <w:r w:rsidRPr="62441336">
              <w:rPr>
                <w:color w:val="000000" w:themeColor="text1"/>
                <w:sz w:val="22"/>
                <w:szCs w:val="22"/>
              </w:rPr>
              <w:t xml:space="preserve">School </w:t>
            </w:r>
          </w:p>
          <w:p w14:paraId="62EA6B42" w14:textId="2E75E745" w:rsidR="007E2309" w:rsidRDefault="007E2309">
            <w:pPr>
              <w:jc w:val="center"/>
              <w:rPr>
                <w:color w:val="000000"/>
                <w:sz w:val="22"/>
                <w:szCs w:val="22"/>
              </w:rPr>
            </w:pPr>
            <w:r w:rsidRPr="62441336">
              <w:rPr>
                <w:color w:val="000000" w:themeColor="text1"/>
                <w:sz w:val="22"/>
                <w:szCs w:val="22"/>
              </w:rPr>
              <w:t>Year</w:t>
            </w:r>
          </w:p>
        </w:tc>
        <w:tc>
          <w:tcPr>
            <w:tcW w:w="1250" w:type="pct"/>
            <w:tcBorders>
              <w:top w:val="single" w:sz="8" w:space="0" w:color="auto"/>
              <w:bottom w:val="single" w:sz="8" w:space="0" w:color="auto"/>
            </w:tcBorders>
            <w:shd w:val="clear" w:color="auto" w:fill="auto"/>
            <w:vAlign w:val="center"/>
            <w:hideMark/>
          </w:tcPr>
          <w:p w14:paraId="5621A55B" w14:textId="77777777" w:rsidR="007E2309" w:rsidRDefault="007E2309">
            <w:pPr>
              <w:jc w:val="center"/>
              <w:rPr>
                <w:color w:val="000000"/>
                <w:sz w:val="22"/>
                <w:szCs w:val="22"/>
              </w:rPr>
            </w:pPr>
            <w:r>
              <w:rPr>
                <w:color w:val="000000"/>
                <w:sz w:val="22"/>
                <w:szCs w:val="22"/>
              </w:rPr>
              <w:t>Total Special Education Enrollment</w:t>
            </w:r>
          </w:p>
        </w:tc>
        <w:tc>
          <w:tcPr>
            <w:tcW w:w="1250" w:type="pct"/>
            <w:tcBorders>
              <w:top w:val="single" w:sz="8" w:space="0" w:color="auto"/>
              <w:bottom w:val="single" w:sz="8" w:space="0" w:color="auto"/>
            </w:tcBorders>
            <w:shd w:val="clear" w:color="auto" w:fill="auto"/>
            <w:vAlign w:val="center"/>
            <w:hideMark/>
          </w:tcPr>
          <w:p w14:paraId="5F83BDDC" w14:textId="55385D9A" w:rsidR="007E2309" w:rsidRDefault="007E2309" w:rsidP="62441336">
            <w:pPr>
              <w:jc w:val="center"/>
              <w:rPr>
                <w:color w:val="000000" w:themeColor="text1"/>
                <w:sz w:val="22"/>
                <w:szCs w:val="22"/>
              </w:rPr>
            </w:pPr>
            <w:r w:rsidRPr="62441336">
              <w:rPr>
                <w:color w:val="000000" w:themeColor="text1"/>
                <w:sz w:val="22"/>
                <w:szCs w:val="22"/>
              </w:rPr>
              <w:t xml:space="preserve">Total </w:t>
            </w:r>
          </w:p>
          <w:p w14:paraId="63D180DA" w14:textId="465E6C3F" w:rsidR="007E2309" w:rsidRDefault="007E2309">
            <w:pPr>
              <w:jc w:val="center"/>
              <w:rPr>
                <w:color w:val="000000"/>
                <w:sz w:val="22"/>
                <w:szCs w:val="22"/>
              </w:rPr>
            </w:pPr>
            <w:r w:rsidRPr="62441336">
              <w:rPr>
                <w:color w:val="000000" w:themeColor="text1"/>
                <w:sz w:val="22"/>
                <w:szCs w:val="22"/>
              </w:rPr>
              <w:t>Enrollment</w:t>
            </w:r>
          </w:p>
        </w:tc>
        <w:tc>
          <w:tcPr>
            <w:tcW w:w="1250" w:type="pct"/>
            <w:tcBorders>
              <w:top w:val="single" w:sz="8" w:space="0" w:color="auto"/>
              <w:bottom w:val="single" w:sz="8" w:space="0" w:color="auto"/>
            </w:tcBorders>
            <w:shd w:val="clear" w:color="auto" w:fill="auto"/>
            <w:vAlign w:val="center"/>
            <w:hideMark/>
          </w:tcPr>
          <w:p w14:paraId="77492181" w14:textId="77777777" w:rsidR="007E2309" w:rsidRDefault="007E2309">
            <w:pPr>
              <w:jc w:val="center"/>
              <w:rPr>
                <w:color w:val="000000"/>
                <w:sz w:val="22"/>
                <w:szCs w:val="22"/>
              </w:rPr>
            </w:pPr>
            <w:r>
              <w:rPr>
                <w:color w:val="000000"/>
                <w:sz w:val="22"/>
                <w:szCs w:val="22"/>
              </w:rPr>
              <w:t>Percentage of Students with Disabilities</w:t>
            </w:r>
          </w:p>
        </w:tc>
      </w:tr>
      <w:tr w:rsidR="007E2309" w14:paraId="2FC7BF8F" w14:textId="77777777" w:rsidTr="62441336">
        <w:trPr>
          <w:trHeight w:val="288"/>
        </w:trPr>
        <w:tc>
          <w:tcPr>
            <w:tcW w:w="1250" w:type="pct"/>
            <w:tcBorders>
              <w:top w:val="single" w:sz="8" w:space="0" w:color="auto"/>
            </w:tcBorders>
            <w:shd w:val="clear" w:color="auto" w:fill="auto"/>
            <w:vAlign w:val="center"/>
            <w:hideMark/>
          </w:tcPr>
          <w:p w14:paraId="061D548C" w14:textId="77777777" w:rsidR="007E2309" w:rsidRDefault="007E2309">
            <w:pPr>
              <w:jc w:val="center"/>
              <w:rPr>
                <w:color w:val="000000"/>
                <w:sz w:val="20"/>
                <w:szCs w:val="20"/>
              </w:rPr>
            </w:pPr>
            <w:r>
              <w:rPr>
                <w:color w:val="000000"/>
                <w:sz w:val="20"/>
                <w:szCs w:val="20"/>
              </w:rPr>
              <w:t>2006-07</w:t>
            </w:r>
          </w:p>
        </w:tc>
        <w:tc>
          <w:tcPr>
            <w:tcW w:w="1250" w:type="pct"/>
            <w:tcBorders>
              <w:top w:val="single" w:sz="8" w:space="0" w:color="auto"/>
            </w:tcBorders>
            <w:shd w:val="clear" w:color="auto" w:fill="auto"/>
            <w:vAlign w:val="center"/>
            <w:hideMark/>
          </w:tcPr>
          <w:p w14:paraId="2E412992" w14:textId="77777777" w:rsidR="007E2309" w:rsidRDefault="007E2309">
            <w:pPr>
              <w:jc w:val="center"/>
              <w:rPr>
                <w:color w:val="000000"/>
                <w:sz w:val="20"/>
                <w:szCs w:val="20"/>
              </w:rPr>
            </w:pPr>
            <w:r>
              <w:rPr>
                <w:color w:val="000000"/>
                <w:sz w:val="20"/>
                <w:szCs w:val="20"/>
              </w:rPr>
              <w:t>163,396</w:t>
            </w:r>
          </w:p>
        </w:tc>
        <w:tc>
          <w:tcPr>
            <w:tcW w:w="1250" w:type="pct"/>
            <w:tcBorders>
              <w:top w:val="single" w:sz="8" w:space="0" w:color="auto"/>
            </w:tcBorders>
            <w:shd w:val="clear" w:color="auto" w:fill="auto"/>
            <w:vAlign w:val="center"/>
            <w:hideMark/>
          </w:tcPr>
          <w:p w14:paraId="14E48E0C" w14:textId="77777777" w:rsidR="007E2309" w:rsidRDefault="007E2309">
            <w:pPr>
              <w:jc w:val="center"/>
              <w:rPr>
                <w:color w:val="000000"/>
                <w:sz w:val="20"/>
                <w:szCs w:val="20"/>
              </w:rPr>
            </w:pPr>
            <w:r>
              <w:rPr>
                <w:color w:val="000000"/>
                <w:sz w:val="20"/>
                <w:szCs w:val="20"/>
              </w:rPr>
              <w:t>979,851</w:t>
            </w:r>
          </w:p>
        </w:tc>
        <w:tc>
          <w:tcPr>
            <w:tcW w:w="1250" w:type="pct"/>
            <w:tcBorders>
              <w:top w:val="single" w:sz="8" w:space="0" w:color="auto"/>
            </w:tcBorders>
            <w:shd w:val="clear" w:color="auto" w:fill="auto"/>
            <w:vAlign w:val="center"/>
            <w:hideMark/>
          </w:tcPr>
          <w:p w14:paraId="1F2A2B31" w14:textId="77777777" w:rsidR="007E2309" w:rsidRDefault="007E2309">
            <w:pPr>
              <w:jc w:val="center"/>
              <w:rPr>
                <w:color w:val="000000"/>
                <w:sz w:val="20"/>
                <w:szCs w:val="20"/>
              </w:rPr>
            </w:pPr>
            <w:r>
              <w:rPr>
                <w:color w:val="000000"/>
                <w:sz w:val="20"/>
                <w:szCs w:val="20"/>
              </w:rPr>
              <w:t>16.7%</w:t>
            </w:r>
          </w:p>
        </w:tc>
      </w:tr>
      <w:tr w:rsidR="007E2309" w14:paraId="4EF4F62A" w14:textId="77777777" w:rsidTr="62441336">
        <w:trPr>
          <w:trHeight w:val="288"/>
        </w:trPr>
        <w:tc>
          <w:tcPr>
            <w:tcW w:w="1250" w:type="pct"/>
            <w:shd w:val="clear" w:color="auto" w:fill="auto"/>
            <w:vAlign w:val="center"/>
            <w:hideMark/>
          </w:tcPr>
          <w:p w14:paraId="1D0C92BD" w14:textId="77777777" w:rsidR="007E2309" w:rsidRDefault="007E2309">
            <w:pPr>
              <w:jc w:val="center"/>
              <w:rPr>
                <w:color w:val="000000"/>
                <w:sz w:val="20"/>
                <w:szCs w:val="20"/>
              </w:rPr>
            </w:pPr>
            <w:r>
              <w:rPr>
                <w:color w:val="000000"/>
                <w:sz w:val="20"/>
                <w:szCs w:val="20"/>
              </w:rPr>
              <w:t>2007-08</w:t>
            </w:r>
          </w:p>
        </w:tc>
        <w:tc>
          <w:tcPr>
            <w:tcW w:w="1250" w:type="pct"/>
            <w:shd w:val="clear" w:color="auto" w:fill="auto"/>
            <w:vAlign w:val="center"/>
            <w:hideMark/>
          </w:tcPr>
          <w:p w14:paraId="06662292" w14:textId="77777777" w:rsidR="007E2309" w:rsidRDefault="007E2309">
            <w:pPr>
              <w:jc w:val="center"/>
              <w:rPr>
                <w:color w:val="000000"/>
                <w:sz w:val="20"/>
                <w:szCs w:val="20"/>
              </w:rPr>
            </w:pPr>
            <w:r>
              <w:rPr>
                <w:color w:val="000000"/>
                <w:sz w:val="20"/>
                <w:szCs w:val="20"/>
              </w:rPr>
              <w:t>164,298</w:t>
            </w:r>
          </w:p>
        </w:tc>
        <w:tc>
          <w:tcPr>
            <w:tcW w:w="1250" w:type="pct"/>
            <w:shd w:val="clear" w:color="auto" w:fill="auto"/>
            <w:vAlign w:val="center"/>
            <w:hideMark/>
          </w:tcPr>
          <w:p w14:paraId="17490093" w14:textId="77777777" w:rsidR="007E2309" w:rsidRDefault="007E2309">
            <w:pPr>
              <w:jc w:val="center"/>
              <w:rPr>
                <w:color w:val="000000"/>
                <w:sz w:val="20"/>
                <w:szCs w:val="20"/>
              </w:rPr>
            </w:pPr>
            <w:r>
              <w:rPr>
                <w:color w:val="000000"/>
                <w:sz w:val="20"/>
                <w:szCs w:val="20"/>
              </w:rPr>
              <w:t>972,178</w:t>
            </w:r>
          </w:p>
        </w:tc>
        <w:tc>
          <w:tcPr>
            <w:tcW w:w="1250" w:type="pct"/>
            <w:shd w:val="clear" w:color="auto" w:fill="auto"/>
            <w:vAlign w:val="center"/>
            <w:hideMark/>
          </w:tcPr>
          <w:p w14:paraId="66A7D075" w14:textId="77777777" w:rsidR="007E2309" w:rsidRDefault="007E2309">
            <w:pPr>
              <w:jc w:val="center"/>
              <w:rPr>
                <w:color w:val="000000"/>
                <w:sz w:val="20"/>
                <w:szCs w:val="20"/>
              </w:rPr>
            </w:pPr>
            <w:r>
              <w:rPr>
                <w:color w:val="000000"/>
                <w:sz w:val="20"/>
                <w:szCs w:val="20"/>
              </w:rPr>
              <w:t>16.9%</w:t>
            </w:r>
          </w:p>
        </w:tc>
      </w:tr>
      <w:tr w:rsidR="007E2309" w14:paraId="544844B3" w14:textId="77777777" w:rsidTr="62441336">
        <w:trPr>
          <w:trHeight w:val="288"/>
        </w:trPr>
        <w:tc>
          <w:tcPr>
            <w:tcW w:w="1250" w:type="pct"/>
            <w:shd w:val="clear" w:color="auto" w:fill="auto"/>
            <w:vAlign w:val="center"/>
            <w:hideMark/>
          </w:tcPr>
          <w:p w14:paraId="2694850C" w14:textId="77777777" w:rsidR="007E2309" w:rsidRDefault="007E2309">
            <w:pPr>
              <w:jc w:val="center"/>
              <w:rPr>
                <w:color w:val="000000"/>
                <w:sz w:val="20"/>
                <w:szCs w:val="20"/>
              </w:rPr>
            </w:pPr>
            <w:r>
              <w:rPr>
                <w:color w:val="000000"/>
                <w:sz w:val="20"/>
                <w:szCs w:val="20"/>
              </w:rPr>
              <w:t>2008-09</w:t>
            </w:r>
          </w:p>
        </w:tc>
        <w:tc>
          <w:tcPr>
            <w:tcW w:w="1250" w:type="pct"/>
            <w:shd w:val="clear" w:color="auto" w:fill="auto"/>
            <w:vAlign w:val="center"/>
            <w:hideMark/>
          </w:tcPr>
          <w:p w14:paraId="2AC0E465" w14:textId="77777777" w:rsidR="007E2309" w:rsidRDefault="007E2309">
            <w:pPr>
              <w:jc w:val="center"/>
              <w:rPr>
                <w:color w:val="000000"/>
                <w:sz w:val="20"/>
                <w:szCs w:val="20"/>
              </w:rPr>
            </w:pPr>
            <w:r>
              <w:rPr>
                <w:color w:val="000000"/>
                <w:sz w:val="20"/>
                <w:szCs w:val="20"/>
              </w:rPr>
              <w:t>166,037</w:t>
            </w:r>
          </w:p>
        </w:tc>
        <w:tc>
          <w:tcPr>
            <w:tcW w:w="1250" w:type="pct"/>
            <w:shd w:val="clear" w:color="auto" w:fill="auto"/>
            <w:vAlign w:val="center"/>
            <w:hideMark/>
          </w:tcPr>
          <w:p w14:paraId="4506B1A9" w14:textId="77777777" w:rsidR="007E2309" w:rsidRDefault="007E2309">
            <w:pPr>
              <w:jc w:val="center"/>
              <w:rPr>
                <w:color w:val="000000"/>
                <w:sz w:val="20"/>
                <w:szCs w:val="20"/>
              </w:rPr>
            </w:pPr>
            <w:r>
              <w:rPr>
                <w:color w:val="000000"/>
                <w:sz w:val="20"/>
                <w:szCs w:val="20"/>
              </w:rPr>
              <w:t>970,059</w:t>
            </w:r>
          </w:p>
        </w:tc>
        <w:tc>
          <w:tcPr>
            <w:tcW w:w="1250" w:type="pct"/>
            <w:shd w:val="clear" w:color="auto" w:fill="auto"/>
            <w:vAlign w:val="center"/>
            <w:hideMark/>
          </w:tcPr>
          <w:p w14:paraId="2CDA785D" w14:textId="77777777" w:rsidR="007E2309" w:rsidRDefault="007E2309">
            <w:pPr>
              <w:jc w:val="center"/>
              <w:rPr>
                <w:color w:val="000000"/>
                <w:sz w:val="20"/>
                <w:szCs w:val="20"/>
              </w:rPr>
            </w:pPr>
            <w:r>
              <w:rPr>
                <w:color w:val="000000"/>
                <w:sz w:val="20"/>
                <w:szCs w:val="20"/>
              </w:rPr>
              <w:t>17.1%</w:t>
            </w:r>
          </w:p>
        </w:tc>
      </w:tr>
      <w:tr w:rsidR="007E2309" w14:paraId="4AE55E22" w14:textId="77777777" w:rsidTr="62441336">
        <w:trPr>
          <w:trHeight w:val="288"/>
        </w:trPr>
        <w:tc>
          <w:tcPr>
            <w:tcW w:w="1250" w:type="pct"/>
            <w:shd w:val="clear" w:color="auto" w:fill="auto"/>
            <w:vAlign w:val="center"/>
            <w:hideMark/>
          </w:tcPr>
          <w:p w14:paraId="73807AB7" w14:textId="77777777" w:rsidR="007E2309" w:rsidRDefault="007E2309">
            <w:pPr>
              <w:jc w:val="center"/>
              <w:rPr>
                <w:color w:val="000000"/>
                <w:sz w:val="20"/>
                <w:szCs w:val="20"/>
              </w:rPr>
            </w:pPr>
            <w:r>
              <w:rPr>
                <w:color w:val="000000"/>
                <w:sz w:val="20"/>
                <w:szCs w:val="20"/>
              </w:rPr>
              <w:t>2009-10</w:t>
            </w:r>
          </w:p>
        </w:tc>
        <w:tc>
          <w:tcPr>
            <w:tcW w:w="1250" w:type="pct"/>
            <w:shd w:val="clear" w:color="auto" w:fill="auto"/>
            <w:vAlign w:val="center"/>
            <w:hideMark/>
          </w:tcPr>
          <w:p w14:paraId="22F0A9B4" w14:textId="77777777" w:rsidR="007E2309" w:rsidRDefault="007E2309">
            <w:pPr>
              <w:jc w:val="center"/>
              <w:rPr>
                <w:color w:val="000000"/>
                <w:sz w:val="20"/>
                <w:szCs w:val="20"/>
              </w:rPr>
            </w:pPr>
            <w:r>
              <w:rPr>
                <w:color w:val="000000"/>
                <w:sz w:val="20"/>
                <w:szCs w:val="20"/>
              </w:rPr>
              <w:t>164,847</w:t>
            </w:r>
          </w:p>
        </w:tc>
        <w:tc>
          <w:tcPr>
            <w:tcW w:w="1250" w:type="pct"/>
            <w:shd w:val="clear" w:color="auto" w:fill="auto"/>
            <w:vAlign w:val="center"/>
            <w:hideMark/>
          </w:tcPr>
          <w:p w14:paraId="05AB3589" w14:textId="77777777" w:rsidR="007E2309" w:rsidRDefault="007E2309">
            <w:pPr>
              <w:jc w:val="center"/>
              <w:rPr>
                <w:color w:val="000000"/>
                <w:sz w:val="20"/>
                <w:szCs w:val="20"/>
              </w:rPr>
            </w:pPr>
            <w:r>
              <w:rPr>
                <w:color w:val="000000"/>
                <w:sz w:val="20"/>
                <w:szCs w:val="20"/>
              </w:rPr>
              <w:t>967,951</w:t>
            </w:r>
          </w:p>
        </w:tc>
        <w:tc>
          <w:tcPr>
            <w:tcW w:w="1250" w:type="pct"/>
            <w:shd w:val="clear" w:color="auto" w:fill="auto"/>
            <w:vAlign w:val="center"/>
            <w:hideMark/>
          </w:tcPr>
          <w:p w14:paraId="143185C4" w14:textId="77777777" w:rsidR="007E2309" w:rsidRDefault="007E2309">
            <w:pPr>
              <w:jc w:val="center"/>
              <w:rPr>
                <w:color w:val="000000"/>
                <w:sz w:val="20"/>
                <w:szCs w:val="20"/>
              </w:rPr>
            </w:pPr>
            <w:r>
              <w:rPr>
                <w:color w:val="000000"/>
                <w:sz w:val="20"/>
                <w:szCs w:val="20"/>
              </w:rPr>
              <w:t>17.0%</w:t>
            </w:r>
          </w:p>
        </w:tc>
      </w:tr>
      <w:tr w:rsidR="007E2309" w14:paraId="29A1AE04" w14:textId="77777777" w:rsidTr="62441336">
        <w:trPr>
          <w:trHeight w:val="288"/>
        </w:trPr>
        <w:tc>
          <w:tcPr>
            <w:tcW w:w="1250" w:type="pct"/>
            <w:shd w:val="clear" w:color="auto" w:fill="auto"/>
            <w:vAlign w:val="center"/>
            <w:hideMark/>
          </w:tcPr>
          <w:p w14:paraId="5C592574" w14:textId="77777777" w:rsidR="007E2309" w:rsidRDefault="007E2309">
            <w:pPr>
              <w:jc w:val="center"/>
              <w:rPr>
                <w:color w:val="000000"/>
                <w:sz w:val="20"/>
                <w:szCs w:val="20"/>
              </w:rPr>
            </w:pPr>
            <w:r>
              <w:rPr>
                <w:color w:val="000000"/>
                <w:sz w:val="20"/>
                <w:szCs w:val="20"/>
              </w:rPr>
              <w:t>2010-11</w:t>
            </w:r>
          </w:p>
        </w:tc>
        <w:tc>
          <w:tcPr>
            <w:tcW w:w="1250" w:type="pct"/>
            <w:shd w:val="clear" w:color="auto" w:fill="auto"/>
            <w:vAlign w:val="center"/>
            <w:hideMark/>
          </w:tcPr>
          <w:p w14:paraId="62FEAA95" w14:textId="77777777" w:rsidR="007E2309" w:rsidRDefault="007E2309">
            <w:pPr>
              <w:jc w:val="center"/>
              <w:rPr>
                <w:color w:val="000000"/>
                <w:sz w:val="20"/>
                <w:szCs w:val="20"/>
              </w:rPr>
            </w:pPr>
            <w:r>
              <w:rPr>
                <w:color w:val="000000"/>
                <w:sz w:val="20"/>
                <w:szCs w:val="20"/>
              </w:rPr>
              <w:t>164,711</w:t>
            </w:r>
          </w:p>
        </w:tc>
        <w:tc>
          <w:tcPr>
            <w:tcW w:w="1250" w:type="pct"/>
            <w:shd w:val="clear" w:color="auto" w:fill="auto"/>
            <w:vAlign w:val="center"/>
            <w:hideMark/>
          </w:tcPr>
          <w:p w14:paraId="5EE2EEFE" w14:textId="77777777" w:rsidR="007E2309" w:rsidRDefault="007E2309">
            <w:pPr>
              <w:jc w:val="center"/>
              <w:rPr>
                <w:color w:val="000000"/>
                <w:sz w:val="20"/>
                <w:szCs w:val="20"/>
              </w:rPr>
            </w:pPr>
            <w:r>
              <w:rPr>
                <w:color w:val="000000"/>
                <w:sz w:val="20"/>
                <w:szCs w:val="20"/>
              </w:rPr>
              <w:t>966,395</w:t>
            </w:r>
          </w:p>
        </w:tc>
        <w:tc>
          <w:tcPr>
            <w:tcW w:w="1250" w:type="pct"/>
            <w:shd w:val="clear" w:color="auto" w:fill="auto"/>
            <w:vAlign w:val="center"/>
            <w:hideMark/>
          </w:tcPr>
          <w:p w14:paraId="42F77072" w14:textId="77777777" w:rsidR="007E2309" w:rsidRDefault="007E2309">
            <w:pPr>
              <w:jc w:val="center"/>
              <w:rPr>
                <w:color w:val="000000"/>
                <w:sz w:val="20"/>
                <w:szCs w:val="20"/>
              </w:rPr>
            </w:pPr>
            <w:r>
              <w:rPr>
                <w:color w:val="000000"/>
                <w:sz w:val="20"/>
                <w:szCs w:val="20"/>
              </w:rPr>
              <w:t>17.0%</w:t>
            </w:r>
          </w:p>
        </w:tc>
      </w:tr>
      <w:tr w:rsidR="007E2309" w14:paraId="0ECF9CC1" w14:textId="77777777" w:rsidTr="62441336">
        <w:trPr>
          <w:trHeight w:val="288"/>
        </w:trPr>
        <w:tc>
          <w:tcPr>
            <w:tcW w:w="1250" w:type="pct"/>
            <w:shd w:val="clear" w:color="auto" w:fill="auto"/>
            <w:vAlign w:val="center"/>
            <w:hideMark/>
          </w:tcPr>
          <w:p w14:paraId="3A9D98CF" w14:textId="77777777" w:rsidR="007E2309" w:rsidRDefault="007E2309">
            <w:pPr>
              <w:jc w:val="center"/>
              <w:rPr>
                <w:color w:val="000000"/>
                <w:sz w:val="20"/>
                <w:szCs w:val="20"/>
              </w:rPr>
            </w:pPr>
            <w:r>
              <w:rPr>
                <w:color w:val="000000"/>
                <w:sz w:val="20"/>
                <w:szCs w:val="20"/>
              </w:rPr>
              <w:t>2011-12</w:t>
            </w:r>
          </w:p>
        </w:tc>
        <w:tc>
          <w:tcPr>
            <w:tcW w:w="1250" w:type="pct"/>
            <w:shd w:val="clear" w:color="auto" w:fill="auto"/>
            <w:vAlign w:val="center"/>
            <w:hideMark/>
          </w:tcPr>
          <w:p w14:paraId="4AFC105F" w14:textId="77777777" w:rsidR="007E2309" w:rsidRDefault="007E2309">
            <w:pPr>
              <w:jc w:val="center"/>
              <w:rPr>
                <w:color w:val="000000"/>
                <w:sz w:val="20"/>
                <w:szCs w:val="20"/>
              </w:rPr>
            </w:pPr>
            <w:r>
              <w:rPr>
                <w:color w:val="000000"/>
                <w:sz w:val="20"/>
                <w:szCs w:val="20"/>
              </w:rPr>
              <w:t>163,679</w:t>
            </w:r>
          </w:p>
        </w:tc>
        <w:tc>
          <w:tcPr>
            <w:tcW w:w="1250" w:type="pct"/>
            <w:shd w:val="clear" w:color="auto" w:fill="auto"/>
            <w:vAlign w:val="center"/>
            <w:hideMark/>
          </w:tcPr>
          <w:p w14:paraId="430CD7D1" w14:textId="77777777" w:rsidR="007E2309" w:rsidRDefault="007E2309">
            <w:pPr>
              <w:jc w:val="center"/>
              <w:rPr>
                <w:color w:val="000000"/>
                <w:sz w:val="20"/>
                <w:szCs w:val="20"/>
              </w:rPr>
            </w:pPr>
            <w:r>
              <w:rPr>
                <w:color w:val="000000"/>
                <w:sz w:val="20"/>
                <w:szCs w:val="20"/>
              </w:rPr>
              <w:t>964,198</w:t>
            </w:r>
          </w:p>
        </w:tc>
        <w:tc>
          <w:tcPr>
            <w:tcW w:w="1250" w:type="pct"/>
            <w:shd w:val="clear" w:color="auto" w:fill="auto"/>
            <w:vAlign w:val="center"/>
            <w:hideMark/>
          </w:tcPr>
          <w:p w14:paraId="5EC03574" w14:textId="77777777" w:rsidR="007E2309" w:rsidRDefault="007E2309">
            <w:pPr>
              <w:jc w:val="center"/>
              <w:rPr>
                <w:color w:val="000000"/>
                <w:sz w:val="20"/>
                <w:szCs w:val="20"/>
              </w:rPr>
            </w:pPr>
            <w:r>
              <w:rPr>
                <w:color w:val="000000"/>
                <w:sz w:val="20"/>
                <w:szCs w:val="20"/>
              </w:rPr>
              <w:t>17.0%</w:t>
            </w:r>
          </w:p>
        </w:tc>
      </w:tr>
      <w:tr w:rsidR="007E2309" w14:paraId="0A33CDC9" w14:textId="77777777" w:rsidTr="62441336">
        <w:trPr>
          <w:trHeight w:val="288"/>
        </w:trPr>
        <w:tc>
          <w:tcPr>
            <w:tcW w:w="1250" w:type="pct"/>
            <w:shd w:val="clear" w:color="auto" w:fill="auto"/>
            <w:vAlign w:val="center"/>
            <w:hideMark/>
          </w:tcPr>
          <w:p w14:paraId="4DBD4405" w14:textId="77777777" w:rsidR="007E2309" w:rsidRDefault="007E2309">
            <w:pPr>
              <w:jc w:val="center"/>
              <w:rPr>
                <w:color w:val="000000"/>
                <w:sz w:val="20"/>
                <w:szCs w:val="20"/>
              </w:rPr>
            </w:pPr>
            <w:r>
              <w:rPr>
                <w:color w:val="000000"/>
                <w:sz w:val="20"/>
                <w:szCs w:val="20"/>
              </w:rPr>
              <w:t>2012-13</w:t>
            </w:r>
          </w:p>
        </w:tc>
        <w:tc>
          <w:tcPr>
            <w:tcW w:w="1250" w:type="pct"/>
            <w:shd w:val="clear" w:color="auto" w:fill="auto"/>
            <w:vAlign w:val="center"/>
            <w:hideMark/>
          </w:tcPr>
          <w:p w14:paraId="70E75E96" w14:textId="77777777" w:rsidR="007E2309" w:rsidRDefault="007E2309">
            <w:pPr>
              <w:jc w:val="center"/>
              <w:rPr>
                <w:color w:val="000000"/>
                <w:sz w:val="20"/>
                <w:szCs w:val="20"/>
              </w:rPr>
            </w:pPr>
            <w:r>
              <w:rPr>
                <w:color w:val="000000"/>
                <w:sz w:val="20"/>
                <w:szCs w:val="20"/>
              </w:rPr>
              <w:t>163,921</w:t>
            </w:r>
          </w:p>
        </w:tc>
        <w:tc>
          <w:tcPr>
            <w:tcW w:w="1250" w:type="pct"/>
            <w:shd w:val="clear" w:color="auto" w:fill="auto"/>
            <w:vAlign w:val="center"/>
            <w:hideMark/>
          </w:tcPr>
          <w:p w14:paraId="77249A79" w14:textId="77777777" w:rsidR="007E2309" w:rsidRDefault="007E2309">
            <w:pPr>
              <w:jc w:val="center"/>
              <w:rPr>
                <w:color w:val="000000"/>
                <w:sz w:val="20"/>
                <w:szCs w:val="20"/>
              </w:rPr>
            </w:pPr>
            <w:r>
              <w:rPr>
                <w:color w:val="000000"/>
                <w:sz w:val="20"/>
                <w:szCs w:val="20"/>
              </w:rPr>
              <w:t>965,602</w:t>
            </w:r>
          </w:p>
        </w:tc>
        <w:tc>
          <w:tcPr>
            <w:tcW w:w="1250" w:type="pct"/>
            <w:shd w:val="clear" w:color="auto" w:fill="auto"/>
            <w:vAlign w:val="center"/>
            <w:hideMark/>
          </w:tcPr>
          <w:p w14:paraId="52470912" w14:textId="77777777" w:rsidR="007E2309" w:rsidRDefault="007E2309">
            <w:pPr>
              <w:jc w:val="center"/>
              <w:rPr>
                <w:color w:val="000000"/>
                <w:sz w:val="20"/>
                <w:szCs w:val="20"/>
              </w:rPr>
            </w:pPr>
            <w:r>
              <w:rPr>
                <w:color w:val="000000"/>
                <w:sz w:val="20"/>
                <w:szCs w:val="20"/>
              </w:rPr>
              <w:t>17.0%</w:t>
            </w:r>
          </w:p>
        </w:tc>
      </w:tr>
      <w:tr w:rsidR="007E2309" w14:paraId="3C92B872" w14:textId="77777777" w:rsidTr="62441336">
        <w:trPr>
          <w:trHeight w:val="288"/>
        </w:trPr>
        <w:tc>
          <w:tcPr>
            <w:tcW w:w="1250" w:type="pct"/>
            <w:shd w:val="clear" w:color="auto" w:fill="auto"/>
            <w:vAlign w:val="center"/>
            <w:hideMark/>
          </w:tcPr>
          <w:p w14:paraId="006A4E1F" w14:textId="77777777" w:rsidR="007E2309" w:rsidRDefault="007E2309">
            <w:pPr>
              <w:jc w:val="center"/>
              <w:rPr>
                <w:color w:val="000000"/>
                <w:sz w:val="20"/>
                <w:szCs w:val="20"/>
              </w:rPr>
            </w:pPr>
            <w:r>
              <w:rPr>
                <w:color w:val="000000"/>
                <w:sz w:val="20"/>
                <w:szCs w:val="20"/>
              </w:rPr>
              <w:t>2013-14</w:t>
            </w:r>
          </w:p>
        </w:tc>
        <w:tc>
          <w:tcPr>
            <w:tcW w:w="1250" w:type="pct"/>
            <w:shd w:val="clear" w:color="auto" w:fill="auto"/>
            <w:vAlign w:val="center"/>
            <w:hideMark/>
          </w:tcPr>
          <w:p w14:paraId="0943B449" w14:textId="77777777" w:rsidR="007E2309" w:rsidRDefault="007E2309">
            <w:pPr>
              <w:jc w:val="center"/>
              <w:rPr>
                <w:color w:val="000000"/>
                <w:sz w:val="20"/>
                <w:szCs w:val="20"/>
              </w:rPr>
            </w:pPr>
            <w:r>
              <w:rPr>
                <w:color w:val="000000"/>
                <w:sz w:val="20"/>
                <w:szCs w:val="20"/>
              </w:rPr>
              <w:t>164,336</w:t>
            </w:r>
          </w:p>
        </w:tc>
        <w:tc>
          <w:tcPr>
            <w:tcW w:w="1250" w:type="pct"/>
            <w:shd w:val="clear" w:color="auto" w:fill="auto"/>
            <w:vAlign w:val="center"/>
            <w:hideMark/>
          </w:tcPr>
          <w:p w14:paraId="056810C4" w14:textId="77777777" w:rsidR="007E2309" w:rsidRDefault="007E2309">
            <w:pPr>
              <w:jc w:val="center"/>
              <w:rPr>
                <w:color w:val="000000"/>
                <w:sz w:val="20"/>
                <w:szCs w:val="20"/>
              </w:rPr>
            </w:pPr>
            <w:r>
              <w:rPr>
                <w:color w:val="000000"/>
                <w:sz w:val="20"/>
                <w:szCs w:val="20"/>
              </w:rPr>
              <w:t>966,360</w:t>
            </w:r>
          </w:p>
        </w:tc>
        <w:tc>
          <w:tcPr>
            <w:tcW w:w="1250" w:type="pct"/>
            <w:shd w:val="clear" w:color="auto" w:fill="auto"/>
            <w:vAlign w:val="center"/>
            <w:hideMark/>
          </w:tcPr>
          <w:p w14:paraId="0457EFAF" w14:textId="77777777" w:rsidR="007E2309" w:rsidRDefault="007E2309">
            <w:pPr>
              <w:jc w:val="center"/>
              <w:rPr>
                <w:color w:val="000000"/>
                <w:sz w:val="20"/>
                <w:szCs w:val="20"/>
              </w:rPr>
            </w:pPr>
            <w:r>
              <w:rPr>
                <w:color w:val="000000"/>
                <w:sz w:val="20"/>
                <w:szCs w:val="20"/>
              </w:rPr>
              <w:t>17.0%</w:t>
            </w:r>
          </w:p>
        </w:tc>
      </w:tr>
      <w:tr w:rsidR="007E2309" w14:paraId="1931EE24" w14:textId="77777777" w:rsidTr="62441336">
        <w:trPr>
          <w:trHeight w:val="288"/>
        </w:trPr>
        <w:tc>
          <w:tcPr>
            <w:tcW w:w="1250" w:type="pct"/>
            <w:shd w:val="clear" w:color="auto" w:fill="auto"/>
            <w:vAlign w:val="center"/>
            <w:hideMark/>
          </w:tcPr>
          <w:p w14:paraId="63BAC185" w14:textId="77777777" w:rsidR="007E2309" w:rsidRDefault="007E2309">
            <w:pPr>
              <w:jc w:val="center"/>
              <w:rPr>
                <w:color w:val="000000"/>
                <w:sz w:val="20"/>
                <w:szCs w:val="20"/>
              </w:rPr>
            </w:pPr>
            <w:r>
              <w:rPr>
                <w:color w:val="000000"/>
                <w:sz w:val="20"/>
                <w:szCs w:val="20"/>
              </w:rPr>
              <w:t>2014-15</w:t>
            </w:r>
          </w:p>
        </w:tc>
        <w:tc>
          <w:tcPr>
            <w:tcW w:w="1250" w:type="pct"/>
            <w:shd w:val="clear" w:color="auto" w:fill="auto"/>
            <w:vAlign w:val="center"/>
            <w:hideMark/>
          </w:tcPr>
          <w:p w14:paraId="0E9EF438" w14:textId="77777777" w:rsidR="007E2309" w:rsidRDefault="007E2309">
            <w:pPr>
              <w:jc w:val="center"/>
              <w:rPr>
                <w:color w:val="000000"/>
                <w:sz w:val="20"/>
                <w:szCs w:val="20"/>
              </w:rPr>
            </w:pPr>
            <w:r>
              <w:rPr>
                <w:color w:val="000000"/>
                <w:sz w:val="20"/>
                <w:szCs w:val="20"/>
              </w:rPr>
              <w:t>165,060</w:t>
            </w:r>
          </w:p>
        </w:tc>
        <w:tc>
          <w:tcPr>
            <w:tcW w:w="1250" w:type="pct"/>
            <w:shd w:val="clear" w:color="auto" w:fill="auto"/>
            <w:vAlign w:val="center"/>
            <w:hideMark/>
          </w:tcPr>
          <w:p w14:paraId="030BC736" w14:textId="77777777" w:rsidR="007E2309" w:rsidRDefault="007E2309">
            <w:pPr>
              <w:jc w:val="center"/>
              <w:rPr>
                <w:color w:val="000000"/>
                <w:sz w:val="20"/>
                <w:szCs w:val="20"/>
              </w:rPr>
            </w:pPr>
            <w:r>
              <w:rPr>
                <w:color w:val="000000"/>
                <w:sz w:val="20"/>
                <w:szCs w:val="20"/>
              </w:rPr>
              <w:t>966,391</w:t>
            </w:r>
          </w:p>
        </w:tc>
        <w:tc>
          <w:tcPr>
            <w:tcW w:w="1250" w:type="pct"/>
            <w:shd w:val="clear" w:color="auto" w:fill="auto"/>
            <w:vAlign w:val="center"/>
            <w:hideMark/>
          </w:tcPr>
          <w:p w14:paraId="75E6254D" w14:textId="77777777" w:rsidR="007E2309" w:rsidRDefault="007E2309">
            <w:pPr>
              <w:jc w:val="center"/>
              <w:rPr>
                <w:color w:val="000000"/>
                <w:sz w:val="20"/>
                <w:szCs w:val="20"/>
              </w:rPr>
            </w:pPr>
            <w:r>
              <w:rPr>
                <w:color w:val="000000"/>
                <w:sz w:val="20"/>
                <w:szCs w:val="20"/>
              </w:rPr>
              <w:t>17.1%</w:t>
            </w:r>
          </w:p>
        </w:tc>
      </w:tr>
      <w:tr w:rsidR="007E2309" w14:paraId="480D563A" w14:textId="77777777" w:rsidTr="62441336">
        <w:trPr>
          <w:trHeight w:val="288"/>
        </w:trPr>
        <w:tc>
          <w:tcPr>
            <w:tcW w:w="1250" w:type="pct"/>
            <w:shd w:val="clear" w:color="auto" w:fill="auto"/>
            <w:vAlign w:val="center"/>
            <w:hideMark/>
          </w:tcPr>
          <w:p w14:paraId="2B89AC87" w14:textId="77777777" w:rsidR="007E2309" w:rsidRDefault="007E2309">
            <w:pPr>
              <w:jc w:val="center"/>
              <w:rPr>
                <w:color w:val="000000"/>
                <w:sz w:val="20"/>
                <w:szCs w:val="20"/>
              </w:rPr>
            </w:pPr>
            <w:r>
              <w:rPr>
                <w:color w:val="000000"/>
                <w:sz w:val="20"/>
                <w:szCs w:val="20"/>
              </w:rPr>
              <w:t>2015-16</w:t>
            </w:r>
          </w:p>
        </w:tc>
        <w:tc>
          <w:tcPr>
            <w:tcW w:w="1250" w:type="pct"/>
            <w:shd w:val="clear" w:color="auto" w:fill="auto"/>
            <w:vAlign w:val="center"/>
            <w:hideMark/>
          </w:tcPr>
          <w:p w14:paraId="5BAC7B87" w14:textId="77777777" w:rsidR="007E2309" w:rsidRDefault="007E2309">
            <w:pPr>
              <w:jc w:val="center"/>
              <w:rPr>
                <w:color w:val="000000"/>
                <w:sz w:val="20"/>
                <w:szCs w:val="20"/>
              </w:rPr>
            </w:pPr>
            <w:r>
              <w:rPr>
                <w:color w:val="000000"/>
                <w:sz w:val="20"/>
                <w:szCs w:val="20"/>
              </w:rPr>
              <w:t>165,560</w:t>
            </w:r>
          </w:p>
        </w:tc>
        <w:tc>
          <w:tcPr>
            <w:tcW w:w="1250" w:type="pct"/>
            <w:shd w:val="clear" w:color="auto" w:fill="auto"/>
            <w:vAlign w:val="center"/>
            <w:hideMark/>
          </w:tcPr>
          <w:p w14:paraId="030BC4A3" w14:textId="77777777" w:rsidR="007E2309" w:rsidRDefault="007E2309">
            <w:pPr>
              <w:jc w:val="center"/>
              <w:rPr>
                <w:color w:val="000000"/>
                <w:sz w:val="20"/>
                <w:szCs w:val="20"/>
              </w:rPr>
            </w:pPr>
            <w:r>
              <w:rPr>
                <w:color w:val="000000"/>
                <w:sz w:val="20"/>
                <w:szCs w:val="20"/>
              </w:rPr>
              <w:t>953,429</w:t>
            </w:r>
          </w:p>
        </w:tc>
        <w:tc>
          <w:tcPr>
            <w:tcW w:w="1250" w:type="pct"/>
            <w:shd w:val="clear" w:color="auto" w:fill="auto"/>
            <w:vAlign w:val="center"/>
            <w:hideMark/>
          </w:tcPr>
          <w:p w14:paraId="7583457A" w14:textId="77777777" w:rsidR="007E2309" w:rsidRDefault="007E2309">
            <w:pPr>
              <w:jc w:val="center"/>
              <w:rPr>
                <w:color w:val="000000"/>
                <w:sz w:val="20"/>
                <w:szCs w:val="20"/>
              </w:rPr>
            </w:pPr>
            <w:r>
              <w:rPr>
                <w:color w:val="000000"/>
                <w:sz w:val="20"/>
                <w:szCs w:val="20"/>
              </w:rPr>
              <w:t>17.2%</w:t>
            </w:r>
          </w:p>
        </w:tc>
      </w:tr>
      <w:tr w:rsidR="007E2309" w14:paraId="3FD9049C" w14:textId="77777777" w:rsidTr="62441336">
        <w:trPr>
          <w:trHeight w:val="288"/>
        </w:trPr>
        <w:tc>
          <w:tcPr>
            <w:tcW w:w="1250" w:type="pct"/>
            <w:shd w:val="clear" w:color="auto" w:fill="auto"/>
            <w:vAlign w:val="center"/>
            <w:hideMark/>
          </w:tcPr>
          <w:p w14:paraId="42B1D80C" w14:textId="77777777" w:rsidR="007E2309" w:rsidRDefault="007E2309">
            <w:pPr>
              <w:jc w:val="center"/>
              <w:rPr>
                <w:color w:val="000000"/>
                <w:sz w:val="20"/>
                <w:szCs w:val="20"/>
              </w:rPr>
            </w:pPr>
            <w:r>
              <w:rPr>
                <w:color w:val="000000"/>
                <w:sz w:val="20"/>
                <w:szCs w:val="20"/>
              </w:rPr>
              <w:t>2016-17</w:t>
            </w:r>
          </w:p>
        </w:tc>
        <w:tc>
          <w:tcPr>
            <w:tcW w:w="1250" w:type="pct"/>
            <w:shd w:val="clear" w:color="auto" w:fill="auto"/>
            <w:vAlign w:val="center"/>
            <w:hideMark/>
          </w:tcPr>
          <w:p w14:paraId="3BBA0A31" w14:textId="77777777" w:rsidR="007E2309" w:rsidRDefault="007E2309">
            <w:pPr>
              <w:jc w:val="center"/>
              <w:rPr>
                <w:color w:val="000000"/>
                <w:sz w:val="20"/>
                <w:szCs w:val="20"/>
              </w:rPr>
            </w:pPr>
            <w:r>
              <w:rPr>
                <w:color w:val="000000"/>
                <w:sz w:val="20"/>
                <w:szCs w:val="20"/>
              </w:rPr>
              <w:t>167,530</w:t>
            </w:r>
          </w:p>
        </w:tc>
        <w:tc>
          <w:tcPr>
            <w:tcW w:w="1250" w:type="pct"/>
            <w:shd w:val="clear" w:color="auto" w:fill="auto"/>
            <w:vAlign w:val="center"/>
            <w:hideMark/>
          </w:tcPr>
          <w:p w14:paraId="6B25DEBA" w14:textId="77777777" w:rsidR="007E2309" w:rsidRDefault="007E2309">
            <w:pPr>
              <w:jc w:val="center"/>
              <w:rPr>
                <w:color w:val="000000"/>
                <w:sz w:val="20"/>
                <w:szCs w:val="20"/>
              </w:rPr>
            </w:pPr>
            <w:r>
              <w:rPr>
                <w:color w:val="000000"/>
                <w:sz w:val="20"/>
                <w:szCs w:val="20"/>
              </w:rPr>
              <w:t>953,748</w:t>
            </w:r>
          </w:p>
        </w:tc>
        <w:tc>
          <w:tcPr>
            <w:tcW w:w="1250" w:type="pct"/>
            <w:shd w:val="clear" w:color="auto" w:fill="auto"/>
            <w:vAlign w:val="center"/>
            <w:hideMark/>
          </w:tcPr>
          <w:p w14:paraId="26DE791D" w14:textId="77777777" w:rsidR="007E2309" w:rsidRDefault="007E2309">
            <w:pPr>
              <w:jc w:val="center"/>
              <w:rPr>
                <w:color w:val="000000"/>
                <w:sz w:val="20"/>
                <w:szCs w:val="20"/>
              </w:rPr>
            </w:pPr>
            <w:r>
              <w:rPr>
                <w:color w:val="000000"/>
                <w:sz w:val="20"/>
                <w:szCs w:val="20"/>
              </w:rPr>
              <w:t>17.4%</w:t>
            </w:r>
          </w:p>
        </w:tc>
      </w:tr>
      <w:tr w:rsidR="007E2309" w14:paraId="5C36A44A" w14:textId="77777777" w:rsidTr="62441336">
        <w:trPr>
          <w:trHeight w:val="288"/>
        </w:trPr>
        <w:tc>
          <w:tcPr>
            <w:tcW w:w="1250" w:type="pct"/>
            <w:shd w:val="clear" w:color="auto" w:fill="auto"/>
            <w:vAlign w:val="center"/>
            <w:hideMark/>
          </w:tcPr>
          <w:p w14:paraId="03929B8F" w14:textId="77777777" w:rsidR="007E2309" w:rsidRDefault="007E2309">
            <w:pPr>
              <w:jc w:val="center"/>
              <w:rPr>
                <w:color w:val="000000"/>
                <w:sz w:val="20"/>
                <w:szCs w:val="20"/>
              </w:rPr>
            </w:pPr>
            <w:r>
              <w:rPr>
                <w:color w:val="000000"/>
                <w:sz w:val="20"/>
                <w:szCs w:val="20"/>
              </w:rPr>
              <w:t>2017-18</w:t>
            </w:r>
          </w:p>
        </w:tc>
        <w:tc>
          <w:tcPr>
            <w:tcW w:w="1250" w:type="pct"/>
            <w:shd w:val="clear" w:color="auto" w:fill="auto"/>
            <w:vAlign w:val="center"/>
            <w:hideMark/>
          </w:tcPr>
          <w:p w14:paraId="2A6669FC" w14:textId="77777777" w:rsidR="007E2309" w:rsidRDefault="007E2309">
            <w:pPr>
              <w:jc w:val="center"/>
              <w:rPr>
                <w:color w:val="000000"/>
                <w:sz w:val="20"/>
                <w:szCs w:val="20"/>
              </w:rPr>
            </w:pPr>
            <w:r>
              <w:rPr>
                <w:color w:val="000000"/>
                <w:sz w:val="20"/>
                <w:szCs w:val="20"/>
              </w:rPr>
              <w:t>171,061</w:t>
            </w:r>
          </w:p>
        </w:tc>
        <w:tc>
          <w:tcPr>
            <w:tcW w:w="1250" w:type="pct"/>
            <w:shd w:val="clear" w:color="auto" w:fill="auto"/>
            <w:vAlign w:val="center"/>
            <w:hideMark/>
          </w:tcPr>
          <w:p w14:paraId="35FCA264" w14:textId="77777777" w:rsidR="007E2309" w:rsidRDefault="007E2309">
            <w:pPr>
              <w:jc w:val="center"/>
              <w:rPr>
                <w:color w:val="000000"/>
                <w:sz w:val="20"/>
                <w:szCs w:val="20"/>
              </w:rPr>
            </w:pPr>
            <w:r>
              <w:rPr>
                <w:color w:val="000000"/>
                <w:sz w:val="20"/>
                <w:szCs w:val="20"/>
              </w:rPr>
              <w:t>954,034</w:t>
            </w:r>
          </w:p>
        </w:tc>
        <w:tc>
          <w:tcPr>
            <w:tcW w:w="1250" w:type="pct"/>
            <w:shd w:val="clear" w:color="auto" w:fill="auto"/>
            <w:vAlign w:val="center"/>
            <w:hideMark/>
          </w:tcPr>
          <w:p w14:paraId="37EEB8DC" w14:textId="77777777" w:rsidR="007E2309" w:rsidRDefault="007E2309">
            <w:pPr>
              <w:jc w:val="center"/>
              <w:rPr>
                <w:color w:val="000000"/>
                <w:sz w:val="20"/>
                <w:szCs w:val="20"/>
              </w:rPr>
            </w:pPr>
            <w:r>
              <w:rPr>
                <w:color w:val="000000"/>
                <w:sz w:val="20"/>
                <w:szCs w:val="20"/>
              </w:rPr>
              <w:t>17.7%</w:t>
            </w:r>
          </w:p>
        </w:tc>
      </w:tr>
      <w:tr w:rsidR="007E2309" w14:paraId="21033E84" w14:textId="77777777" w:rsidTr="62441336">
        <w:trPr>
          <w:trHeight w:val="288"/>
        </w:trPr>
        <w:tc>
          <w:tcPr>
            <w:tcW w:w="1250" w:type="pct"/>
            <w:shd w:val="clear" w:color="auto" w:fill="auto"/>
            <w:vAlign w:val="center"/>
            <w:hideMark/>
          </w:tcPr>
          <w:p w14:paraId="374998F4" w14:textId="77777777" w:rsidR="007E2309" w:rsidRDefault="007E2309">
            <w:pPr>
              <w:jc w:val="center"/>
              <w:rPr>
                <w:color w:val="000000"/>
                <w:sz w:val="20"/>
                <w:szCs w:val="20"/>
              </w:rPr>
            </w:pPr>
            <w:r>
              <w:rPr>
                <w:color w:val="000000"/>
                <w:sz w:val="20"/>
                <w:szCs w:val="20"/>
              </w:rPr>
              <w:t>2018-19</w:t>
            </w:r>
          </w:p>
        </w:tc>
        <w:tc>
          <w:tcPr>
            <w:tcW w:w="1250" w:type="pct"/>
            <w:shd w:val="clear" w:color="auto" w:fill="auto"/>
            <w:vAlign w:val="center"/>
            <w:hideMark/>
          </w:tcPr>
          <w:p w14:paraId="1D7D9BF7" w14:textId="77777777" w:rsidR="007E2309" w:rsidRDefault="007E2309">
            <w:pPr>
              <w:jc w:val="center"/>
              <w:rPr>
                <w:color w:val="000000"/>
                <w:sz w:val="20"/>
                <w:szCs w:val="20"/>
              </w:rPr>
            </w:pPr>
            <w:r>
              <w:rPr>
                <w:color w:val="000000"/>
                <w:sz w:val="20"/>
                <w:szCs w:val="20"/>
              </w:rPr>
              <w:t>173,843</w:t>
            </w:r>
          </w:p>
        </w:tc>
        <w:tc>
          <w:tcPr>
            <w:tcW w:w="1250" w:type="pct"/>
            <w:shd w:val="clear" w:color="auto" w:fill="auto"/>
            <w:vAlign w:val="center"/>
            <w:hideMark/>
          </w:tcPr>
          <w:p w14:paraId="76D5059B" w14:textId="77777777" w:rsidR="007E2309" w:rsidRDefault="007E2309">
            <w:pPr>
              <w:jc w:val="center"/>
              <w:rPr>
                <w:color w:val="000000"/>
                <w:sz w:val="20"/>
                <w:szCs w:val="20"/>
              </w:rPr>
            </w:pPr>
            <w:r>
              <w:rPr>
                <w:color w:val="000000"/>
                <w:sz w:val="20"/>
                <w:szCs w:val="20"/>
              </w:rPr>
              <w:t>951,631</w:t>
            </w:r>
          </w:p>
        </w:tc>
        <w:tc>
          <w:tcPr>
            <w:tcW w:w="1250" w:type="pct"/>
            <w:shd w:val="clear" w:color="auto" w:fill="auto"/>
            <w:vAlign w:val="center"/>
            <w:hideMark/>
          </w:tcPr>
          <w:p w14:paraId="6544F1F5" w14:textId="77777777" w:rsidR="007E2309" w:rsidRDefault="007E2309">
            <w:pPr>
              <w:jc w:val="center"/>
              <w:rPr>
                <w:color w:val="000000"/>
                <w:sz w:val="20"/>
                <w:szCs w:val="20"/>
              </w:rPr>
            </w:pPr>
            <w:r>
              <w:rPr>
                <w:color w:val="000000"/>
                <w:sz w:val="20"/>
                <w:szCs w:val="20"/>
              </w:rPr>
              <w:t>18.1%</w:t>
            </w:r>
          </w:p>
        </w:tc>
      </w:tr>
      <w:tr w:rsidR="007E2309" w14:paraId="2623292F" w14:textId="77777777" w:rsidTr="62441336">
        <w:trPr>
          <w:trHeight w:val="300"/>
        </w:trPr>
        <w:tc>
          <w:tcPr>
            <w:tcW w:w="1250" w:type="pct"/>
            <w:tcBorders>
              <w:bottom w:val="single" w:sz="8" w:space="0" w:color="auto"/>
            </w:tcBorders>
            <w:shd w:val="clear" w:color="auto" w:fill="auto"/>
            <w:vAlign w:val="center"/>
            <w:hideMark/>
          </w:tcPr>
          <w:p w14:paraId="148200C2" w14:textId="77777777" w:rsidR="007E2309" w:rsidRDefault="007E2309">
            <w:pPr>
              <w:jc w:val="center"/>
              <w:rPr>
                <w:color w:val="000000"/>
                <w:sz w:val="20"/>
                <w:szCs w:val="20"/>
              </w:rPr>
            </w:pPr>
            <w:r>
              <w:rPr>
                <w:color w:val="000000"/>
                <w:sz w:val="20"/>
                <w:szCs w:val="20"/>
              </w:rPr>
              <w:t>2019-20</w:t>
            </w:r>
          </w:p>
        </w:tc>
        <w:tc>
          <w:tcPr>
            <w:tcW w:w="1250" w:type="pct"/>
            <w:tcBorders>
              <w:bottom w:val="single" w:sz="8" w:space="0" w:color="auto"/>
            </w:tcBorders>
            <w:shd w:val="clear" w:color="auto" w:fill="auto"/>
            <w:vAlign w:val="center"/>
            <w:hideMark/>
          </w:tcPr>
          <w:p w14:paraId="5A63CBCC" w14:textId="77777777" w:rsidR="007E2309" w:rsidRDefault="007E2309">
            <w:pPr>
              <w:jc w:val="center"/>
              <w:rPr>
                <w:color w:val="000000"/>
                <w:sz w:val="20"/>
                <w:szCs w:val="20"/>
              </w:rPr>
            </w:pPr>
            <w:r>
              <w:rPr>
                <w:color w:val="000000"/>
                <w:sz w:val="20"/>
                <w:szCs w:val="20"/>
              </w:rPr>
              <w:t>176,741</w:t>
            </w:r>
          </w:p>
        </w:tc>
        <w:tc>
          <w:tcPr>
            <w:tcW w:w="1250" w:type="pct"/>
            <w:tcBorders>
              <w:bottom w:val="single" w:sz="8" w:space="0" w:color="auto"/>
            </w:tcBorders>
            <w:shd w:val="clear" w:color="auto" w:fill="auto"/>
            <w:vAlign w:val="center"/>
            <w:hideMark/>
          </w:tcPr>
          <w:p w14:paraId="418E293A" w14:textId="77777777" w:rsidR="007E2309" w:rsidRDefault="007E2309">
            <w:pPr>
              <w:jc w:val="center"/>
              <w:rPr>
                <w:color w:val="000000"/>
                <w:sz w:val="20"/>
                <w:szCs w:val="20"/>
              </w:rPr>
            </w:pPr>
            <w:r>
              <w:rPr>
                <w:color w:val="000000"/>
                <w:sz w:val="20"/>
                <w:szCs w:val="20"/>
              </w:rPr>
              <w:t>948,828</w:t>
            </w:r>
          </w:p>
        </w:tc>
        <w:tc>
          <w:tcPr>
            <w:tcW w:w="1250" w:type="pct"/>
            <w:tcBorders>
              <w:bottom w:val="single" w:sz="8" w:space="0" w:color="auto"/>
            </w:tcBorders>
            <w:shd w:val="clear" w:color="auto" w:fill="auto"/>
            <w:vAlign w:val="center"/>
            <w:hideMark/>
          </w:tcPr>
          <w:p w14:paraId="05D060ED" w14:textId="77777777" w:rsidR="007E2309" w:rsidRDefault="007E2309">
            <w:pPr>
              <w:jc w:val="center"/>
              <w:rPr>
                <w:color w:val="000000"/>
                <w:sz w:val="20"/>
                <w:szCs w:val="20"/>
              </w:rPr>
            </w:pPr>
            <w:r>
              <w:rPr>
                <w:color w:val="000000"/>
                <w:sz w:val="20"/>
                <w:szCs w:val="20"/>
              </w:rPr>
              <w:t>18.4%</w:t>
            </w:r>
          </w:p>
        </w:tc>
      </w:tr>
      <w:tr w:rsidR="007E2309" w14:paraId="6019CA99" w14:textId="77777777" w:rsidTr="62441336">
        <w:trPr>
          <w:trHeight w:val="50"/>
        </w:trPr>
        <w:tc>
          <w:tcPr>
            <w:tcW w:w="5000" w:type="pct"/>
            <w:gridSpan w:val="4"/>
            <w:tcBorders>
              <w:top w:val="single" w:sz="8" w:space="0" w:color="auto"/>
            </w:tcBorders>
            <w:shd w:val="clear" w:color="auto" w:fill="auto"/>
            <w:vAlign w:val="center"/>
            <w:hideMark/>
          </w:tcPr>
          <w:p w14:paraId="2DEFB5AF" w14:textId="77777777" w:rsidR="007E2309" w:rsidRPr="007E2309" w:rsidRDefault="007E2309">
            <w:pPr>
              <w:rPr>
                <w:i/>
                <w:iCs/>
                <w:color w:val="000000"/>
                <w:sz w:val="20"/>
                <w:szCs w:val="20"/>
              </w:rPr>
            </w:pPr>
            <w:r w:rsidRPr="007E2309">
              <w:rPr>
                <w:i/>
                <w:iCs/>
                <w:color w:val="000000"/>
                <w:sz w:val="20"/>
                <w:szCs w:val="20"/>
              </w:rPr>
              <w:t xml:space="preserve">Source: Massachusetts Student Information Management System </w:t>
            </w:r>
          </w:p>
        </w:tc>
      </w:tr>
    </w:tbl>
    <w:p w14:paraId="70F5CF38" w14:textId="77777777" w:rsidR="00437B14" w:rsidRPr="004C0232" w:rsidRDefault="00437B14" w:rsidP="004C0232">
      <w:pPr>
        <w:pStyle w:val="Heading1"/>
        <w:rPr>
          <w:rFonts w:ascii="Times New Roman" w:hAnsi="Times New Roman" w:cs="Times New Roman"/>
        </w:rPr>
      </w:pPr>
      <w:r w:rsidRPr="004C0232">
        <w:rPr>
          <w:rFonts w:ascii="Times New Roman" w:hAnsi="Times New Roman" w:cs="Times New Roman"/>
        </w:rPr>
        <w:t>For More Information </w:t>
      </w:r>
    </w:p>
    <w:p w14:paraId="211B8929" w14:textId="77777777" w:rsidR="00437B14" w:rsidRPr="00AC3344" w:rsidRDefault="00437B14" w:rsidP="00437B14">
      <w:pPr>
        <w:pStyle w:val="paragraph"/>
        <w:spacing w:before="0" w:beforeAutospacing="0" w:after="0" w:afterAutospacing="0"/>
        <w:textAlignment w:val="baseline"/>
      </w:pPr>
      <w:r w:rsidRPr="00AC3344">
        <w:rPr>
          <w:rStyle w:val="normaltextrun"/>
        </w:rPr>
        <w:t xml:space="preserve">The information in this report is a compilation of data and narrative contributions from several units within the Department. If you have any questions, please contact Russell Johnston, PhD, State Director of Special Education, by email at </w:t>
      </w:r>
      <w:hyperlink r:id="rId24" w:tgtFrame="_blank" w:history="1">
        <w:r w:rsidRPr="00AC3344">
          <w:rPr>
            <w:rStyle w:val="normaltextrun"/>
            <w:color w:val="0000FF"/>
            <w:u w:val="single"/>
          </w:rPr>
          <w:t>russell.johnston@mass.gov</w:t>
        </w:r>
      </w:hyperlink>
      <w:r w:rsidRPr="00AC3344">
        <w:rPr>
          <w:rStyle w:val="normaltextrun"/>
        </w:rPr>
        <w:t xml:space="preserve"> or by phone at 781-338-3564.</w:t>
      </w:r>
      <w:r w:rsidRPr="00AC3344">
        <w:rPr>
          <w:rStyle w:val="eop"/>
        </w:rPr>
        <w:t> </w:t>
      </w:r>
    </w:p>
    <w:p w14:paraId="24834B16" w14:textId="77777777" w:rsidR="00437B14" w:rsidRPr="002C2113" w:rsidRDefault="00437B14" w:rsidP="002C2113"/>
    <w:sectPr w:rsidR="00437B14" w:rsidRPr="002C2113" w:rsidSect="00B73919">
      <w:footerReference w:type="default" r:id="rId25"/>
      <w:pgSz w:w="12240" w:h="15840"/>
      <w:pgMar w:top="1440" w:right="1440" w:bottom="1440" w:left="1440" w:header="720" w:footer="720" w:gutter="0"/>
      <w:pgNumType w:start="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D54B9" w14:textId="77777777" w:rsidR="00111AD9" w:rsidRDefault="00111AD9" w:rsidP="00FD2C86">
      <w:r>
        <w:separator/>
      </w:r>
    </w:p>
  </w:endnote>
  <w:endnote w:type="continuationSeparator" w:id="0">
    <w:p w14:paraId="16642DCD" w14:textId="77777777" w:rsidR="00111AD9" w:rsidRDefault="00111AD9" w:rsidP="00FD2C86">
      <w:r>
        <w:continuationSeparator/>
      </w:r>
    </w:p>
  </w:endnote>
  <w:endnote w:type="continuationNotice" w:id="1">
    <w:p w14:paraId="07AB3C1C" w14:textId="77777777" w:rsidR="00111AD9" w:rsidRDefault="00111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102107"/>
      <w:docPartObj>
        <w:docPartGallery w:val="Page Numbers (Bottom of Page)"/>
        <w:docPartUnique/>
      </w:docPartObj>
    </w:sdtPr>
    <w:sdtEndPr>
      <w:rPr>
        <w:noProof/>
      </w:rPr>
    </w:sdtEndPr>
    <w:sdtContent>
      <w:p w14:paraId="3D94F339" w14:textId="22743C84" w:rsidR="004F5379" w:rsidRDefault="004F53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437AF2" w14:textId="77777777" w:rsidR="004F5379" w:rsidRDefault="004F5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95FB" w14:textId="77777777" w:rsidR="007012FA" w:rsidRDefault="007012FA" w:rsidP="00D674EF">
    <w:pPr>
      <w:pStyle w:val="Footer"/>
    </w:pPr>
    <w:r>
      <w:tab/>
    </w:r>
    <w:r w:rsidR="00782514">
      <w:fldChar w:fldCharType="begin"/>
    </w:r>
    <w:r w:rsidR="00782514">
      <w:instrText xml:space="preserve"> PAGE   \* MERGEFORMAT </w:instrText>
    </w:r>
    <w:r w:rsidR="00782514">
      <w:fldChar w:fldCharType="separate"/>
    </w:r>
    <w:r w:rsidR="00397FCF">
      <w:rPr>
        <w:noProof/>
      </w:rPr>
      <w:t>1</w:t>
    </w:r>
    <w:r w:rsidR="0078251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74949" w14:textId="77777777" w:rsidR="00111AD9" w:rsidRDefault="00111AD9" w:rsidP="00FD2C86">
      <w:r>
        <w:separator/>
      </w:r>
    </w:p>
  </w:footnote>
  <w:footnote w:type="continuationSeparator" w:id="0">
    <w:p w14:paraId="53531B49" w14:textId="77777777" w:rsidR="00111AD9" w:rsidRDefault="00111AD9" w:rsidP="00FD2C86">
      <w:r>
        <w:continuationSeparator/>
      </w:r>
    </w:p>
  </w:footnote>
  <w:footnote w:type="continuationNotice" w:id="1">
    <w:p w14:paraId="6699B3B6" w14:textId="77777777" w:rsidR="00111AD9" w:rsidRDefault="00111A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FB37CF9"/>
    <w:multiLevelType w:val="multilevel"/>
    <w:tmpl w:val="5EF2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4" w15:restartNumberingAfterBreak="0">
    <w:nsid w:val="4C3E2907"/>
    <w:multiLevelType w:val="hybridMultilevel"/>
    <w:tmpl w:val="78BC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A697E05"/>
    <w:multiLevelType w:val="hybridMultilevel"/>
    <w:tmpl w:val="6E4E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5824196">
    <w:abstractNumId w:val="0"/>
  </w:num>
  <w:num w:numId="2" w16cid:durableId="1122503565">
    <w:abstractNumId w:val="7"/>
  </w:num>
  <w:num w:numId="3" w16cid:durableId="2071996131">
    <w:abstractNumId w:val="3"/>
  </w:num>
  <w:num w:numId="4" w16cid:durableId="1426078574">
    <w:abstractNumId w:val="5"/>
  </w:num>
  <w:num w:numId="5" w16cid:durableId="245458667">
    <w:abstractNumId w:val="2"/>
  </w:num>
  <w:num w:numId="6" w16cid:durableId="260189043">
    <w:abstractNumId w:val="6"/>
  </w:num>
  <w:num w:numId="7" w16cid:durableId="1364011785">
    <w:abstractNumId w:val="1"/>
  </w:num>
  <w:num w:numId="8" w16cid:durableId="1322928334">
    <w:abstractNumId w:val="4"/>
  </w:num>
  <w:num w:numId="9" w16cid:durableId="9490464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BA"/>
    <w:rsid w:val="00046048"/>
    <w:rsid w:val="000506EE"/>
    <w:rsid w:val="00050A2B"/>
    <w:rsid w:val="000711BA"/>
    <w:rsid w:val="000721C0"/>
    <w:rsid w:val="00076BD2"/>
    <w:rsid w:val="00077A68"/>
    <w:rsid w:val="00083FB0"/>
    <w:rsid w:val="0008423F"/>
    <w:rsid w:val="00091A5F"/>
    <w:rsid w:val="00092A27"/>
    <w:rsid w:val="00093A3D"/>
    <w:rsid w:val="000A7F57"/>
    <w:rsid w:val="000B5905"/>
    <w:rsid w:val="000C3B4D"/>
    <w:rsid w:val="000C3B85"/>
    <w:rsid w:val="000C5AF1"/>
    <w:rsid w:val="000D0E81"/>
    <w:rsid w:val="000D1FA5"/>
    <w:rsid w:val="000F0D56"/>
    <w:rsid w:val="0010001F"/>
    <w:rsid w:val="00100600"/>
    <w:rsid w:val="001042D1"/>
    <w:rsid w:val="00111AD9"/>
    <w:rsid w:val="00112CE2"/>
    <w:rsid w:val="00114A93"/>
    <w:rsid w:val="00115B8C"/>
    <w:rsid w:val="0013726F"/>
    <w:rsid w:val="00137B48"/>
    <w:rsid w:val="0014102A"/>
    <w:rsid w:val="00143980"/>
    <w:rsid w:val="00144CB4"/>
    <w:rsid w:val="00147F76"/>
    <w:rsid w:val="00152CC8"/>
    <w:rsid w:val="00154761"/>
    <w:rsid w:val="00160ADA"/>
    <w:rsid w:val="001617CE"/>
    <w:rsid w:val="00161A3F"/>
    <w:rsid w:val="0017022D"/>
    <w:rsid w:val="00184ACF"/>
    <w:rsid w:val="00187373"/>
    <w:rsid w:val="00191705"/>
    <w:rsid w:val="00197AB6"/>
    <w:rsid w:val="001A028D"/>
    <w:rsid w:val="001B0849"/>
    <w:rsid w:val="001B25AC"/>
    <w:rsid w:val="001C1CF3"/>
    <w:rsid w:val="001C1E0E"/>
    <w:rsid w:val="001D1115"/>
    <w:rsid w:val="001E1E7B"/>
    <w:rsid w:val="002034A0"/>
    <w:rsid w:val="0020780F"/>
    <w:rsid w:val="00207D58"/>
    <w:rsid w:val="0021515C"/>
    <w:rsid w:val="00222258"/>
    <w:rsid w:val="00227359"/>
    <w:rsid w:val="00247105"/>
    <w:rsid w:val="002625B1"/>
    <w:rsid w:val="00270FB2"/>
    <w:rsid w:val="00271731"/>
    <w:rsid w:val="002718F2"/>
    <w:rsid w:val="00272C35"/>
    <w:rsid w:val="00274356"/>
    <w:rsid w:val="00294DFB"/>
    <w:rsid w:val="002C120B"/>
    <w:rsid w:val="002C2113"/>
    <w:rsid w:val="002D1F95"/>
    <w:rsid w:val="002D32C4"/>
    <w:rsid w:val="002D411F"/>
    <w:rsid w:val="002D750F"/>
    <w:rsid w:val="002F201B"/>
    <w:rsid w:val="002F6386"/>
    <w:rsid w:val="00313DEF"/>
    <w:rsid w:val="003151B0"/>
    <w:rsid w:val="00323CFA"/>
    <w:rsid w:val="00324E05"/>
    <w:rsid w:val="00345DE2"/>
    <w:rsid w:val="003836EA"/>
    <w:rsid w:val="00395B29"/>
    <w:rsid w:val="00397FCF"/>
    <w:rsid w:val="003A5775"/>
    <w:rsid w:val="003B1D70"/>
    <w:rsid w:val="003D0635"/>
    <w:rsid w:val="003D40D2"/>
    <w:rsid w:val="003E01D3"/>
    <w:rsid w:val="003F3636"/>
    <w:rsid w:val="0040648B"/>
    <w:rsid w:val="00407EA1"/>
    <w:rsid w:val="00411528"/>
    <w:rsid w:val="00426714"/>
    <w:rsid w:val="00426D86"/>
    <w:rsid w:val="00437B14"/>
    <w:rsid w:val="00440B89"/>
    <w:rsid w:val="00440BAB"/>
    <w:rsid w:val="00441F51"/>
    <w:rsid w:val="0044758D"/>
    <w:rsid w:val="00452287"/>
    <w:rsid w:val="00456DD2"/>
    <w:rsid w:val="00464124"/>
    <w:rsid w:val="00464491"/>
    <w:rsid w:val="0046788E"/>
    <w:rsid w:val="00471D55"/>
    <w:rsid w:val="00484A33"/>
    <w:rsid w:val="00486182"/>
    <w:rsid w:val="004A1EF3"/>
    <w:rsid w:val="004A5B05"/>
    <w:rsid w:val="004C0232"/>
    <w:rsid w:val="004C1FFA"/>
    <w:rsid w:val="004C433D"/>
    <w:rsid w:val="004D3CD6"/>
    <w:rsid w:val="004D45D4"/>
    <w:rsid w:val="004E0CA6"/>
    <w:rsid w:val="004E5242"/>
    <w:rsid w:val="004E74D3"/>
    <w:rsid w:val="004F1C4B"/>
    <w:rsid w:val="004F27D7"/>
    <w:rsid w:val="004F5379"/>
    <w:rsid w:val="004F593A"/>
    <w:rsid w:val="004F64A6"/>
    <w:rsid w:val="004F70F5"/>
    <w:rsid w:val="005152E7"/>
    <w:rsid w:val="00522BFB"/>
    <w:rsid w:val="00525104"/>
    <w:rsid w:val="00531473"/>
    <w:rsid w:val="005350D7"/>
    <w:rsid w:val="00543117"/>
    <w:rsid w:val="00543C6D"/>
    <w:rsid w:val="005818F7"/>
    <w:rsid w:val="00584F22"/>
    <w:rsid w:val="005904A7"/>
    <w:rsid w:val="00595540"/>
    <w:rsid w:val="005A0983"/>
    <w:rsid w:val="005A367D"/>
    <w:rsid w:val="005A79D2"/>
    <w:rsid w:val="005B30C7"/>
    <w:rsid w:val="005B6C69"/>
    <w:rsid w:val="005C1B4D"/>
    <w:rsid w:val="005C61BB"/>
    <w:rsid w:val="005D6E47"/>
    <w:rsid w:val="005E6ACA"/>
    <w:rsid w:val="005E7464"/>
    <w:rsid w:val="005F037D"/>
    <w:rsid w:val="005F152D"/>
    <w:rsid w:val="005F1897"/>
    <w:rsid w:val="005F3853"/>
    <w:rsid w:val="005F39AD"/>
    <w:rsid w:val="00603BD5"/>
    <w:rsid w:val="006075BA"/>
    <w:rsid w:val="006150AA"/>
    <w:rsid w:val="00630594"/>
    <w:rsid w:val="00652CD5"/>
    <w:rsid w:val="0065736C"/>
    <w:rsid w:val="0066221E"/>
    <w:rsid w:val="00675B1B"/>
    <w:rsid w:val="00684CA5"/>
    <w:rsid w:val="00694E3B"/>
    <w:rsid w:val="0069558B"/>
    <w:rsid w:val="006B5927"/>
    <w:rsid w:val="006C5ACA"/>
    <w:rsid w:val="006C6F88"/>
    <w:rsid w:val="006D1B5E"/>
    <w:rsid w:val="006F4CF2"/>
    <w:rsid w:val="006F7E53"/>
    <w:rsid w:val="007012FA"/>
    <w:rsid w:val="007102D5"/>
    <w:rsid w:val="00712E66"/>
    <w:rsid w:val="007158AF"/>
    <w:rsid w:val="007204A2"/>
    <w:rsid w:val="007210F9"/>
    <w:rsid w:val="00727AFD"/>
    <w:rsid w:val="00730D0E"/>
    <w:rsid w:val="00736D17"/>
    <w:rsid w:val="00740C0D"/>
    <w:rsid w:val="00741DF2"/>
    <w:rsid w:val="007432E5"/>
    <w:rsid w:val="00753048"/>
    <w:rsid w:val="00755977"/>
    <w:rsid w:val="0076216A"/>
    <w:rsid w:val="00763DDA"/>
    <w:rsid w:val="0076444B"/>
    <w:rsid w:val="00765318"/>
    <w:rsid w:val="0077336E"/>
    <w:rsid w:val="007771D5"/>
    <w:rsid w:val="0077761F"/>
    <w:rsid w:val="0077782C"/>
    <w:rsid w:val="00782514"/>
    <w:rsid w:val="007848DF"/>
    <w:rsid w:val="00787D7B"/>
    <w:rsid w:val="00790B09"/>
    <w:rsid w:val="007B08AD"/>
    <w:rsid w:val="007B7A4A"/>
    <w:rsid w:val="007C3083"/>
    <w:rsid w:val="007C4243"/>
    <w:rsid w:val="007C4D57"/>
    <w:rsid w:val="007E2309"/>
    <w:rsid w:val="007E2EC3"/>
    <w:rsid w:val="007E3D21"/>
    <w:rsid w:val="007E6DA4"/>
    <w:rsid w:val="00826061"/>
    <w:rsid w:val="00832115"/>
    <w:rsid w:val="008333E6"/>
    <w:rsid w:val="00840662"/>
    <w:rsid w:val="008407A4"/>
    <w:rsid w:val="008555A8"/>
    <w:rsid w:val="0086117B"/>
    <w:rsid w:val="00871349"/>
    <w:rsid w:val="008734A6"/>
    <w:rsid w:val="00876A58"/>
    <w:rsid w:val="00881D22"/>
    <w:rsid w:val="0088258A"/>
    <w:rsid w:val="00882B38"/>
    <w:rsid w:val="00884567"/>
    <w:rsid w:val="008937A3"/>
    <w:rsid w:val="008C575C"/>
    <w:rsid w:val="008C65E5"/>
    <w:rsid w:val="008E13DB"/>
    <w:rsid w:val="008E166C"/>
    <w:rsid w:val="008E260F"/>
    <w:rsid w:val="00900BF3"/>
    <w:rsid w:val="00901891"/>
    <w:rsid w:val="00907BC7"/>
    <w:rsid w:val="00917329"/>
    <w:rsid w:val="00943B6A"/>
    <w:rsid w:val="0096394E"/>
    <w:rsid w:val="009756F5"/>
    <w:rsid w:val="00975F4D"/>
    <w:rsid w:val="00976882"/>
    <w:rsid w:val="00992913"/>
    <w:rsid w:val="00993596"/>
    <w:rsid w:val="0099682E"/>
    <w:rsid w:val="009A3016"/>
    <w:rsid w:val="009A3EAC"/>
    <w:rsid w:val="009A5EBB"/>
    <w:rsid w:val="009C4322"/>
    <w:rsid w:val="009C4B66"/>
    <w:rsid w:val="009C4D60"/>
    <w:rsid w:val="009C550C"/>
    <w:rsid w:val="009C7281"/>
    <w:rsid w:val="009D1266"/>
    <w:rsid w:val="009D7BA2"/>
    <w:rsid w:val="009E45FA"/>
    <w:rsid w:val="009E52E7"/>
    <w:rsid w:val="00A03535"/>
    <w:rsid w:val="00A10275"/>
    <w:rsid w:val="00A11174"/>
    <w:rsid w:val="00A166A9"/>
    <w:rsid w:val="00A33DD2"/>
    <w:rsid w:val="00A37504"/>
    <w:rsid w:val="00A415AC"/>
    <w:rsid w:val="00A42140"/>
    <w:rsid w:val="00A426DB"/>
    <w:rsid w:val="00A445CB"/>
    <w:rsid w:val="00A476CE"/>
    <w:rsid w:val="00A5157F"/>
    <w:rsid w:val="00A60B29"/>
    <w:rsid w:val="00A705B8"/>
    <w:rsid w:val="00A72209"/>
    <w:rsid w:val="00A72DB3"/>
    <w:rsid w:val="00A73051"/>
    <w:rsid w:val="00A85624"/>
    <w:rsid w:val="00AA2AF8"/>
    <w:rsid w:val="00AB0D8E"/>
    <w:rsid w:val="00AC3344"/>
    <w:rsid w:val="00AD0A1F"/>
    <w:rsid w:val="00AD298F"/>
    <w:rsid w:val="00AD72FC"/>
    <w:rsid w:val="00AE264E"/>
    <w:rsid w:val="00AE53BE"/>
    <w:rsid w:val="00AF1841"/>
    <w:rsid w:val="00AF2F35"/>
    <w:rsid w:val="00B129CE"/>
    <w:rsid w:val="00B205B5"/>
    <w:rsid w:val="00B206F3"/>
    <w:rsid w:val="00B316B3"/>
    <w:rsid w:val="00B42CA2"/>
    <w:rsid w:val="00B47FEB"/>
    <w:rsid w:val="00B55562"/>
    <w:rsid w:val="00B601E6"/>
    <w:rsid w:val="00B616AF"/>
    <w:rsid w:val="00B61B2F"/>
    <w:rsid w:val="00B7278D"/>
    <w:rsid w:val="00B73919"/>
    <w:rsid w:val="00B81EF9"/>
    <w:rsid w:val="00B87F39"/>
    <w:rsid w:val="00B9061D"/>
    <w:rsid w:val="00B95FE8"/>
    <w:rsid w:val="00B96B49"/>
    <w:rsid w:val="00B97EA1"/>
    <w:rsid w:val="00BA12E2"/>
    <w:rsid w:val="00BB2B16"/>
    <w:rsid w:val="00BB3CA4"/>
    <w:rsid w:val="00BB4EBF"/>
    <w:rsid w:val="00BC227D"/>
    <w:rsid w:val="00BE39EF"/>
    <w:rsid w:val="00BF2BAA"/>
    <w:rsid w:val="00C03265"/>
    <w:rsid w:val="00C052D1"/>
    <w:rsid w:val="00C0573F"/>
    <w:rsid w:val="00C118B2"/>
    <w:rsid w:val="00C15E0D"/>
    <w:rsid w:val="00C27043"/>
    <w:rsid w:val="00C35D11"/>
    <w:rsid w:val="00C42B82"/>
    <w:rsid w:val="00C444A9"/>
    <w:rsid w:val="00C65476"/>
    <w:rsid w:val="00C6738A"/>
    <w:rsid w:val="00C73C1E"/>
    <w:rsid w:val="00C850EA"/>
    <w:rsid w:val="00C87B1B"/>
    <w:rsid w:val="00CA455D"/>
    <w:rsid w:val="00CB2D4B"/>
    <w:rsid w:val="00CB3873"/>
    <w:rsid w:val="00CB5EE8"/>
    <w:rsid w:val="00CC22F1"/>
    <w:rsid w:val="00CC6FB1"/>
    <w:rsid w:val="00CC70C9"/>
    <w:rsid w:val="00CD5012"/>
    <w:rsid w:val="00CD6E4C"/>
    <w:rsid w:val="00CD7389"/>
    <w:rsid w:val="00CE1085"/>
    <w:rsid w:val="00CE7B58"/>
    <w:rsid w:val="00CF6B07"/>
    <w:rsid w:val="00D019EE"/>
    <w:rsid w:val="00D0485D"/>
    <w:rsid w:val="00D06CE5"/>
    <w:rsid w:val="00D16C52"/>
    <w:rsid w:val="00D2139D"/>
    <w:rsid w:val="00D262A3"/>
    <w:rsid w:val="00D3078C"/>
    <w:rsid w:val="00D30969"/>
    <w:rsid w:val="00D34DC7"/>
    <w:rsid w:val="00D40A4A"/>
    <w:rsid w:val="00D42AD8"/>
    <w:rsid w:val="00D53B5E"/>
    <w:rsid w:val="00D674EF"/>
    <w:rsid w:val="00D72BD5"/>
    <w:rsid w:val="00D769F8"/>
    <w:rsid w:val="00D90E7D"/>
    <w:rsid w:val="00D95C96"/>
    <w:rsid w:val="00D97241"/>
    <w:rsid w:val="00DC2200"/>
    <w:rsid w:val="00DD07C4"/>
    <w:rsid w:val="00DD4A21"/>
    <w:rsid w:val="00DD6687"/>
    <w:rsid w:val="00DE0201"/>
    <w:rsid w:val="00DE1217"/>
    <w:rsid w:val="00DF5A44"/>
    <w:rsid w:val="00E04B8E"/>
    <w:rsid w:val="00E068D5"/>
    <w:rsid w:val="00E253B2"/>
    <w:rsid w:val="00E309C2"/>
    <w:rsid w:val="00E34296"/>
    <w:rsid w:val="00E3460D"/>
    <w:rsid w:val="00E53ECD"/>
    <w:rsid w:val="00E61202"/>
    <w:rsid w:val="00E72815"/>
    <w:rsid w:val="00E94C64"/>
    <w:rsid w:val="00E94E92"/>
    <w:rsid w:val="00EB1F6F"/>
    <w:rsid w:val="00EB21ED"/>
    <w:rsid w:val="00EB344E"/>
    <w:rsid w:val="00EB7F04"/>
    <w:rsid w:val="00EC3F18"/>
    <w:rsid w:val="00EC4160"/>
    <w:rsid w:val="00EC6056"/>
    <w:rsid w:val="00ED25CF"/>
    <w:rsid w:val="00ED55E0"/>
    <w:rsid w:val="00EE184B"/>
    <w:rsid w:val="00EF7FBC"/>
    <w:rsid w:val="00F03CB1"/>
    <w:rsid w:val="00F11FD4"/>
    <w:rsid w:val="00F13965"/>
    <w:rsid w:val="00F31A59"/>
    <w:rsid w:val="00F36062"/>
    <w:rsid w:val="00F364C2"/>
    <w:rsid w:val="00F37C71"/>
    <w:rsid w:val="00F44C7B"/>
    <w:rsid w:val="00F47C49"/>
    <w:rsid w:val="00F66EB7"/>
    <w:rsid w:val="00F67E40"/>
    <w:rsid w:val="00F7241E"/>
    <w:rsid w:val="00F7310B"/>
    <w:rsid w:val="00F7387F"/>
    <w:rsid w:val="00F80753"/>
    <w:rsid w:val="00F81FE7"/>
    <w:rsid w:val="00F83037"/>
    <w:rsid w:val="00F83D41"/>
    <w:rsid w:val="00F852DB"/>
    <w:rsid w:val="00FA0025"/>
    <w:rsid w:val="00FA37DE"/>
    <w:rsid w:val="00FB4AB6"/>
    <w:rsid w:val="00FB5AC9"/>
    <w:rsid w:val="00FC04D2"/>
    <w:rsid w:val="00FC06EE"/>
    <w:rsid w:val="00FD0E2A"/>
    <w:rsid w:val="00FD2C86"/>
    <w:rsid w:val="00FD69E2"/>
    <w:rsid w:val="00FD72F8"/>
    <w:rsid w:val="00FE3E97"/>
    <w:rsid w:val="00FF23ED"/>
    <w:rsid w:val="081983E2"/>
    <w:rsid w:val="11779B78"/>
    <w:rsid w:val="191ABBF4"/>
    <w:rsid w:val="19A5D099"/>
    <w:rsid w:val="1BD15054"/>
    <w:rsid w:val="624413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AFA6E"/>
  <w15:docId w15:val="{003A81FB-0337-4DE6-80C0-C85F071E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3"/>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Yu Gothic Light" w:hAnsi="Yu Gothic Light"/>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4"/>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NormalWeb">
    <w:name w:val="Normal (Web)"/>
    <w:basedOn w:val="Normal"/>
    <w:uiPriority w:val="99"/>
    <w:semiHidden/>
    <w:unhideWhenUsed/>
    <w:rsid w:val="00F67E40"/>
    <w:pPr>
      <w:spacing w:before="100" w:beforeAutospacing="1" w:after="100" w:afterAutospacing="1"/>
    </w:pPr>
  </w:style>
  <w:style w:type="character" w:customStyle="1" w:styleId="normaltextrun">
    <w:name w:val="normaltextrun"/>
    <w:basedOn w:val="DefaultParagraphFont"/>
    <w:rsid w:val="00207D58"/>
  </w:style>
  <w:style w:type="character" w:customStyle="1" w:styleId="eop">
    <w:name w:val="eop"/>
    <w:basedOn w:val="DefaultParagraphFont"/>
    <w:rsid w:val="00FD0E2A"/>
  </w:style>
  <w:style w:type="paragraph" w:customStyle="1" w:styleId="paragraph">
    <w:name w:val="paragraph"/>
    <w:basedOn w:val="Normal"/>
    <w:rsid w:val="0040648B"/>
    <w:pPr>
      <w:spacing w:before="100" w:beforeAutospacing="1" w:after="100" w:afterAutospacing="1"/>
    </w:pPr>
  </w:style>
  <w:style w:type="character" w:customStyle="1" w:styleId="tabchar">
    <w:name w:val="tabchar"/>
    <w:basedOn w:val="DefaultParagraphFont"/>
    <w:rsid w:val="0040648B"/>
  </w:style>
  <w:style w:type="character" w:styleId="CommentReference">
    <w:name w:val="annotation reference"/>
    <w:basedOn w:val="DefaultParagraphFont"/>
    <w:semiHidden/>
    <w:unhideWhenUsed/>
    <w:rsid w:val="009C4B66"/>
    <w:rPr>
      <w:sz w:val="16"/>
      <w:szCs w:val="16"/>
    </w:rPr>
  </w:style>
  <w:style w:type="paragraph" w:styleId="CommentText">
    <w:name w:val="annotation text"/>
    <w:basedOn w:val="Normal"/>
    <w:link w:val="CommentTextChar"/>
    <w:unhideWhenUsed/>
    <w:rsid w:val="009C4B66"/>
    <w:rPr>
      <w:sz w:val="20"/>
      <w:szCs w:val="20"/>
    </w:rPr>
  </w:style>
  <w:style w:type="character" w:customStyle="1" w:styleId="CommentTextChar">
    <w:name w:val="Comment Text Char"/>
    <w:basedOn w:val="DefaultParagraphFont"/>
    <w:link w:val="CommentText"/>
    <w:rsid w:val="009C4B66"/>
  </w:style>
  <w:style w:type="paragraph" w:styleId="CommentSubject">
    <w:name w:val="annotation subject"/>
    <w:basedOn w:val="CommentText"/>
    <w:next w:val="CommentText"/>
    <w:link w:val="CommentSubjectChar"/>
    <w:semiHidden/>
    <w:unhideWhenUsed/>
    <w:rsid w:val="009C4B66"/>
    <w:rPr>
      <w:b/>
      <w:bCs/>
    </w:rPr>
  </w:style>
  <w:style w:type="character" w:customStyle="1" w:styleId="CommentSubjectChar">
    <w:name w:val="Comment Subject Char"/>
    <w:basedOn w:val="CommentTextChar"/>
    <w:link w:val="CommentSubject"/>
    <w:semiHidden/>
    <w:rsid w:val="009C4B66"/>
    <w:rPr>
      <w:b/>
      <w:bCs/>
    </w:rPr>
  </w:style>
  <w:style w:type="character" w:styleId="UnresolvedMention">
    <w:name w:val="Unresolved Mention"/>
    <w:basedOn w:val="DefaultParagraphFont"/>
    <w:uiPriority w:val="99"/>
    <w:semiHidden/>
    <w:unhideWhenUsed/>
    <w:rsid w:val="00D262A3"/>
    <w:rPr>
      <w:color w:val="605E5C"/>
      <w:shd w:val="clear" w:color="auto" w:fill="E1DFDD"/>
    </w:rPr>
  </w:style>
  <w:style w:type="paragraph" w:styleId="ListParagraph">
    <w:name w:val="List Paragraph"/>
    <w:basedOn w:val="Normal"/>
    <w:uiPriority w:val="34"/>
    <w:qFormat/>
    <w:rsid w:val="00143980"/>
    <w:pPr>
      <w:ind w:left="720"/>
      <w:contextualSpacing/>
    </w:pPr>
  </w:style>
  <w:style w:type="table" w:styleId="GridTable1Light">
    <w:name w:val="Grid Table 1 Light"/>
    <w:basedOn w:val="TableNormal"/>
    <w:uiPriority w:val="46"/>
    <w:rsid w:val="00143980"/>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msonormal">
    <w:name w:val="x_msonormal"/>
    <w:basedOn w:val="Normal"/>
    <w:rsid w:val="004E74D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206844677">
      <w:bodyDiv w:val="1"/>
      <w:marLeft w:val="0"/>
      <w:marRight w:val="0"/>
      <w:marTop w:val="0"/>
      <w:marBottom w:val="0"/>
      <w:divBdr>
        <w:top w:val="none" w:sz="0" w:space="0" w:color="auto"/>
        <w:left w:val="none" w:sz="0" w:space="0" w:color="auto"/>
        <w:bottom w:val="none" w:sz="0" w:space="0" w:color="auto"/>
        <w:right w:val="none" w:sz="0" w:space="0" w:color="auto"/>
      </w:divBdr>
    </w:div>
    <w:div w:id="213198112">
      <w:bodyDiv w:val="1"/>
      <w:marLeft w:val="0"/>
      <w:marRight w:val="0"/>
      <w:marTop w:val="0"/>
      <w:marBottom w:val="0"/>
      <w:divBdr>
        <w:top w:val="none" w:sz="0" w:space="0" w:color="auto"/>
        <w:left w:val="none" w:sz="0" w:space="0" w:color="auto"/>
        <w:bottom w:val="none" w:sz="0" w:space="0" w:color="auto"/>
        <w:right w:val="none" w:sz="0" w:space="0" w:color="auto"/>
      </w:divBdr>
    </w:div>
    <w:div w:id="413281099">
      <w:bodyDiv w:val="1"/>
      <w:marLeft w:val="0"/>
      <w:marRight w:val="0"/>
      <w:marTop w:val="0"/>
      <w:marBottom w:val="0"/>
      <w:divBdr>
        <w:top w:val="none" w:sz="0" w:space="0" w:color="auto"/>
        <w:left w:val="none" w:sz="0" w:space="0" w:color="auto"/>
        <w:bottom w:val="none" w:sz="0" w:space="0" w:color="auto"/>
        <w:right w:val="none" w:sz="0" w:space="0" w:color="auto"/>
      </w:divBdr>
      <w:divsChild>
        <w:div w:id="482308828">
          <w:marLeft w:val="0"/>
          <w:marRight w:val="0"/>
          <w:marTop w:val="0"/>
          <w:marBottom w:val="0"/>
          <w:divBdr>
            <w:top w:val="none" w:sz="0" w:space="0" w:color="auto"/>
            <w:left w:val="none" w:sz="0" w:space="0" w:color="auto"/>
            <w:bottom w:val="none" w:sz="0" w:space="0" w:color="auto"/>
            <w:right w:val="none" w:sz="0" w:space="0" w:color="auto"/>
          </w:divBdr>
        </w:div>
        <w:div w:id="1172404457">
          <w:marLeft w:val="0"/>
          <w:marRight w:val="0"/>
          <w:marTop w:val="0"/>
          <w:marBottom w:val="0"/>
          <w:divBdr>
            <w:top w:val="none" w:sz="0" w:space="0" w:color="auto"/>
            <w:left w:val="none" w:sz="0" w:space="0" w:color="auto"/>
            <w:bottom w:val="none" w:sz="0" w:space="0" w:color="auto"/>
            <w:right w:val="none" w:sz="0" w:space="0" w:color="auto"/>
          </w:divBdr>
        </w:div>
      </w:divsChild>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017927314">
      <w:bodyDiv w:val="1"/>
      <w:marLeft w:val="0"/>
      <w:marRight w:val="0"/>
      <w:marTop w:val="0"/>
      <w:marBottom w:val="0"/>
      <w:divBdr>
        <w:top w:val="none" w:sz="0" w:space="0" w:color="auto"/>
        <w:left w:val="none" w:sz="0" w:space="0" w:color="auto"/>
        <w:bottom w:val="none" w:sz="0" w:space="0" w:color="auto"/>
        <w:right w:val="none" w:sz="0" w:space="0" w:color="auto"/>
      </w:divBdr>
      <w:divsChild>
        <w:div w:id="29691378">
          <w:marLeft w:val="0"/>
          <w:marRight w:val="0"/>
          <w:marTop w:val="0"/>
          <w:marBottom w:val="0"/>
          <w:divBdr>
            <w:top w:val="none" w:sz="0" w:space="0" w:color="auto"/>
            <w:left w:val="none" w:sz="0" w:space="0" w:color="auto"/>
            <w:bottom w:val="none" w:sz="0" w:space="0" w:color="auto"/>
            <w:right w:val="none" w:sz="0" w:space="0" w:color="auto"/>
          </w:divBdr>
        </w:div>
        <w:div w:id="34736974">
          <w:marLeft w:val="0"/>
          <w:marRight w:val="0"/>
          <w:marTop w:val="0"/>
          <w:marBottom w:val="0"/>
          <w:divBdr>
            <w:top w:val="none" w:sz="0" w:space="0" w:color="auto"/>
            <w:left w:val="none" w:sz="0" w:space="0" w:color="auto"/>
            <w:bottom w:val="none" w:sz="0" w:space="0" w:color="auto"/>
            <w:right w:val="none" w:sz="0" w:space="0" w:color="auto"/>
          </w:divBdr>
        </w:div>
        <w:div w:id="135146542">
          <w:marLeft w:val="0"/>
          <w:marRight w:val="0"/>
          <w:marTop w:val="0"/>
          <w:marBottom w:val="0"/>
          <w:divBdr>
            <w:top w:val="none" w:sz="0" w:space="0" w:color="auto"/>
            <w:left w:val="none" w:sz="0" w:space="0" w:color="auto"/>
            <w:bottom w:val="none" w:sz="0" w:space="0" w:color="auto"/>
            <w:right w:val="none" w:sz="0" w:space="0" w:color="auto"/>
          </w:divBdr>
        </w:div>
        <w:div w:id="144396399">
          <w:marLeft w:val="0"/>
          <w:marRight w:val="0"/>
          <w:marTop w:val="0"/>
          <w:marBottom w:val="0"/>
          <w:divBdr>
            <w:top w:val="none" w:sz="0" w:space="0" w:color="auto"/>
            <w:left w:val="none" w:sz="0" w:space="0" w:color="auto"/>
            <w:bottom w:val="none" w:sz="0" w:space="0" w:color="auto"/>
            <w:right w:val="none" w:sz="0" w:space="0" w:color="auto"/>
          </w:divBdr>
        </w:div>
        <w:div w:id="397747786">
          <w:marLeft w:val="0"/>
          <w:marRight w:val="0"/>
          <w:marTop w:val="0"/>
          <w:marBottom w:val="0"/>
          <w:divBdr>
            <w:top w:val="none" w:sz="0" w:space="0" w:color="auto"/>
            <w:left w:val="none" w:sz="0" w:space="0" w:color="auto"/>
            <w:bottom w:val="none" w:sz="0" w:space="0" w:color="auto"/>
            <w:right w:val="none" w:sz="0" w:space="0" w:color="auto"/>
          </w:divBdr>
        </w:div>
        <w:div w:id="784275736">
          <w:marLeft w:val="0"/>
          <w:marRight w:val="0"/>
          <w:marTop w:val="0"/>
          <w:marBottom w:val="0"/>
          <w:divBdr>
            <w:top w:val="none" w:sz="0" w:space="0" w:color="auto"/>
            <w:left w:val="none" w:sz="0" w:space="0" w:color="auto"/>
            <w:bottom w:val="none" w:sz="0" w:space="0" w:color="auto"/>
            <w:right w:val="none" w:sz="0" w:space="0" w:color="auto"/>
          </w:divBdr>
        </w:div>
        <w:div w:id="995382174">
          <w:marLeft w:val="0"/>
          <w:marRight w:val="0"/>
          <w:marTop w:val="0"/>
          <w:marBottom w:val="0"/>
          <w:divBdr>
            <w:top w:val="none" w:sz="0" w:space="0" w:color="auto"/>
            <w:left w:val="none" w:sz="0" w:space="0" w:color="auto"/>
            <w:bottom w:val="none" w:sz="0" w:space="0" w:color="auto"/>
            <w:right w:val="none" w:sz="0" w:space="0" w:color="auto"/>
          </w:divBdr>
        </w:div>
        <w:div w:id="1070470741">
          <w:marLeft w:val="0"/>
          <w:marRight w:val="0"/>
          <w:marTop w:val="0"/>
          <w:marBottom w:val="0"/>
          <w:divBdr>
            <w:top w:val="none" w:sz="0" w:space="0" w:color="auto"/>
            <w:left w:val="none" w:sz="0" w:space="0" w:color="auto"/>
            <w:bottom w:val="none" w:sz="0" w:space="0" w:color="auto"/>
            <w:right w:val="none" w:sz="0" w:space="0" w:color="auto"/>
          </w:divBdr>
        </w:div>
        <w:div w:id="1226912682">
          <w:marLeft w:val="0"/>
          <w:marRight w:val="0"/>
          <w:marTop w:val="0"/>
          <w:marBottom w:val="0"/>
          <w:divBdr>
            <w:top w:val="none" w:sz="0" w:space="0" w:color="auto"/>
            <w:left w:val="none" w:sz="0" w:space="0" w:color="auto"/>
            <w:bottom w:val="none" w:sz="0" w:space="0" w:color="auto"/>
            <w:right w:val="none" w:sz="0" w:space="0" w:color="auto"/>
          </w:divBdr>
        </w:div>
        <w:div w:id="1254365307">
          <w:marLeft w:val="0"/>
          <w:marRight w:val="0"/>
          <w:marTop w:val="0"/>
          <w:marBottom w:val="0"/>
          <w:divBdr>
            <w:top w:val="none" w:sz="0" w:space="0" w:color="auto"/>
            <w:left w:val="none" w:sz="0" w:space="0" w:color="auto"/>
            <w:bottom w:val="none" w:sz="0" w:space="0" w:color="auto"/>
            <w:right w:val="none" w:sz="0" w:space="0" w:color="auto"/>
          </w:divBdr>
        </w:div>
        <w:div w:id="1280801275">
          <w:marLeft w:val="0"/>
          <w:marRight w:val="0"/>
          <w:marTop w:val="0"/>
          <w:marBottom w:val="0"/>
          <w:divBdr>
            <w:top w:val="none" w:sz="0" w:space="0" w:color="auto"/>
            <w:left w:val="none" w:sz="0" w:space="0" w:color="auto"/>
            <w:bottom w:val="none" w:sz="0" w:space="0" w:color="auto"/>
            <w:right w:val="none" w:sz="0" w:space="0" w:color="auto"/>
          </w:divBdr>
        </w:div>
        <w:div w:id="1688363962">
          <w:marLeft w:val="0"/>
          <w:marRight w:val="0"/>
          <w:marTop w:val="0"/>
          <w:marBottom w:val="0"/>
          <w:divBdr>
            <w:top w:val="none" w:sz="0" w:space="0" w:color="auto"/>
            <w:left w:val="none" w:sz="0" w:space="0" w:color="auto"/>
            <w:bottom w:val="none" w:sz="0" w:space="0" w:color="auto"/>
            <w:right w:val="none" w:sz="0" w:space="0" w:color="auto"/>
          </w:divBdr>
        </w:div>
        <w:div w:id="2012021091">
          <w:marLeft w:val="0"/>
          <w:marRight w:val="0"/>
          <w:marTop w:val="0"/>
          <w:marBottom w:val="0"/>
          <w:divBdr>
            <w:top w:val="none" w:sz="0" w:space="0" w:color="auto"/>
            <w:left w:val="none" w:sz="0" w:space="0" w:color="auto"/>
            <w:bottom w:val="none" w:sz="0" w:space="0" w:color="auto"/>
            <w:right w:val="none" w:sz="0" w:space="0" w:color="auto"/>
          </w:divBdr>
        </w:div>
        <w:div w:id="2129740674">
          <w:marLeft w:val="0"/>
          <w:marRight w:val="0"/>
          <w:marTop w:val="0"/>
          <w:marBottom w:val="0"/>
          <w:divBdr>
            <w:top w:val="none" w:sz="0" w:space="0" w:color="auto"/>
            <w:left w:val="none" w:sz="0" w:space="0" w:color="auto"/>
            <w:bottom w:val="none" w:sz="0" w:space="0" w:color="auto"/>
            <w:right w:val="none" w:sz="0" w:space="0" w:color="auto"/>
          </w:divBdr>
        </w:div>
      </w:divsChild>
    </w:div>
    <w:div w:id="1133016550">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696352759">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213008012">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77919193">
      <w:bodyDiv w:val="1"/>
      <w:marLeft w:val="0"/>
      <w:marRight w:val="0"/>
      <w:marTop w:val="0"/>
      <w:marBottom w:val="0"/>
      <w:divBdr>
        <w:top w:val="none" w:sz="0" w:space="0" w:color="auto"/>
        <w:left w:val="none" w:sz="0" w:space="0" w:color="auto"/>
        <w:bottom w:val="none" w:sz="0" w:space="0" w:color="auto"/>
        <w:right w:val="none" w:sz="0" w:space="0" w:color="auto"/>
      </w:divBdr>
    </w:div>
    <w:div w:id="1495220057">
      <w:bodyDiv w:val="1"/>
      <w:marLeft w:val="0"/>
      <w:marRight w:val="0"/>
      <w:marTop w:val="0"/>
      <w:marBottom w:val="0"/>
      <w:divBdr>
        <w:top w:val="none" w:sz="0" w:space="0" w:color="auto"/>
        <w:left w:val="none" w:sz="0" w:space="0" w:color="auto"/>
        <w:bottom w:val="none" w:sz="0" w:space="0" w:color="auto"/>
        <w:right w:val="none" w:sz="0" w:space="0" w:color="auto"/>
      </w:divBdr>
      <w:divsChild>
        <w:div w:id="416099177">
          <w:marLeft w:val="0"/>
          <w:marRight w:val="0"/>
          <w:marTop w:val="0"/>
          <w:marBottom w:val="0"/>
          <w:divBdr>
            <w:top w:val="none" w:sz="0" w:space="0" w:color="auto"/>
            <w:left w:val="none" w:sz="0" w:space="0" w:color="auto"/>
            <w:bottom w:val="none" w:sz="0" w:space="0" w:color="auto"/>
            <w:right w:val="none" w:sz="0" w:space="0" w:color="auto"/>
          </w:divBdr>
        </w:div>
        <w:div w:id="2028100518">
          <w:marLeft w:val="0"/>
          <w:marRight w:val="0"/>
          <w:marTop w:val="0"/>
          <w:marBottom w:val="0"/>
          <w:divBdr>
            <w:top w:val="none" w:sz="0" w:space="0" w:color="auto"/>
            <w:left w:val="none" w:sz="0" w:space="0" w:color="auto"/>
            <w:bottom w:val="none" w:sz="0" w:space="0" w:color="auto"/>
            <w:right w:val="none" w:sz="0" w:space="0" w:color="auto"/>
          </w:divBdr>
        </w:div>
        <w:div w:id="271205751">
          <w:marLeft w:val="0"/>
          <w:marRight w:val="0"/>
          <w:marTop w:val="0"/>
          <w:marBottom w:val="0"/>
          <w:divBdr>
            <w:top w:val="none" w:sz="0" w:space="0" w:color="auto"/>
            <w:left w:val="none" w:sz="0" w:space="0" w:color="auto"/>
            <w:bottom w:val="none" w:sz="0" w:space="0" w:color="auto"/>
            <w:right w:val="none" w:sz="0" w:space="0" w:color="auto"/>
          </w:divBdr>
        </w:div>
        <w:div w:id="1144002802">
          <w:marLeft w:val="0"/>
          <w:marRight w:val="0"/>
          <w:marTop w:val="0"/>
          <w:marBottom w:val="0"/>
          <w:divBdr>
            <w:top w:val="none" w:sz="0" w:space="0" w:color="auto"/>
            <w:left w:val="none" w:sz="0" w:space="0" w:color="auto"/>
            <w:bottom w:val="none" w:sz="0" w:space="0" w:color="auto"/>
            <w:right w:val="none" w:sz="0" w:space="0" w:color="auto"/>
          </w:divBdr>
          <w:divsChild>
            <w:div w:id="1633050908">
              <w:marLeft w:val="0"/>
              <w:marRight w:val="0"/>
              <w:marTop w:val="0"/>
              <w:marBottom w:val="0"/>
              <w:divBdr>
                <w:top w:val="none" w:sz="0" w:space="0" w:color="auto"/>
                <w:left w:val="none" w:sz="0" w:space="0" w:color="auto"/>
                <w:bottom w:val="none" w:sz="0" w:space="0" w:color="auto"/>
                <w:right w:val="none" w:sz="0" w:space="0" w:color="auto"/>
              </w:divBdr>
            </w:div>
            <w:div w:id="285426352">
              <w:marLeft w:val="0"/>
              <w:marRight w:val="0"/>
              <w:marTop w:val="0"/>
              <w:marBottom w:val="0"/>
              <w:divBdr>
                <w:top w:val="none" w:sz="0" w:space="0" w:color="auto"/>
                <w:left w:val="none" w:sz="0" w:space="0" w:color="auto"/>
                <w:bottom w:val="none" w:sz="0" w:space="0" w:color="auto"/>
                <w:right w:val="none" w:sz="0" w:space="0" w:color="auto"/>
              </w:divBdr>
            </w:div>
            <w:div w:id="52389093">
              <w:marLeft w:val="0"/>
              <w:marRight w:val="0"/>
              <w:marTop w:val="0"/>
              <w:marBottom w:val="0"/>
              <w:divBdr>
                <w:top w:val="none" w:sz="0" w:space="0" w:color="auto"/>
                <w:left w:val="none" w:sz="0" w:space="0" w:color="auto"/>
                <w:bottom w:val="none" w:sz="0" w:space="0" w:color="auto"/>
                <w:right w:val="none" w:sz="0" w:space="0" w:color="auto"/>
              </w:divBdr>
            </w:div>
            <w:div w:id="1062174637">
              <w:marLeft w:val="0"/>
              <w:marRight w:val="0"/>
              <w:marTop w:val="0"/>
              <w:marBottom w:val="0"/>
              <w:divBdr>
                <w:top w:val="none" w:sz="0" w:space="0" w:color="auto"/>
                <w:left w:val="none" w:sz="0" w:space="0" w:color="auto"/>
                <w:bottom w:val="none" w:sz="0" w:space="0" w:color="auto"/>
                <w:right w:val="none" w:sz="0" w:space="0" w:color="auto"/>
              </w:divBdr>
            </w:div>
          </w:divsChild>
        </w:div>
        <w:div w:id="172379337">
          <w:marLeft w:val="0"/>
          <w:marRight w:val="0"/>
          <w:marTop w:val="0"/>
          <w:marBottom w:val="0"/>
          <w:divBdr>
            <w:top w:val="none" w:sz="0" w:space="0" w:color="auto"/>
            <w:left w:val="none" w:sz="0" w:space="0" w:color="auto"/>
            <w:bottom w:val="none" w:sz="0" w:space="0" w:color="auto"/>
            <w:right w:val="none" w:sz="0" w:space="0" w:color="auto"/>
          </w:divBdr>
        </w:div>
        <w:div w:id="1394503729">
          <w:marLeft w:val="0"/>
          <w:marRight w:val="0"/>
          <w:marTop w:val="0"/>
          <w:marBottom w:val="0"/>
          <w:divBdr>
            <w:top w:val="none" w:sz="0" w:space="0" w:color="auto"/>
            <w:left w:val="none" w:sz="0" w:space="0" w:color="auto"/>
            <w:bottom w:val="none" w:sz="0" w:space="0" w:color="auto"/>
            <w:right w:val="none" w:sz="0" w:space="0" w:color="auto"/>
          </w:divBdr>
        </w:div>
        <w:div w:id="883831748">
          <w:marLeft w:val="0"/>
          <w:marRight w:val="0"/>
          <w:marTop w:val="0"/>
          <w:marBottom w:val="0"/>
          <w:divBdr>
            <w:top w:val="none" w:sz="0" w:space="0" w:color="auto"/>
            <w:left w:val="none" w:sz="0" w:space="0" w:color="auto"/>
            <w:bottom w:val="none" w:sz="0" w:space="0" w:color="auto"/>
            <w:right w:val="none" w:sz="0" w:space="0" w:color="auto"/>
          </w:divBdr>
        </w:div>
        <w:div w:id="765226444">
          <w:marLeft w:val="0"/>
          <w:marRight w:val="0"/>
          <w:marTop w:val="0"/>
          <w:marBottom w:val="0"/>
          <w:divBdr>
            <w:top w:val="none" w:sz="0" w:space="0" w:color="auto"/>
            <w:left w:val="none" w:sz="0" w:space="0" w:color="auto"/>
            <w:bottom w:val="none" w:sz="0" w:space="0" w:color="auto"/>
            <w:right w:val="none" w:sz="0" w:space="0" w:color="auto"/>
          </w:divBdr>
          <w:divsChild>
            <w:div w:id="954556327">
              <w:marLeft w:val="0"/>
              <w:marRight w:val="0"/>
              <w:marTop w:val="30"/>
              <w:marBottom w:val="30"/>
              <w:divBdr>
                <w:top w:val="none" w:sz="0" w:space="0" w:color="auto"/>
                <w:left w:val="none" w:sz="0" w:space="0" w:color="auto"/>
                <w:bottom w:val="none" w:sz="0" w:space="0" w:color="auto"/>
                <w:right w:val="none" w:sz="0" w:space="0" w:color="auto"/>
              </w:divBdr>
              <w:divsChild>
                <w:div w:id="1515152353">
                  <w:marLeft w:val="0"/>
                  <w:marRight w:val="0"/>
                  <w:marTop w:val="0"/>
                  <w:marBottom w:val="0"/>
                  <w:divBdr>
                    <w:top w:val="none" w:sz="0" w:space="0" w:color="auto"/>
                    <w:left w:val="none" w:sz="0" w:space="0" w:color="auto"/>
                    <w:bottom w:val="none" w:sz="0" w:space="0" w:color="auto"/>
                    <w:right w:val="none" w:sz="0" w:space="0" w:color="auto"/>
                  </w:divBdr>
                  <w:divsChild>
                    <w:div w:id="1871068707">
                      <w:marLeft w:val="0"/>
                      <w:marRight w:val="0"/>
                      <w:marTop w:val="0"/>
                      <w:marBottom w:val="0"/>
                      <w:divBdr>
                        <w:top w:val="none" w:sz="0" w:space="0" w:color="auto"/>
                        <w:left w:val="none" w:sz="0" w:space="0" w:color="auto"/>
                        <w:bottom w:val="none" w:sz="0" w:space="0" w:color="auto"/>
                        <w:right w:val="none" w:sz="0" w:space="0" w:color="auto"/>
                      </w:divBdr>
                    </w:div>
                  </w:divsChild>
                </w:div>
                <w:div w:id="1847161449">
                  <w:marLeft w:val="0"/>
                  <w:marRight w:val="0"/>
                  <w:marTop w:val="0"/>
                  <w:marBottom w:val="0"/>
                  <w:divBdr>
                    <w:top w:val="none" w:sz="0" w:space="0" w:color="auto"/>
                    <w:left w:val="none" w:sz="0" w:space="0" w:color="auto"/>
                    <w:bottom w:val="none" w:sz="0" w:space="0" w:color="auto"/>
                    <w:right w:val="none" w:sz="0" w:space="0" w:color="auto"/>
                  </w:divBdr>
                  <w:divsChild>
                    <w:div w:id="1362172159">
                      <w:marLeft w:val="0"/>
                      <w:marRight w:val="0"/>
                      <w:marTop w:val="0"/>
                      <w:marBottom w:val="0"/>
                      <w:divBdr>
                        <w:top w:val="none" w:sz="0" w:space="0" w:color="auto"/>
                        <w:left w:val="none" w:sz="0" w:space="0" w:color="auto"/>
                        <w:bottom w:val="none" w:sz="0" w:space="0" w:color="auto"/>
                        <w:right w:val="none" w:sz="0" w:space="0" w:color="auto"/>
                      </w:divBdr>
                    </w:div>
                  </w:divsChild>
                </w:div>
                <w:div w:id="275601289">
                  <w:marLeft w:val="0"/>
                  <w:marRight w:val="0"/>
                  <w:marTop w:val="0"/>
                  <w:marBottom w:val="0"/>
                  <w:divBdr>
                    <w:top w:val="none" w:sz="0" w:space="0" w:color="auto"/>
                    <w:left w:val="none" w:sz="0" w:space="0" w:color="auto"/>
                    <w:bottom w:val="none" w:sz="0" w:space="0" w:color="auto"/>
                    <w:right w:val="none" w:sz="0" w:space="0" w:color="auto"/>
                  </w:divBdr>
                  <w:divsChild>
                    <w:div w:id="1431974199">
                      <w:marLeft w:val="0"/>
                      <w:marRight w:val="0"/>
                      <w:marTop w:val="0"/>
                      <w:marBottom w:val="0"/>
                      <w:divBdr>
                        <w:top w:val="none" w:sz="0" w:space="0" w:color="auto"/>
                        <w:left w:val="none" w:sz="0" w:space="0" w:color="auto"/>
                        <w:bottom w:val="none" w:sz="0" w:space="0" w:color="auto"/>
                        <w:right w:val="none" w:sz="0" w:space="0" w:color="auto"/>
                      </w:divBdr>
                    </w:div>
                  </w:divsChild>
                </w:div>
                <w:div w:id="950362950">
                  <w:marLeft w:val="0"/>
                  <w:marRight w:val="0"/>
                  <w:marTop w:val="0"/>
                  <w:marBottom w:val="0"/>
                  <w:divBdr>
                    <w:top w:val="none" w:sz="0" w:space="0" w:color="auto"/>
                    <w:left w:val="none" w:sz="0" w:space="0" w:color="auto"/>
                    <w:bottom w:val="none" w:sz="0" w:space="0" w:color="auto"/>
                    <w:right w:val="none" w:sz="0" w:space="0" w:color="auto"/>
                  </w:divBdr>
                  <w:divsChild>
                    <w:div w:id="8365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1880311834">
      <w:bodyDiv w:val="1"/>
      <w:marLeft w:val="0"/>
      <w:marRight w:val="0"/>
      <w:marTop w:val="0"/>
      <w:marBottom w:val="0"/>
      <w:divBdr>
        <w:top w:val="none" w:sz="0" w:space="0" w:color="auto"/>
        <w:left w:val="none" w:sz="0" w:space="0" w:color="auto"/>
        <w:bottom w:val="none" w:sz="0" w:space="0" w:color="auto"/>
        <w:right w:val="none" w:sz="0" w:space="0" w:color="auto"/>
      </w:divBdr>
      <w:divsChild>
        <w:div w:id="685253629">
          <w:marLeft w:val="0"/>
          <w:marRight w:val="0"/>
          <w:marTop w:val="0"/>
          <w:marBottom w:val="0"/>
          <w:divBdr>
            <w:top w:val="none" w:sz="0" w:space="0" w:color="auto"/>
            <w:left w:val="none" w:sz="0" w:space="0" w:color="auto"/>
            <w:bottom w:val="none" w:sz="0" w:space="0" w:color="auto"/>
            <w:right w:val="none" w:sz="0" w:space="0" w:color="auto"/>
          </w:divBdr>
        </w:div>
        <w:div w:id="748237937">
          <w:marLeft w:val="0"/>
          <w:marRight w:val="0"/>
          <w:marTop w:val="0"/>
          <w:marBottom w:val="0"/>
          <w:divBdr>
            <w:top w:val="none" w:sz="0" w:space="0" w:color="auto"/>
            <w:left w:val="none" w:sz="0" w:space="0" w:color="auto"/>
            <w:bottom w:val="none" w:sz="0" w:space="0" w:color="auto"/>
            <w:right w:val="none" w:sz="0" w:space="0" w:color="auto"/>
          </w:divBdr>
        </w:div>
        <w:div w:id="2003198026">
          <w:marLeft w:val="0"/>
          <w:marRight w:val="0"/>
          <w:marTop w:val="0"/>
          <w:marBottom w:val="0"/>
          <w:divBdr>
            <w:top w:val="none" w:sz="0" w:space="0" w:color="auto"/>
            <w:left w:val="none" w:sz="0" w:space="0" w:color="auto"/>
            <w:bottom w:val="none" w:sz="0" w:space="0" w:color="auto"/>
            <w:right w:val="none" w:sz="0" w:space="0" w:color="auto"/>
          </w:divBdr>
        </w:div>
      </w:divsChild>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files.doe.mass.edu" TargetMode="External"/><Relationship Id="rId18" Type="http://schemas.openxmlformats.org/officeDocument/2006/relationships/hyperlink" Target="https://www.doe.mass.edu/finance/circuitbreaker/rates.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oecnet.org/" TargetMode="External"/><Relationship Id="rId7" Type="http://schemas.openxmlformats.org/officeDocument/2006/relationships/settings" Target="settings.xml"/><Relationship Id="rId12" Type="http://schemas.openxmlformats.org/officeDocument/2006/relationships/hyperlink" Target="https://www.doe.mass.edu/sped/" TargetMode="External"/><Relationship Id="rId17" Type="http://schemas.openxmlformats.org/officeDocument/2006/relationships/hyperlink" Target="http://www.doe.mass.edu/finance/circuitbreake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2.ed.gov/fund/data/report/idea/partbdmsrpts/dms-ma-b-2019-letter-08-15-2019.pdf" TargetMode="External"/><Relationship Id="rId20" Type="http://schemas.openxmlformats.org/officeDocument/2006/relationships/hyperlink" Target="https://malegislature.gov/Laws/GeneralLaws/PartI/TitleVII/Chapter40/Section4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russell.johnston@mass.gov" TargetMode="External"/><Relationship Id="rId5" Type="http://schemas.openxmlformats.org/officeDocument/2006/relationships/numbering" Target="numbering.xml"/><Relationship Id="rId15" Type="http://schemas.openxmlformats.org/officeDocument/2006/relationships/hyperlink" Target="https://www.doe.mass.edu/sped/spp/ssip-phaseiii-2019.docx" TargetMode="External"/><Relationship Id="rId23" Type="http://schemas.openxmlformats.org/officeDocument/2006/relationships/hyperlink" Target="https://www.doe.mass.edu/edcollaboratives/" TargetMode="External"/><Relationship Id="rId10" Type="http://schemas.openxmlformats.org/officeDocument/2006/relationships/endnotes" Target="endnotes.xml"/><Relationship Id="rId19" Type="http://schemas.openxmlformats.org/officeDocument/2006/relationships/hyperlink" Target="https://www.doe.mass.edu/finance/circuitbreaker/pay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sped/spp/spp-apr-2019.docx" TargetMode="External"/><Relationship Id="rId22" Type="http://schemas.openxmlformats.org/officeDocument/2006/relationships/hyperlink" Target="https://www.doe.mass.edu/lawsregs/603cmr50.html?section=all"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x\OneDrive%20-%20Commonwealth%20of%20Massachusetts\REPORTS\2023%20Legislative%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DCA8058B8DE446B0CE8778AD7514A1" ma:contentTypeVersion="5" ma:contentTypeDescription="Create a new document." ma:contentTypeScope="" ma:versionID="eedbbc430b4e0919b45be02c33869f57">
  <xsd:schema xmlns:xsd="http://www.w3.org/2001/XMLSchema" xmlns:xs="http://www.w3.org/2001/XMLSchema" xmlns:p="http://schemas.microsoft.com/office/2006/metadata/properties" xmlns:ns2="d52c01ff-9397-4e4c-ae31-bed8641d010e" xmlns:ns3="a4016dea-12d1-4501-ada0-fddfbf71bb28" targetNamespace="http://schemas.microsoft.com/office/2006/metadata/properties" ma:root="true" ma:fieldsID="cc11d0ba4524c801959ab6d272530df4" ns2:_="" ns3:_="">
    <xsd:import namespace="d52c01ff-9397-4e4c-ae31-bed8641d010e"/>
    <xsd:import namespace="a4016dea-12d1-4501-ada0-fddfbf71bb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c01ff-9397-4e4c-ae31-bed8641d0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6dea-12d1-4501-ada0-fddfbf71bb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CB3329-1B43-43E9-9AD2-F3AFF164B9A7}">
  <ds:schemaRefs>
    <ds:schemaRef ds:uri="http://schemas.microsoft.com/sharepoint/v3/contenttype/forms"/>
  </ds:schemaRefs>
</ds:datastoreItem>
</file>

<file path=customXml/itemProps2.xml><?xml version="1.0" encoding="utf-8"?>
<ds:datastoreItem xmlns:ds="http://schemas.openxmlformats.org/officeDocument/2006/customXml" ds:itemID="{E7EE4E3E-7650-4449-B51A-FD1E175A37C9}">
  <ds:schemaRefs>
    <ds:schemaRef ds:uri="http://schemas.openxmlformats.org/officeDocument/2006/bibliography"/>
  </ds:schemaRefs>
</ds:datastoreItem>
</file>

<file path=customXml/itemProps3.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D38842-91ED-4260-B03D-B6F9BF3BA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c01ff-9397-4e4c-ae31-bed8641d010e"/>
    <ds:schemaRef ds:uri="a4016dea-12d1-4501-ada0-fddfbf71b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2023 Legislative Report Template.dotx</Template>
  <TotalTime>1</TotalTime>
  <Pages>4</Pages>
  <Words>1822</Words>
  <Characters>11371</Characters>
  <Application>Microsoft Office Word</Application>
  <DocSecurity>0</DocSecurity>
  <Lines>406</Lines>
  <Paragraphs>280</Paragraphs>
  <ScaleCrop>false</ScaleCrop>
  <HeadingPairs>
    <vt:vector size="2" baseType="variant">
      <vt:variant>
        <vt:lpstr>Title</vt:lpstr>
      </vt:variant>
      <vt:variant>
        <vt:i4>1</vt:i4>
      </vt:variant>
    </vt:vector>
  </HeadingPairs>
  <TitlesOfParts>
    <vt:vector size="1" baseType="lpstr">
      <vt:lpstr>- Massachusetts Department of Elementary and Secondary Education</vt:lpstr>
    </vt:vector>
  </TitlesOfParts>
  <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Annual Report on Students with Disabilities 2019-2020</dc:title>
  <dc:subject/>
  <dc:creator>DESE</dc:creator>
  <cp:keywords/>
  <cp:lastModifiedBy>Zou, Dong (EOE)</cp:lastModifiedBy>
  <cp:revision>4</cp:revision>
  <cp:lastPrinted>2023-09-13T15:59:00Z</cp:lastPrinted>
  <dcterms:created xsi:type="dcterms:W3CDTF">2023-09-13T18:05:00Z</dcterms:created>
  <dcterms:modified xsi:type="dcterms:W3CDTF">2023-10-23T14:26:00Z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23 2023 12:00AM</vt:lpwstr>
  </property>
</Properties>
</file>