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chart4.xml" ContentType="application/vnd.openxmlformats-officedocument.drawingml.chart+xml"/>
  <Override PartName="/word/theme/themeOverride1.xml" ContentType="application/vnd.openxmlformats-officedocument.themeOverride+xml"/>
  <Override PartName="/word/charts/chart5.xml" ContentType="application/vnd.openxmlformats-officedocument.drawingml.chart+xml"/>
  <Override PartName="/word/header2.xml" ContentType="application/vnd.openxmlformats-officedocument.wordprocessingml.header+xml"/>
  <Override PartName="/word/footer2.xml" ContentType="application/vnd.openxmlformats-officedocument.wordprocessingml.footer+xml"/>
  <Override PartName="/word/charts/chart6.xml" ContentType="application/vnd.openxmlformats-officedocument.drawingml.chart+xml"/>
  <Override PartName="/word/theme/themeOverride2.xml" ContentType="application/vnd.openxmlformats-officedocument.themeOverride+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theme/themeOverride3.xml" ContentType="application/vnd.openxmlformats-officedocument.themeOverride+xml"/>
  <Override PartName="/word/charts/chart11.xml" ContentType="application/vnd.openxmlformats-officedocument.drawingml.chart+xml"/>
  <Override PartName="/word/theme/themeOverride4.xml" ContentType="application/vnd.openxmlformats-officedocument.themeOverride+xml"/>
  <Override PartName="/word/charts/chart12.xml" ContentType="application/vnd.openxmlformats-officedocument.drawingml.chart+xml"/>
  <Override PartName="/word/theme/themeOverride5.xml" ContentType="application/vnd.openxmlformats-officedocument.themeOverride+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style3.xml" ContentType="application/vnd.ms-office.chartstyle+xml"/>
  <Override PartName="/word/charts/colors3.xml" ContentType="application/vnd.ms-office.chartcolorstyle+xml"/>
  <Override PartName="/word/footer3.xml" ContentType="application/vnd.openxmlformats-officedocument.wordprocessingml.footer+xml"/>
  <Override PartName="/word/charts/chart26.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27.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28.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29.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30.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31.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32.xml" ContentType="application/vnd.openxmlformats-officedocument.drawingml.chart+xml"/>
  <Override PartName="/word/charts/style10.xml" ContentType="application/vnd.ms-office.chartstyle+xml"/>
  <Override PartName="/word/charts/colors10.xml" ContentType="application/vnd.ms-office.chartcolorstyle+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936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9360"/>
      </w:tblGrid>
      <w:tr w:rsidR="00F403A7" w:rsidRPr="006335A1" w14:paraId="77089DD1" w14:textId="77777777" w:rsidTr="006153E2">
        <w:trPr>
          <w:cantSplit/>
          <w:trHeight w:val="10296"/>
          <w:jc w:val="center"/>
        </w:trPr>
        <w:tc>
          <w:tcPr>
            <w:tcW w:w="9360" w:type="dxa"/>
          </w:tcPr>
          <w:sdt>
            <w:sdtPr>
              <w:rPr>
                <w:rFonts w:ascii="Open Sans SemiBold" w:hAnsi="Open Sans SemiBold" w:cs="Times New Roman (Body CS)"/>
                <w:caps/>
                <w:color w:val="950514"/>
                <w:spacing w:val="80"/>
                <w:sz w:val="24"/>
              </w:rPr>
              <w:id w:val="-1047905263"/>
              <w:lock w:val="sdtLocked"/>
              <w:placeholder>
                <w:docPart w:val="9ED680F534A2470B8CE74994D965F04D"/>
              </w:placeholder>
            </w:sdtPr>
            <w:sdtContent>
              <w:p w14:paraId="6BE47DBB" w14:textId="1BD16405" w:rsidR="00F403A7" w:rsidRPr="008F7FC2" w:rsidRDefault="00FC4A79" w:rsidP="008F7FC2">
                <w:pPr>
                  <w:jc w:val="right"/>
                  <w:rPr>
                    <w:rStyle w:val="Heading1Char"/>
                    <w:sz w:val="34"/>
                    <w:szCs w:val="34"/>
                  </w:rPr>
                </w:pPr>
                <w:r w:rsidRPr="008F7FC2">
                  <w:rPr>
                    <w:rStyle w:val="Heading1Char"/>
                    <w:sz w:val="34"/>
                    <w:szCs w:val="34"/>
                  </w:rPr>
                  <w:t xml:space="preserve">AP STEM and English </w:t>
                </w:r>
                <w:r w:rsidR="0094422D" w:rsidRPr="008F7FC2">
                  <w:rPr>
                    <w:rStyle w:val="Heading1Char"/>
                    <w:sz w:val="34"/>
                    <w:szCs w:val="34"/>
                  </w:rPr>
                  <w:t xml:space="preserve">Year 13 </w:t>
                </w:r>
                <w:r w:rsidRPr="008F7FC2">
                  <w:rPr>
                    <w:rStyle w:val="Heading1Char"/>
                    <w:sz w:val="34"/>
                    <w:szCs w:val="34"/>
                  </w:rPr>
                  <w:t>Program Evaluation</w:t>
                </w:r>
              </w:p>
              <w:p w14:paraId="37B86AF1" w14:textId="1EF92708" w:rsidR="0026368D" w:rsidRPr="00497CFE" w:rsidRDefault="00845CEE" w:rsidP="0026368D">
                <w:pPr>
                  <w:pStyle w:val="CPHead2"/>
                  <w:rPr>
                    <w:color w:val="595959" w:themeColor="text1" w:themeTint="A6"/>
                  </w:rPr>
                </w:pPr>
                <w:r w:rsidRPr="00497CFE">
                  <w:rPr>
                    <w:color w:val="595959" w:themeColor="text1" w:themeTint="A6"/>
                  </w:rPr>
                  <w:t>Exploring impacts of m</w:t>
                </w:r>
                <w:r w:rsidR="00A87295" w:rsidRPr="00497CFE">
                  <w:rPr>
                    <w:color w:val="595959" w:themeColor="text1" w:themeTint="A6"/>
                  </w:rPr>
                  <w:t>ock exam</w:t>
                </w:r>
                <w:r w:rsidRPr="00497CFE">
                  <w:rPr>
                    <w:color w:val="595959" w:themeColor="text1" w:themeTint="A6"/>
                  </w:rPr>
                  <w:t>s</w:t>
                </w:r>
                <w:r w:rsidR="00A87295" w:rsidRPr="00497CFE">
                  <w:rPr>
                    <w:color w:val="595959" w:themeColor="text1" w:themeTint="A6"/>
                  </w:rPr>
                  <w:t xml:space="preserve">, </w:t>
                </w:r>
                <w:r w:rsidR="00995AB4" w:rsidRPr="00497CFE">
                  <w:rPr>
                    <w:color w:val="595959" w:themeColor="text1" w:themeTint="A6"/>
                  </w:rPr>
                  <w:t xml:space="preserve">Saturday </w:t>
                </w:r>
                <w:r w:rsidR="00A87295" w:rsidRPr="00497CFE">
                  <w:rPr>
                    <w:color w:val="595959" w:themeColor="text1" w:themeTint="A6"/>
                  </w:rPr>
                  <w:t>study session</w:t>
                </w:r>
                <w:r w:rsidRPr="00497CFE">
                  <w:rPr>
                    <w:color w:val="595959" w:themeColor="text1" w:themeTint="A6"/>
                  </w:rPr>
                  <w:t>s</w:t>
                </w:r>
                <w:r w:rsidR="00A87295" w:rsidRPr="00497CFE">
                  <w:rPr>
                    <w:color w:val="595959" w:themeColor="text1" w:themeTint="A6"/>
                  </w:rPr>
                  <w:t xml:space="preserve">, and APSI </w:t>
                </w:r>
                <w:r w:rsidRPr="00497CFE">
                  <w:rPr>
                    <w:color w:val="595959" w:themeColor="text1" w:themeTint="A6"/>
                  </w:rPr>
                  <w:t>participation</w:t>
                </w:r>
              </w:p>
              <w:p w14:paraId="38EB6AB4" w14:textId="2F6894D7" w:rsidR="00933317" w:rsidRPr="00C56DE4" w:rsidRDefault="004C25DC" w:rsidP="00933317">
                <w:pPr>
                  <w:pStyle w:val="Date"/>
                </w:pPr>
                <w:bookmarkStart w:id="1" w:name="_Toc202784495"/>
                <w:bookmarkStart w:id="2" w:name="_Toc202788381"/>
                <w:bookmarkStart w:id="3" w:name="_Toc203984407"/>
                <w:bookmarkStart w:id="4" w:name="_Toc206742078"/>
                <w:bookmarkStart w:id="5" w:name="_Toc207183707"/>
                <w:bookmarkStart w:id="6" w:name="_Toc207348139"/>
                <w:r>
                  <w:t xml:space="preserve">august </w:t>
                </w:r>
                <w:r w:rsidR="00933317">
                  <w:t>202</w:t>
                </w:r>
                <w:r w:rsidR="001A718F">
                  <w:t>5</w:t>
                </w:r>
              </w:p>
            </w:sdtContent>
          </w:sdt>
          <w:bookmarkEnd w:id="6" w:displacedByCustomXml="prev"/>
          <w:bookmarkEnd w:id="5" w:displacedByCustomXml="prev"/>
          <w:bookmarkEnd w:id="4" w:displacedByCustomXml="prev"/>
          <w:bookmarkEnd w:id="3" w:displacedByCustomXml="prev"/>
          <w:bookmarkEnd w:id="2" w:displacedByCustomXml="prev"/>
          <w:bookmarkEnd w:id="1" w:displacedByCustomXml="prev"/>
          <w:p w14:paraId="3A695C59" w14:textId="77777777" w:rsidR="0026368D" w:rsidRPr="0026368D" w:rsidRDefault="0094422D" w:rsidP="0026368D">
            <w:r>
              <w:rPr>
                <w:noProof/>
              </w:rPr>
              <w:drawing>
                <wp:inline distT="0" distB="0" distL="0" distR="0" wp14:anchorId="065FAFE6" wp14:editId="662FF807">
                  <wp:extent cx="5943600" cy="4048760"/>
                  <wp:effectExtent l="0" t="0" r="0" b="8890"/>
                  <wp:docPr id="1412943306" name="Picture 1" descr="Classroom of students raising their hands in front of a teac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2943306" name="Picture 1412943306" descr="Classroom of students raising their hands in front of a teache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4048760"/>
                          </a:xfrm>
                          <a:prstGeom prst="rect">
                            <a:avLst/>
                          </a:prstGeom>
                        </pic:spPr>
                      </pic:pic>
                    </a:graphicData>
                  </a:graphic>
                </wp:inline>
              </w:drawing>
            </w:r>
          </w:p>
        </w:tc>
      </w:tr>
    </w:tbl>
    <w:p w14:paraId="209B52D0" w14:textId="77777777" w:rsidR="000E2FBE" w:rsidRPr="00933317" w:rsidRDefault="000E2FBE" w:rsidP="00933317">
      <w:pPr>
        <w:pStyle w:val="BodyText"/>
      </w:pPr>
    </w:p>
    <w:p w14:paraId="01C4C105" w14:textId="77777777" w:rsidR="005A1932" w:rsidRPr="00C56DE4" w:rsidRDefault="005A1932" w:rsidP="00266D11">
      <w:pPr>
        <w:pStyle w:val="Heading1"/>
        <w:sectPr w:rsidR="005A1932" w:rsidRPr="00C56DE4" w:rsidSect="00D27238">
          <w:headerReference w:type="default" r:id="rId12"/>
          <w:footerReference w:type="default" r:id="rId13"/>
          <w:pgSz w:w="12240" w:h="15840" w:code="1"/>
          <w:pgMar w:top="1440" w:right="1440" w:bottom="2520" w:left="1440" w:header="720" w:footer="720" w:gutter="0"/>
          <w:cols w:space="720"/>
          <w:titlePg/>
          <w:docGrid w:linePitch="360"/>
        </w:sectPr>
      </w:pPr>
    </w:p>
    <w:p w14:paraId="742D8CEB" w14:textId="77777777" w:rsidR="00B97259" w:rsidRPr="00384B45" w:rsidRDefault="0094422D" w:rsidP="00B97259">
      <w:pPr>
        <w:pStyle w:val="TPHead"/>
      </w:pPr>
      <w:bookmarkStart w:id="7" w:name="bmkTitlePageOptionalSubtitle"/>
      <w:bookmarkEnd w:id="7"/>
      <w:r>
        <w:rPr>
          <w:noProof/>
        </w:rPr>
        <w:lastRenderedPageBreak/>
        <w:t>AP STEM and English Year 13 Program Evaluation</w:t>
      </w:r>
      <w:r w:rsidRPr="00384B45">
        <w:t xml:space="preserve"> </w:t>
      </w:r>
    </w:p>
    <w:p w14:paraId="128404BE" w14:textId="4A20C71D" w:rsidR="00B97259" w:rsidRPr="00980EA1" w:rsidRDefault="004F493B" w:rsidP="00B74C98">
      <w:pPr>
        <w:pStyle w:val="TPHead"/>
        <w:rPr>
          <w:b w:val="0"/>
          <w:bCs/>
          <w:color w:val="595959" w:themeColor="text1" w:themeTint="A6"/>
          <w:sz w:val="30"/>
          <w:szCs w:val="30"/>
        </w:rPr>
      </w:pPr>
      <w:r w:rsidRPr="00980EA1">
        <w:rPr>
          <w:b w:val="0"/>
          <w:bCs/>
          <w:color w:val="595959" w:themeColor="text1" w:themeTint="A6"/>
          <w:sz w:val="30"/>
          <w:szCs w:val="30"/>
        </w:rPr>
        <w:t>Exploring impacts of m</w:t>
      </w:r>
      <w:r w:rsidR="00A87295" w:rsidRPr="00980EA1">
        <w:rPr>
          <w:b w:val="0"/>
          <w:bCs/>
          <w:color w:val="595959" w:themeColor="text1" w:themeTint="A6"/>
          <w:sz w:val="30"/>
          <w:szCs w:val="30"/>
        </w:rPr>
        <w:t>ock exam</w:t>
      </w:r>
      <w:r w:rsidRPr="00980EA1">
        <w:rPr>
          <w:b w:val="0"/>
          <w:bCs/>
          <w:color w:val="595959" w:themeColor="text1" w:themeTint="A6"/>
          <w:sz w:val="30"/>
          <w:szCs w:val="30"/>
        </w:rPr>
        <w:t>s</w:t>
      </w:r>
      <w:r w:rsidR="00A87295" w:rsidRPr="00980EA1">
        <w:rPr>
          <w:b w:val="0"/>
          <w:bCs/>
          <w:color w:val="595959" w:themeColor="text1" w:themeTint="A6"/>
          <w:sz w:val="30"/>
          <w:szCs w:val="30"/>
        </w:rPr>
        <w:t xml:space="preserve">, </w:t>
      </w:r>
      <w:r w:rsidR="00995AB4" w:rsidRPr="00980EA1">
        <w:rPr>
          <w:b w:val="0"/>
          <w:bCs/>
          <w:color w:val="595959" w:themeColor="text1" w:themeTint="A6"/>
          <w:sz w:val="30"/>
          <w:szCs w:val="30"/>
        </w:rPr>
        <w:t xml:space="preserve">Saturday </w:t>
      </w:r>
      <w:r w:rsidR="00A87295" w:rsidRPr="00980EA1">
        <w:rPr>
          <w:b w:val="0"/>
          <w:bCs/>
          <w:color w:val="595959" w:themeColor="text1" w:themeTint="A6"/>
          <w:sz w:val="30"/>
          <w:szCs w:val="30"/>
        </w:rPr>
        <w:t>study session</w:t>
      </w:r>
      <w:r w:rsidRPr="00980EA1">
        <w:rPr>
          <w:b w:val="0"/>
          <w:bCs/>
          <w:color w:val="595959" w:themeColor="text1" w:themeTint="A6"/>
          <w:sz w:val="30"/>
          <w:szCs w:val="30"/>
        </w:rPr>
        <w:t>s</w:t>
      </w:r>
      <w:r w:rsidR="00A87295" w:rsidRPr="00980EA1">
        <w:rPr>
          <w:b w:val="0"/>
          <w:bCs/>
          <w:color w:val="595959" w:themeColor="text1" w:themeTint="A6"/>
          <w:sz w:val="30"/>
          <w:szCs w:val="30"/>
        </w:rPr>
        <w:t xml:space="preserve">, and APSI </w:t>
      </w:r>
      <w:r w:rsidRPr="00980EA1">
        <w:rPr>
          <w:b w:val="0"/>
          <w:bCs/>
          <w:color w:val="595959" w:themeColor="text1" w:themeTint="A6"/>
          <w:sz w:val="30"/>
          <w:szCs w:val="30"/>
        </w:rPr>
        <w:t>participation</w:t>
      </w:r>
    </w:p>
    <w:p w14:paraId="6DB6B0AE" w14:textId="77777777" w:rsidR="00FC4A79" w:rsidRDefault="00384B45" w:rsidP="00FC4A79">
      <w:pPr>
        <w:pStyle w:val="TPClient"/>
        <w:spacing w:after="0"/>
      </w:pPr>
      <w:r w:rsidRPr="00384B45">
        <w:t>Prepared by the UMass Donahue Institute</w:t>
      </w:r>
      <w:r w:rsidR="00FC4A79">
        <w:t xml:space="preserve">’s </w:t>
      </w:r>
    </w:p>
    <w:p w14:paraId="14A5043E" w14:textId="77777777" w:rsidR="00384B45" w:rsidRDefault="00FC4A79" w:rsidP="00FC4A79">
      <w:pPr>
        <w:pStyle w:val="TPClient"/>
      </w:pPr>
      <w:r>
        <w:t>Applied Research and Program Evaluation Group</w:t>
      </w:r>
    </w:p>
    <w:p w14:paraId="37F4663A" w14:textId="77777777" w:rsidR="0002140A" w:rsidRDefault="0002140A" w:rsidP="0002140A">
      <w:pPr>
        <w:pStyle w:val="BodyText"/>
        <w:rPr>
          <w:rStyle w:val="Emphasis"/>
        </w:rPr>
      </w:pPr>
    </w:p>
    <w:p w14:paraId="5510ECA4" w14:textId="517CB339" w:rsidR="0002140A" w:rsidRPr="00110ECB" w:rsidRDefault="0002140A" w:rsidP="0002140A">
      <w:pPr>
        <w:pStyle w:val="BodyText"/>
        <w:rPr>
          <w:rStyle w:val="Emphasis"/>
        </w:rPr>
      </w:pPr>
      <w:r w:rsidRPr="00110ECB">
        <w:rPr>
          <w:rStyle w:val="Emphasis"/>
        </w:rPr>
        <w:t>Project Leader</w:t>
      </w:r>
    </w:p>
    <w:p w14:paraId="05532B12" w14:textId="77777777" w:rsidR="0002140A" w:rsidRPr="00110ECB" w:rsidRDefault="0002140A" w:rsidP="0002140A">
      <w:pPr>
        <w:pStyle w:val="BodyText"/>
      </w:pPr>
      <w:r>
        <w:t>Jeremiah Johnson, Ph.D.</w:t>
      </w:r>
    </w:p>
    <w:p w14:paraId="62A7FCB2" w14:textId="77777777" w:rsidR="0002140A" w:rsidRPr="00110ECB" w:rsidRDefault="0002140A" w:rsidP="0002140A">
      <w:pPr>
        <w:pStyle w:val="BodyText"/>
      </w:pPr>
    </w:p>
    <w:p w14:paraId="61962A7A" w14:textId="77777777" w:rsidR="0002140A" w:rsidRPr="00110ECB" w:rsidRDefault="0002140A" w:rsidP="0002140A">
      <w:pPr>
        <w:pStyle w:val="BodyText"/>
        <w:spacing w:after="0"/>
        <w:rPr>
          <w:rStyle w:val="Emphasis"/>
        </w:rPr>
      </w:pPr>
      <w:r w:rsidRPr="00110ECB">
        <w:rPr>
          <w:rStyle w:val="Emphasis"/>
        </w:rPr>
        <w:t>Project Staff</w:t>
      </w:r>
    </w:p>
    <w:p w14:paraId="58E88726" w14:textId="77777777" w:rsidR="0002140A" w:rsidRPr="00110ECB" w:rsidRDefault="0002140A" w:rsidP="0002140A">
      <w:pPr>
        <w:pStyle w:val="BodyText"/>
      </w:pPr>
      <w:r>
        <w:t>Hanni Thoma, M.Ed.</w:t>
      </w:r>
    </w:p>
    <w:p w14:paraId="6B95AE2B" w14:textId="77777777" w:rsidR="0002140A" w:rsidRPr="00110ECB" w:rsidRDefault="0002140A" w:rsidP="0002140A">
      <w:pPr>
        <w:pStyle w:val="BodyText"/>
      </w:pPr>
      <w:r>
        <w:t>Anthony Rainey, Ph.D.</w:t>
      </w:r>
    </w:p>
    <w:p w14:paraId="6847A101" w14:textId="77777777" w:rsidR="0002140A" w:rsidRDefault="0002140A" w:rsidP="0002140A">
      <w:pPr>
        <w:pStyle w:val="BodyText"/>
      </w:pPr>
      <w:r>
        <w:t>Felicia Dennis, Ph.D.</w:t>
      </w:r>
    </w:p>
    <w:p w14:paraId="3F63747E" w14:textId="77777777" w:rsidR="0002140A" w:rsidRDefault="0002140A" w:rsidP="0002140A">
      <w:pPr>
        <w:pStyle w:val="BodyText"/>
      </w:pPr>
    </w:p>
    <w:p w14:paraId="680DA861" w14:textId="77777777" w:rsidR="0002140A" w:rsidRDefault="0002140A" w:rsidP="0002140A">
      <w:pPr>
        <w:pStyle w:val="BodyText"/>
      </w:pPr>
    </w:p>
    <w:p w14:paraId="276C8DCC" w14:textId="77777777" w:rsidR="0002140A" w:rsidRPr="00110ECB" w:rsidRDefault="0002140A" w:rsidP="0002140A">
      <w:pPr>
        <w:pStyle w:val="BodyText"/>
      </w:pPr>
    </w:p>
    <w:tbl>
      <w:tblPr>
        <w:tblStyle w:val="TableGrid"/>
        <w:tblW w:w="9350" w:type="dxa"/>
        <w:tblInd w:w="5" w:type="dxa"/>
        <w:tblBorders>
          <w:top w:val="single" w:sz="4" w:space="0" w:color="999B9E"/>
          <w:left w:val="none" w:sz="0" w:space="0" w:color="auto"/>
          <w:bottom w:val="single" w:sz="4" w:space="0" w:color="999B9E"/>
          <w:right w:val="none" w:sz="0" w:space="0" w:color="auto"/>
          <w:insideH w:val="single" w:sz="4" w:space="0" w:color="999B9E"/>
          <w:insideV w:val="none" w:sz="0" w:space="0" w:color="auto"/>
        </w:tblBorders>
        <w:tblLayout w:type="fixed"/>
        <w:tblCellMar>
          <w:top w:w="360" w:type="dxa"/>
          <w:left w:w="720" w:type="dxa"/>
          <w:bottom w:w="259" w:type="dxa"/>
          <w:right w:w="720" w:type="dxa"/>
        </w:tblCellMar>
        <w:tblLook w:val="04A0" w:firstRow="1" w:lastRow="0" w:firstColumn="1" w:lastColumn="0" w:noHBand="0" w:noVBand="1"/>
      </w:tblPr>
      <w:tblGrid>
        <w:gridCol w:w="9350"/>
      </w:tblGrid>
      <w:tr w:rsidR="00154506" w:rsidRPr="00154506" w14:paraId="2B366931" w14:textId="77777777" w:rsidTr="0002140A">
        <w:tc>
          <w:tcPr>
            <w:tcW w:w="9350" w:type="dxa"/>
          </w:tcPr>
          <w:p w14:paraId="51FE802C" w14:textId="77777777" w:rsidR="000D248C" w:rsidRDefault="00A400A3" w:rsidP="00DD411A">
            <w:pPr>
              <w:pStyle w:val="BodyText"/>
              <w:rPr>
                <w:rStyle w:val="Hyperlink"/>
              </w:rPr>
            </w:pPr>
            <w:r w:rsidRPr="00A400A3">
              <w:t xml:space="preserve">Established in 1971, the UMass Donahue Institute is a public service, research, and economic development arm of the University of Massachusetts. Our mission is to foster healthy communities and support economies that alleviate poverty and promote </w:t>
            </w:r>
            <w:proofErr w:type="gramStart"/>
            <w:r w:rsidRPr="00A400A3">
              <w:t>opportunity</w:t>
            </w:r>
            <w:proofErr w:type="gramEnd"/>
            <w:r w:rsidRPr="00A400A3">
              <w:t xml:space="preserve">. In collaboration with partner organizations and clients, we carry out our mission through research, education and training, capacity building, and direct services to strengthen our collective impact. </w:t>
            </w:r>
            <w:r w:rsidR="000D248C" w:rsidRPr="00A400A3">
              <w:t xml:space="preserve">For more information, </w:t>
            </w:r>
            <w:hyperlink r:id="rId14">
              <w:r w:rsidR="000D248C" w:rsidRPr="000E0959">
                <w:rPr>
                  <w:rStyle w:val="Hyperlink"/>
                </w:rPr>
                <w:t>www.donahue.umass.edu.</w:t>
              </w:r>
            </w:hyperlink>
          </w:p>
          <w:p w14:paraId="2B87FF16" w14:textId="77777777" w:rsidR="00B16623" w:rsidRPr="00B16623" w:rsidRDefault="00B16623" w:rsidP="00B16623">
            <w:pPr>
              <w:pStyle w:val="BodyText"/>
              <w:rPr>
                <w:rStyle w:val="Hyperlink"/>
                <w:color w:val="000000" w:themeColor="text1"/>
                <w:u w:val="none"/>
                <w14:ligatures w14:val="none"/>
              </w:rPr>
            </w:pPr>
          </w:p>
          <w:p w14:paraId="1B51C670" w14:textId="77777777" w:rsidR="00FE0383" w:rsidRPr="00154506" w:rsidRDefault="00FC4A79" w:rsidP="00DD411A">
            <w:pPr>
              <w:spacing w:before="1" w:line="240" w:lineRule="atLeast"/>
              <w:ind w:right="461"/>
              <w:contextualSpacing/>
            </w:pPr>
            <w:r w:rsidRPr="00FC4A79">
              <w:rPr>
                <w:color w:val="000000" w:themeColor="text1"/>
              </w:rPr>
              <w:t>The Applied Research and Program Evaluation team partners with organizations across multiple sectors to design and implement utilization-focused studies that address public health, human services, and educational programs and initiatives. Our philosophy reflects a rigorous but practical orientation, reflecting our belief that research is most meaningful when findings can be applied to public benefit.</w:t>
            </w:r>
          </w:p>
        </w:tc>
      </w:tr>
    </w:tbl>
    <w:p w14:paraId="616E409C" w14:textId="77777777" w:rsidR="003D6FE5" w:rsidRDefault="003D6FE5" w:rsidP="006D4FF5">
      <w:pPr>
        <w:pStyle w:val="BodyText"/>
      </w:pPr>
    </w:p>
    <w:sdt>
      <w:sdtPr>
        <w:rPr>
          <w:rFonts w:asciiTheme="minorHAnsi" w:eastAsiaTheme="minorEastAsia" w:hAnsiTheme="minorHAnsi" w:cstheme="minorBidi"/>
          <w:b/>
          <w:color w:val="auto"/>
          <w:sz w:val="22"/>
          <w:szCs w:val="22"/>
        </w:rPr>
        <w:id w:val="-645973552"/>
        <w:docPartObj>
          <w:docPartGallery w:val="Table of Contents"/>
          <w:docPartUnique/>
        </w:docPartObj>
      </w:sdtPr>
      <w:sdtEndPr>
        <w:rPr>
          <w:rFonts w:ascii="Open Sans" w:hAnsi="Open Sans" w:cs="Open Sans"/>
          <w:b w:val="0"/>
          <w:sz w:val="18"/>
          <w:szCs w:val="18"/>
        </w:rPr>
      </w:sdtEndPr>
      <w:sdtContent>
        <w:p w14:paraId="226FB7FB" w14:textId="77777777" w:rsidR="00B75FB9" w:rsidRPr="002E2A73" w:rsidRDefault="00786B3F" w:rsidP="00B01505">
          <w:pPr>
            <w:pStyle w:val="TOCHeading"/>
            <w:rPr>
              <w:rFonts w:ascii="Open Sans" w:hAnsi="Open Sans" w:cs="Open Sans"/>
              <w:noProof/>
              <w:sz w:val="18"/>
              <w:szCs w:val="18"/>
            </w:rPr>
          </w:pPr>
          <w:r w:rsidRPr="007B49DA">
            <w:rPr>
              <w:rStyle w:val="Heading2Char"/>
            </w:rPr>
            <w:t>Contents</w:t>
          </w:r>
          <w:r w:rsidR="00933B67" w:rsidRPr="002E2A73">
            <w:rPr>
              <w:rFonts w:ascii="Open Sans" w:hAnsi="Open Sans" w:cs="Open Sans"/>
              <w:sz w:val="18"/>
              <w:szCs w:val="18"/>
            </w:rPr>
            <w:fldChar w:fldCharType="begin"/>
          </w:r>
          <w:r w:rsidR="0074042A" w:rsidRPr="002E2A73">
            <w:rPr>
              <w:rFonts w:ascii="Open Sans" w:hAnsi="Open Sans" w:cs="Open Sans"/>
              <w:sz w:val="18"/>
              <w:szCs w:val="18"/>
            </w:rPr>
            <w:instrText xml:space="preserve"> TOC \o "1-3</w:instrText>
          </w:r>
          <w:r w:rsidR="00933B67" w:rsidRPr="002E2A73">
            <w:rPr>
              <w:rFonts w:ascii="Open Sans" w:hAnsi="Open Sans" w:cs="Open Sans"/>
              <w:sz w:val="18"/>
              <w:szCs w:val="18"/>
            </w:rPr>
            <w:instrText xml:space="preserve">" \h \z \u </w:instrText>
          </w:r>
          <w:r w:rsidR="00933B67" w:rsidRPr="002E2A73">
            <w:rPr>
              <w:rFonts w:ascii="Open Sans" w:hAnsi="Open Sans" w:cs="Open Sans"/>
              <w:sz w:val="18"/>
              <w:szCs w:val="18"/>
            </w:rPr>
            <w:fldChar w:fldCharType="separate"/>
          </w:r>
        </w:p>
        <w:p w14:paraId="01136496" w14:textId="38464801" w:rsidR="00B75FB9" w:rsidRPr="002E2A73" w:rsidRDefault="00B75FB9">
          <w:pPr>
            <w:pStyle w:val="TOC1"/>
            <w:rPr>
              <w:rFonts w:eastAsiaTheme="minorEastAsia" w:cs="Open Sans"/>
              <w:noProof/>
              <w:kern w:val="2"/>
              <w:sz w:val="18"/>
              <w:szCs w:val="18"/>
              <w14:ligatures w14:val="standardContextual"/>
            </w:rPr>
          </w:pPr>
          <w:hyperlink w:anchor="_Toc207348140" w:history="1">
            <w:r w:rsidRPr="002E2A73">
              <w:rPr>
                <w:rStyle w:val="Hyperlink"/>
                <w:rFonts w:cs="Open Sans"/>
                <w:noProof/>
                <w:sz w:val="18"/>
                <w:szCs w:val="18"/>
              </w:rPr>
              <w:t>List of Tables</w:t>
            </w:r>
            <w:r w:rsidRPr="002E2A73">
              <w:rPr>
                <w:rFonts w:cs="Open Sans"/>
                <w:noProof/>
                <w:webHidden/>
                <w:sz w:val="18"/>
                <w:szCs w:val="18"/>
              </w:rPr>
              <w:tab/>
            </w:r>
            <w:r w:rsidRPr="002E2A73">
              <w:rPr>
                <w:rFonts w:cs="Open Sans"/>
                <w:noProof/>
                <w:webHidden/>
                <w:sz w:val="18"/>
                <w:szCs w:val="18"/>
              </w:rPr>
              <w:fldChar w:fldCharType="begin"/>
            </w:r>
            <w:r w:rsidRPr="002E2A73">
              <w:rPr>
                <w:rFonts w:cs="Open Sans"/>
                <w:noProof/>
                <w:webHidden/>
                <w:sz w:val="18"/>
                <w:szCs w:val="18"/>
              </w:rPr>
              <w:instrText xml:space="preserve"> PAGEREF _Toc207348140 \h </w:instrText>
            </w:r>
            <w:r w:rsidRPr="002E2A73">
              <w:rPr>
                <w:rFonts w:cs="Open Sans"/>
                <w:noProof/>
                <w:webHidden/>
                <w:sz w:val="18"/>
                <w:szCs w:val="18"/>
              </w:rPr>
            </w:r>
            <w:r w:rsidRPr="002E2A73">
              <w:rPr>
                <w:rFonts w:cs="Open Sans"/>
                <w:noProof/>
                <w:webHidden/>
                <w:sz w:val="18"/>
                <w:szCs w:val="18"/>
              </w:rPr>
              <w:fldChar w:fldCharType="separate"/>
            </w:r>
            <w:r w:rsidRPr="002E2A73">
              <w:rPr>
                <w:rFonts w:cs="Open Sans"/>
                <w:noProof/>
                <w:webHidden/>
                <w:sz w:val="18"/>
                <w:szCs w:val="18"/>
              </w:rPr>
              <w:t>6</w:t>
            </w:r>
            <w:r w:rsidRPr="002E2A73">
              <w:rPr>
                <w:rFonts w:cs="Open Sans"/>
                <w:noProof/>
                <w:webHidden/>
                <w:sz w:val="18"/>
                <w:szCs w:val="18"/>
              </w:rPr>
              <w:fldChar w:fldCharType="end"/>
            </w:r>
          </w:hyperlink>
        </w:p>
        <w:p w14:paraId="60069200" w14:textId="23C2EB7E" w:rsidR="00B75FB9" w:rsidRPr="002E2A73" w:rsidRDefault="00B75FB9">
          <w:pPr>
            <w:pStyle w:val="TOC1"/>
            <w:rPr>
              <w:rFonts w:eastAsiaTheme="minorEastAsia" w:cs="Open Sans"/>
              <w:noProof/>
              <w:kern w:val="2"/>
              <w:sz w:val="18"/>
              <w:szCs w:val="18"/>
              <w14:ligatures w14:val="standardContextual"/>
            </w:rPr>
          </w:pPr>
          <w:hyperlink w:anchor="_Toc207348141" w:history="1">
            <w:r w:rsidRPr="002E2A73">
              <w:rPr>
                <w:rStyle w:val="Hyperlink"/>
                <w:rFonts w:cs="Open Sans"/>
                <w:noProof/>
                <w:sz w:val="18"/>
                <w:szCs w:val="18"/>
              </w:rPr>
              <w:t>List of Figures</w:t>
            </w:r>
            <w:r w:rsidRPr="002E2A73">
              <w:rPr>
                <w:rFonts w:cs="Open Sans"/>
                <w:noProof/>
                <w:webHidden/>
                <w:sz w:val="18"/>
                <w:szCs w:val="18"/>
              </w:rPr>
              <w:tab/>
            </w:r>
            <w:r w:rsidRPr="002E2A73">
              <w:rPr>
                <w:rFonts w:cs="Open Sans"/>
                <w:noProof/>
                <w:webHidden/>
                <w:sz w:val="18"/>
                <w:szCs w:val="18"/>
              </w:rPr>
              <w:fldChar w:fldCharType="begin"/>
            </w:r>
            <w:r w:rsidRPr="002E2A73">
              <w:rPr>
                <w:rFonts w:cs="Open Sans"/>
                <w:noProof/>
                <w:webHidden/>
                <w:sz w:val="18"/>
                <w:szCs w:val="18"/>
              </w:rPr>
              <w:instrText xml:space="preserve"> PAGEREF _Toc207348141 \h </w:instrText>
            </w:r>
            <w:r w:rsidRPr="002E2A73">
              <w:rPr>
                <w:rFonts w:cs="Open Sans"/>
                <w:noProof/>
                <w:webHidden/>
                <w:sz w:val="18"/>
                <w:szCs w:val="18"/>
              </w:rPr>
            </w:r>
            <w:r w:rsidRPr="002E2A73">
              <w:rPr>
                <w:rFonts w:cs="Open Sans"/>
                <w:noProof/>
                <w:webHidden/>
                <w:sz w:val="18"/>
                <w:szCs w:val="18"/>
              </w:rPr>
              <w:fldChar w:fldCharType="separate"/>
            </w:r>
            <w:r w:rsidRPr="002E2A73">
              <w:rPr>
                <w:rFonts w:cs="Open Sans"/>
                <w:noProof/>
                <w:webHidden/>
                <w:sz w:val="18"/>
                <w:szCs w:val="18"/>
              </w:rPr>
              <w:t>7</w:t>
            </w:r>
            <w:r w:rsidRPr="002E2A73">
              <w:rPr>
                <w:rFonts w:cs="Open Sans"/>
                <w:noProof/>
                <w:webHidden/>
                <w:sz w:val="18"/>
                <w:szCs w:val="18"/>
              </w:rPr>
              <w:fldChar w:fldCharType="end"/>
            </w:r>
          </w:hyperlink>
        </w:p>
        <w:p w14:paraId="771BFD17" w14:textId="78143773" w:rsidR="00B75FB9" w:rsidRPr="002E2A73" w:rsidRDefault="00B75FB9">
          <w:pPr>
            <w:pStyle w:val="TOC1"/>
            <w:rPr>
              <w:rFonts w:eastAsiaTheme="minorEastAsia" w:cs="Open Sans"/>
              <w:noProof/>
              <w:kern w:val="2"/>
              <w:sz w:val="18"/>
              <w:szCs w:val="18"/>
              <w14:ligatures w14:val="standardContextual"/>
            </w:rPr>
          </w:pPr>
          <w:hyperlink w:anchor="_Toc207348142" w:history="1">
            <w:r w:rsidRPr="002E2A73">
              <w:rPr>
                <w:rStyle w:val="Hyperlink"/>
                <w:rFonts w:cs="Open Sans"/>
                <w:noProof/>
                <w:sz w:val="18"/>
                <w:szCs w:val="18"/>
              </w:rPr>
              <w:t>Acknowledgments</w:t>
            </w:r>
            <w:r w:rsidRPr="002E2A73">
              <w:rPr>
                <w:rFonts w:cs="Open Sans"/>
                <w:noProof/>
                <w:webHidden/>
                <w:sz w:val="18"/>
                <w:szCs w:val="18"/>
              </w:rPr>
              <w:tab/>
            </w:r>
            <w:r w:rsidRPr="002E2A73">
              <w:rPr>
                <w:rFonts w:cs="Open Sans"/>
                <w:noProof/>
                <w:webHidden/>
                <w:sz w:val="18"/>
                <w:szCs w:val="18"/>
              </w:rPr>
              <w:fldChar w:fldCharType="begin"/>
            </w:r>
            <w:r w:rsidRPr="002E2A73">
              <w:rPr>
                <w:rFonts w:cs="Open Sans"/>
                <w:noProof/>
                <w:webHidden/>
                <w:sz w:val="18"/>
                <w:szCs w:val="18"/>
              </w:rPr>
              <w:instrText xml:space="preserve"> PAGEREF _Toc207348142 \h </w:instrText>
            </w:r>
            <w:r w:rsidRPr="002E2A73">
              <w:rPr>
                <w:rFonts w:cs="Open Sans"/>
                <w:noProof/>
                <w:webHidden/>
                <w:sz w:val="18"/>
                <w:szCs w:val="18"/>
              </w:rPr>
            </w:r>
            <w:r w:rsidRPr="002E2A73">
              <w:rPr>
                <w:rFonts w:cs="Open Sans"/>
                <w:noProof/>
                <w:webHidden/>
                <w:sz w:val="18"/>
                <w:szCs w:val="18"/>
              </w:rPr>
              <w:fldChar w:fldCharType="separate"/>
            </w:r>
            <w:r w:rsidRPr="002E2A73">
              <w:rPr>
                <w:rFonts w:cs="Open Sans"/>
                <w:noProof/>
                <w:webHidden/>
                <w:sz w:val="18"/>
                <w:szCs w:val="18"/>
              </w:rPr>
              <w:t>9</w:t>
            </w:r>
            <w:r w:rsidRPr="002E2A73">
              <w:rPr>
                <w:rFonts w:cs="Open Sans"/>
                <w:noProof/>
                <w:webHidden/>
                <w:sz w:val="18"/>
                <w:szCs w:val="18"/>
              </w:rPr>
              <w:fldChar w:fldCharType="end"/>
            </w:r>
          </w:hyperlink>
        </w:p>
        <w:p w14:paraId="07C940AA" w14:textId="30500296" w:rsidR="00B75FB9" w:rsidRPr="002E2A73" w:rsidRDefault="00B75FB9">
          <w:pPr>
            <w:pStyle w:val="TOC1"/>
            <w:rPr>
              <w:rFonts w:eastAsiaTheme="minorEastAsia" w:cs="Open Sans"/>
              <w:noProof/>
              <w:kern w:val="2"/>
              <w:sz w:val="18"/>
              <w:szCs w:val="18"/>
              <w14:ligatures w14:val="standardContextual"/>
            </w:rPr>
          </w:pPr>
          <w:hyperlink w:anchor="_Toc207348143" w:history="1">
            <w:r w:rsidRPr="002E2A73">
              <w:rPr>
                <w:rStyle w:val="Hyperlink"/>
                <w:rFonts w:cs="Open Sans"/>
                <w:noProof/>
                <w:sz w:val="18"/>
                <w:szCs w:val="18"/>
              </w:rPr>
              <w:t>Glossary of Terms</w:t>
            </w:r>
            <w:r w:rsidRPr="002E2A73">
              <w:rPr>
                <w:rFonts w:cs="Open Sans"/>
                <w:noProof/>
                <w:webHidden/>
                <w:sz w:val="18"/>
                <w:szCs w:val="18"/>
              </w:rPr>
              <w:tab/>
            </w:r>
            <w:r w:rsidRPr="002E2A73">
              <w:rPr>
                <w:rFonts w:cs="Open Sans"/>
                <w:noProof/>
                <w:webHidden/>
                <w:sz w:val="18"/>
                <w:szCs w:val="18"/>
              </w:rPr>
              <w:fldChar w:fldCharType="begin"/>
            </w:r>
            <w:r w:rsidRPr="002E2A73">
              <w:rPr>
                <w:rFonts w:cs="Open Sans"/>
                <w:noProof/>
                <w:webHidden/>
                <w:sz w:val="18"/>
                <w:szCs w:val="18"/>
              </w:rPr>
              <w:instrText xml:space="preserve"> PAGEREF _Toc207348143 \h </w:instrText>
            </w:r>
            <w:r w:rsidRPr="002E2A73">
              <w:rPr>
                <w:rFonts w:cs="Open Sans"/>
                <w:noProof/>
                <w:webHidden/>
                <w:sz w:val="18"/>
                <w:szCs w:val="18"/>
              </w:rPr>
            </w:r>
            <w:r w:rsidRPr="002E2A73">
              <w:rPr>
                <w:rFonts w:cs="Open Sans"/>
                <w:noProof/>
                <w:webHidden/>
                <w:sz w:val="18"/>
                <w:szCs w:val="18"/>
              </w:rPr>
              <w:fldChar w:fldCharType="separate"/>
            </w:r>
            <w:r w:rsidRPr="002E2A73">
              <w:rPr>
                <w:rFonts w:cs="Open Sans"/>
                <w:noProof/>
                <w:webHidden/>
                <w:sz w:val="18"/>
                <w:szCs w:val="18"/>
              </w:rPr>
              <w:t>10</w:t>
            </w:r>
            <w:r w:rsidRPr="002E2A73">
              <w:rPr>
                <w:rFonts w:cs="Open Sans"/>
                <w:noProof/>
                <w:webHidden/>
                <w:sz w:val="18"/>
                <w:szCs w:val="18"/>
              </w:rPr>
              <w:fldChar w:fldCharType="end"/>
            </w:r>
          </w:hyperlink>
        </w:p>
        <w:p w14:paraId="4EC25D0C" w14:textId="3142E09E" w:rsidR="00B75FB9" w:rsidRPr="002E2A73" w:rsidRDefault="00B75FB9">
          <w:pPr>
            <w:pStyle w:val="TOC1"/>
            <w:rPr>
              <w:rFonts w:eastAsiaTheme="minorEastAsia" w:cs="Open Sans"/>
              <w:noProof/>
              <w:kern w:val="2"/>
              <w:sz w:val="18"/>
              <w:szCs w:val="18"/>
              <w14:ligatures w14:val="standardContextual"/>
            </w:rPr>
          </w:pPr>
          <w:hyperlink w:anchor="_Toc207348144" w:history="1">
            <w:r w:rsidRPr="002E2A73">
              <w:rPr>
                <w:rStyle w:val="Hyperlink"/>
                <w:rFonts w:cs="Open Sans"/>
                <w:noProof/>
                <w:sz w:val="18"/>
                <w:szCs w:val="18"/>
              </w:rPr>
              <w:t>Executive Summary</w:t>
            </w:r>
            <w:r w:rsidRPr="002E2A73">
              <w:rPr>
                <w:rFonts w:cs="Open Sans"/>
                <w:noProof/>
                <w:webHidden/>
                <w:sz w:val="18"/>
                <w:szCs w:val="18"/>
              </w:rPr>
              <w:tab/>
            </w:r>
            <w:r w:rsidRPr="002E2A73">
              <w:rPr>
                <w:rFonts w:cs="Open Sans"/>
                <w:noProof/>
                <w:webHidden/>
                <w:sz w:val="18"/>
                <w:szCs w:val="18"/>
              </w:rPr>
              <w:fldChar w:fldCharType="begin"/>
            </w:r>
            <w:r w:rsidRPr="002E2A73">
              <w:rPr>
                <w:rFonts w:cs="Open Sans"/>
                <w:noProof/>
                <w:webHidden/>
                <w:sz w:val="18"/>
                <w:szCs w:val="18"/>
              </w:rPr>
              <w:instrText xml:space="preserve"> PAGEREF _Toc207348144 \h </w:instrText>
            </w:r>
            <w:r w:rsidRPr="002E2A73">
              <w:rPr>
                <w:rFonts w:cs="Open Sans"/>
                <w:noProof/>
                <w:webHidden/>
                <w:sz w:val="18"/>
                <w:szCs w:val="18"/>
              </w:rPr>
            </w:r>
            <w:r w:rsidRPr="002E2A73">
              <w:rPr>
                <w:rFonts w:cs="Open Sans"/>
                <w:noProof/>
                <w:webHidden/>
                <w:sz w:val="18"/>
                <w:szCs w:val="18"/>
              </w:rPr>
              <w:fldChar w:fldCharType="separate"/>
            </w:r>
            <w:r w:rsidRPr="002E2A73">
              <w:rPr>
                <w:rFonts w:cs="Open Sans"/>
                <w:noProof/>
                <w:webHidden/>
                <w:sz w:val="18"/>
                <w:szCs w:val="18"/>
              </w:rPr>
              <w:t>11</w:t>
            </w:r>
            <w:r w:rsidRPr="002E2A73">
              <w:rPr>
                <w:rFonts w:cs="Open Sans"/>
                <w:noProof/>
                <w:webHidden/>
                <w:sz w:val="18"/>
                <w:szCs w:val="18"/>
              </w:rPr>
              <w:fldChar w:fldCharType="end"/>
            </w:r>
          </w:hyperlink>
        </w:p>
        <w:p w14:paraId="0E85E67C" w14:textId="31B68E04" w:rsidR="00B75FB9" w:rsidRPr="002E2A73" w:rsidRDefault="00B75FB9">
          <w:pPr>
            <w:pStyle w:val="TOC1"/>
            <w:rPr>
              <w:rFonts w:eastAsiaTheme="minorEastAsia" w:cs="Open Sans"/>
              <w:noProof/>
              <w:kern w:val="2"/>
              <w:sz w:val="18"/>
              <w:szCs w:val="18"/>
              <w14:ligatures w14:val="standardContextual"/>
            </w:rPr>
          </w:pPr>
          <w:hyperlink w:anchor="_Toc207348152" w:history="1">
            <w:r w:rsidRPr="002E2A73">
              <w:rPr>
                <w:rStyle w:val="Hyperlink"/>
                <w:rFonts w:cs="Open Sans"/>
                <w:noProof/>
                <w:sz w:val="18"/>
                <w:szCs w:val="18"/>
              </w:rPr>
              <w:t>Introduction</w:t>
            </w:r>
            <w:r w:rsidRPr="002E2A73">
              <w:rPr>
                <w:rFonts w:cs="Open Sans"/>
                <w:noProof/>
                <w:webHidden/>
                <w:sz w:val="18"/>
                <w:szCs w:val="18"/>
              </w:rPr>
              <w:tab/>
            </w:r>
            <w:r w:rsidRPr="002E2A73">
              <w:rPr>
                <w:rFonts w:cs="Open Sans"/>
                <w:noProof/>
                <w:webHidden/>
                <w:sz w:val="18"/>
                <w:szCs w:val="18"/>
              </w:rPr>
              <w:fldChar w:fldCharType="begin"/>
            </w:r>
            <w:r w:rsidRPr="002E2A73">
              <w:rPr>
                <w:rFonts w:cs="Open Sans"/>
                <w:noProof/>
                <w:webHidden/>
                <w:sz w:val="18"/>
                <w:szCs w:val="18"/>
              </w:rPr>
              <w:instrText xml:space="preserve"> PAGEREF _Toc207348152 \h </w:instrText>
            </w:r>
            <w:r w:rsidRPr="002E2A73">
              <w:rPr>
                <w:rFonts w:cs="Open Sans"/>
                <w:noProof/>
                <w:webHidden/>
                <w:sz w:val="18"/>
                <w:szCs w:val="18"/>
              </w:rPr>
            </w:r>
            <w:r w:rsidRPr="002E2A73">
              <w:rPr>
                <w:rFonts w:cs="Open Sans"/>
                <w:noProof/>
                <w:webHidden/>
                <w:sz w:val="18"/>
                <w:szCs w:val="18"/>
              </w:rPr>
              <w:fldChar w:fldCharType="separate"/>
            </w:r>
            <w:r w:rsidRPr="002E2A73">
              <w:rPr>
                <w:rFonts w:cs="Open Sans"/>
                <w:noProof/>
                <w:webHidden/>
                <w:sz w:val="18"/>
                <w:szCs w:val="18"/>
              </w:rPr>
              <w:t>14</w:t>
            </w:r>
            <w:r w:rsidRPr="002E2A73">
              <w:rPr>
                <w:rFonts w:cs="Open Sans"/>
                <w:noProof/>
                <w:webHidden/>
                <w:sz w:val="18"/>
                <w:szCs w:val="18"/>
              </w:rPr>
              <w:fldChar w:fldCharType="end"/>
            </w:r>
          </w:hyperlink>
        </w:p>
        <w:p w14:paraId="41E7CE95" w14:textId="2E1600FB" w:rsidR="00B75FB9" w:rsidRPr="002E2A73" w:rsidRDefault="00B75FB9">
          <w:pPr>
            <w:pStyle w:val="TOC1"/>
            <w:rPr>
              <w:rFonts w:eastAsiaTheme="minorEastAsia" w:cs="Open Sans"/>
              <w:noProof/>
              <w:kern w:val="2"/>
              <w:sz w:val="18"/>
              <w:szCs w:val="18"/>
              <w14:ligatures w14:val="standardContextual"/>
            </w:rPr>
          </w:pPr>
          <w:hyperlink w:anchor="_Toc207348153" w:history="1">
            <w:r w:rsidRPr="002E2A73">
              <w:rPr>
                <w:rStyle w:val="Hyperlink"/>
                <w:rFonts w:cs="Open Sans"/>
                <w:noProof/>
                <w:sz w:val="18"/>
                <w:szCs w:val="18"/>
              </w:rPr>
              <w:t>Methodology</w:t>
            </w:r>
            <w:r w:rsidRPr="002E2A73">
              <w:rPr>
                <w:rFonts w:cs="Open Sans"/>
                <w:noProof/>
                <w:webHidden/>
                <w:sz w:val="18"/>
                <w:szCs w:val="18"/>
              </w:rPr>
              <w:tab/>
            </w:r>
            <w:r w:rsidRPr="002E2A73">
              <w:rPr>
                <w:rFonts w:cs="Open Sans"/>
                <w:noProof/>
                <w:webHidden/>
                <w:sz w:val="18"/>
                <w:szCs w:val="18"/>
              </w:rPr>
              <w:fldChar w:fldCharType="begin"/>
            </w:r>
            <w:r w:rsidRPr="002E2A73">
              <w:rPr>
                <w:rFonts w:cs="Open Sans"/>
                <w:noProof/>
                <w:webHidden/>
                <w:sz w:val="18"/>
                <w:szCs w:val="18"/>
              </w:rPr>
              <w:instrText xml:space="preserve"> PAGEREF _Toc207348153 \h </w:instrText>
            </w:r>
            <w:r w:rsidRPr="002E2A73">
              <w:rPr>
                <w:rFonts w:cs="Open Sans"/>
                <w:noProof/>
                <w:webHidden/>
                <w:sz w:val="18"/>
                <w:szCs w:val="18"/>
              </w:rPr>
            </w:r>
            <w:r w:rsidRPr="002E2A73">
              <w:rPr>
                <w:rFonts w:cs="Open Sans"/>
                <w:noProof/>
                <w:webHidden/>
                <w:sz w:val="18"/>
                <w:szCs w:val="18"/>
              </w:rPr>
              <w:fldChar w:fldCharType="separate"/>
            </w:r>
            <w:r w:rsidRPr="002E2A73">
              <w:rPr>
                <w:rFonts w:cs="Open Sans"/>
                <w:noProof/>
                <w:webHidden/>
                <w:sz w:val="18"/>
                <w:szCs w:val="18"/>
              </w:rPr>
              <w:t>17</w:t>
            </w:r>
            <w:r w:rsidRPr="002E2A73">
              <w:rPr>
                <w:rFonts w:cs="Open Sans"/>
                <w:noProof/>
                <w:webHidden/>
                <w:sz w:val="18"/>
                <w:szCs w:val="18"/>
              </w:rPr>
              <w:fldChar w:fldCharType="end"/>
            </w:r>
          </w:hyperlink>
        </w:p>
        <w:p w14:paraId="01D43C64" w14:textId="74475554" w:rsidR="00B75FB9" w:rsidRPr="002E2A73" w:rsidRDefault="00B75FB9">
          <w:pPr>
            <w:pStyle w:val="TOC1"/>
            <w:rPr>
              <w:rFonts w:eastAsiaTheme="minorEastAsia" w:cs="Open Sans"/>
              <w:noProof/>
              <w:kern w:val="2"/>
              <w:sz w:val="18"/>
              <w:szCs w:val="18"/>
              <w14:ligatures w14:val="standardContextual"/>
            </w:rPr>
          </w:pPr>
          <w:hyperlink w:anchor="_Toc207348162" w:history="1">
            <w:r w:rsidRPr="002E2A73">
              <w:rPr>
                <w:rStyle w:val="Hyperlink"/>
                <w:rFonts w:cs="Open Sans"/>
                <w:noProof/>
                <w:sz w:val="18"/>
                <w:szCs w:val="18"/>
              </w:rPr>
              <w:t>Results</w:t>
            </w:r>
            <w:r w:rsidRPr="002E2A73">
              <w:rPr>
                <w:rFonts w:cs="Open Sans"/>
                <w:noProof/>
                <w:webHidden/>
                <w:sz w:val="18"/>
                <w:szCs w:val="18"/>
              </w:rPr>
              <w:tab/>
            </w:r>
            <w:r w:rsidRPr="002E2A73">
              <w:rPr>
                <w:rFonts w:cs="Open Sans"/>
                <w:noProof/>
                <w:webHidden/>
                <w:sz w:val="18"/>
                <w:szCs w:val="18"/>
              </w:rPr>
              <w:fldChar w:fldCharType="begin"/>
            </w:r>
            <w:r w:rsidRPr="002E2A73">
              <w:rPr>
                <w:rFonts w:cs="Open Sans"/>
                <w:noProof/>
                <w:webHidden/>
                <w:sz w:val="18"/>
                <w:szCs w:val="18"/>
              </w:rPr>
              <w:instrText xml:space="preserve"> PAGEREF _Toc207348162 \h </w:instrText>
            </w:r>
            <w:r w:rsidRPr="002E2A73">
              <w:rPr>
                <w:rFonts w:cs="Open Sans"/>
                <w:noProof/>
                <w:webHidden/>
                <w:sz w:val="18"/>
                <w:szCs w:val="18"/>
              </w:rPr>
            </w:r>
            <w:r w:rsidRPr="002E2A73">
              <w:rPr>
                <w:rFonts w:cs="Open Sans"/>
                <w:noProof/>
                <w:webHidden/>
                <w:sz w:val="18"/>
                <w:szCs w:val="18"/>
              </w:rPr>
              <w:fldChar w:fldCharType="separate"/>
            </w:r>
            <w:r w:rsidRPr="002E2A73">
              <w:rPr>
                <w:rFonts w:cs="Open Sans"/>
                <w:noProof/>
                <w:webHidden/>
                <w:sz w:val="18"/>
                <w:szCs w:val="18"/>
              </w:rPr>
              <w:t>22</w:t>
            </w:r>
            <w:r w:rsidRPr="002E2A73">
              <w:rPr>
                <w:rFonts w:cs="Open Sans"/>
                <w:noProof/>
                <w:webHidden/>
                <w:sz w:val="18"/>
                <w:szCs w:val="18"/>
              </w:rPr>
              <w:fldChar w:fldCharType="end"/>
            </w:r>
          </w:hyperlink>
        </w:p>
        <w:p w14:paraId="461D724A" w14:textId="1EC89E96" w:rsidR="00B75FB9" w:rsidRPr="002E2A73" w:rsidRDefault="00B75FB9" w:rsidP="00B75FB9">
          <w:pPr>
            <w:pStyle w:val="TOC3"/>
            <w:ind w:left="1260"/>
            <w:rPr>
              <w:rFonts w:eastAsiaTheme="minorEastAsia" w:cs="Open Sans"/>
              <w:noProof/>
              <w:kern w:val="2"/>
              <w:sz w:val="18"/>
              <w:szCs w:val="18"/>
              <w14:ligatures w14:val="standardContextual"/>
            </w:rPr>
          </w:pPr>
          <w:hyperlink w:anchor="_Toc207348163" w:history="1">
            <w:r w:rsidRPr="002E2A73">
              <w:rPr>
                <w:rStyle w:val="Hyperlink"/>
                <w:rFonts w:cs="Open Sans"/>
                <w:noProof/>
                <w:sz w:val="18"/>
                <w:szCs w:val="18"/>
              </w:rPr>
              <w:t>Key Finding 1: About two-thirds (approximately 66%) of students enrolled at participating schools engaged in at least one type of student support (mock exams or study sessions), though participation rates varied across student groups of interest.</w:t>
            </w:r>
            <w:r w:rsidRPr="002E2A73">
              <w:rPr>
                <w:rFonts w:cs="Open Sans"/>
                <w:noProof/>
                <w:webHidden/>
                <w:sz w:val="18"/>
                <w:szCs w:val="18"/>
              </w:rPr>
              <w:tab/>
            </w:r>
            <w:r w:rsidRPr="002E2A73">
              <w:rPr>
                <w:rFonts w:cs="Open Sans"/>
                <w:noProof/>
                <w:webHidden/>
                <w:sz w:val="18"/>
                <w:szCs w:val="18"/>
              </w:rPr>
              <w:fldChar w:fldCharType="begin"/>
            </w:r>
            <w:r w:rsidRPr="002E2A73">
              <w:rPr>
                <w:rFonts w:cs="Open Sans"/>
                <w:noProof/>
                <w:webHidden/>
                <w:sz w:val="18"/>
                <w:szCs w:val="18"/>
              </w:rPr>
              <w:instrText xml:space="preserve"> PAGEREF _Toc207348163 \h </w:instrText>
            </w:r>
            <w:r w:rsidRPr="002E2A73">
              <w:rPr>
                <w:rFonts w:cs="Open Sans"/>
                <w:noProof/>
                <w:webHidden/>
                <w:sz w:val="18"/>
                <w:szCs w:val="18"/>
              </w:rPr>
            </w:r>
            <w:r w:rsidRPr="002E2A73">
              <w:rPr>
                <w:rFonts w:cs="Open Sans"/>
                <w:noProof/>
                <w:webHidden/>
                <w:sz w:val="18"/>
                <w:szCs w:val="18"/>
              </w:rPr>
              <w:fldChar w:fldCharType="separate"/>
            </w:r>
            <w:r w:rsidRPr="002E2A73">
              <w:rPr>
                <w:rFonts w:cs="Open Sans"/>
                <w:noProof/>
                <w:webHidden/>
                <w:sz w:val="18"/>
                <w:szCs w:val="18"/>
              </w:rPr>
              <w:t>23</w:t>
            </w:r>
            <w:r w:rsidRPr="002E2A73">
              <w:rPr>
                <w:rFonts w:cs="Open Sans"/>
                <w:noProof/>
                <w:webHidden/>
                <w:sz w:val="18"/>
                <w:szCs w:val="18"/>
              </w:rPr>
              <w:fldChar w:fldCharType="end"/>
            </w:r>
          </w:hyperlink>
        </w:p>
        <w:p w14:paraId="50DA453E" w14:textId="36C3A2CE" w:rsidR="00B75FB9" w:rsidRPr="002E2A73" w:rsidRDefault="00B75FB9" w:rsidP="00B75FB9">
          <w:pPr>
            <w:pStyle w:val="TOC3"/>
            <w:ind w:left="1260"/>
            <w:rPr>
              <w:rFonts w:eastAsiaTheme="minorEastAsia" w:cs="Open Sans"/>
              <w:noProof/>
              <w:kern w:val="2"/>
              <w:sz w:val="18"/>
              <w:szCs w:val="18"/>
              <w14:ligatures w14:val="standardContextual"/>
            </w:rPr>
          </w:pPr>
          <w:hyperlink w:anchor="_Toc207348166" w:history="1">
            <w:r w:rsidRPr="002E2A73">
              <w:rPr>
                <w:rStyle w:val="Hyperlink"/>
                <w:rFonts w:cs="Open Sans"/>
                <w:noProof/>
                <w:sz w:val="18"/>
                <w:szCs w:val="18"/>
              </w:rPr>
              <w:t>Key Finding 2: Nearly all students who participated in a mock exam or study session passed at least one AP course and took an AP exam in their corresponding content area.</w:t>
            </w:r>
            <w:r w:rsidRPr="002E2A73">
              <w:rPr>
                <w:rFonts w:cs="Open Sans"/>
                <w:noProof/>
                <w:webHidden/>
                <w:sz w:val="18"/>
                <w:szCs w:val="18"/>
              </w:rPr>
              <w:tab/>
            </w:r>
            <w:r w:rsidRPr="002E2A73">
              <w:rPr>
                <w:rFonts w:cs="Open Sans"/>
                <w:noProof/>
                <w:webHidden/>
                <w:sz w:val="18"/>
                <w:szCs w:val="18"/>
              </w:rPr>
              <w:fldChar w:fldCharType="begin"/>
            </w:r>
            <w:r w:rsidRPr="002E2A73">
              <w:rPr>
                <w:rFonts w:cs="Open Sans"/>
                <w:noProof/>
                <w:webHidden/>
                <w:sz w:val="18"/>
                <w:szCs w:val="18"/>
              </w:rPr>
              <w:instrText xml:space="preserve"> PAGEREF _Toc207348166 \h </w:instrText>
            </w:r>
            <w:r w:rsidRPr="002E2A73">
              <w:rPr>
                <w:rFonts w:cs="Open Sans"/>
                <w:noProof/>
                <w:webHidden/>
                <w:sz w:val="18"/>
                <w:szCs w:val="18"/>
              </w:rPr>
            </w:r>
            <w:r w:rsidRPr="002E2A73">
              <w:rPr>
                <w:rFonts w:cs="Open Sans"/>
                <w:noProof/>
                <w:webHidden/>
                <w:sz w:val="18"/>
                <w:szCs w:val="18"/>
              </w:rPr>
              <w:fldChar w:fldCharType="separate"/>
            </w:r>
            <w:r w:rsidRPr="002E2A73">
              <w:rPr>
                <w:rFonts w:cs="Open Sans"/>
                <w:noProof/>
                <w:webHidden/>
                <w:sz w:val="18"/>
                <w:szCs w:val="18"/>
              </w:rPr>
              <w:t>33</w:t>
            </w:r>
            <w:r w:rsidRPr="002E2A73">
              <w:rPr>
                <w:rFonts w:cs="Open Sans"/>
                <w:noProof/>
                <w:webHidden/>
                <w:sz w:val="18"/>
                <w:szCs w:val="18"/>
              </w:rPr>
              <w:fldChar w:fldCharType="end"/>
            </w:r>
          </w:hyperlink>
        </w:p>
        <w:p w14:paraId="350C31B8" w14:textId="6EA23D84" w:rsidR="00B75FB9" w:rsidRPr="002E2A73" w:rsidRDefault="00B75FB9" w:rsidP="00B75FB9">
          <w:pPr>
            <w:pStyle w:val="TOC3"/>
            <w:ind w:left="1260"/>
            <w:rPr>
              <w:rFonts w:eastAsiaTheme="minorEastAsia" w:cs="Open Sans"/>
              <w:noProof/>
              <w:kern w:val="2"/>
              <w:sz w:val="18"/>
              <w:szCs w:val="18"/>
              <w14:ligatures w14:val="standardContextual"/>
            </w:rPr>
          </w:pPr>
          <w:hyperlink w:anchor="_Toc207348170" w:history="1">
            <w:r w:rsidRPr="002E2A73">
              <w:rPr>
                <w:rStyle w:val="Hyperlink"/>
                <w:rFonts w:cs="Open Sans"/>
                <w:noProof/>
                <w:sz w:val="18"/>
                <w:szCs w:val="18"/>
              </w:rPr>
              <w:t>Key Finding 3: Students who participated in a mock exam or study session were significantly more likely to pass an AP exam in their respective AP content area than similar students who did not participate.</w:t>
            </w:r>
            <w:r w:rsidRPr="002E2A73">
              <w:rPr>
                <w:rFonts w:cs="Open Sans"/>
                <w:noProof/>
                <w:webHidden/>
                <w:sz w:val="18"/>
                <w:szCs w:val="18"/>
              </w:rPr>
              <w:tab/>
            </w:r>
            <w:r w:rsidRPr="002E2A73">
              <w:rPr>
                <w:rFonts w:cs="Open Sans"/>
                <w:noProof/>
                <w:webHidden/>
                <w:sz w:val="18"/>
                <w:szCs w:val="18"/>
              </w:rPr>
              <w:fldChar w:fldCharType="begin"/>
            </w:r>
            <w:r w:rsidRPr="002E2A73">
              <w:rPr>
                <w:rFonts w:cs="Open Sans"/>
                <w:noProof/>
                <w:webHidden/>
                <w:sz w:val="18"/>
                <w:szCs w:val="18"/>
              </w:rPr>
              <w:instrText xml:space="preserve"> PAGEREF _Toc207348170 \h </w:instrText>
            </w:r>
            <w:r w:rsidRPr="002E2A73">
              <w:rPr>
                <w:rFonts w:cs="Open Sans"/>
                <w:noProof/>
                <w:webHidden/>
                <w:sz w:val="18"/>
                <w:szCs w:val="18"/>
              </w:rPr>
            </w:r>
            <w:r w:rsidRPr="002E2A73">
              <w:rPr>
                <w:rFonts w:cs="Open Sans"/>
                <w:noProof/>
                <w:webHidden/>
                <w:sz w:val="18"/>
                <w:szCs w:val="18"/>
              </w:rPr>
              <w:fldChar w:fldCharType="separate"/>
            </w:r>
            <w:r w:rsidRPr="002E2A73">
              <w:rPr>
                <w:rFonts w:cs="Open Sans"/>
                <w:noProof/>
                <w:webHidden/>
                <w:sz w:val="18"/>
                <w:szCs w:val="18"/>
              </w:rPr>
              <w:t>38</w:t>
            </w:r>
            <w:r w:rsidRPr="002E2A73">
              <w:rPr>
                <w:rFonts w:cs="Open Sans"/>
                <w:noProof/>
                <w:webHidden/>
                <w:sz w:val="18"/>
                <w:szCs w:val="18"/>
              </w:rPr>
              <w:fldChar w:fldCharType="end"/>
            </w:r>
          </w:hyperlink>
        </w:p>
        <w:p w14:paraId="6F8DB567" w14:textId="1CA1DA42" w:rsidR="00B75FB9" w:rsidRPr="002E2A73" w:rsidRDefault="00B75FB9" w:rsidP="00B75FB9">
          <w:pPr>
            <w:pStyle w:val="TOC1"/>
            <w:ind w:left="1260"/>
            <w:rPr>
              <w:rFonts w:eastAsiaTheme="minorEastAsia" w:cs="Open Sans"/>
              <w:noProof/>
              <w:kern w:val="2"/>
              <w:sz w:val="18"/>
              <w:szCs w:val="18"/>
              <w14:ligatures w14:val="standardContextual"/>
            </w:rPr>
          </w:pPr>
          <w:hyperlink w:anchor="_Toc207348173" w:history="1">
            <w:r w:rsidRPr="002E2A73">
              <w:rPr>
                <w:rStyle w:val="Hyperlink"/>
                <w:rFonts w:cs="Open Sans"/>
                <w:noProof/>
                <w:sz w:val="18"/>
                <w:szCs w:val="18"/>
              </w:rPr>
              <w:t>Key Finding 4: Students designated as high needs (including English learners, students with disabilities, and students from low-income households) and students who are African American/Black or Hispanic/Latino passed AP STEM and English courses, participated in AP exams, and passed those exams at lower rates than students with other identities.</w:t>
            </w:r>
            <w:r w:rsidRPr="002E2A73">
              <w:rPr>
                <w:rFonts w:cs="Open Sans"/>
                <w:noProof/>
                <w:webHidden/>
                <w:sz w:val="18"/>
                <w:szCs w:val="18"/>
              </w:rPr>
              <w:tab/>
            </w:r>
            <w:r w:rsidRPr="002E2A73">
              <w:rPr>
                <w:rFonts w:cs="Open Sans"/>
                <w:noProof/>
                <w:webHidden/>
                <w:sz w:val="18"/>
                <w:szCs w:val="18"/>
              </w:rPr>
              <w:fldChar w:fldCharType="begin"/>
            </w:r>
            <w:r w:rsidRPr="002E2A73">
              <w:rPr>
                <w:rFonts w:cs="Open Sans"/>
                <w:noProof/>
                <w:webHidden/>
                <w:sz w:val="18"/>
                <w:szCs w:val="18"/>
              </w:rPr>
              <w:instrText xml:space="preserve"> PAGEREF _Toc207348173 \h </w:instrText>
            </w:r>
            <w:r w:rsidRPr="002E2A73">
              <w:rPr>
                <w:rFonts w:cs="Open Sans"/>
                <w:noProof/>
                <w:webHidden/>
                <w:sz w:val="18"/>
                <w:szCs w:val="18"/>
              </w:rPr>
            </w:r>
            <w:r w:rsidRPr="002E2A73">
              <w:rPr>
                <w:rFonts w:cs="Open Sans"/>
                <w:noProof/>
                <w:webHidden/>
                <w:sz w:val="18"/>
                <w:szCs w:val="18"/>
              </w:rPr>
              <w:fldChar w:fldCharType="separate"/>
            </w:r>
            <w:r w:rsidRPr="002E2A73">
              <w:rPr>
                <w:rFonts w:cs="Open Sans"/>
                <w:noProof/>
                <w:webHidden/>
                <w:sz w:val="18"/>
                <w:szCs w:val="18"/>
              </w:rPr>
              <w:t>41</w:t>
            </w:r>
            <w:r w:rsidRPr="002E2A73">
              <w:rPr>
                <w:rFonts w:cs="Open Sans"/>
                <w:noProof/>
                <w:webHidden/>
                <w:sz w:val="18"/>
                <w:szCs w:val="18"/>
              </w:rPr>
              <w:fldChar w:fldCharType="end"/>
            </w:r>
          </w:hyperlink>
        </w:p>
        <w:p w14:paraId="5AF065B9" w14:textId="304E841C" w:rsidR="00B75FB9" w:rsidRPr="002E2A73" w:rsidRDefault="00B75FB9">
          <w:pPr>
            <w:pStyle w:val="TOC1"/>
            <w:rPr>
              <w:rFonts w:eastAsiaTheme="minorEastAsia" w:cs="Open Sans"/>
              <w:noProof/>
              <w:kern w:val="2"/>
              <w:sz w:val="18"/>
              <w:szCs w:val="18"/>
              <w14:ligatures w14:val="standardContextual"/>
            </w:rPr>
          </w:pPr>
          <w:hyperlink w:anchor="_Toc207348180" w:history="1">
            <w:r w:rsidRPr="002E2A73">
              <w:rPr>
                <w:rStyle w:val="Hyperlink"/>
                <w:rFonts w:cs="Open Sans"/>
                <w:noProof/>
                <w:sz w:val="18"/>
                <w:szCs w:val="18"/>
              </w:rPr>
              <w:t>Discussion and Conclusion</w:t>
            </w:r>
            <w:r w:rsidRPr="002E2A73">
              <w:rPr>
                <w:rFonts w:cs="Open Sans"/>
                <w:noProof/>
                <w:webHidden/>
                <w:sz w:val="18"/>
                <w:szCs w:val="18"/>
              </w:rPr>
              <w:tab/>
            </w:r>
            <w:r w:rsidRPr="002E2A73">
              <w:rPr>
                <w:rFonts w:cs="Open Sans"/>
                <w:noProof/>
                <w:webHidden/>
                <w:sz w:val="18"/>
                <w:szCs w:val="18"/>
              </w:rPr>
              <w:fldChar w:fldCharType="begin"/>
            </w:r>
            <w:r w:rsidRPr="002E2A73">
              <w:rPr>
                <w:rFonts w:cs="Open Sans"/>
                <w:noProof/>
                <w:webHidden/>
                <w:sz w:val="18"/>
                <w:szCs w:val="18"/>
              </w:rPr>
              <w:instrText xml:space="preserve"> PAGEREF _Toc207348180 \h </w:instrText>
            </w:r>
            <w:r w:rsidRPr="002E2A73">
              <w:rPr>
                <w:rFonts w:cs="Open Sans"/>
                <w:noProof/>
                <w:webHidden/>
                <w:sz w:val="18"/>
                <w:szCs w:val="18"/>
              </w:rPr>
            </w:r>
            <w:r w:rsidRPr="002E2A73">
              <w:rPr>
                <w:rFonts w:cs="Open Sans"/>
                <w:noProof/>
                <w:webHidden/>
                <w:sz w:val="18"/>
                <w:szCs w:val="18"/>
              </w:rPr>
              <w:fldChar w:fldCharType="separate"/>
            </w:r>
            <w:r w:rsidRPr="002E2A73">
              <w:rPr>
                <w:rFonts w:cs="Open Sans"/>
                <w:noProof/>
                <w:webHidden/>
                <w:sz w:val="18"/>
                <w:szCs w:val="18"/>
              </w:rPr>
              <w:t>61</w:t>
            </w:r>
            <w:r w:rsidRPr="002E2A73">
              <w:rPr>
                <w:rFonts w:cs="Open Sans"/>
                <w:noProof/>
                <w:webHidden/>
                <w:sz w:val="18"/>
                <w:szCs w:val="18"/>
              </w:rPr>
              <w:fldChar w:fldCharType="end"/>
            </w:r>
          </w:hyperlink>
        </w:p>
        <w:p w14:paraId="6490CEDE" w14:textId="72151E16" w:rsidR="00786B3F" w:rsidRPr="002E2A73" w:rsidRDefault="00933B67" w:rsidP="00AC5472">
          <w:pPr>
            <w:pStyle w:val="TOC1"/>
            <w:ind w:left="0"/>
            <w:rPr>
              <w:rFonts w:cs="Open Sans"/>
              <w:sz w:val="18"/>
              <w:szCs w:val="18"/>
            </w:rPr>
          </w:pPr>
          <w:r w:rsidRPr="002E2A73">
            <w:rPr>
              <w:rFonts w:cs="Open Sans"/>
              <w:sz w:val="18"/>
              <w:szCs w:val="18"/>
            </w:rPr>
            <w:fldChar w:fldCharType="end"/>
          </w:r>
        </w:p>
      </w:sdtContent>
    </w:sdt>
    <w:p w14:paraId="225CF71D" w14:textId="77777777" w:rsidR="003D6FE5" w:rsidRPr="000C32CF" w:rsidRDefault="00A64C13" w:rsidP="007B49DA">
      <w:pPr>
        <w:pStyle w:val="Heading2"/>
      </w:pPr>
      <w:bookmarkStart w:id="8" w:name="_Toc207348140"/>
      <w:r w:rsidRPr="000C32CF">
        <w:lastRenderedPageBreak/>
        <w:t xml:space="preserve">List of </w:t>
      </w:r>
      <w:r w:rsidRPr="007B49DA">
        <w:t>Tables</w:t>
      </w:r>
      <w:bookmarkEnd w:id="8"/>
    </w:p>
    <w:p w14:paraId="171BF949" w14:textId="4D93CD68" w:rsidR="006166B8" w:rsidRPr="006166B8" w:rsidRDefault="00480652">
      <w:pPr>
        <w:pStyle w:val="TOC5"/>
        <w:rPr>
          <w:rFonts w:eastAsiaTheme="minorEastAsia"/>
          <w:kern w:val="2"/>
          <w:sz w:val="18"/>
          <w:szCs w:val="18"/>
          <w14:ligatures w14:val="standardContextual"/>
        </w:rPr>
      </w:pPr>
      <w:r w:rsidRPr="004D0A8B">
        <w:rPr>
          <w:rFonts w:asciiTheme="minorHAnsi" w:hAnsiTheme="minorHAnsi" w:cstheme="minorHAnsi"/>
          <w:b/>
          <w:bCs/>
        </w:rPr>
        <w:fldChar w:fldCharType="begin"/>
      </w:r>
      <w:r w:rsidRPr="004D0A8B">
        <w:rPr>
          <w:rFonts w:asciiTheme="minorHAnsi" w:hAnsiTheme="minorHAnsi" w:cstheme="minorHAnsi"/>
          <w:b/>
          <w:bCs/>
        </w:rPr>
        <w:instrText xml:space="preserve"> TOC \h \z \t "Table Caption,5" </w:instrText>
      </w:r>
      <w:r w:rsidRPr="004D0A8B">
        <w:rPr>
          <w:rFonts w:asciiTheme="minorHAnsi" w:hAnsiTheme="minorHAnsi" w:cstheme="minorHAnsi"/>
          <w:b/>
          <w:bCs/>
        </w:rPr>
        <w:fldChar w:fldCharType="separate"/>
      </w:r>
      <w:hyperlink w:anchor="_Toc207183791" w:history="1">
        <w:r w:rsidR="006166B8" w:rsidRPr="006166B8">
          <w:rPr>
            <w:rStyle w:val="Hyperlink"/>
            <w:bCs/>
            <w:sz w:val="18"/>
            <w:szCs w:val="18"/>
          </w:rPr>
          <w:t xml:space="preserve">Table 1. </w:t>
        </w:r>
        <w:r w:rsidR="006166B8" w:rsidRPr="006166B8">
          <w:rPr>
            <w:rStyle w:val="Hyperlink"/>
            <w:sz w:val="18"/>
            <w:szCs w:val="18"/>
          </w:rPr>
          <w:t>Number of AP STEM ELA teachers who participated in the APSI training and partially or fully completed initial survey and/or the follow-up survey</w:t>
        </w:r>
        <w:r w:rsidR="006166B8" w:rsidRPr="006166B8">
          <w:rPr>
            <w:webHidden/>
            <w:sz w:val="18"/>
            <w:szCs w:val="18"/>
          </w:rPr>
          <w:tab/>
        </w:r>
        <w:r w:rsidR="006166B8" w:rsidRPr="006166B8">
          <w:rPr>
            <w:webHidden/>
            <w:sz w:val="18"/>
            <w:szCs w:val="18"/>
          </w:rPr>
          <w:fldChar w:fldCharType="begin"/>
        </w:r>
        <w:r w:rsidR="006166B8" w:rsidRPr="006166B8">
          <w:rPr>
            <w:webHidden/>
            <w:sz w:val="18"/>
            <w:szCs w:val="18"/>
          </w:rPr>
          <w:instrText xml:space="preserve"> PAGEREF _Toc207183791 \h </w:instrText>
        </w:r>
        <w:r w:rsidR="006166B8" w:rsidRPr="006166B8">
          <w:rPr>
            <w:webHidden/>
            <w:sz w:val="18"/>
            <w:szCs w:val="18"/>
          </w:rPr>
        </w:r>
        <w:r w:rsidR="006166B8" w:rsidRPr="006166B8">
          <w:rPr>
            <w:webHidden/>
            <w:sz w:val="18"/>
            <w:szCs w:val="18"/>
          </w:rPr>
          <w:fldChar w:fldCharType="separate"/>
        </w:r>
        <w:r w:rsidR="007B49DA">
          <w:rPr>
            <w:webHidden/>
            <w:sz w:val="18"/>
            <w:szCs w:val="18"/>
          </w:rPr>
          <w:t>18</w:t>
        </w:r>
        <w:r w:rsidR="006166B8" w:rsidRPr="006166B8">
          <w:rPr>
            <w:webHidden/>
            <w:sz w:val="18"/>
            <w:szCs w:val="18"/>
          </w:rPr>
          <w:fldChar w:fldCharType="end"/>
        </w:r>
      </w:hyperlink>
    </w:p>
    <w:p w14:paraId="273730C0" w14:textId="29F88F2C" w:rsidR="006166B8" w:rsidRPr="006166B8" w:rsidRDefault="006166B8">
      <w:pPr>
        <w:pStyle w:val="TOC5"/>
        <w:rPr>
          <w:rFonts w:eastAsiaTheme="minorEastAsia"/>
          <w:kern w:val="2"/>
          <w:sz w:val="18"/>
          <w:szCs w:val="18"/>
          <w14:ligatures w14:val="standardContextual"/>
        </w:rPr>
      </w:pPr>
      <w:hyperlink w:anchor="_Toc207183792" w:history="1">
        <w:r w:rsidRPr="006166B8">
          <w:rPr>
            <w:rStyle w:val="Hyperlink"/>
            <w:sz w:val="18"/>
            <w:szCs w:val="18"/>
          </w:rPr>
          <w:t>Table 2. Number of AP students participating in at least one AP mock exam, by AP content area, by school year</w:t>
        </w:r>
        <w:r w:rsidRPr="006166B8">
          <w:rPr>
            <w:webHidden/>
            <w:sz w:val="18"/>
            <w:szCs w:val="18"/>
          </w:rPr>
          <w:tab/>
        </w:r>
        <w:r w:rsidRPr="006166B8">
          <w:rPr>
            <w:webHidden/>
            <w:sz w:val="18"/>
            <w:szCs w:val="18"/>
          </w:rPr>
          <w:fldChar w:fldCharType="begin"/>
        </w:r>
        <w:r w:rsidRPr="006166B8">
          <w:rPr>
            <w:webHidden/>
            <w:sz w:val="18"/>
            <w:szCs w:val="18"/>
          </w:rPr>
          <w:instrText xml:space="preserve"> PAGEREF _Toc207183792 \h </w:instrText>
        </w:r>
        <w:r w:rsidRPr="006166B8">
          <w:rPr>
            <w:webHidden/>
            <w:sz w:val="18"/>
            <w:szCs w:val="18"/>
          </w:rPr>
        </w:r>
        <w:r w:rsidRPr="006166B8">
          <w:rPr>
            <w:webHidden/>
            <w:sz w:val="18"/>
            <w:szCs w:val="18"/>
          </w:rPr>
          <w:fldChar w:fldCharType="separate"/>
        </w:r>
        <w:r w:rsidR="007B49DA">
          <w:rPr>
            <w:webHidden/>
            <w:sz w:val="18"/>
            <w:szCs w:val="18"/>
          </w:rPr>
          <w:t>26</w:t>
        </w:r>
        <w:r w:rsidRPr="006166B8">
          <w:rPr>
            <w:webHidden/>
            <w:sz w:val="18"/>
            <w:szCs w:val="18"/>
          </w:rPr>
          <w:fldChar w:fldCharType="end"/>
        </w:r>
      </w:hyperlink>
    </w:p>
    <w:p w14:paraId="0B55F751" w14:textId="79E34E26" w:rsidR="006166B8" w:rsidRPr="006166B8" w:rsidRDefault="006166B8">
      <w:pPr>
        <w:pStyle w:val="TOC5"/>
        <w:rPr>
          <w:rFonts w:eastAsiaTheme="minorEastAsia"/>
          <w:kern w:val="2"/>
          <w:sz w:val="18"/>
          <w:szCs w:val="18"/>
          <w14:ligatures w14:val="standardContextual"/>
        </w:rPr>
      </w:pPr>
      <w:hyperlink w:anchor="_Toc207183793" w:history="1">
        <w:r w:rsidRPr="006166B8">
          <w:rPr>
            <w:rStyle w:val="Hyperlink"/>
            <w:sz w:val="18"/>
            <w:szCs w:val="18"/>
          </w:rPr>
          <w:t>Table 3. Unweighted percentages of students passing AP courses and taking AP exams, by subject, with modeling results, SY2023</w:t>
        </w:r>
        <w:r w:rsidRPr="006166B8">
          <w:rPr>
            <w:webHidden/>
            <w:sz w:val="18"/>
            <w:szCs w:val="18"/>
          </w:rPr>
          <w:tab/>
        </w:r>
        <w:r w:rsidRPr="006166B8">
          <w:rPr>
            <w:webHidden/>
            <w:sz w:val="18"/>
            <w:szCs w:val="18"/>
          </w:rPr>
          <w:fldChar w:fldCharType="begin"/>
        </w:r>
        <w:r w:rsidRPr="006166B8">
          <w:rPr>
            <w:webHidden/>
            <w:sz w:val="18"/>
            <w:szCs w:val="18"/>
          </w:rPr>
          <w:instrText xml:space="preserve"> PAGEREF _Toc207183793 \h </w:instrText>
        </w:r>
        <w:r w:rsidRPr="006166B8">
          <w:rPr>
            <w:webHidden/>
            <w:sz w:val="18"/>
            <w:szCs w:val="18"/>
          </w:rPr>
        </w:r>
        <w:r w:rsidRPr="006166B8">
          <w:rPr>
            <w:webHidden/>
            <w:sz w:val="18"/>
            <w:szCs w:val="18"/>
          </w:rPr>
          <w:fldChar w:fldCharType="separate"/>
        </w:r>
        <w:r w:rsidR="007B49DA">
          <w:rPr>
            <w:webHidden/>
            <w:sz w:val="18"/>
            <w:szCs w:val="18"/>
          </w:rPr>
          <w:t>32</w:t>
        </w:r>
        <w:r w:rsidRPr="006166B8">
          <w:rPr>
            <w:webHidden/>
            <w:sz w:val="18"/>
            <w:szCs w:val="18"/>
          </w:rPr>
          <w:fldChar w:fldCharType="end"/>
        </w:r>
      </w:hyperlink>
    </w:p>
    <w:p w14:paraId="7BFD8F6D" w14:textId="6E323C62" w:rsidR="006166B8" w:rsidRPr="006166B8" w:rsidRDefault="006166B8">
      <w:pPr>
        <w:pStyle w:val="TOC5"/>
        <w:rPr>
          <w:rFonts w:eastAsiaTheme="minorEastAsia"/>
          <w:kern w:val="2"/>
          <w:sz w:val="18"/>
          <w:szCs w:val="18"/>
          <w14:ligatures w14:val="standardContextual"/>
        </w:rPr>
      </w:pPr>
      <w:hyperlink w:anchor="_Toc207183794" w:history="1">
        <w:r w:rsidRPr="006166B8">
          <w:rPr>
            <w:rStyle w:val="Hyperlink"/>
            <w:sz w:val="18"/>
            <w:szCs w:val="18"/>
          </w:rPr>
          <w:t>Table 4. Unweighted percentages of students passing AP courses and taking AP exams, by subject, with modeling results, SY2024</w:t>
        </w:r>
        <w:r w:rsidRPr="006166B8">
          <w:rPr>
            <w:webHidden/>
            <w:sz w:val="18"/>
            <w:szCs w:val="18"/>
          </w:rPr>
          <w:tab/>
        </w:r>
        <w:r w:rsidRPr="006166B8">
          <w:rPr>
            <w:webHidden/>
            <w:sz w:val="18"/>
            <w:szCs w:val="18"/>
          </w:rPr>
          <w:fldChar w:fldCharType="begin"/>
        </w:r>
        <w:r w:rsidRPr="006166B8">
          <w:rPr>
            <w:webHidden/>
            <w:sz w:val="18"/>
            <w:szCs w:val="18"/>
          </w:rPr>
          <w:instrText xml:space="preserve"> PAGEREF _Toc207183794 \h </w:instrText>
        </w:r>
        <w:r w:rsidRPr="006166B8">
          <w:rPr>
            <w:webHidden/>
            <w:sz w:val="18"/>
            <w:szCs w:val="18"/>
          </w:rPr>
        </w:r>
        <w:r w:rsidRPr="006166B8">
          <w:rPr>
            <w:webHidden/>
            <w:sz w:val="18"/>
            <w:szCs w:val="18"/>
          </w:rPr>
          <w:fldChar w:fldCharType="separate"/>
        </w:r>
        <w:r w:rsidR="007B49DA">
          <w:rPr>
            <w:webHidden/>
            <w:sz w:val="18"/>
            <w:szCs w:val="18"/>
          </w:rPr>
          <w:t>33</w:t>
        </w:r>
        <w:r w:rsidRPr="006166B8">
          <w:rPr>
            <w:webHidden/>
            <w:sz w:val="18"/>
            <w:szCs w:val="18"/>
          </w:rPr>
          <w:fldChar w:fldCharType="end"/>
        </w:r>
      </w:hyperlink>
    </w:p>
    <w:p w14:paraId="497440DB" w14:textId="6EBDCD58" w:rsidR="006166B8" w:rsidRPr="006166B8" w:rsidRDefault="006166B8">
      <w:pPr>
        <w:pStyle w:val="TOC5"/>
        <w:rPr>
          <w:rFonts w:eastAsiaTheme="minorEastAsia"/>
          <w:kern w:val="2"/>
          <w:sz w:val="18"/>
          <w:szCs w:val="18"/>
          <w14:ligatures w14:val="standardContextual"/>
        </w:rPr>
      </w:pPr>
      <w:hyperlink w:anchor="_Toc207183795" w:history="1">
        <w:r w:rsidRPr="006166B8">
          <w:rPr>
            <w:rStyle w:val="Hyperlink"/>
            <w:sz w:val="18"/>
            <w:szCs w:val="18"/>
          </w:rPr>
          <w:t>Table 5. Unweighted percentages of students passing AP exams, by subject, with modeling results, SY2023 and SY2024</w:t>
        </w:r>
        <w:r w:rsidRPr="006166B8">
          <w:rPr>
            <w:webHidden/>
            <w:sz w:val="18"/>
            <w:szCs w:val="18"/>
          </w:rPr>
          <w:tab/>
        </w:r>
        <w:r w:rsidRPr="006166B8">
          <w:rPr>
            <w:webHidden/>
            <w:sz w:val="18"/>
            <w:szCs w:val="18"/>
          </w:rPr>
          <w:fldChar w:fldCharType="begin"/>
        </w:r>
        <w:r w:rsidRPr="006166B8">
          <w:rPr>
            <w:webHidden/>
            <w:sz w:val="18"/>
            <w:szCs w:val="18"/>
          </w:rPr>
          <w:instrText xml:space="preserve"> PAGEREF _Toc207183795 \h </w:instrText>
        </w:r>
        <w:r w:rsidRPr="006166B8">
          <w:rPr>
            <w:webHidden/>
            <w:sz w:val="18"/>
            <w:szCs w:val="18"/>
          </w:rPr>
        </w:r>
        <w:r w:rsidRPr="006166B8">
          <w:rPr>
            <w:webHidden/>
            <w:sz w:val="18"/>
            <w:szCs w:val="18"/>
          </w:rPr>
          <w:fldChar w:fldCharType="separate"/>
        </w:r>
        <w:r w:rsidR="007B49DA">
          <w:rPr>
            <w:webHidden/>
            <w:sz w:val="18"/>
            <w:szCs w:val="18"/>
          </w:rPr>
          <w:t>38</w:t>
        </w:r>
        <w:r w:rsidRPr="006166B8">
          <w:rPr>
            <w:webHidden/>
            <w:sz w:val="18"/>
            <w:szCs w:val="18"/>
          </w:rPr>
          <w:fldChar w:fldCharType="end"/>
        </w:r>
      </w:hyperlink>
    </w:p>
    <w:p w14:paraId="0BE8FFEE" w14:textId="5A1C1113" w:rsidR="006166B8" w:rsidRPr="006166B8" w:rsidRDefault="006166B8">
      <w:pPr>
        <w:pStyle w:val="TOC5"/>
        <w:rPr>
          <w:rFonts w:eastAsiaTheme="minorEastAsia"/>
          <w:kern w:val="2"/>
          <w:sz w:val="18"/>
          <w:szCs w:val="18"/>
          <w14:ligatures w14:val="standardContextual"/>
        </w:rPr>
      </w:pPr>
      <w:hyperlink w:anchor="_Toc207183796" w:history="1">
        <w:r w:rsidRPr="006166B8">
          <w:rPr>
            <w:rStyle w:val="Hyperlink"/>
            <w:sz w:val="18"/>
            <w:szCs w:val="18"/>
          </w:rPr>
          <w:t>Table 6. Responses to the survey question, “Do you have students with the following known identities in your AP classroom(s)?”</w:t>
        </w:r>
        <w:r w:rsidRPr="006166B8">
          <w:rPr>
            <w:webHidden/>
            <w:sz w:val="18"/>
            <w:szCs w:val="18"/>
          </w:rPr>
          <w:tab/>
        </w:r>
        <w:r w:rsidRPr="006166B8">
          <w:rPr>
            <w:webHidden/>
            <w:sz w:val="18"/>
            <w:szCs w:val="18"/>
          </w:rPr>
          <w:fldChar w:fldCharType="begin"/>
        </w:r>
        <w:r w:rsidRPr="006166B8">
          <w:rPr>
            <w:webHidden/>
            <w:sz w:val="18"/>
            <w:szCs w:val="18"/>
          </w:rPr>
          <w:instrText xml:space="preserve"> PAGEREF _Toc207183796 \h </w:instrText>
        </w:r>
        <w:r w:rsidRPr="006166B8">
          <w:rPr>
            <w:webHidden/>
            <w:sz w:val="18"/>
            <w:szCs w:val="18"/>
          </w:rPr>
        </w:r>
        <w:r w:rsidRPr="006166B8">
          <w:rPr>
            <w:webHidden/>
            <w:sz w:val="18"/>
            <w:szCs w:val="18"/>
          </w:rPr>
          <w:fldChar w:fldCharType="separate"/>
        </w:r>
        <w:r w:rsidR="007B49DA">
          <w:rPr>
            <w:webHidden/>
            <w:sz w:val="18"/>
            <w:szCs w:val="18"/>
          </w:rPr>
          <w:t>53</w:t>
        </w:r>
        <w:r w:rsidRPr="006166B8">
          <w:rPr>
            <w:webHidden/>
            <w:sz w:val="18"/>
            <w:szCs w:val="18"/>
          </w:rPr>
          <w:fldChar w:fldCharType="end"/>
        </w:r>
      </w:hyperlink>
    </w:p>
    <w:p w14:paraId="191ACF87" w14:textId="04AF164C" w:rsidR="00A64C13" w:rsidRDefault="00480652" w:rsidP="000B084D">
      <w:pPr>
        <w:pStyle w:val="BodyText"/>
      </w:pPr>
      <w:r w:rsidRPr="004D0A8B">
        <w:rPr>
          <w:rFonts w:asciiTheme="minorHAnsi" w:hAnsiTheme="minorHAnsi" w:cstheme="minorHAnsi"/>
          <w:b/>
          <w:bCs/>
          <w:noProof/>
        </w:rPr>
        <w:fldChar w:fldCharType="end"/>
      </w:r>
    </w:p>
    <w:p w14:paraId="349836B9" w14:textId="77777777" w:rsidR="00A64C13" w:rsidRPr="0002140A" w:rsidRDefault="00A64C13" w:rsidP="007B49DA">
      <w:pPr>
        <w:pStyle w:val="Heading2"/>
      </w:pPr>
      <w:bookmarkStart w:id="9" w:name="_Toc207348141"/>
      <w:r>
        <w:lastRenderedPageBreak/>
        <w:t>List of Figures</w:t>
      </w:r>
      <w:bookmarkEnd w:id="9"/>
    </w:p>
    <w:p w14:paraId="5A4E8021" w14:textId="76609478" w:rsidR="002E2A73" w:rsidRPr="002E2A73" w:rsidRDefault="00480652">
      <w:pPr>
        <w:pStyle w:val="TOC5"/>
        <w:rPr>
          <w:rFonts w:eastAsiaTheme="minorEastAsia"/>
          <w:kern w:val="2"/>
          <w:sz w:val="18"/>
          <w:szCs w:val="18"/>
          <w14:ligatures w14:val="standardContextual"/>
        </w:rPr>
      </w:pPr>
      <w:r w:rsidRPr="002E2A73">
        <w:rPr>
          <w:b/>
          <w:color w:val="000000" w:themeColor="text1"/>
          <w:sz w:val="18"/>
          <w:szCs w:val="18"/>
        </w:rPr>
        <w:fldChar w:fldCharType="begin"/>
      </w:r>
      <w:r w:rsidRPr="002E2A73">
        <w:rPr>
          <w:b/>
          <w:color w:val="000000" w:themeColor="text1"/>
          <w:sz w:val="18"/>
          <w:szCs w:val="18"/>
        </w:rPr>
        <w:instrText xml:space="preserve"> TOC \h \z \t "Figure Caption,5" </w:instrText>
      </w:r>
      <w:r w:rsidRPr="002E2A73">
        <w:rPr>
          <w:b/>
          <w:color w:val="000000" w:themeColor="text1"/>
          <w:sz w:val="18"/>
          <w:szCs w:val="18"/>
        </w:rPr>
        <w:fldChar w:fldCharType="separate"/>
      </w:r>
      <w:hyperlink w:anchor="_Toc207348443" w:history="1">
        <w:r w:rsidR="002E2A73" w:rsidRPr="002E2A73">
          <w:rPr>
            <w:rStyle w:val="Hyperlink"/>
            <w:sz w:val="18"/>
            <w:szCs w:val="18"/>
          </w:rPr>
          <w:t>Figure 1. The number of AP students participating in at least one AP course, by AP content area.</w:t>
        </w:r>
        <w:r w:rsidR="002E2A73" w:rsidRPr="002E2A73">
          <w:rPr>
            <w:webHidden/>
            <w:sz w:val="18"/>
            <w:szCs w:val="18"/>
          </w:rPr>
          <w:tab/>
        </w:r>
        <w:r w:rsidR="002E2A73" w:rsidRPr="002E2A73">
          <w:rPr>
            <w:webHidden/>
            <w:sz w:val="18"/>
            <w:szCs w:val="18"/>
          </w:rPr>
          <w:fldChar w:fldCharType="begin"/>
        </w:r>
        <w:r w:rsidR="002E2A73" w:rsidRPr="002E2A73">
          <w:rPr>
            <w:webHidden/>
            <w:sz w:val="18"/>
            <w:szCs w:val="18"/>
          </w:rPr>
          <w:instrText xml:space="preserve"> PAGEREF _Toc207348443 \h </w:instrText>
        </w:r>
        <w:r w:rsidR="002E2A73" w:rsidRPr="002E2A73">
          <w:rPr>
            <w:webHidden/>
            <w:sz w:val="18"/>
            <w:szCs w:val="18"/>
          </w:rPr>
        </w:r>
        <w:r w:rsidR="002E2A73" w:rsidRPr="002E2A73">
          <w:rPr>
            <w:webHidden/>
            <w:sz w:val="18"/>
            <w:szCs w:val="18"/>
          </w:rPr>
          <w:fldChar w:fldCharType="separate"/>
        </w:r>
        <w:r w:rsidR="007B49DA">
          <w:rPr>
            <w:webHidden/>
            <w:sz w:val="18"/>
            <w:szCs w:val="18"/>
          </w:rPr>
          <w:t>22</w:t>
        </w:r>
        <w:r w:rsidR="002E2A73" w:rsidRPr="002E2A73">
          <w:rPr>
            <w:webHidden/>
            <w:sz w:val="18"/>
            <w:szCs w:val="18"/>
          </w:rPr>
          <w:fldChar w:fldCharType="end"/>
        </w:r>
      </w:hyperlink>
    </w:p>
    <w:p w14:paraId="10966767" w14:textId="72BDE1E9" w:rsidR="002E2A73" w:rsidRPr="002E2A73" w:rsidRDefault="002E2A73">
      <w:pPr>
        <w:pStyle w:val="TOC5"/>
        <w:rPr>
          <w:rFonts w:eastAsiaTheme="minorEastAsia"/>
          <w:kern w:val="2"/>
          <w:sz w:val="18"/>
          <w:szCs w:val="18"/>
          <w14:ligatures w14:val="standardContextual"/>
        </w:rPr>
      </w:pPr>
      <w:hyperlink w:anchor="_Toc207348444" w:history="1">
        <w:r w:rsidRPr="002E2A73">
          <w:rPr>
            <w:rStyle w:val="Hyperlink"/>
            <w:sz w:val="18"/>
            <w:szCs w:val="18"/>
          </w:rPr>
          <w:t>Figure 2. The percentages of AP students, by race/ethnicity, by year.</w:t>
        </w:r>
        <w:r w:rsidRPr="002E2A73">
          <w:rPr>
            <w:webHidden/>
            <w:sz w:val="18"/>
            <w:szCs w:val="18"/>
          </w:rPr>
          <w:tab/>
        </w:r>
        <w:r w:rsidRPr="002E2A73">
          <w:rPr>
            <w:webHidden/>
            <w:sz w:val="18"/>
            <w:szCs w:val="18"/>
          </w:rPr>
          <w:fldChar w:fldCharType="begin"/>
        </w:r>
        <w:r w:rsidRPr="002E2A73">
          <w:rPr>
            <w:webHidden/>
            <w:sz w:val="18"/>
            <w:szCs w:val="18"/>
          </w:rPr>
          <w:instrText xml:space="preserve"> PAGEREF _Toc207348444 \h </w:instrText>
        </w:r>
        <w:r w:rsidRPr="002E2A73">
          <w:rPr>
            <w:webHidden/>
            <w:sz w:val="18"/>
            <w:szCs w:val="18"/>
          </w:rPr>
        </w:r>
        <w:r w:rsidRPr="002E2A73">
          <w:rPr>
            <w:webHidden/>
            <w:sz w:val="18"/>
            <w:szCs w:val="18"/>
          </w:rPr>
          <w:fldChar w:fldCharType="separate"/>
        </w:r>
        <w:r w:rsidR="007B49DA">
          <w:rPr>
            <w:webHidden/>
            <w:sz w:val="18"/>
            <w:szCs w:val="18"/>
          </w:rPr>
          <w:t>23</w:t>
        </w:r>
        <w:r w:rsidRPr="002E2A73">
          <w:rPr>
            <w:webHidden/>
            <w:sz w:val="18"/>
            <w:szCs w:val="18"/>
          </w:rPr>
          <w:fldChar w:fldCharType="end"/>
        </w:r>
      </w:hyperlink>
    </w:p>
    <w:p w14:paraId="7509A618" w14:textId="4C6CAF4A" w:rsidR="002E2A73" w:rsidRPr="002E2A73" w:rsidRDefault="002E2A73">
      <w:pPr>
        <w:pStyle w:val="TOC5"/>
        <w:rPr>
          <w:rFonts w:eastAsiaTheme="minorEastAsia"/>
          <w:kern w:val="2"/>
          <w:sz w:val="18"/>
          <w:szCs w:val="18"/>
          <w14:ligatures w14:val="standardContextual"/>
        </w:rPr>
      </w:pPr>
      <w:hyperlink w:anchor="_Toc207348445" w:history="1">
        <w:r w:rsidRPr="002E2A73">
          <w:rPr>
            <w:rStyle w:val="Hyperlink"/>
            <w:sz w:val="18"/>
            <w:szCs w:val="18"/>
          </w:rPr>
          <w:t>Figure 3. AP STEM and English program and Statewide AP STEM and English course takers by race/ethnicity, SY2023.</w:t>
        </w:r>
        <w:r w:rsidRPr="002E2A73">
          <w:rPr>
            <w:webHidden/>
            <w:sz w:val="18"/>
            <w:szCs w:val="18"/>
          </w:rPr>
          <w:tab/>
        </w:r>
        <w:r w:rsidRPr="002E2A73">
          <w:rPr>
            <w:webHidden/>
            <w:sz w:val="18"/>
            <w:szCs w:val="18"/>
          </w:rPr>
          <w:fldChar w:fldCharType="begin"/>
        </w:r>
        <w:r w:rsidRPr="002E2A73">
          <w:rPr>
            <w:webHidden/>
            <w:sz w:val="18"/>
            <w:szCs w:val="18"/>
          </w:rPr>
          <w:instrText xml:space="preserve"> PAGEREF _Toc207348445 \h </w:instrText>
        </w:r>
        <w:r w:rsidRPr="002E2A73">
          <w:rPr>
            <w:webHidden/>
            <w:sz w:val="18"/>
            <w:szCs w:val="18"/>
          </w:rPr>
        </w:r>
        <w:r w:rsidRPr="002E2A73">
          <w:rPr>
            <w:webHidden/>
            <w:sz w:val="18"/>
            <w:szCs w:val="18"/>
          </w:rPr>
          <w:fldChar w:fldCharType="separate"/>
        </w:r>
        <w:r w:rsidR="007B49DA">
          <w:rPr>
            <w:webHidden/>
            <w:sz w:val="18"/>
            <w:szCs w:val="18"/>
          </w:rPr>
          <w:t>24</w:t>
        </w:r>
        <w:r w:rsidRPr="002E2A73">
          <w:rPr>
            <w:webHidden/>
            <w:sz w:val="18"/>
            <w:szCs w:val="18"/>
          </w:rPr>
          <w:fldChar w:fldCharType="end"/>
        </w:r>
      </w:hyperlink>
    </w:p>
    <w:p w14:paraId="0E35D218" w14:textId="7450ADE1" w:rsidR="002E2A73" w:rsidRPr="002E2A73" w:rsidRDefault="002E2A73">
      <w:pPr>
        <w:pStyle w:val="TOC5"/>
        <w:rPr>
          <w:rFonts w:eastAsiaTheme="minorEastAsia"/>
          <w:kern w:val="2"/>
          <w:sz w:val="18"/>
          <w:szCs w:val="18"/>
          <w14:ligatures w14:val="standardContextual"/>
        </w:rPr>
      </w:pPr>
      <w:hyperlink w:anchor="_Toc207348446" w:history="1">
        <w:r w:rsidRPr="002E2A73">
          <w:rPr>
            <w:rStyle w:val="Hyperlink"/>
            <w:sz w:val="18"/>
            <w:szCs w:val="18"/>
          </w:rPr>
          <w:t>Figure 4. The percentage of AP students, by demographic characteristics.</w:t>
        </w:r>
        <w:r w:rsidRPr="002E2A73">
          <w:rPr>
            <w:webHidden/>
            <w:sz w:val="18"/>
            <w:szCs w:val="18"/>
          </w:rPr>
          <w:tab/>
        </w:r>
        <w:r w:rsidRPr="002E2A73">
          <w:rPr>
            <w:webHidden/>
            <w:sz w:val="18"/>
            <w:szCs w:val="18"/>
          </w:rPr>
          <w:fldChar w:fldCharType="begin"/>
        </w:r>
        <w:r w:rsidRPr="002E2A73">
          <w:rPr>
            <w:webHidden/>
            <w:sz w:val="18"/>
            <w:szCs w:val="18"/>
          </w:rPr>
          <w:instrText xml:space="preserve"> PAGEREF _Toc207348446 \h </w:instrText>
        </w:r>
        <w:r w:rsidRPr="002E2A73">
          <w:rPr>
            <w:webHidden/>
            <w:sz w:val="18"/>
            <w:szCs w:val="18"/>
          </w:rPr>
        </w:r>
        <w:r w:rsidRPr="002E2A73">
          <w:rPr>
            <w:webHidden/>
            <w:sz w:val="18"/>
            <w:szCs w:val="18"/>
          </w:rPr>
          <w:fldChar w:fldCharType="separate"/>
        </w:r>
        <w:r w:rsidR="007B49DA">
          <w:rPr>
            <w:webHidden/>
            <w:sz w:val="18"/>
            <w:szCs w:val="18"/>
          </w:rPr>
          <w:t>25</w:t>
        </w:r>
        <w:r w:rsidRPr="002E2A73">
          <w:rPr>
            <w:webHidden/>
            <w:sz w:val="18"/>
            <w:szCs w:val="18"/>
          </w:rPr>
          <w:fldChar w:fldCharType="end"/>
        </w:r>
      </w:hyperlink>
    </w:p>
    <w:p w14:paraId="41C9A16F" w14:textId="4CB8DF0E" w:rsidR="002E2A73" w:rsidRPr="002E2A73" w:rsidRDefault="002E2A73">
      <w:pPr>
        <w:pStyle w:val="TOC5"/>
        <w:rPr>
          <w:rFonts w:eastAsiaTheme="minorEastAsia"/>
          <w:kern w:val="2"/>
          <w:sz w:val="18"/>
          <w:szCs w:val="18"/>
          <w14:ligatures w14:val="standardContextual"/>
        </w:rPr>
      </w:pPr>
      <w:hyperlink w:anchor="_Toc207348447" w:history="1">
        <w:r w:rsidRPr="002E2A73">
          <w:rPr>
            <w:rStyle w:val="Hyperlink"/>
            <w:sz w:val="18"/>
            <w:szCs w:val="18"/>
          </w:rPr>
          <w:t>Figure 5. The percentage of AP students participating in student supports, by type of student support</w:t>
        </w:r>
        <w:r w:rsidRPr="002E2A73">
          <w:rPr>
            <w:webHidden/>
            <w:sz w:val="18"/>
            <w:szCs w:val="18"/>
          </w:rPr>
          <w:tab/>
        </w:r>
        <w:r w:rsidRPr="002E2A73">
          <w:rPr>
            <w:webHidden/>
            <w:sz w:val="18"/>
            <w:szCs w:val="18"/>
          </w:rPr>
          <w:fldChar w:fldCharType="begin"/>
        </w:r>
        <w:r w:rsidRPr="002E2A73">
          <w:rPr>
            <w:webHidden/>
            <w:sz w:val="18"/>
            <w:szCs w:val="18"/>
          </w:rPr>
          <w:instrText xml:space="preserve"> PAGEREF _Toc207348447 \h </w:instrText>
        </w:r>
        <w:r w:rsidRPr="002E2A73">
          <w:rPr>
            <w:webHidden/>
            <w:sz w:val="18"/>
            <w:szCs w:val="18"/>
          </w:rPr>
        </w:r>
        <w:r w:rsidRPr="002E2A73">
          <w:rPr>
            <w:webHidden/>
            <w:sz w:val="18"/>
            <w:szCs w:val="18"/>
          </w:rPr>
          <w:fldChar w:fldCharType="separate"/>
        </w:r>
        <w:r w:rsidR="007B49DA">
          <w:rPr>
            <w:webHidden/>
            <w:sz w:val="18"/>
            <w:szCs w:val="18"/>
          </w:rPr>
          <w:t>25</w:t>
        </w:r>
        <w:r w:rsidRPr="002E2A73">
          <w:rPr>
            <w:webHidden/>
            <w:sz w:val="18"/>
            <w:szCs w:val="18"/>
          </w:rPr>
          <w:fldChar w:fldCharType="end"/>
        </w:r>
      </w:hyperlink>
    </w:p>
    <w:p w14:paraId="6F42FA6F" w14:textId="237B7E81" w:rsidR="002E2A73" w:rsidRPr="002E2A73" w:rsidRDefault="002E2A73">
      <w:pPr>
        <w:pStyle w:val="TOC5"/>
        <w:rPr>
          <w:rFonts w:eastAsiaTheme="minorEastAsia"/>
          <w:kern w:val="2"/>
          <w:sz w:val="18"/>
          <w:szCs w:val="18"/>
          <w14:ligatures w14:val="standardContextual"/>
        </w:rPr>
      </w:pPr>
      <w:hyperlink w:anchor="_Toc207348448" w:history="1">
        <w:r w:rsidRPr="002E2A73">
          <w:rPr>
            <w:rStyle w:val="Hyperlink"/>
            <w:sz w:val="18"/>
            <w:szCs w:val="18"/>
          </w:rPr>
          <w:t>Figure 6. Percentage of students taking at least one of any AP (ELA, math, or science) support, by support type and race/ethnicity, SY2023</w:t>
        </w:r>
        <w:r w:rsidRPr="002E2A73">
          <w:rPr>
            <w:webHidden/>
            <w:sz w:val="18"/>
            <w:szCs w:val="18"/>
          </w:rPr>
          <w:tab/>
        </w:r>
        <w:r w:rsidRPr="002E2A73">
          <w:rPr>
            <w:webHidden/>
            <w:sz w:val="18"/>
            <w:szCs w:val="18"/>
          </w:rPr>
          <w:fldChar w:fldCharType="begin"/>
        </w:r>
        <w:r w:rsidRPr="002E2A73">
          <w:rPr>
            <w:webHidden/>
            <w:sz w:val="18"/>
            <w:szCs w:val="18"/>
          </w:rPr>
          <w:instrText xml:space="preserve"> PAGEREF _Toc207348448 \h </w:instrText>
        </w:r>
        <w:r w:rsidRPr="002E2A73">
          <w:rPr>
            <w:webHidden/>
            <w:sz w:val="18"/>
            <w:szCs w:val="18"/>
          </w:rPr>
        </w:r>
        <w:r w:rsidRPr="002E2A73">
          <w:rPr>
            <w:webHidden/>
            <w:sz w:val="18"/>
            <w:szCs w:val="18"/>
          </w:rPr>
          <w:fldChar w:fldCharType="separate"/>
        </w:r>
        <w:r w:rsidR="007B49DA">
          <w:rPr>
            <w:webHidden/>
            <w:sz w:val="18"/>
            <w:szCs w:val="18"/>
          </w:rPr>
          <w:t>28</w:t>
        </w:r>
        <w:r w:rsidRPr="002E2A73">
          <w:rPr>
            <w:webHidden/>
            <w:sz w:val="18"/>
            <w:szCs w:val="18"/>
          </w:rPr>
          <w:fldChar w:fldCharType="end"/>
        </w:r>
      </w:hyperlink>
    </w:p>
    <w:p w14:paraId="778E6FBA" w14:textId="2A54B19B" w:rsidR="002E2A73" w:rsidRPr="002E2A73" w:rsidRDefault="002E2A73">
      <w:pPr>
        <w:pStyle w:val="TOC5"/>
        <w:rPr>
          <w:rFonts w:eastAsiaTheme="minorEastAsia"/>
          <w:kern w:val="2"/>
          <w:sz w:val="18"/>
          <w:szCs w:val="18"/>
          <w14:ligatures w14:val="standardContextual"/>
        </w:rPr>
      </w:pPr>
      <w:hyperlink w:anchor="_Toc207348449" w:history="1">
        <w:r w:rsidRPr="002E2A73">
          <w:rPr>
            <w:rStyle w:val="Hyperlink"/>
            <w:sz w:val="18"/>
            <w:szCs w:val="18"/>
          </w:rPr>
          <w:t>Figure 7. Percentage of students taking at least one of any AP (ELA, math, or science) support, by support type and race/ethnicity, SY2024</w:t>
        </w:r>
        <w:r w:rsidRPr="002E2A73">
          <w:rPr>
            <w:webHidden/>
            <w:sz w:val="18"/>
            <w:szCs w:val="18"/>
          </w:rPr>
          <w:tab/>
        </w:r>
        <w:r w:rsidRPr="002E2A73">
          <w:rPr>
            <w:webHidden/>
            <w:sz w:val="18"/>
            <w:szCs w:val="18"/>
          </w:rPr>
          <w:fldChar w:fldCharType="begin"/>
        </w:r>
        <w:r w:rsidRPr="002E2A73">
          <w:rPr>
            <w:webHidden/>
            <w:sz w:val="18"/>
            <w:szCs w:val="18"/>
          </w:rPr>
          <w:instrText xml:space="preserve"> PAGEREF _Toc207348449 \h </w:instrText>
        </w:r>
        <w:r w:rsidRPr="002E2A73">
          <w:rPr>
            <w:webHidden/>
            <w:sz w:val="18"/>
            <w:szCs w:val="18"/>
          </w:rPr>
        </w:r>
        <w:r w:rsidRPr="002E2A73">
          <w:rPr>
            <w:webHidden/>
            <w:sz w:val="18"/>
            <w:szCs w:val="18"/>
          </w:rPr>
          <w:fldChar w:fldCharType="separate"/>
        </w:r>
        <w:r w:rsidR="007B49DA">
          <w:rPr>
            <w:webHidden/>
            <w:sz w:val="18"/>
            <w:szCs w:val="18"/>
          </w:rPr>
          <w:t>28</w:t>
        </w:r>
        <w:r w:rsidRPr="002E2A73">
          <w:rPr>
            <w:webHidden/>
            <w:sz w:val="18"/>
            <w:szCs w:val="18"/>
          </w:rPr>
          <w:fldChar w:fldCharType="end"/>
        </w:r>
      </w:hyperlink>
    </w:p>
    <w:p w14:paraId="2E613911" w14:textId="225A4116" w:rsidR="002E2A73" w:rsidRPr="002E2A73" w:rsidRDefault="002E2A73">
      <w:pPr>
        <w:pStyle w:val="TOC5"/>
        <w:rPr>
          <w:rFonts w:eastAsiaTheme="minorEastAsia"/>
          <w:kern w:val="2"/>
          <w:sz w:val="18"/>
          <w:szCs w:val="18"/>
          <w14:ligatures w14:val="standardContextual"/>
        </w:rPr>
      </w:pPr>
      <w:hyperlink w:anchor="_Toc207348450" w:history="1">
        <w:r w:rsidRPr="002E2A73">
          <w:rPr>
            <w:rStyle w:val="Hyperlink"/>
            <w:sz w:val="18"/>
            <w:szCs w:val="18"/>
          </w:rPr>
          <w:t>Figure 8. Percentage of students taking at least one of any AP (ELA, math, or science) support, by support type and demographic group, SY2023</w:t>
        </w:r>
        <w:r w:rsidRPr="002E2A73">
          <w:rPr>
            <w:webHidden/>
            <w:sz w:val="18"/>
            <w:szCs w:val="18"/>
          </w:rPr>
          <w:tab/>
        </w:r>
        <w:r w:rsidRPr="002E2A73">
          <w:rPr>
            <w:webHidden/>
            <w:sz w:val="18"/>
            <w:szCs w:val="18"/>
          </w:rPr>
          <w:fldChar w:fldCharType="begin"/>
        </w:r>
        <w:r w:rsidRPr="002E2A73">
          <w:rPr>
            <w:webHidden/>
            <w:sz w:val="18"/>
            <w:szCs w:val="18"/>
          </w:rPr>
          <w:instrText xml:space="preserve"> PAGEREF _Toc207348450 \h </w:instrText>
        </w:r>
        <w:r w:rsidRPr="002E2A73">
          <w:rPr>
            <w:webHidden/>
            <w:sz w:val="18"/>
            <w:szCs w:val="18"/>
          </w:rPr>
        </w:r>
        <w:r w:rsidRPr="002E2A73">
          <w:rPr>
            <w:webHidden/>
            <w:sz w:val="18"/>
            <w:szCs w:val="18"/>
          </w:rPr>
          <w:fldChar w:fldCharType="separate"/>
        </w:r>
        <w:r w:rsidR="007B49DA">
          <w:rPr>
            <w:webHidden/>
            <w:sz w:val="18"/>
            <w:szCs w:val="18"/>
          </w:rPr>
          <w:t>30</w:t>
        </w:r>
        <w:r w:rsidRPr="002E2A73">
          <w:rPr>
            <w:webHidden/>
            <w:sz w:val="18"/>
            <w:szCs w:val="18"/>
          </w:rPr>
          <w:fldChar w:fldCharType="end"/>
        </w:r>
      </w:hyperlink>
    </w:p>
    <w:p w14:paraId="62D71CD0" w14:textId="34261BE7" w:rsidR="002E2A73" w:rsidRPr="002E2A73" w:rsidRDefault="002E2A73">
      <w:pPr>
        <w:pStyle w:val="TOC5"/>
        <w:rPr>
          <w:rFonts w:eastAsiaTheme="minorEastAsia"/>
          <w:kern w:val="2"/>
          <w:sz w:val="18"/>
          <w:szCs w:val="18"/>
          <w14:ligatures w14:val="standardContextual"/>
        </w:rPr>
      </w:pPr>
      <w:hyperlink w:anchor="_Toc207348451" w:history="1">
        <w:r w:rsidRPr="002E2A73">
          <w:rPr>
            <w:rStyle w:val="Hyperlink"/>
            <w:sz w:val="18"/>
            <w:szCs w:val="18"/>
          </w:rPr>
          <w:t>Figure 9. Percentage of students taking at least one of any AP (ELA, math, or science) support, by support type and demographic group SY2024</w:t>
        </w:r>
        <w:r w:rsidRPr="002E2A73">
          <w:rPr>
            <w:webHidden/>
            <w:sz w:val="18"/>
            <w:szCs w:val="18"/>
          </w:rPr>
          <w:tab/>
        </w:r>
        <w:r w:rsidRPr="002E2A73">
          <w:rPr>
            <w:webHidden/>
            <w:sz w:val="18"/>
            <w:szCs w:val="18"/>
          </w:rPr>
          <w:fldChar w:fldCharType="begin"/>
        </w:r>
        <w:r w:rsidRPr="002E2A73">
          <w:rPr>
            <w:webHidden/>
            <w:sz w:val="18"/>
            <w:szCs w:val="18"/>
          </w:rPr>
          <w:instrText xml:space="preserve"> PAGEREF _Toc207348451 \h </w:instrText>
        </w:r>
        <w:r w:rsidRPr="002E2A73">
          <w:rPr>
            <w:webHidden/>
            <w:sz w:val="18"/>
            <w:szCs w:val="18"/>
          </w:rPr>
        </w:r>
        <w:r w:rsidRPr="002E2A73">
          <w:rPr>
            <w:webHidden/>
            <w:sz w:val="18"/>
            <w:szCs w:val="18"/>
          </w:rPr>
          <w:fldChar w:fldCharType="separate"/>
        </w:r>
        <w:r w:rsidR="007B49DA">
          <w:rPr>
            <w:webHidden/>
            <w:sz w:val="18"/>
            <w:szCs w:val="18"/>
          </w:rPr>
          <w:t>30</w:t>
        </w:r>
        <w:r w:rsidRPr="002E2A73">
          <w:rPr>
            <w:webHidden/>
            <w:sz w:val="18"/>
            <w:szCs w:val="18"/>
          </w:rPr>
          <w:fldChar w:fldCharType="end"/>
        </w:r>
      </w:hyperlink>
    </w:p>
    <w:p w14:paraId="71793705" w14:textId="78620DB3" w:rsidR="002E2A73" w:rsidRPr="002E2A73" w:rsidRDefault="002E2A73">
      <w:pPr>
        <w:pStyle w:val="TOC5"/>
        <w:rPr>
          <w:rFonts w:eastAsiaTheme="minorEastAsia"/>
          <w:kern w:val="2"/>
          <w:sz w:val="18"/>
          <w:szCs w:val="18"/>
          <w14:ligatures w14:val="standardContextual"/>
        </w:rPr>
      </w:pPr>
      <w:hyperlink w:anchor="_Toc207348452" w:history="1">
        <w:r w:rsidRPr="002E2A73">
          <w:rPr>
            <w:rStyle w:val="Hyperlink"/>
            <w:sz w:val="18"/>
            <w:szCs w:val="18"/>
          </w:rPr>
          <w:t>Figure 10. Percentage of students passing at least one AP course (ELA, math, or science) by school year and support type</w:t>
        </w:r>
        <w:r w:rsidRPr="002E2A73">
          <w:rPr>
            <w:webHidden/>
            <w:sz w:val="18"/>
            <w:szCs w:val="18"/>
          </w:rPr>
          <w:tab/>
        </w:r>
        <w:r w:rsidRPr="002E2A73">
          <w:rPr>
            <w:webHidden/>
            <w:sz w:val="18"/>
            <w:szCs w:val="18"/>
          </w:rPr>
          <w:fldChar w:fldCharType="begin"/>
        </w:r>
        <w:r w:rsidRPr="002E2A73">
          <w:rPr>
            <w:webHidden/>
            <w:sz w:val="18"/>
            <w:szCs w:val="18"/>
          </w:rPr>
          <w:instrText xml:space="preserve"> PAGEREF _Toc207348452 \h </w:instrText>
        </w:r>
        <w:r w:rsidRPr="002E2A73">
          <w:rPr>
            <w:webHidden/>
            <w:sz w:val="18"/>
            <w:szCs w:val="18"/>
          </w:rPr>
        </w:r>
        <w:r w:rsidRPr="002E2A73">
          <w:rPr>
            <w:webHidden/>
            <w:sz w:val="18"/>
            <w:szCs w:val="18"/>
          </w:rPr>
          <w:fldChar w:fldCharType="separate"/>
        </w:r>
        <w:r w:rsidR="007B49DA">
          <w:rPr>
            <w:webHidden/>
            <w:sz w:val="18"/>
            <w:szCs w:val="18"/>
          </w:rPr>
          <w:t>34</w:t>
        </w:r>
        <w:r w:rsidRPr="002E2A73">
          <w:rPr>
            <w:webHidden/>
            <w:sz w:val="18"/>
            <w:szCs w:val="18"/>
          </w:rPr>
          <w:fldChar w:fldCharType="end"/>
        </w:r>
      </w:hyperlink>
    </w:p>
    <w:p w14:paraId="5240A464" w14:textId="25053679" w:rsidR="002E2A73" w:rsidRPr="002E2A73" w:rsidRDefault="002E2A73">
      <w:pPr>
        <w:pStyle w:val="TOC5"/>
        <w:rPr>
          <w:rFonts w:eastAsiaTheme="minorEastAsia"/>
          <w:kern w:val="2"/>
          <w:sz w:val="18"/>
          <w:szCs w:val="18"/>
          <w14:ligatures w14:val="standardContextual"/>
        </w:rPr>
      </w:pPr>
      <w:hyperlink w:anchor="_Toc207348453" w:history="1">
        <w:r w:rsidRPr="002E2A73">
          <w:rPr>
            <w:rStyle w:val="Hyperlink"/>
            <w:sz w:val="18"/>
            <w:szCs w:val="18"/>
          </w:rPr>
          <w:t>Figure 11. Percentage of students taking at least one AP exam by school year and support type</w:t>
        </w:r>
        <w:r w:rsidRPr="002E2A73">
          <w:rPr>
            <w:webHidden/>
            <w:sz w:val="18"/>
            <w:szCs w:val="18"/>
          </w:rPr>
          <w:tab/>
        </w:r>
        <w:r w:rsidRPr="002E2A73">
          <w:rPr>
            <w:webHidden/>
            <w:sz w:val="18"/>
            <w:szCs w:val="18"/>
          </w:rPr>
          <w:fldChar w:fldCharType="begin"/>
        </w:r>
        <w:r w:rsidRPr="002E2A73">
          <w:rPr>
            <w:webHidden/>
            <w:sz w:val="18"/>
            <w:szCs w:val="18"/>
          </w:rPr>
          <w:instrText xml:space="preserve"> PAGEREF _Toc207348453 \h </w:instrText>
        </w:r>
        <w:r w:rsidRPr="002E2A73">
          <w:rPr>
            <w:webHidden/>
            <w:sz w:val="18"/>
            <w:szCs w:val="18"/>
          </w:rPr>
        </w:r>
        <w:r w:rsidRPr="002E2A73">
          <w:rPr>
            <w:webHidden/>
            <w:sz w:val="18"/>
            <w:szCs w:val="18"/>
          </w:rPr>
          <w:fldChar w:fldCharType="separate"/>
        </w:r>
        <w:r w:rsidR="007B49DA">
          <w:rPr>
            <w:webHidden/>
            <w:sz w:val="18"/>
            <w:szCs w:val="18"/>
          </w:rPr>
          <w:t>36</w:t>
        </w:r>
        <w:r w:rsidRPr="002E2A73">
          <w:rPr>
            <w:webHidden/>
            <w:sz w:val="18"/>
            <w:szCs w:val="18"/>
          </w:rPr>
          <w:fldChar w:fldCharType="end"/>
        </w:r>
      </w:hyperlink>
    </w:p>
    <w:p w14:paraId="14EF679F" w14:textId="37D16CC0" w:rsidR="002E2A73" w:rsidRPr="002E2A73" w:rsidRDefault="002E2A73">
      <w:pPr>
        <w:pStyle w:val="TOC5"/>
        <w:rPr>
          <w:rFonts w:eastAsiaTheme="minorEastAsia"/>
          <w:kern w:val="2"/>
          <w:sz w:val="18"/>
          <w:szCs w:val="18"/>
          <w14:ligatures w14:val="standardContextual"/>
        </w:rPr>
      </w:pPr>
      <w:hyperlink w:anchor="_Toc207348454" w:history="1">
        <w:r w:rsidRPr="002E2A73">
          <w:rPr>
            <w:rStyle w:val="Hyperlink"/>
            <w:sz w:val="18"/>
            <w:szCs w:val="18"/>
          </w:rPr>
          <w:t>Figure 12. Percentage of students passing at least one any AP exam by school year by support type</w:t>
        </w:r>
        <w:r w:rsidRPr="002E2A73">
          <w:rPr>
            <w:webHidden/>
            <w:sz w:val="18"/>
            <w:szCs w:val="18"/>
          </w:rPr>
          <w:tab/>
        </w:r>
        <w:r w:rsidRPr="002E2A73">
          <w:rPr>
            <w:webHidden/>
            <w:sz w:val="18"/>
            <w:szCs w:val="18"/>
          </w:rPr>
          <w:fldChar w:fldCharType="begin"/>
        </w:r>
        <w:r w:rsidRPr="002E2A73">
          <w:rPr>
            <w:webHidden/>
            <w:sz w:val="18"/>
            <w:szCs w:val="18"/>
          </w:rPr>
          <w:instrText xml:space="preserve"> PAGEREF _Toc207348454 \h </w:instrText>
        </w:r>
        <w:r w:rsidRPr="002E2A73">
          <w:rPr>
            <w:webHidden/>
            <w:sz w:val="18"/>
            <w:szCs w:val="18"/>
          </w:rPr>
        </w:r>
        <w:r w:rsidRPr="002E2A73">
          <w:rPr>
            <w:webHidden/>
            <w:sz w:val="18"/>
            <w:szCs w:val="18"/>
          </w:rPr>
          <w:fldChar w:fldCharType="separate"/>
        </w:r>
        <w:r w:rsidR="007B49DA">
          <w:rPr>
            <w:webHidden/>
            <w:sz w:val="18"/>
            <w:szCs w:val="18"/>
          </w:rPr>
          <w:t>39</w:t>
        </w:r>
        <w:r w:rsidRPr="002E2A73">
          <w:rPr>
            <w:webHidden/>
            <w:sz w:val="18"/>
            <w:szCs w:val="18"/>
          </w:rPr>
          <w:fldChar w:fldCharType="end"/>
        </w:r>
      </w:hyperlink>
    </w:p>
    <w:p w14:paraId="3F6709B1" w14:textId="206B9216" w:rsidR="002E2A73" w:rsidRPr="002E2A73" w:rsidRDefault="002E2A73">
      <w:pPr>
        <w:pStyle w:val="TOC5"/>
        <w:rPr>
          <w:rFonts w:eastAsiaTheme="minorEastAsia"/>
          <w:kern w:val="2"/>
          <w:sz w:val="18"/>
          <w:szCs w:val="18"/>
          <w14:ligatures w14:val="standardContextual"/>
        </w:rPr>
      </w:pPr>
      <w:hyperlink w:anchor="_Toc207348455" w:history="1">
        <w:r w:rsidRPr="002E2A73">
          <w:rPr>
            <w:rStyle w:val="Hyperlink"/>
            <w:sz w:val="18"/>
            <w:szCs w:val="18"/>
          </w:rPr>
          <w:t>Figure 13. Percentage of students passing at least one AP course by race/ethnicity, SY2023</w:t>
        </w:r>
        <w:r w:rsidRPr="002E2A73">
          <w:rPr>
            <w:webHidden/>
            <w:sz w:val="18"/>
            <w:szCs w:val="18"/>
          </w:rPr>
          <w:tab/>
        </w:r>
        <w:r w:rsidRPr="002E2A73">
          <w:rPr>
            <w:webHidden/>
            <w:sz w:val="18"/>
            <w:szCs w:val="18"/>
          </w:rPr>
          <w:fldChar w:fldCharType="begin"/>
        </w:r>
        <w:r w:rsidRPr="002E2A73">
          <w:rPr>
            <w:webHidden/>
            <w:sz w:val="18"/>
            <w:szCs w:val="18"/>
          </w:rPr>
          <w:instrText xml:space="preserve"> PAGEREF _Toc207348455 \h </w:instrText>
        </w:r>
        <w:r w:rsidRPr="002E2A73">
          <w:rPr>
            <w:webHidden/>
            <w:sz w:val="18"/>
            <w:szCs w:val="18"/>
          </w:rPr>
        </w:r>
        <w:r w:rsidRPr="002E2A73">
          <w:rPr>
            <w:webHidden/>
            <w:sz w:val="18"/>
            <w:szCs w:val="18"/>
          </w:rPr>
          <w:fldChar w:fldCharType="separate"/>
        </w:r>
        <w:r w:rsidR="007B49DA">
          <w:rPr>
            <w:webHidden/>
            <w:sz w:val="18"/>
            <w:szCs w:val="18"/>
          </w:rPr>
          <w:t>41</w:t>
        </w:r>
        <w:r w:rsidRPr="002E2A73">
          <w:rPr>
            <w:webHidden/>
            <w:sz w:val="18"/>
            <w:szCs w:val="18"/>
          </w:rPr>
          <w:fldChar w:fldCharType="end"/>
        </w:r>
      </w:hyperlink>
    </w:p>
    <w:p w14:paraId="6EEB975A" w14:textId="47BD95EE" w:rsidR="002E2A73" w:rsidRPr="002E2A73" w:rsidRDefault="002E2A73">
      <w:pPr>
        <w:pStyle w:val="TOC5"/>
        <w:rPr>
          <w:rFonts w:eastAsiaTheme="minorEastAsia"/>
          <w:kern w:val="2"/>
          <w:sz w:val="18"/>
          <w:szCs w:val="18"/>
          <w14:ligatures w14:val="standardContextual"/>
        </w:rPr>
      </w:pPr>
      <w:hyperlink w:anchor="_Toc207348456" w:history="1">
        <w:r w:rsidRPr="002E2A73">
          <w:rPr>
            <w:rStyle w:val="Hyperlink"/>
            <w:sz w:val="18"/>
            <w:szCs w:val="18"/>
          </w:rPr>
          <w:t>Figure 14. Percentage of students passing at least one AP course by race/ethnicity, SY2024</w:t>
        </w:r>
        <w:r w:rsidRPr="002E2A73">
          <w:rPr>
            <w:webHidden/>
            <w:sz w:val="18"/>
            <w:szCs w:val="18"/>
          </w:rPr>
          <w:tab/>
        </w:r>
        <w:r w:rsidRPr="002E2A73">
          <w:rPr>
            <w:webHidden/>
            <w:sz w:val="18"/>
            <w:szCs w:val="18"/>
          </w:rPr>
          <w:fldChar w:fldCharType="begin"/>
        </w:r>
        <w:r w:rsidRPr="002E2A73">
          <w:rPr>
            <w:webHidden/>
            <w:sz w:val="18"/>
            <w:szCs w:val="18"/>
          </w:rPr>
          <w:instrText xml:space="preserve"> PAGEREF _Toc207348456 \h </w:instrText>
        </w:r>
        <w:r w:rsidRPr="002E2A73">
          <w:rPr>
            <w:webHidden/>
            <w:sz w:val="18"/>
            <w:szCs w:val="18"/>
          </w:rPr>
        </w:r>
        <w:r w:rsidRPr="002E2A73">
          <w:rPr>
            <w:webHidden/>
            <w:sz w:val="18"/>
            <w:szCs w:val="18"/>
          </w:rPr>
          <w:fldChar w:fldCharType="separate"/>
        </w:r>
        <w:r w:rsidR="007B49DA">
          <w:rPr>
            <w:webHidden/>
            <w:sz w:val="18"/>
            <w:szCs w:val="18"/>
          </w:rPr>
          <w:t>41</w:t>
        </w:r>
        <w:r w:rsidRPr="002E2A73">
          <w:rPr>
            <w:webHidden/>
            <w:sz w:val="18"/>
            <w:szCs w:val="18"/>
          </w:rPr>
          <w:fldChar w:fldCharType="end"/>
        </w:r>
      </w:hyperlink>
    </w:p>
    <w:p w14:paraId="5F1A3F8B" w14:textId="07E82FF4" w:rsidR="002E2A73" w:rsidRPr="002E2A73" w:rsidRDefault="002E2A73">
      <w:pPr>
        <w:pStyle w:val="TOC5"/>
        <w:rPr>
          <w:rFonts w:eastAsiaTheme="minorEastAsia"/>
          <w:kern w:val="2"/>
          <w:sz w:val="18"/>
          <w:szCs w:val="18"/>
          <w14:ligatures w14:val="standardContextual"/>
        </w:rPr>
      </w:pPr>
      <w:hyperlink w:anchor="_Toc207348457" w:history="1">
        <w:r w:rsidRPr="002E2A73">
          <w:rPr>
            <w:rStyle w:val="Hyperlink"/>
            <w:sz w:val="18"/>
            <w:szCs w:val="18"/>
          </w:rPr>
          <w:t>Figure 15. Percentage of students passing at least one of any AP course by demographic group, SY2023</w:t>
        </w:r>
        <w:r w:rsidRPr="002E2A73">
          <w:rPr>
            <w:webHidden/>
            <w:sz w:val="18"/>
            <w:szCs w:val="18"/>
          </w:rPr>
          <w:tab/>
        </w:r>
        <w:r w:rsidRPr="002E2A73">
          <w:rPr>
            <w:webHidden/>
            <w:sz w:val="18"/>
            <w:szCs w:val="18"/>
          </w:rPr>
          <w:fldChar w:fldCharType="begin"/>
        </w:r>
        <w:r w:rsidRPr="002E2A73">
          <w:rPr>
            <w:webHidden/>
            <w:sz w:val="18"/>
            <w:szCs w:val="18"/>
          </w:rPr>
          <w:instrText xml:space="preserve"> PAGEREF _Toc207348457 \h </w:instrText>
        </w:r>
        <w:r w:rsidRPr="002E2A73">
          <w:rPr>
            <w:webHidden/>
            <w:sz w:val="18"/>
            <w:szCs w:val="18"/>
          </w:rPr>
        </w:r>
        <w:r w:rsidRPr="002E2A73">
          <w:rPr>
            <w:webHidden/>
            <w:sz w:val="18"/>
            <w:szCs w:val="18"/>
          </w:rPr>
          <w:fldChar w:fldCharType="separate"/>
        </w:r>
        <w:r w:rsidR="007B49DA">
          <w:rPr>
            <w:webHidden/>
            <w:sz w:val="18"/>
            <w:szCs w:val="18"/>
          </w:rPr>
          <w:t>42</w:t>
        </w:r>
        <w:r w:rsidRPr="002E2A73">
          <w:rPr>
            <w:webHidden/>
            <w:sz w:val="18"/>
            <w:szCs w:val="18"/>
          </w:rPr>
          <w:fldChar w:fldCharType="end"/>
        </w:r>
      </w:hyperlink>
    </w:p>
    <w:p w14:paraId="0D04AE69" w14:textId="379AB0C6" w:rsidR="002E2A73" w:rsidRPr="002E2A73" w:rsidRDefault="002E2A73">
      <w:pPr>
        <w:pStyle w:val="TOC5"/>
        <w:rPr>
          <w:rFonts w:eastAsiaTheme="minorEastAsia"/>
          <w:kern w:val="2"/>
          <w:sz w:val="18"/>
          <w:szCs w:val="18"/>
          <w14:ligatures w14:val="standardContextual"/>
        </w:rPr>
      </w:pPr>
      <w:hyperlink w:anchor="_Toc207348458" w:history="1">
        <w:r w:rsidRPr="002E2A73">
          <w:rPr>
            <w:rStyle w:val="Hyperlink"/>
            <w:sz w:val="18"/>
            <w:szCs w:val="18"/>
          </w:rPr>
          <w:t>Figure 16. Percentage of students passing at least one of any AP course by demographic group, SY2024</w:t>
        </w:r>
        <w:r w:rsidRPr="002E2A73">
          <w:rPr>
            <w:webHidden/>
            <w:sz w:val="18"/>
            <w:szCs w:val="18"/>
          </w:rPr>
          <w:tab/>
        </w:r>
        <w:r w:rsidRPr="002E2A73">
          <w:rPr>
            <w:webHidden/>
            <w:sz w:val="18"/>
            <w:szCs w:val="18"/>
          </w:rPr>
          <w:fldChar w:fldCharType="begin"/>
        </w:r>
        <w:r w:rsidRPr="002E2A73">
          <w:rPr>
            <w:webHidden/>
            <w:sz w:val="18"/>
            <w:szCs w:val="18"/>
          </w:rPr>
          <w:instrText xml:space="preserve"> PAGEREF _Toc207348458 \h </w:instrText>
        </w:r>
        <w:r w:rsidRPr="002E2A73">
          <w:rPr>
            <w:webHidden/>
            <w:sz w:val="18"/>
            <w:szCs w:val="18"/>
          </w:rPr>
        </w:r>
        <w:r w:rsidRPr="002E2A73">
          <w:rPr>
            <w:webHidden/>
            <w:sz w:val="18"/>
            <w:szCs w:val="18"/>
          </w:rPr>
          <w:fldChar w:fldCharType="separate"/>
        </w:r>
        <w:r w:rsidR="007B49DA">
          <w:rPr>
            <w:webHidden/>
            <w:sz w:val="18"/>
            <w:szCs w:val="18"/>
          </w:rPr>
          <w:t>42</w:t>
        </w:r>
        <w:r w:rsidRPr="002E2A73">
          <w:rPr>
            <w:webHidden/>
            <w:sz w:val="18"/>
            <w:szCs w:val="18"/>
          </w:rPr>
          <w:fldChar w:fldCharType="end"/>
        </w:r>
      </w:hyperlink>
    </w:p>
    <w:p w14:paraId="07A3AFBD" w14:textId="1B24EF95" w:rsidR="002E2A73" w:rsidRPr="002E2A73" w:rsidRDefault="002E2A73">
      <w:pPr>
        <w:pStyle w:val="TOC5"/>
        <w:rPr>
          <w:rFonts w:eastAsiaTheme="minorEastAsia"/>
          <w:kern w:val="2"/>
          <w:sz w:val="18"/>
          <w:szCs w:val="18"/>
          <w14:ligatures w14:val="standardContextual"/>
        </w:rPr>
      </w:pPr>
      <w:hyperlink w:anchor="_Toc207348459" w:history="1">
        <w:r w:rsidRPr="002E2A73">
          <w:rPr>
            <w:rStyle w:val="Hyperlink"/>
            <w:sz w:val="18"/>
            <w:szCs w:val="18"/>
          </w:rPr>
          <w:t>Figure 17. Percentage of students taking at least one any AP exam by race/ethnicity, SY2023</w:t>
        </w:r>
        <w:r w:rsidRPr="002E2A73">
          <w:rPr>
            <w:webHidden/>
            <w:sz w:val="18"/>
            <w:szCs w:val="18"/>
          </w:rPr>
          <w:tab/>
        </w:r>
        <w:r w:rsidRPr="002E2A73">
          <w:rPr>
            <w:webHidden/>
            <w:sz w:val="18"/>
            <w:szCs w:val="18"/>
          </w:rPr>
          <w:fldChar w:fldCharType="begin"/>
        </w:r>
        <w:r w:rsidRPr="002E2A73">
          <w:rPr>
            <w:webHidden/>
            <w:sz w:val="18"/>
            <w:szCs w:val="18"/>
          </w:rPr>
          <w:instrText xml:space="preserve"> PAGEREF _Toc207348459 \h </w:instrText>
        </w:r>
        <w:r w:rsidRPr="002E2A73">
          <w:rPr>
            <w:webHidden/>
            <w:sz w:val="18"/>
            <w:szCs w:val="18"/>
          </w:rPr>
        </w:r>
        <w:r w:rsidRPr="002E2A73">
          <w:rPr>
            <w:webHidden/>
            <w:sz w:val="18"/>
            <w:szCs w:val="18"/>
          </w:rPr>
          <w:fldChar w:fldCharType="separate"/>
        </w:r>
        <w:r w:rsidR="007B49DA">
          <w:rPr>
            <w:webHidden/>
            <w:sz w:val="18"/>
            <w:szCs w:val="18"/>
          </w:rPr>
          <w:t>43</w:t>
        </w:r>
        <w:r w:rsidRPr="002E2A73">
          <w:rPr>
            <w:webHidden/>
            <w:sz w:val="18"/>
            <w:szCs w:val="18"/>
          </w:rPr>
          <w:fldChar w:fldCharType="end"/>
        </w:r>
      </w:hyperlink>
    </w:p>
    <w:p w14:paraId="2D99A4FA" w14:textId="263EB6F8" w:rsidR="002E2A73" w:rsidRPr="002E2A73" w:rsidRDefault="002E2A73">
      <w:pPr>
        <w:pStyle w:val="TOC5"/>
        <w:rPr>
          <w:rFonts w:eastAsiaTheme="minorEastAsia"/>
          <w:kern w:val="2"/>
          <w:sz w:val="18"/>
          <w:szCs w:val="18"/>
          <w14:ligatures w14:val="standardContextual"/>
        </w:rPr>
      </w:pPr>
      <w:hyperlink w:anchor="_Toc207348460" w:history="1">
        <w:r w:rsidRPr="002E2A73">
          <w:rPr>
            <w:rStyle w:val="Hyperlink"/>
            <w:sz w:val="18"/>
            <w:szCs w:val="18"/>
          </w:rPr>
          <w:t>Figure 18. Percentage of students taking at least one any AP exam by race/ethnicity, SY2024</w:t>
        </w:r>
        <w:r w:rsidRPr="002E2A73">
          <w:rPr>
            <w:webHidden/>
            <w:sz w:val="18"/>
            <w:szCs w:val="18"/>
          </w:rPr>
          <w:tab/>
        </w:r>
        <w:r w:rsidRPr="002E2A73">
          <w:rPr>
            <w:webHidden/>
            <w:sz w:val="18"/>
            <w:szCs w:val="18"/>
          </w:rPr>
          <w:fldChar w:fldCharType="begin"/>
        </w:r>
        <w:r w:rsidRPr="002E2A73">
          <w:rPr>
            <w:webHidden/>
            <w:sz w:val="18"/>
            <w:szCs w:val="18"/>
          </w:rPr>
          <w:instrText xml:space="preserve"> PAGEREF _Toc207348460 \h </w:instrText>
        </w:r>
        <w:r w:rsidRPr="002E2A73">
          <w:rPr>
            <w:webHidden/>
            <w:sz w:val="18"/>
            <w:szCs w:val="18"/>
          </w:rPr>
        </w:r>
        <w:r w:rsidRPr="002E2A73">
          <w:rPr>
            <w:webHidden/>
            <w:sz w:val="18"/>
            <w:szCs w:val="18"/>
          </w:rPr>
          <w:fldChar w:fldCharType="separate"/>
        </w:r>
        <w:r w:rsidR="007B49DA">
          <w:rPr>
            <w:webHidden/>
            <w:sz w:val="18"/>
            <w:szCs w:val="18"/>
          </w:rPr>
          <w:t>43</w:t>
        </w:r>
        <w:r w:rsidRPr="002E2A73">
          <w:rPr>
            <w:webHidden/>
            <w:sz w:val="18"/>
            <w:szCs w:val="18"/>
          </w:rPr>
          <w:fldChar w:fldCharType="end"/>
        </w:r>
      </w:hyperlink>
    </w:p>
    <w:p w14:paraId="7A5AD0F3" w14:textId="17A39D45" w:rsidR="002E2A73" w:rsidRPr="002E2A73" w:rsidRDefault="002E2A73">
      <w:pPr>
        <w:pStyle w:val="TOC5"/>
        <w:rPr>
          <w:rFonts w:eastAsiaTheme="minorEastAsia"/>
          <w:kern w:val="2"/>
          <w:sz w:val="18"/>
          <w:szCs w:val="18"/>
          <w14:ligatures w14:val="standardContextual"/>
        </w:rPr>
      </w:pPr>
      <w:hyperlink w:anchor="_Toc207348461" w:history="1">
        <w:r w:rsidRPr="002E2A73">
          <w:rPr>
            <w:rStyle w:val="Hyperlink"/>
            <w:sz w:val="18"/>
            <w:szCs w:val="18"/>
          </w:rPr>
          <w:t>Figure 19. Percentage of students taking at least one AP exam by demographic group, SY2023</w:t>
        </w:r>
        <w:r w:rsidRPr="002E2A73">
          <w:rPr>
            <w:webHidden/>
            <w:sz w:val="18"/>
            <w:szCs w:val="18"/>
          </w:rPr>
          <w:tab/>
        </w:r>
        <w:r w:rsidRPr="002E2A73">
          <w:rPr>
            <w:webHidden/>
            <w:sz w:val="18"/>
            <w:szCs w:val="18"/>
          </w:rPr>
          <w:fldChar w:fldCharType="begin"/>
        </w:r>
        <w:r w:rsidRPr="002E2A73">
          <w:rPr>
            <w:webHidden/>
            <w:sz w:val="18"/>
            <w:szCs w:val="18"/>
          </w:rPr>
          <w:instrText xml:space="preserve"> PAGEREF _Toc207348461 \h </w:instrText>
        </w:r>
        <w:r w:rsidRPr="002E2A73">
          <w:rPr>
            <w:webHidden/>
            <w:sz w:val="18"/>
            <w:szCs w:val="18"/>
          </w:rPr>
        </w:r>
        <w:r w:rsidRPr="002E2A73">
          <w:rPr>
            <w:webHidden/>
            <w:sz w:val="18"/>
            <w:szCs w:val="18"/>
          </w:rPr>
          <w:fldChar w:fldCharType="separate"/>
        </w:r>
        <w:r w:rsidR="007B49DA">
          <w:rPr>
            <w:webHidden/>
            <w:sz w:val="18"/>
            <w:szCs w:val="18"/>
          </w:rPr>
          <w:t>44</w:t>
        </w:r>
        <w:r w:rsidRPr="002E2A73">
          <w:rPr>
            <w:webHidden/>
            <w:sz w:val="18"/>
            <w:szCs w:val="18"/>
          </w:rPr>
          <w:fldChar w:fldCharType="end"/>
        </w:r>
      </w:hyperlink>
    </w:p>
    <w:p w14:paraId="090EFB15" w14:textId="7FC776C0" w:rsidR="002E2A73" w:rsidRPr="002E2A73" w:rsidRDefault="002E2A73">
      <w:pPr>
        <w:pStyle w:val="TOC5"/>
        <w:rPr>
          <w:rFonts w:eastAsiaTheme="minorEastAsia"/>
          <w:kern w:val="2"/>
          <w:sz w:val="18"/>
          <w:szCs w:val="18"/>
          <w14:ligatures w14:val="standardContextual"/>
        </w:rPr>
      </w:pPr>
      <w:hyperlink w:anchor="_Toc207348462" w:history="1">
        <w:r w:rsidRPr="002E2A73">
          <w:rPr>
            <w:rStyle w:val="Hyperlink"/>
            <w:sz w:val="18"/>
            <w:szCs w:val="18"/>
          </w:rPr>
          <w:t>Figure 20. Percentage of students taking at least one AP exam by demographic group, SY2024</w:t>
        </w:r>
        <w:r w:rsidRPr="002E2A73">
          <w:rPr>
            <w:webHidden/>
            <w:sz w:val="18"/>
            <w:szCs w:val="18"/>
          </w:rPr>
          <w:tab/>
        </w:r>
        <w:r w:rsidRPr="002E2A73">
          <w:rPr>
            <w:webHidden/>
            <w:sz w:val="18"/>
            <w:szCs w:val="18"/>
          </w:rPr>
          <w:fldChar w:fldCharType="begin"/>
        </w:r>
        <w:r w:rsidRPr="002E2A73">
          <w:rPr>
            <w:webHidden/>
            <w:sz w:val="18"/>
            <w:szCs w:val="18"/>
          </w:rPr>
          <w:instrText xml:space="preserve"> PAGEREF _Toc207348462 \h </w:instrText>
        </w:r>
        <w:r w:rsidRPr="002E2A73">
          <w:rPr>
            <w:webHidden/>
            <w:sz w:val="18"/>
            <w:szCs w:val="18"/>
          </w:rPr>
        </w:r>
        <w:r w:rsidRPr="002E2A73">
          <w:rPr>
            <w:webHidden/>
            <w:sz w:val="18"/>
            <w:szCs w:val="18"/>
          </w:rPr>
          <w:fldChar w:fldCharType="separate"/>
        </w:r>
        <w:r w:rsidR="007B49DA">
          <w:rPr>
            <w:webHidden/>
            <w:sz w:val="18"/>
            <w:szCs w:val="18"/>
          </w:rPr>
          <w:t>44</w:t>
        </w:r>
        <w:r w:rsidRPr="002E2A73">
          <w:rPr>
            <w:webHidden/>
            <w:sz w:val="18"/>
            <w:szCs w:val="18"/>
          </w:rPr>
          <w:fldChar w:fldCharType="end"/>
        </w:r>
      </w:hyperlink>
    </w:p>
    <w:p w14:paraId="1EC31166" w14:textId="3C751801" w:rsidR="002E2A73" w:rsidRPr="002E2A73" w:rsidRDefault="002E2A73">
      <w:pPr>
        <w:pStyle w:val="TOC5"/>
        <w:rPr>
          <w:rFonts w:eastAsiaTheme="minorEastAsia"/>
          <w:kern w:val="2"/>
          <w:sz w:val="18"/>
          <w:szCs w:val="18"/>
          <w14:ligatures w14:val="standardContextual"/>
        </w:rPr>
      </w:pPr>
      <w:hyperlink w:anchor="_Toc207348463" w:history="1">
        <w:r w:rsidRPr="002E2A73">
          <w:rPr>
            <w:rStyle w:val="Hyperlink"/>
            <w:sz w:val="18"/>
            <w:szCs w:val="18"/>
          </w:rPr>
          <w:t>Figure 23. Percentage of students passing at least one of any AP exam by race/ethnicity, SY2023</w:t>
        </w:r>
        <w:r w:rsidRPr="002E2A73">
          <w:rPr>
            <w:webHidden/>
            <w:sz w:val="18"/>
            <w:szCs w:val="18"/>
          </w:rPr>
          <w:tab/>
        </w:r>
        <w:r w:rsidRPr="002E2A73">
          <w:rPr>
            <w:webHidden/>
            <w:sz w:val="18"/>
            <w:szCs w:val="18"/>
          </w:rPr>
          <w:fldChar w:fldCharType="begin"/>
        </w:r>
        <w:r w:rsidRPr="002E2A73">
          <w:rPr>
            <w:webHidden/>
            <w:sz w:val="18"/>
            <w:szCs w:val="18"/>
          </w:rPr>
          <w:instrText xml:space="preserve"> PAGEREF _Toc207348463 \h </w:instrText>
        </w:r>
        <w:r w:rsidRPr="002E2A73">
          <w:rPr>
            <w:webHidden/>
            <w:sz w:val="18"/>
            <w:szCs w:val="18"/>
          </w:rPr>
        </w:r>
        <w:r w:rsidRPr="002E2A73">
          <w:rPr>
            <w:webHidden/>
            <w:sz w:val="18"/>
            <w:szCs w:val="18"/>
          </w:rPr>
          <w:fldChar w:fldCharType="separate"/>
        </w:r>
        <w:r w:rsidR="007B49DA">
          <w:rPr>
            <w:webHidden/>
            <w:sz w:val="18"/>
            <w:szCs w:val="18"/>
          </w:rPr>
          <w:t>45</w:t>
        </w:r>
        <w:r w:rsidRPr="002E2A73">
          <w:rPr>
            <w:webHidden/>
            <w:sz w:val="18"/>
            <w:szCs w:val="18"/>
          </w:rPr>
          <w:fldChar w:fldCharType="end"/>
        </w:r>
      </w:hyperlink>
    </w:p>
    <w:p w14:paraId="3C7F3572" w14:textId="1981C50F" w:rsidR="002E2A73" w:rsidRPr="002E2A73" w:rsidRDefault="002E2A73">
      <w:pPr>
        <w:pStyle w:val="TOC5"/>
        <w:rPr>
          <w:rFonts w:eastAsiaTheme="minorEastAsia"/>
          <w:kern w:val="2"/>
          <w:sz w:val="18"/>
          <w:szCs w:val="18"/>
          <w14:ligatures w14:val="standardContextual"/>
        </w:rPr>
      </w:pPr>
      <w:hyperlink w:anchor="_Toc207348464" w:history="1">
        <w:r w:rsidRPr="002E2A73">
          <w:rPr>
            <w:rStyle w:val="Hyperlink"/>
            <w:sz w:val="18"/>
            <w:szCs w:val="18"/>
          </w:rPr>
          <w:t>Figure 24. Percentage of students passing at least one of any AP exam by race/ethnicity, SY2024</w:t>
        </w:r>
        <w:r w:rsidRPr="002E2A73">
          <w:rPr>
            <w:webHidden/>
            <w:sz w:val="18"/>
            <w:szCs w:val="18"/>
          </w:rPr>
          <w:tab/>
        </w:r>
        <w:r w:rsidRPr="002E2A73">
          <w:rPr>
            <w:webHidden/>
            <w:sz w:val="18"/>
            <w:szCs w:val="18"/>
          </w:rPr>
          <w:fldChar w:fldCharType="begin"/>
        </w:r>
        <w:r w:rsidRPr="002E2A73">
          <w:rPr>
            <w:webHidden/>
            <w:sz w:val="18"/>
            <w:szCs w:val="18"/>
          </w:rPr>
          <w:instrText xml:space="preserve"> PAGEREF _Toc207348464 \h </w:instrText>
        </w:r>
        <w:r w:rsidRPr="002E2A73">
          <w:rPr>
            <w:webHidden/>
            <w:sz w:val="18"/>
            <w:szCs w:val="18"/>
          </w:rPr>
        </w:r>
        <w:r w:rsidRPr="002E2A73">
          <w:rPr>
            <w:webHidden/>
            <w:sz w:val="18"/>
            <w:szCs w:val="18"/>
          </w:rPr>
          <w:fldChar w:fldCharType="separate"/>
        </w:r>
        <w:r w:rsidR="007B49DA">
          <w:rPr>
            <w:webHidden/>
            <w:sz w:val="18"/>
            <w:szCs w:val="18"/>
          </w:rPr>
          <w:t>45</w:t>
        </w:r>
        <w:r w:rsidRPr="002E2A73">
          <w:rPr>
            <w:webHidden/>
            <w:sz w:val="18"/>
            <w:szCs w:val="18"/>
          </w:rPr>
          <w:fldChar w:fldCharType="end"/>
        </w:r>
      </w:hyperlink>
    </w:p>
    <w:p w14:paraId="77322383" w14:textId="02DDE593" w:rsidR="002E2A73" w:rsidRPr="002E2A73" w:rsidRDefault="002E2A73">
      <w:pPr>
        <w:pStyle w:val="TOC5"/>
        <w:rPr>
          <w:rFonts w:eastAsiaTheme="minorEastAsia"/>
          <w:kern w:val="2"/>
          <w:sz w:val="18"/>
          <w:szCs w:val="18"/>
          <w14:ligatures w14:val="standardContextual"/>
        </w:rPr>
      </w:pPr>
      <w:hyperlink w:anchor="_Toc207348465" w:history="1">
        <w:r w:rsidRPr="002E2A73">
          <w:rPr>
            <w:rStyle w:val="Hyperlink"/>
            <w:sz w:val="18"/>
            <w:szCs w:val="18"/>
          </w:rPr>
          <w:t>Figure 21. Percentage of students passing at least one of any AP exam by demographic group, SY2023</w:t>
        </w:r>
        <w:r w:rsidRPr="002E2A73">
          <w:rPr>
            <w:webHidden/>
            <w:sz w:val="18"/>
            <w:szCs w:val="18"/>
          </w:rPr>
          <w:tab/>
        </w:r>
        <w:r w:rsidRPr="002E2A73">
          <w:rPr>
            <w:webHidden/>
            <w:sz w:val="18"/>
            <w:szCs w:val="18"/>
          </w:rPr>
          <w:fldChar w:fldCharType="begin"/>
        </w:r>
        <w:r w:rsidRPr="002E2A73">
          <w:rPr>
            <w:webHidden/>
            <w:sz w:val="18"/>
            <w:szCs w:val="18"/>
          </w:rPr>
          <w:instrText xml:space="preserve"> PAGEREF _Toc207348465 \h </w:instrText>
        </w:r>
        <w:r w:rsidRPr="002E2A73">
          <w:rPr>
            <w:webHidden/>
            <w:sz w:val="18"/>
            <w:szCs w:val="18"/>
          </w:rPr>
        </w:r>
        <w:r w:rsidRPr="002E2A73">
          <w:rPr>
            <w:webHidden/>
            <w:sz w:val="18"/>
            <w:szCs w:val="18"/>
          </w:rPr>
          <w:fldChar w:fldCharType="separate"/>
        </w:r>
        <w:r w:rsidR="007B49DA">
          <w:rPr>
            <w:webHidden/>
            <w:sz w:val="18"/>
            <w:szCs w:val="18"/>
          </w:rPr>
          <w:t>46</w:t>
        </w:r>
        <w:r w:rsidRPr="002E2A73">
          <w:rPr>
            <w:webHidden/>
            <w:sz w:val="18"/>
            <w:szCs w:val="18"/>
          </w:rPr>
          <w:fldChar w:fldCharType="end"/>
        </w:r>
      </w:hyperlink>
    </w:p>
    <w:p w14:paraId="59895545" w14:textId="582C2ED4" w:rsidR="002E2A73" w:rsidRPr="002E2A73" w:rsidRDefault="002E2A73">
      <w:pPr>
        <w:pStyle w:val="TOC5"/>
        <w:rPr>
          <w:rFonts w:eastAsiaTheme="minorEastAsia"/>
          <w:kern w:val="2"/>
          <w:sz w:val="18"/>
          <w:szCs w:val="18"/>
          <w14:ligatures w14:val="standardContextual"/>
        </w:rPr>
      </w:pPr>
      <w:hyperlink w:anchor="_Toc207348466" w:history="1">
        <w:r w:rsidRPr="002E2A73">
          <w:rPr>
            <w:rStyle w:val="Hyperlink"/>
            <w:sz w:val="18"/>
            <w:szCs w:val="18"/>
          </w:rPr>
          <w:t>Figure 22. Percentage of students passing at least one of any AP exam by demographic group, SY2024</w:t>
        </w:r>
        <w:r w:rsidRPr="002E2A73">
          <w:rPr>
            <w:webHidden/>
            <w:sz w:val="18"/>
            <w:szCs w:val="18"/>
          </w:rPr>
          <w:tab/>
        </w:r>
        <w:r w:rsidRPr="002E2A73">
          <w:rPr>
            <w:webHidden/>
            <w:sz w:val="18"/>
            <w:szCs w:val="18"/>
          </w:rPr>
          <w:fldChar w:fldCharType="begin"/>
        </w:r>
        <w:r w:rsidRPr="002E2A73">
          <w:rPr>
            <w:webHidden/>
            <w:sz w:val="18"/>
            <w:szCs w:val="18"/>
          </w:rPr>
          <w:instrText xml:space="preserve"> PAGEREF _Toc207348466 \h </w:instrText>
        </w:r>
        <w:r w:rsidRPr="002E2A73">
          <w:rPr>
            <w:webHidden/>
            <w:sz w:val="18"/>
            <w:szCs w:val="18"/>
          </w:rPr>
        </w:r>
        <w:r w:rsidRPr="002E2A73">
          <w:rPr>
            <w:webHidden/>
            <w:sz w:val="18"/>
            <w:szCs w:val="18"/>
          </w:rPr>
          <w:fldChar w:fldCharType="separate"/>
        </w:r>
        <w:r w:rsidR="007B49DA">
          <w:rPr>
            <w:webHidden/>
            <w:sz w:val="18"/>
            <w:szCs w:val="18"/>
          </w:rPr>
          <w:t>46</w:t>
        </w:r>
        <w:r w:rsidRPr="002E2A73">
          <w:rPr>
            <w:webHidden/>
            <w:sz w:val="18"/>
            <w:szCs w:val="18"/>
          </w:rPr>
          <w:fldChar w:fldCharType="end"/>
        </w:r>
      </w:hyperlink>
    </w:p>
    <w:p w14:paraId="04991B80" w14:textId="684CEA25" w:rsidR="002E2A73" w:rsidRPr="002E2A73" w:rsidRDefault="002E2A73">
      <w:pPr>
        <w:pStyle w:val="TOC5"/>
        <w:rPr>
          <w:rFonts w:eastAsiaTheme="minorEastAsia"/>
          <w:kern w:val="2"/>
          <w:sz w:val="18"/>
          <w:szCs w:val="18"/>
          <w14:ligatures w14:val="standardContextual"/>
        </w:rPr>
      </w:pPr>
      <w:hyperlink w:anchor="_Toc207348467" w:history="1">
        <w:r w:rsidRPr="002E2A73">
          <w:rPr>
            <w:rStyle w:val="Hyperlink"/>
            <w:sz w:val="18"/>
            <w:szCs w:val="18"/>
          </w:rPr>
          <w:t>Figure 25. APSI teacher progression of preparedness</w:t>
        </w:r>
        <w:r w:rsidRPr="002E2A73">
          <w:rPr>
            <w:webHidden/>
            <w:sz w:val="18"/>
            <w:szCs w:val="18"/>
          </w:rPr>
          <w:tab/>
        </w:r>
        <w:r w:rsidRPr="002E2A73">
          <w:rPr>
            <w:webHidden/>
            <w:sz w:val="18"/>
            <w:szCs w:val="18"/>
          </w:rPr>
          <w:fldChar w:fldCharType="begin"/>
        </w:r>
        <w:r w:rsidRPr="002E2A73">
          <w:rPr>
            <w:webHidden/>
            <w:sz w:val="18"/>
            <w:szCs w:val="18"/>
          </w:rPr>
          <w:instrText xml:space="preserve"> PAGEREF _Toc207348467 \h </w:instrText>
        </w:r>
        <w:r w:rsidRPr="002E2A73">
          <w:rPr>
            <w:webHidden/>
            <w:sz w:val="18"/>
            <w:szCs w:val="18"/>
          </w:rPr>
        </w:r>
        <w:r w:rsidRPr="002E2A73">
          <w:rPr>
            <w:webHidden/>
            <w:sz w:val="18"/>
            <w:szCs w:val="18"/>
          </w:rPr>
          <w:fldChar w:fldCharType="separate"/>
        </w:r>
        <w:r w:rsidR="007B49DA">
          <w:rPr>
            <w:webHidden/>
            <w:sz w:val="18"/>
            <w:szCs w:val="18"/>
          </w:rPr>
          <w:t>49</w:t>
        </w:r>
        <w:r w:rsidRPr="002E2A73">
          <w:rPr>
            <w:webHidden/>
            <w:sz w:val="18"/>
            <w:szCs w:val="18"/>
          </w:rPr>
          <w:fldChar w:fldCharType="end"/>
        </w:r>
      </w:hyperlink>
    </w:p>
    <w:p w14:paraId="00C0B267" w14:textId="405A74C4" w:rsidR="002E2A73" w:rsidRPr="002E2A73" w:rsidRDefault="002E2A73">
      <w:pPr>
        <w:pStyle w:val="TOC5"/>
        <w:rPr>
          <w:rFonts w:eastAsiaTheme="minorEastAsia"/>
          <w:kern w:val="2"/>
          <w:sz w:val="18"/>
          <w:szCs w:val="18"/>
          <w14:ligatures w14:val="standardContextual"/>
        </w:rPr>
      </w:pPr>
      <w:hyperlink w:anchor="_Toc207348468" w:history="1">
        <w:r w:rsidRPr="002E2A73">
          <w:rPr>
            <w:rStyle w:val="Hyperlink"/>
            <w:sz w:val="18"/>
            <w:szCs w:val="18"/>
          </w:rPr>
          <w:t>Figure 26. Distribution of responses to survey prompt, “Please indicate the extent to which you agree with the following statement concerning each of the listed resources: Exposure to this resource during the APSI increased my preparedness to teach an AP level course”</w:t>
        </w:r>
        <w:r w:rsidRPr="002E2A73">
          <w:rPr>
            <w:webHidden/>
            <w:sz w:val="18"/>
            <w:szCs w:val="18"/>
          </w:rPr>
          <w:tab/>
        </w:r>
        <w:r w:rsidRPr="002E2A73">
          <w:rPr>
            <w:webHidden/>
            <w:sz w:val="18"/>
            <w:szCs w:val="18"/>
          </w:rPr>
          <w:fldChar w:fldCharType="begin"/>
        </w:r>
        <w:r w:rsidRPr="002E2A73">
          <w:rPr>
            <w:webHidden/>
            <w:sz w:val="18"/>
            <w:szCs w:val="18"/>
          </w:rPr>
          <w:instrText xml:space="preserve"> PAGEREF _Toc207348468 \h </w:instrText>
        </w:r>
        <w:r w:rsidRPr="002E2A73">
          <w:rPr>
            <w:webHidden/>
            <w:sz w:val="18"/>
            <w:szCs w:val="18"/>
          </w:rPr>
        </w:r>
        <w:r w:rsidRPr="002E2A73">
          <w:rPr>
            <w:webHidden/>
            <w:sz w:val="18"/>
            <w:szCs w:val="18"/>
          </w:rPr>
          <w:fldChar w:fldCharType="separate"/>
        </w:r>
        <w:r w:rsidR="007B49DA">
          <w:rPr>
            <w:webHidden/>
            <w:sz w:val="18"/>
            <w:szCs w:val="18"/>
          </w:rPr>
          <w:t>50</w:t>
        </w:r>
        <w:r w:rsidRPr="002E2A73">
          <w:rPr>
            <w:webHidden/>
            <w:sz w:val="18"/>
            <w:szCs w:val="18"/>
          </w:rPr>
          <w:fldChar w:fldCharType="end"/>
        </w:r>
      </w:hyperlink>
    </w:p>
    <w:p w14:paraId="7B88D608" w14:textId="32629BD7" w:rsidR="002E2A73" w:rsidRPr="002E2A73" w:rsidRDefault="002E2A73">
      <w:pPr>
        <w:pStyle w:val="TOC5"/>
        <w:rPr>
          <w:rFonts w:eastAsiaTheme="minorEastAsia"/>
          <w:kern w:val="2"/>
          <w:sz w:val="18"/>
          <w:szCs w:val="18"/>
          <w14:ligatures w14:val="standardContextual"/>
        </w:rPr>
      </w:pPr>
      <w:hyperlink w:anchor="_Toc207348469" w:history="1">
        <w:r w:rsidRPr="002E2A73">
          <w:rPr>
            <w:rStyle w:val="Hyperlink"/>
            <w:sz w:val="18"/>
            <w:szCs w:val="18"/>
          </w:rPr>
          <w:t>Figure 27. Responses to survey question, “Please indicate the extent to which you agree with the following statement concerning each of the listed activities: The APSI activity increased my preparedness to teach an AP level course”</w:t>
        </w:r>
        <w:r w:rsidRPr="002E2A73">
          <w:rPr>
            <w:webHidden/>
            <w:sz w:val="18"/>
            <w:szCs w:val="18"/>
          </w:rPr>
          <w:tab/>
        </w:r>
        <w:r w:rsidRPr="002E2A73">
          <w:rPr>
            <w:webHidden/>
            <w:sz w:val="18"/>
            <w:szCs w:val="18"/>
          </w:rPr>
          <w:fldChar w:fldCharType="begin"/>
        </w:r>
        <w:r w:rsidRPr="002E2A73">
          <w:rPr>
            <w:webHidden/>
            <w:sz w:val="18"/>
            <w:szCs w:val="18"/>
          </w:rPr>
          <w:instrText xml:space="preserve"> PAGEREF _Toc207348469 \h </w:instrText>
        </w:r>
        <w:r w:rsidRPr="002E2A73">
          <w:rPr>
            <w:webHidden/>
            <w:sz w:val="18"/>
            <w:szCs w:val="18"/>
          </w:rPr>
        </w:r>
        <w:r w:rsidRPr="002E2A73">
          <w:rPr>
            <w:webHidden/>
            <w:sz w:val="18"/>
            <w:szCs w:val="18"/>
          </w:rPr>
          <w:fldChar w:fldCharType="separate"/>
        </w:r>
        <w:r w:rsidR="007B49DA">
          <w:rPr>
            <w:webHidden/>
            <w:sz w:val="18"/>
            <w:szCs w:val="18"/>
          </w:rPr>
          <w:t>51</w:t>
        </w:r>
        <w:r w:rsidRPr="002E2A73">
          <w:rPr>
            <w:webHidden/>
            <w:sz w:val="18"/>
            <w:szCs w:val="18"/>
          </w:rPr>
          <w:fldChar w:fldCharType="end"/>
        </w:r>
      </w:hyperlink>
    </w:p>
    <w:p w14:paraId="4B87EF16" w14:textId="1F0F64EB" w:rsidR="002E2A73" w:rsidRPr="002E2A73" w:rsidRDefault="002E2A73">
      <w:pPr>
        <w:pStyle w:val="TOC5"/>
        <w:rPr>
          <w:rFonts w:eastAsiaTheme="minorEastAsia"/>
          <w:kern w:val="2"/>
          <w:sz w:val="18"/>
          <w:szCs w:val="18"/>
          <w14:ligatures w14:val="standardContextual"/>
        </w:rPr>
      </w:pPr>
      <w:hyperlink w:anchor="_Toc207348470" w:history="1">
        <w:r w:rsidRPr="002E2A73">
          <w:rPr>
            <w:rStyle w:val="Hyperlink"/>
            <w:sz w:val="18"/>
            <w:szCs w:val="18"/>
          </w:rPr>
          <w:t>Figure 28. Percentage of affirmations to the survey prompt, “Before attending the APSI, I was well prepared to teach my students who are…”</w:t>
        </w:r>
        <w:r w:rsidRPr="002E2A73">
          <w:rPr>
            <w:webHidden/>
            <w:sz w:val="18"/>
            <w:szCs w:val="18"/>
          </w:rPr>
          <w:tab/>
        </w:r>
        <w:r w:rsidRPr="002E2A73">
          <w:rPr>
            <w:webHidden/>
            <w:sz w:val="18"/>
            <w:szCs w:val="18"/>
          </w:rPr>
          <w:fldChar w:fldCharType="begin"/>
        </w:r>
        <w:r w:rsidRPr="002E2A73">
          <w:rPr>
            <w:webHidden/>
            <w:sz w:val="18"/>
            <w:szCs w:val="18"/>
          </w:rPr>
          <w:instrText xml:space="preserve"> PAGEREF _Toc207348470 \h </w:instrText>
        </w:r>
        <w:r w:rsidRPr="002E2A73">
          <w:rPr>
            <w:webHidden/>
            <w:sz w:val="18"/>
            <w:szCs w:val="18"/>
          </w:rPr>
        </w:r>
        <w:r w:rsidRPr="002E2A73">
          <w:rPr>
            <w:webHidden/>
            <w:sz w:val="18"/>
            <w:szCs w:val="18"/>
          </w:rPr>
          <w:fldChar w:fldCharType="separate"/>
        </w:r>
        <w:r w:rsidR="007B49DA">
          <w:rPr>
            <w:webHidden/>
            <w:sz w:val="18"/>
            <w:szCs w:val="18"/>
          </w:rPr>
          <w:t>54</w:t>
        </w:r>
        <w:r w:rsidRPr="002E2A73">
          <w:rPr>
            <w:webHidden/>
            <w:sz w:val="18"/>
            <w:szCs w:val="18"/>
          </w:rPr>
          <w:fldChar w:fldCharType="end"/>
        </w:r>
      </w:hyperlink>
    </w:p>
    <w:p w14:paraId="50C408E5" w14:textId="1506E4CB" w:rsidR="002E2A73" w:rsidRPr="002E2A73" w:rsidRDefault="002E2A73">
      <w:pPr>
        <w:pStyle w:val="TOC5"/>
        <w:rPr>
          <w:rFonts w:eastAsiaTheme="minorEastAsia"/>
          <w:kern w:val="2"/>
          <w:sz w:val="18"/>
          <w:szCs w:val="18"/>
          <w14:ligatures w14:val="standardContextual"/>
        </w:rPr>
      </w:pPr>
      <w:hyperlink w:anchor="_Toc207348472" w:history="1">
        <w:r w:rsidRPr="002E2A73">
          <w:rPr>
            <w:rStyle w:val="Hyperlink"/>
            <w:sz w:val="18"/>
            <w:szCs w:val="18"/>
          </w:rPr>
          <w:t>Figure 29. Responses to survey prompt, “Attending the APSI increased my level of preparedness to teach my students who are…”</w:t>
        </w:r>
        <w:r w:rsidRPr="002E2A73">
          <w:rPr>
            <w:webHidden/>
            <w:sz w:val="18"/>
            <w:szCs w:val="18"/>
          </w:rPr>
          <w:tab/>
        </w:r>
        <w:r w:rsidRPr="002E2A73">
          <w:rPr>
            <w:webHidden/>
            <w:sz w:val="18"/>
            <w:szCs w:val="18"/>
          </w:rPr>
          <w:fldChar w:fldCharType="begin"/>
        </w:r>
        <w:r w:rsidRPr="002E2A73">
          <w:rPr>
            <w:webHidden/>
            <w:sz w:val="18"/>
            <w:szCs w:val="18"/>
          </w:rPr>
          <w:instrText xml:space="preserve"> PAGEREF _Toc207348472 \h </w:instrText>
        </w:r>
        <w:r w:rsidRPr="002E2A73">
          <w:rPr>
            <w:webHidden/>
            <w:sz w:val="18"/>
            <w:szCs w:val="18"/>
          </w:rPr>
        </w:r>
        <w:r w:rsidRPr="002E2A73">
          <w:rPr>
            <w:webHidden/>
            <w:sz w:val="18"/>
            <w:szCs w:val="18"/>
          </w:rPr>
          <w:fldChar w:fldCharType="separate"/>
        </w:r>
        <w:r w:rsidR="007B49DA">
          <w:rPr>
            <w:webHidden/>
            <w:sz w:val="18"/>
            <w:szCs w:val="18"/>
          </w:rPr>
          <w:t>55</w:t>
        </w:r>
        <w:r w:rsidRPr="002E2A73">
          <w:rPr>
            <w:webHidden/>
            <w:sz w:val="18"/>
            <w:szCs w:val="18"/>
          </w:rPr>
          <w:fldChar w:fldCharType="end"/>
        </w:r>
      </w:hyperlink>
    </w:p>
    <w:p w14:paraId="0B960ED7" w14:textId="4A7D5A5E" w:rsidR="002E2A73" w:rsidRPr="002E2A73" w:rsidRDefault="002E2A73">
      <w:pPr>
        <w:pStyle w:val="TOC5"/>
        <w:rPr>
          <w:rFonts w:eastAsiaTheme="minorEastAsia"/>
          <w:kern w:val="2"/>
          <w:sz w:val="18"/>
          <w:szCs w:val="18"/>
          <w14:ligatures w14:val="standardContextual"/>
        </w:rPr>
      </w:pPr>
      <w:hyperlink w:anchor="_Toc207348473" w:history="1">
        <w:r w:rsidRPr="002E2A73">
          <w:rPr>
            <w:rStyle w:val="Hyperlink"/>
            <w:sz w:val="18"/>
            <w:szCs w:val="18"/>
          </w:rPr>
          <w:t>Figure 30. Percentage of affirmations to the survey prompt, “The APSI adequately prepared me to teach my AP students who are...”</w:t>
        </w:r>
        <w:r w:rsidRPr="002E2A73">
          <w:rPr>
            <w:webHidden/>
            <w:sz w:val="18"/>
            <w:szCs w:val="18"/>
          </w:rPr>
          <w:tab/>
        </w:r>
        <w:r w:rsidRPr="002E2A73">
          <w:rPr>
            <w:webHidden/>
            <w:sz w:val="18"/>
            <w:szCs w:val="18"/>
          </w:rPr>
          <w:fldChar w:fldCharType="begin"/>
        </w:r>
        <w:r w:rsidRPr="002E2A73">
          <w:rPr>
            <w:webHidden/>
            <w:sz w:val="18"/>
            <w:szCs w:val="18"/>
          </w:rPr>
          <w:instrText xml:space="preserve"> PAGEREF _Toc207348473 \h </w:instrText>
        </w:r>
        <w:r w:rsidRPr="002E2A73">
          <w:rPr>
            <w:webHidden/>
            <w:sz w:val="18"/>
            <w:szCs w:val="18"/>
          </w:rPr>
        </w:r>
        <w:r w:rsidRPr="002E2A73">
          <w:rPr>
            <w:webHidden/>
            <w:sz w:val="18"/>
            <w:szCs w:val="18"/>
          </w:rPr>
          <w:fldChar w:fldCharType="separate"/>
        </w:r>
        <w:r w:rsidR="007B49DA">
          <w:rPr>
            <w:webHidden/>
            <w:sz w:val="18"/>
            <w:szCs w:val="18"/>
          </w:rPr>
          <w:t>56</w:t>
        </w:r>
        <w:r w:rsidRPr="002E2A73">
          <w:rPr>
            <w:webHidden/>
            <w:sz w:val="18"/>
            <w:szCs w:val="18"/>
          </w:rPr>
          <w:fldChar w:fldCharType="end"/>
        </w:r>
      </w:hyperlink>
    </w:p>
    <w:p w14:paraId="16C3F2D3" w14:textId="47AA48B2" w:rsidR="002E2A73" w:rsidRPr="002E2A73" w:rsidRDefault="002E2A73">
      <w:pPr>
        <w:pStyle w:val="TOC5"/>
        <w:rPr>
          <w:rFonts w:eastAsiaTheme="minorEastAsia"/>
          <w:kern w:val="2"/>
          <w:sz w:val="18"/>
          <w:szCs w:val="18"/>
          <w14:ligatures w14:val="standardContextual"/>
        </w:rPr>
      </w:pPr>
      <w:hyperlink w:anchor="_Toc207348474" w:history="1">
        <w:r w:rsidRPr="002E2A73">
          <w:rPr>
            <w:rStyle w:val="Hyperlink"/>
            <w:sz w:val="18"/>
            <w:szCs w:val="18"/>
          </w:rPr>
          <w:t>Figure 31. Responses to the survey question, “Please indicate the frequency with which you utilize these resources in your AP classroom(s).”</w:t>
        </w:r>
        <w:r w:rsidRPr="002E2A73">
          <w:rPr>
            <w:webHidden/>
            <w:sz w:val="18"/>
            <w:szCs w:val="18"/>
          </w:rPr>
          <w:tab/>
        </w:r>
        <w:r w:rsidRPr="002E2A73">
          <w:rPr>
            <w:webHidden/>
            <w:sz w:val="18"/>
            <w:szCs w:val="18"/>
          </w:rPr>
          <w:fldChar w:fldCharType="begin"/>
        </w:r>
        <w:r w:rsidRPr="002E2A73">
          <w:rPr>
            <w:webHidden/>
            <w:sz w:val="18"/>
            <w:szCs w:val="18"/>
          </w:rPr>
          <w:instrText xml:space="preserve"> PAGEREF _Toc207348474 \h </w:instrText>
        </w:r>
        <w:r w:rsidRPr="002E2A73">
          <w:rPr>
            <w:webHidden/>
            <w:sz w:val="18"/>
            <w:szCs w:val="18"/>
          </w:rPr>
        </w:r>
        <w:r w:rsidRPr="002E2A73">
          <w:rPr>
            <w:webHidden/>
            <w:sz w:val="18"/>
            <w:szCs w:val="18"/>
          </w:rPr>
          <w:fldChar w:fldCharType="separate"/>
        </w:r>
        <w:r w:rsidR="007B49DA">
          <w:rPr>
            <w:webHidden/>
            <w:sz w:val="18"/>
            <w:szCs w:val="18"/>
          </w:rPr>
          <w:t>57</w:t>
        </w:r>
        <w:r w:rsidRPr="002E2A73">
          <w:rPr>
            <w:webHidden/>
            <w:sz w:val="18"/>
            <w:szCs w:val="18"/>
          </w:rPr>
          <w:fldChar w:fldCharType="end"/>
        </w:r>
      </w:hyperlink>
    </w:p>
    <w:p w14:paraId="76473C46" w14:textId="6DD8B0EE" w:rsidR="002E2A73" w:rsidRPr="002E2A73" w:rsidRDefault="002E2A73">
      <w:pPr>
        <w:pStyle w:val="TOC5"/>
        <w:rPr>
          <w:rFonts w:eastAsiaTheme="minorEastAsia"/>
          <w:kern w:val="2"/>
          <w:sz w:val="18"/>
          <w:szCs w:val="18"/>
          <w14:ligatures w14:val="standardContextual"/>
        </w:rPr>
      </w:pPr>
      <w:hyperlink w:anchor="_Toc207348475" w:history="1">
        <w:r w:rsidRPr="002E2A73">
          <w:rPr>
            <w:rStyle w:val="Hyperlink"/>
            <w:sz w:val="18"/>
            <w:szCs w:val="18"/>
          </w:rPr>
          <w:t xml:space="preserve">Figure 32. </w:t>
        </w:r>
        <w:r w:rsidRPr="002E2A73">
          <w:rPr>
            <w:rStyle w:val="Hyperlink"/>
            <w:bCs/>
            <w:sz w:val="18"/>
            <w:szCs w:val="18"/>
          </w:rPr>
          <w:t>Responses to the survey question, “Please indicate the extent to which each APSI activity has been useful in your AP classroom(s).”</w:t>
        </w:r>
        <w:r w:rsidRPr="002E2A73">
          <w:rPr>
            <w:webHidden/>
            <w:sz w:val="18"/>
            <w:szCs w:val="18"/>
          </w:rPr>
          <w:tab/>
        </w:r>
        <w:r w:rsidRPr="002E2A73">
          <w:rPr>
            <w:webHidden/>
            <w:sz w:val="18"/>
            <w:szCs w:val="18"/>
          </w:rPr>
          <w:fldChar w:fldCharType="begin"/>
        </w:r>
        <w:r w:rsidRPr="002E2A73">
          <w:rPr>
            <w:webHidden/>
            <w:sz w:val="18"/>
            <w:szCs w:val="18"/>
          </w:rPr>
          <w:instrText xml:space="preserve"> PAGEREF _Toc207348475 \h </w:instrText>
        </w:r>
        <w:r w:rsidRPr="002E2A73">
          <w:rPr>
            <w:webHidden/>
            <w:sz w:val="18"/>
            <w:szCs w:val="18"/>
          </w:rPr>
        </w:r>
        <w:r w:rsidRPr="002E2A73">
          <w:rPr>
            <w:webHidden/>
            <w:sz w:val="18"/>
            <w:szCs w:val="18"/>
          </w:rPr>
          <w:fldChar w:fldCharType="separate"/>
        </w:r>
        <w:r w:rsidR="007B49DA">
          <w:rPr>
            <w:webHidden/>
            <w:sz w:val="18"/>
            <w:szCs w:val="18"/>
          </w:rPr>
          <w:t>58</w:t>
        </w:r>
        <w:r w:rsidRPr="002E2A73">
          <w:rPr>
            <w:webHidden/>
            <w:sz w:val="18"/>
            <w:szCs w:val="18"/>
          </w:rPr>
          <w:fldChar w:fldCharType="end"/>
        </w:r>
      </w:hyperlink>
    </w:p>
    <w:p w14:paraId="631F0F2B" w14:textId="25E04F67" w:rsidR="00421932" w:rsidRPr="002E2A73" w:rsidRDefault="00480652" w:rsidP="00421932">
      <w:pPr>
        <w:rPr>
          <w:rFonts w:cs="Open Sans"/>
          <w:b/>
          <w:sz w:val="18"/>
          <w:szCs w:val="18"/>
        </w:rPr>
      </w:pPr>
      <w:r w:rsidRPr="002E2A73">
        <w:rPr>
          <w:rFonts w:cs="Open Sans"/>
          <w:b/>
          <w:color w:val="000000" w:themeColor="text1"/>
          <w:sz w:val="18"/>
          <w:szCs w:val="18"/>
        </w:rPr>
        <w:fldChar w:fldCharType="end"/>
      </w:r>
    </w:p>
    <w:p w14:paraId="3995DE3C" w14:textId="77777777" w:rsidR="003D6FE5" w:rsidRPr="007B49DA" w:rsidRDefault="00084551" w:rsidP="007B49DA">
      <w:pPr>
        <w:pStyle w:val="Heading2"/>
      </w:pPr>
      <w:bookmarkStart w:id="10" w:name="_Toc207348142"/>
      <w:r w:rsidRPr="007B49DA">
        <w:lastRenderedPageBreak/>
        <w:t>Acknowledgments</w:t>
      </w:r>
      <w:bookmarkEnd w:id="10"/>
    </w:p>
    <w:p w14:paraId="457B66B5" w14:textId="30746451" w:rsidR="004A4F49" w:rsidRPr="004A4F49" w:rsidRDefault="004A4F49" w:rsidP="004A4F49">
      <w:pPr>
        <w:pStyle w:val="Acknowledgments"/>
      </w:pPr>
      <w:r w:rsidRPr="004A4F49">
        <w:t xml:space="preserve">The UMass Donahue Institute extends its sincere appreciation to those who supported and collaborated with us on this Year 13 report. </w:t>
      </w:r>
      <w:proofErr w:type="gramStart"/>
      <w:r w:rsidRPr="004A4F49">
        <w:t>In particular, we</w:t>
      </w:r>
      <w:proofErr w:type="gramEnd"/>
      <w:r w:rsidRPr="004A4F49">
        <w:t xml:space="preserve"> want to thank teachers who </w:t>
      </w:r>
      <w:r w:rsidRPr="002E32A3">
        <w:rPr>
          <w:rFonts w:cs="Open Sans"/>
        </w:rPr>
        <w:t>participated in data collection activities, staff from the Massachusetts Department of Elementary</w:t>
      </w:r>
      <w:r w:rsidRPr="004A4F49">
        <w:t xml:space="preserve"> and Secondary Education who supported evaluation activities this year, and Mass Insight </w:t>
      </w:r>
      <w:r w:rsidR="00AA38B6">
        <w:t xml:space="preserve">Education and Research </w:t>
      </w:r>
      <w:r w:rsidRPr="004A4F49">
        <w:t>for their collaboration.</w:t>
      </w:r>
    </w:p>
    <w:p w14:paraId="2A200F76" w14:textId="77777777" w:rsidR="004A4F49" w:rsidRPr="00474B81" w:rsidRDefault="004A4F49" w:rsidP="00474B81">
      <w:pPr>
        <w:pStyle w:val="Acknowledgments"/>
      </w:pPr>
    </w:p>
    <w:p w14:paraId="18F6F6DC" w14:textId="77777777" w:rsidR="002A1E89" w:rsidRDefault="002A1E89">
      <w:pPr>
        <w:spacing w:after="160" w:line="259" w:lineRule="auto"/>
        <w:rPr>
          <w:rFonts w:ascii="Open Sans SemiBold" w:eastAsiaTheme="majorEastAsia" w:hAnsi="Open Sans SemiBold" w:cstheme="majorBidi"/>
          <w:color w:val="A32638" w:themeColor="text2"/>
          <w:sz w:val="30"/>
          <w:szCs w:val="32"/>
        </w:rPr>
      </w:pPr>
      <w:r>
        <w:br w:type="page"/>
      </w:r>
    </w:p>
    <w:p w14:paraId="12EC21EA" w14:textId="4D415A0C" w:rsidR="00683AE4" w:rsidRDefault="009B56F0" w:rsidP="007B49DA">
      <w:pPr>
        <w:pStyle w:val="Heading2"/>
      </w:pPr>
      <w:bookmarkStart w:id="11" w:name="_Toc207348143"/>
      <w:r>
        <w:lastRenderedPageBreak/>
        <w:t>Glossary of Terms</w:t>
      </w:r>
      <w:bookmarkEnd w:id="11"/>
    </w:p>
    <w:p w14:paraId="1C4DF816" w14:textId="65BC520C" w:rsidR="00A801E6" w:rsidRDefault="00E7168B" w:rsidP="00EF30D9">
      <w:pPr>
        <w:tabs>
          <w:tab w:val="left" w:pos="1440"/>
          <w:tab w:val="left" w:pos="2160"/>
        </w:tabs>
        <w:spacing w:after="160" w:line="259" w:lineRule="auto"/>
      </w:pPr>
      <w:r>
        <w:t>Throughout this report</w:t>
      </w:r>
      <w:r w:rsidR="00C824E0">
        <w:t xml:space="preserve"> there are </w:t>
      </w:r>
      <w:r w:rsidR="00365FFE">
        <w:t>several student</w:t>
      </w:r>
      <w:r w:rsidR="00C824E0">
        <w:t xml:space="preserve"> populations of interest </w:t>
      </w:r>
      <w:r w:rsidR="00365FFE">
        <w:t xml:space="preserve">that </w:t>
      </w:r>
      <w:r w:rsidR="00C824E0">
        <w:t xml:space="preserve">are referred to </w:t>
      </w:r>
      <w:r w:rsidR="00365FFE">
        <w:t xml:space="preserve">both </w:t>
      </w:r>
      <w:r w:rsidR="00C824E0">
        <w:t xml:space="preserve">in long-form narrative summaries </w:t>
      </w:r>
      <w:r w:rsidR="003D3C16">
        <w:t xml:space="preserve">and </w:t>
      </w:r>
      <w:r w:rsidR="00C824E0">
        <w:t xml:space="preserve">abbreviated in figures and tables. This </w:t>
      </w:r>
      <w:r w:rsidR="008061B5">
        <w:t xml:space="preserve">glossary of terms </w:t>
      </w:r>
      <w:r w:rsidR="00365FFE">
        <w:t xml:space="preserve">provides a reference </w:t>
      </w:r>
      <w:r w:rsidR="003D3C16">
        <w:t>for</w:t>
      </w:r>
      <w:r w:rsidR="00B071E6">
        <w:t xml:space="preserve"> instances where student populations of interest are abbreviated.</w:t>
      </w:r>
    </w:p>
    <w:p w14:paraId="228817B7" w14:textId="77777777" w:rsidR="00A801E6" w:rsidRDefault="00A801E6" w:rsidP="00EF30D9">
      <w:pPr>
        <w:tabs>
          <w:tab w:val="left" w:pos="1440"/>
          <w:tab w:val="left" w:pos="2160"/>
        </w:tabs>
        <w:spacing w:after="160" w:line="259" w:lineRule="auto"/>
      </w:pPr>
    </w:p>
    <w:p w14:paraId="2A0B5145" w14:textId="74841866" w:rsidR="00EF30D9" w:rsidRDefault="00EF30D9" w:rsidP="00EF30D9">
      <w:pPr>
        <w:tabs>
          <w:tab w:val="left" w:pos="1440"/>
          <w:tab w:val="left" w:pos="2160"/>
        </w:tabs>
        <w:spacing w:after="160" w:line="259" w:lineRule="auto"/>
      </w:pPr>
      <w:r>
        <w:t>EL</w:t>
      </w:r>
      <w:r>
        <w:tab/>
      </w:r>
      <w:r>
        <w:tab/>
        <w:t xml:space="preserve">Student who is an English learner as defined </w:t>
      </w:r>
      <w:r w:rsidR="00407504">
        <w:t xml:space="preserve">in </w:t>
      </w:r>
      <w:r>
        <w:t xml:space="preserve">the Student Information </w:t>
      </w:r>
      <w:r>
        <w:tab/>
      </w:r>
      <w:r>
        <w:tab/>
      </w:r>
      <w:r>
        <w:tab/>
        <w:t xml:space="preserve">Management System </w:t>
      </w:r>
      <w:r w:rsidR="00095FAE">
        <w:t xml:space="preserve">(SIMS) </w:t>
      </w:r>
      <w:r w:rsidR="00D01887">
        <w:t xml:space="preserve">Data </w:t>
      </w:r>
      <w:r>
        <w:t>Handbook</w:t>
      </w:r>
      <w:r w:rsidR="006D23CE">
        <w:rPr>
          <w:rStyle w:val="FootnoteReference"/>
        </w:rPr>
        <w:footnoteReference w:id="1"/>
      </w:r>
    </w:p>
    <w:p w14:paraId="3C44B28E" w14:textId="5798E086" w:rsidR="00EF30D9" w:rsidRDefault="00EF30D9" w:rsidP="00EF30D9">
      <w:pPr>
        <w:tabs>
          <w:tab w:val="left" w:pos="1440"/>
          <w:tab w:val="left" w:pos="2160"/>
        </w:tabs>
        <w:spacing w:after="160" w:line="259" w:lineRule="auto"/>
        <w:ind w:left="2160" w:hanging="2160"/>
      </w:pPr>
      <w:r>
        <w:t>Low-income</w:t>
      </w:r>
      <w:r>
        <w:tab/>
      </w:r>
      <w:r>
        <w:tab/>
        <w:t>Student who is low-income as defined</w:t>
      </w:r>
      <w:r w:rsidR="000F534E">
        <w:t xml:space="preserve"> in</w:t>
      </w:r>
      <w:r>
        <w:t xml:space="preserve"> the </w:t>
      </w:r>
      <w:r w:rsidR="000F534E">
        <w:t xml:space="preserve">SIMS </w:t>
      </w:r>
      <w:r w:rsidR="00D01887">
        <w:t xml:space="preserve">Data </w:t>
      </w:r>
      <w:r>
        <w:t xml:space="preserve">Handbook </w:t>
      </w:r>
    </w:p>
    <w:p w14:paraId="607EF0D8" w14:textId="27D31DCB" w:rsidR="009C7E7F" w:rsidRDefault="00683AE4" w:rsidP="004271B2">
      <w:pPr>
        <w:tabs>
          <w:tab w:val="left" w:pos="1440"/>
          <w:tab w:val="left" w:pos="2160"/>
        </w:tabs>
        <w:spacing w:after="160" w:line="259" w:lineRule="auto"/>
      </w:pPr>
      <w:r>
        <w:t>No</w:t>
      </w:r>
      <w:r w:rsidR="00F97188">
        <w:t>t</w:t>
      </w:r>
      <w:r>
        <w:t xml:space="preserve"> EL</w:t>
      </w:r>
      <w:r>
        <w:tab/>
      </w:r>
      <w:r>
        <w:tab/>
        <w:t>Studen</w:t>
      </w:r>
      <w:r w:rsidR="00E54A8F">
        <w:t xml:space="preserve">t who is not an English </w:t>
      </w:r>
      <w:r w:rsidR="009C7E7F">
        <w:t xml:space="preserve">learner as defined </w:t>
      </w:r>
      <w:r w:rsidR="000F534E">
        <w:t>in</w:t>
      </w:r>
      <w:r w:rsidR="009C7E7F">
        <w:t xml:space="preserve"> the </w:t>
      </w:r>
      <w:r w:rsidR="000F534E">
        <w:t>SIMS</w:t>
      </w:r>
      <w:r w:rsidR="009C7E7F">
        <w:t xml:space="preserve"> </w:t>
      </w:r>
      <w:r w:rsidR="00D01887">
        <w:t xml:space="preserve">Data </w:t>
      </w:r>
      <w:r w:rsidR="009C7E7F">
        <w:t>Handbook</w:t>
      </w:r>
    </w:p>
    <w:p w14:paraId="6385E5F0" w14:textId="692AB0C3" w:rsidR="00095FAE" w:rsidRDefault="00095FAE" w:rsidP="00095FAE">
      <w:pPr>
        <w:tabs>
          <w:tab w:val="left" w:pos="1440"/>
          <w:tab w:val="left" w:pos="2160"/>
        </w:tabs>
        <w:spacing w:after="160" w:line="259" w:lineRule="auto"/>
        <w:ind w:left="2160" w:hanging="2160"/>
      </w:pPr>
      <w:r>
        <w:t>No</w:t>
      </w:r>
      <w:r w:rsidR="00F97188">
        <w:t>t</w:t>
      </w:r>
      <w:r>
        <w:t xml:space="preserve"> </w:t>
      </w:r>
      <w:r w:rsidR="00A7794C">
        <w:t>L</w:t>
      </w:r>
      <w:r>
        <w:t>ow-income</w:t>
      </w:r>
      <w:r>
        <w:tab/>
        <w:t xml:space="preserve">Student who is not low-income as defined </w:t>
      </w:r>
      <w:r w:rsidR="000F534E">
        <w:t>in</w:t>
      </w:r>
      <w:r>
        <w:t xml:space="preserve"> the </w:t>
      </w:r>
      <w:r w:rsidR="000F534E">
        <w:t xml:space="preserve">SIMS </w:t>
      </w:r>
      <w:r w:rsidR="00D01887">
        <w:t xml:space="preserve">Data </w:t>
      </w:r>
      <w:r>
        <w:t>Handbook</w:t>
      </w:r>
    </w:p>
    <w:p w14:paraId="14267EEA" w14:textId="25CC15A3" w:rsidR="009C7E7F" w:rsidRDefault="00E54A8F" w:rsidP="004271B2">
      <w:pPr>
        <w:tabs>
          <w:tab w:val="left" w:pos="1440"/>
          <w:tab w:val="left" w:pos="2160"/>
        </w:tabs>
        <w:spacing w:after="160" w:line="259" w:lineRule="auto"/>
        <w:ind w:left="2160" w:hanging="2160"/>
      </w:pPr>
      <w:r>
        <w:t>No</w:t>
      </w:r>
      <w:r w:rsidR="00F97188">
        <w:t>t</w:t>
      </w:r>
      <w:r>
        <w:t xml:space="preserve"> SWD</w:t>
      </w:r>
      <w:r>
        <w:tab/>
      </w:r>
      <w:r>
        <w:tab/>
        <w:t>Student who does not have a documented disability</w:t>
      </w:r>
      <w:r w:rsidR="009C7E7F">
        <w:t xml:space="preserve"> as defined </w:t>
      </w:r>
      <w:r w:rsidR="000F534E">
        <w:t xml:space="preserve">in the </w:t>
      </w:r>
      <w:r w:rsidR="00380173">
        <w:t xml:space="preserve">SIMS </w:t>
      </w:r>
      <w:r w:rsidR="00D01887">
        <w:t xml:space="preserve">Data </w:t>
      </w:r>
      <w:r w:rsidR="009C7E7F">
        <w:t>Handbook</w:t>
      </w:r>
    </w:p>
    <w:p w14:paraId="4655A538" w14:textId="419BC916" w:rsidR="00EF30D9" w:rsidRDefault="00EF30D9" w:rsidP="00EF30D9">
      <w:pPr>
        <w:tabs>
          <w:tab w:val="left" w:pos="1440"/>
          <w:tab w:val="left" w:pos="2160"/>
        </w:tabs>
        <w:spacing w:after="160" w:line="259" w:lineRule="auto"/>
        <w:ind w:left="2160" w:hanging="2160"/>
      </w:pPr>
      <w:r>
        <w:t>SWD</w:t>
      </w:r>
      <w:r>
        <w:tab/>
      </w:r>
      <w:r>
        <w:tab/>
        <w:t>Student who has a documented disability</w:t>
      </w:r>
      <w:r w:rsidRPr="009C7E7F">
        <w:t xml:space="preserve"> </w:t>
      </w:r>
      <w:r>
        <w:t xml:space="preserve">as defined </w:t>
      </w:r>
      <w:r w:rsidR="00380173">
        <w:t xml:space="preserve">in the SIMS </w:t>
      </w:r>
      <w:r w:rsidR="00D01887">
        <w:t xml:space="preserve">Data </w:t>
      </w:r>
      <w:r>
        <w:t>Handbook</w:t>
      </w:r>
    </w:p>
    <w:p w14:paraId="1D4831CF" w14:textId="3A741508" w:rsidR="00EF30D9" w:rsidRPr="00EF30D9" w:rsidRDefault="00683AE4" w:rsidP="00EF30D9">
      <w:pPr>
        <w:tabs>
          <w:tab w:val="left" w:pos="1440"/>
          <w:tab w:val="left" w:pos="2160"/>
        </w:tabs>
        <w:spacing w:after="160" w:line="259" w:lineRule="auto"/>
        <w:ind w:left="2160" w:hanging="2160"/>
      </w:pPr>
      <w:r>
        <w:br w:type="page"/>
      </w:r>
    </w:p>
    <w:p w14:paraId="2AFDF650" w14:textId="77777777" w:rsidR="0097797B" w:rsidRDefault="0097797B" w:rsidP="007B49DA">
      <w:pPr>
        <w:pStyle w:val="Heading2"/>
      </w:pPr>
      <w:bookmarkStart w:id="12" w:name="_Toc207348144"/>
      <w:r>
        <w:lastRenderedPageBreak/>
        <w:t>Executive Summary</w:t>
      </w:r>
      <w:bookmarkEnd w:id="12"/>
    </w:p>
    <w:p w14:paraId="6E45E9C3" w14:textId="002AFBCE" w:rsidR="00CA7389" w:rsidRDefault="004A4F49" w:rsidP="004A4F49">
      <w:pPr>
        <w:pStyle w:val="BodyText"/>
      </w:pPr>
      <w:r>
        <w:t xml:space="preserve">As part of the Year 13 evaluation in support of the AP STEM and English program, the University of Massachusetts Donahue Institute (UMDI) completed a set of descriptive and quasi-experimental analyses to </w:t>
      </w:r>
      <w:r w:rsidR="00CA5F59">
        <w:t xml:space="preserve">assess </w:t>
      </w:r>
      <w:r>
        <w:t xml:space="preserve">the impact of </w:t>
      </w:r>
      <w:r w:rsidR="00393782">
        <w:t xml:space="preserve">two </w:t>
      </w:r>
      <w:r>
        <w:t>types of student support</w:t>
      </w:r>
      <w:r w:rsidR="005B1881">
        <w:t>s—</w:t>
      </w:r>
      <w:r>
        <w:t xml:space="preserve">mock exams and </w:t>
      </w:r>
      <w:r w:rsidR="00995AB4">
        <w:t xml:space="preserve">Saturday </w:t>
      </w:r>
      <w:r w:rsidR="00D01887">
        <w:t>study sessions</w:t>
      </w:r>
      <w:r w:rsidR="00F45DA6">
        <w:rPr>
          <w:rStyle w:val="FootnoteReference"/>
        </w:rPr>
        <w:footnoteReference w:id="2"/>
      </w:r>
      <w:r w:rsidR="005B1881">
        <w:t xml:space="preserve"> —</w:t>
      </w:r>
      <w:r>
        <w:t xml:space="preserve">offered by </w:t>
      </w:r>
      <w:r w:rsidR="00902A32" w:rsidRPr="0030236E">
        <w:t xml:space="preserve">Mass Insight Education and Research </w:t>
      </w:r>
      <w:r w:rsidR="00653E02">
        <w:t>(</w:t>
      </w:r>
      <w:r>
        <w:t>Mi</w:t>
      </w:r>
      <w:r w:rsidR="00653E02">
        <w:t>)</w:t>
      </w:r>
      <w:r w:rsidR="00902A32">
        <w:t xml:space="preserve"> </w:t>
      </w:r>
      <w:r w:rsidR="00011A20">
        <w:t xml:space="preserve">during the </w:t>
      </w:r>
      <w:r w:rsidR="00902A32">
        <w:t>2023 and 2024</w:t>
      </w:r>
      <w:r w:rsidR="00011A20">
        <w:t xml:space="preserve"> school years.</w:t>
      </w:r>
      <w:r w:rsidR="002E4DFD">
        <w:t xml:space="preserve"> </w:t>
      </w:r>
    </w:p>
    <w:p w14:paraId="2CB797C5" w14:textId="77777777" w:rsidR="00CA7389" w:rsidRDefault="00CA7389" w:rsidP="004A4F49">
      <w:pPr>
        <w:pStyle w:val="BodyText"/>
      </w:pPr>
    </w:p>
    <w:p w14:paraId="6BDF29BC" w14:textId="718E3C7C" w:rsidR="004A4F49" w:rsidRDefault="00CA7389" w:rsidP="004A4F49">
      <w:pPr>
        <w:pStyle w:val="BodyText"/>
      </w:pPr>
      <w:r>
        <w:t xml:space="preserve">The analyses focused on AP students’ likelihood of passing an AP course, taking an AP exam, and </w:t>
      </w:r>
      <w:r w:rsidR="0095016B">
        <w:t>passing</w:t>
      </w:r>
      <w:r>
        <w:t xml:space="preserve"> an AP exam. </w:t>
      </w:r>
      <w:r w:rsidR="004A4F49">
        <w:t xml:space="preserve">These analyses were stratified by AP content area (English Language Arts [ELA], math, science, or </w:t>
      </w:r>
      <w:r w:rsidR="00D01887">
        <w:t>a</w:t>
      </w:r>
      <w:r w:rsidR="004A4F49">
        <w:t>ny AP), type of student support</w:t>
      </w:r>
      <w:r w:rsidR="00D07DC0">
        <w:t xml:space="preserve"> (mock exams </w:t>
      </w:r>
      <w:r w:rsidR="005A2707">
        <w:t>or</w:t>
      </w:r>
      <w:r w:rsidR="00D07DC0">
        <w:t xml:space="preserve"> study sessions)</w:t>
      </w:r>
      <w:r w:rsidR="004A4F49">
        <w:t>, and school year (SY2023 and SY2024), resulting in a total of 48 regression models.</w:t>
      </w:r>
      <w:r w:rsidR="00AE67B1">
        <w:t xml:space="preserve"> UM</w:t>
      </w:r>
      <w:r w:rsidR="00542555">
        <w:t>DI</w:t>
      </w:r>
      <w:r w:rsidR="00AE67B1">
        <w:t xml:space="preserve"> also surveyed teachers who participated in the </w:t>
      </w:r>
      <w:r w:rsidR="0006118A">
        <w:t xml:space="preserve">2024 </w:t>
      </w:r>
      <w:r w:rsidR="00AE67B1">
        <w:t>AP Summer Institute (APSI).</w:t>
      </w:r>
    </w:p>
    <w:p w14:paraId="6B5106DB" w14:textId="77777777" w:rsidR="004623C3" w:rsidRDefault="004623C3" w:rsidP="004A4F49">
      <w:pPr>
        <w:pStyle w:val="BodyText"/>
      </w:pPr>
    </w:p>
    <w:p w14:paraId="1E80FF9D" w14:textId="77777777" w:rsidR="004A4F49" w:rsidRDefault="004A4F49" w:rsidP="004A4F49">
      <w:pPr>
        <w:pStyle w:val="BodyText"/>
      </w:pPr>
      <w:r>
        <w:t>Key findings from these evaluation activities are summarized below.</w:t>
      </w:r>
    </w:p>
    <w:p w14:paraId="55DAEDD8" w14:textId="77777777" w:rsidR="00E76614" w:rsidRPr="007B49DA" w:rsidRDefault="004A4F49" w:rsidP="007B49DA">
      <w:pPr>
        <w:pStyle w:val="Heading3"/>
        <w:rPr>
          <w:color w:val="757575" w:themeColor="background2" w:themeShade="80"/>
          <w:sz w:val="28"/>
          <w:szCs w:val="28"/>
        </w:rPr>
      </w:pPr>
      <w:bookmarkStart w:id="13" w:name="_Toc202784415"/>
      <w:bookmarkStart w:id="14" w:name="_Toc202784501"/>
      <w:bookmarkStart w:id="15" w:name="_Toc202788387"/>
      <w:bookmarkStart w:id="16" w:name="_Toc203984264"/>
      <w:bookmarkStart w:id="17" w:name="_Toc203984413"/>
      <w:bookmarkStart w:id="18" w:name="_Toc204766647"/>
      <w:bookmarkStart w:id="19" w:name="_Toc206742084"/>
      <w:bookmarkStart w:id="20" w:name="_Toc207183713"/>
      <w:bookmarkStart w:id="21" w:name="_Toc207348145"/>
      <w:r w:rsidRPr="007B49DA">
        <w:rPr>
          <w:color w:val="757575" w:themeColor="background2" w:themeShade="80"/>
          <w:sz w:val="28"/>
          <w:szCs w:val="28"/>
        </w:rPr>
        <w:t>Descriptive and quasi-experimental analyses</w:t>
      </w:r>
      <w:bookmarkEnd w:id="13"/>
      <w:bookmarkEnd w:id="14"/>
      <w:bookmarkEnd w:id="15"/>
      <w:bookmarkEnd w:id="16"/>
      <w:bookmarkEnd w:id="17"/>
      <w:bookmarkEnd w:id="18"/>
      <w:bookmarkEnd w:id="19"/>
      <w:bookmarkEnd w:id="20"/>
      <w:bookmarkEnd w:id="21"/>
    </w:p>
    <w:p w14:paraId="588D6B04" w14:textId="6521D7EC" w:rsidR="00FD3536" w:rsidRPr="007B49DA" w:rsidRDefault="004A5360" w:rsidP="007B49DA">
      <w:pPr>
        <w:pStyle w:val="Heading4"/>
      </w:pPr>
      <w:bookmarkStart w:id="22" w:name="_Toc203984265"/>
      <w:bookmarkStart w:id="23" w:name="_Toc203984414"/>
      <w:bookmarkStart w:id="24" w:name="_Toc204766648"/>
      <w:bookmarkStart w:id="25" w:name="_Toc206742085"/>
      <w:bookmarkStart w:id="26" w:name="_Toc207183714"/>
      <w:bookmarkStart w:id="27" w:name="_Toc207348146"/>
      <w:bookmarkStart w:id="28" w:name="_Toc202784416"/>
      <w:bookmarkStart w:id="29" w:name="_Toc202784502"/>
      <w:bookmarkStart w:id="30" w:name="_Toc202788388"/>
      <w:r w:rsidRPr="007B49DA">
        <w:t xml:space="preserve">1. </w:t>
      </w:r>
      <w:r w:rsidR="00B719CF" w:rsidRPr="007B49DA">
        <w:t>About</w:t>
      </w:r>
      <w:r w:rsidR="00FD3536" w:rsidRPr="007B49DA">
        <w:t xml:space="preserve"> two-thirds</w:t>
      </w:r>
      <w:r w:rsidR="00B719CF" w:rsidRPr="007B49DA">
        <w:t xml:space="preserve"> (</w:t>
      </w:r>
      <w:r w:rsidR="00C73DA6" w:rsidRPr="007B49DA">
        <w:t>approximately 66</w:t>
      </w:r>
      <w:r w:rsidR="00B719CF" w:rsidRPr="007B49DA">
        <w:t>%)</w:t>
      </w:r>
      <w:r w:rsidR="00FD3536" w:rsidRPr="007B49DA">
        <w:t xml:space="preserve"> of students </w:t>
      </w:r>
      <w:r w:rsidR="006404B4" w:rsidRPr="007B49DA">
        <w:t xml:space="preserve">enrolled </w:t>
      </w:r>
      <w:r w:rsidR="00FD3536" w:rsidRPr="007B49DA">
        <w:t xml:space="preserve">in </w:t>
      </w:r>
      <w:r w:rsidR="006404B4" w:rsidRPr="007B49DA">
        <w:t xml:space="preserve">AP courses at participating schools engaged in </w:t>
      </w:r>
      <w:r w:rsidR="00FD3536" w:rsidRPr="007B49DA">
        <w:t>at least one type of student support (mock exams or study sessions</w:t>
      </w:r>
      <w:r w:rsidR="006D6981" w:rsidRPr="007B49DA">
        <w:t xml:space="preserve">), though </w:t>
      </w:r>
      <w:r w:rsidR="00EE33B1" w:rsidRPr="007B49DA">
        <w:t xml:space="preserve">participation </w:t>
      </w:r>
      <w:r w:rsidR="006D6981" w:rsidRPr="007B49DA">
        <w:t xml:space="preserve">rates </w:t>
      </w:r>
      <w:r w:rsidR="00EE33B1" w:rsidRPr="007B49DA">
        <w:t>v</w:t>
      </w:r>
      <w:r w:rsidR="006D6981" w:rsidRPr="007B49DA">
        <w:t>aried</w:t>
      </w:r>
      <w:r w:rsidR="00FA39C6" w:rsidRPr="007B49DA">
        <w:t xml:space="preserve"> across</w:t>
      </w:r>
      <w:r w:rsidR="006D6981" w:rsidRPr="007B49DA">
        <w:t xml:space="preserve"> student groups of interest.</w:t>
      </w:r>
      <w:bookmarkEnd w:id="22"/>
      <w:bookmarkEnd w:id="23"/>
      <w:bookmarkEnd w:id="24"/>
      <w:bookmarkEnd w:id="25"/>
      <w:bookmarkEnd w:id="26"/>
      <w:bookmarkEnd w:id="27"/>
    </w:p>
    <w:p w14:paraId="444F4BA0" w14:textId="3848509A" w:rsidR="00FD3536" w:rsidRDefault="00C90129" w:rsidP="00436FBC">
      <w:pPr>
        <w:pStyle w:val="BodyText"/>
        <w:rPr>
          <w:rStyle w:val="Strong"/>
          <w:b w:val="0"/>
          <w:bCs w:val="0"/>
        </w:rPr>
      </w:pPr>
      <w:r>
        <w:rPr>
          <w:rStyle w:val="Strong"/>
          <w:b w:val="0"/>
          <w:bCs w:val="0"/>
        </w:rPr>
        <w:t>Across participating schools</w:t>
      </w:r>
      <w:r w:rsidR="00E1311F">
        <w:rPr>
          <w:rStyle w:val="Strong"/>
          <w:b w:val="0"/>
          <w:bCs w:val="0"/>
        </w:rPr>
        <w:t xml:space="preserve"> in SY2023 and SY2024</w:t>
      </w:r>
      <w:r>
        <w:rPr>
          <w:rStyle w:val="Strong"/>
          <w:b w:val="0"/>
          <w:bCs w:val="0"/>
        </w:rPr>
        <w:t>,</w:t>
      </w:r>
      <w:r w:rsidR="0053748F">
        <w:rPr>
          <w:rStyle w:val="Strong"/>
          <w:b w:val="0"/>
          <w:bCs w:val="0"/>
        </w:rPr>
        <w:t xml:space="preserve"> </w:t>
      </w:r>
      <w:r w:rsidR="00303422">
        <w:rPr>
          <w:rStyle w:val="Strong"/>
          <w:b w:val="0"/>
          <w:bCs w:val="0"/>
        </w:rPr>
        <w:t>under</w:t>
      </w:r>
      <w:r w:rsidR="008A3B1B">
        <w:rPr>
          <w:rStyle w:val="Strong"/>
          <w:b w:val="0"/>
          <w:bCs w:val="0"/>
        </w:rPr>
        <w:t xml:space="preserve"> a third of students participated in both mock exams and study ses</w:t>
      </w:r>
      <w:r w:rsidR="00EE3029">
        <w:rPr>
          <w:rStyle w:val="Strong"/>
          <w:b w:val="0"/>
          <w:bCs w:val="0"/>
        </w:rPr>
        <w:t>sion</w:t>
      </w:r>
      <w:r w:rsidR="0027241E">
        <w:rPr>
          <w:rStyle w:val="Strong"/>
          <w:b w:val="0"/>
          <w:bCs w:val="0"/>
        </w:rPr>
        <w:t>s</w:t>
      </w:r>
      <w:r w:rsidR="00EE3029">
        <w:rPr>
          <w:rStyle w:val="Strong"/>
          <w:b w:val="0"/>
          <w:bCs w:val="0"/>
        </w:rPr>
        <w:t xml:space="preserve">. Additionally, </w:t>
      </w:r>
      <w:r w:rsidR="00E1311F">
        <w:rPr>
          <w:rStyle w:val="Strong"/>
          <w:b w:val="0"/>
          <w:bCs w:val="0"/>
        </w:rPr>
        <w:t>31.4</w:t>
      </w:r>
      <w:r w:rsidR="00E163BD">
        <w:rPr>
          <w:rStyle w:val="Strong"/>
          <w:b w:val="0"/>
          <w:bCs w:val="0"/>
        </w:rPr>
        <w:t>%</w:t>
      </w:r>
      <w:r w:rsidR="00E1311F">
        <w:rPr>
          <w:rStyle w:val="Strong"/>
          <w:b w:val="0"/>
          <w:bCs w:val="0"/>
        </w:rPr>
        <w:t xml:space="preserve"> and 35.3</w:t>
      </w:r>
      <w:r w:rsidR="00C4064D">
        <w:rPr>
          <w:rStyle w:val="Strong"/>
          <w:b w:val="0"/>
          <w:bCs w:val="0"/>
        </w:rPr>
        <w:t xml:space="preserve">% of </w:t>
      </w:r>
      <w:r w:rsidR="0053748F">
        <w:rPr>
          <w:rStyle w:val="Strong"/>
          <w:b w:val="0"/>
          <w:bCs w:val="0"/>
        </w:rPr>
        <w:t xml:space="preserve">AP </w:t>
      </w:r>
      <w:r w:rsidR="00C4064D">
        <w:rPr>
          <w:rStyle w:val="Strong"/>
          <w:b w:val="0"/>
          <w:bCs w:val="0"/>
        </w:rPr>
        <w:t>students</w:t>
      </w:r>
      <w:r w:rsidR="00E1311F">
        <w:rPr>
          <w:rStyle w:val="Strong"/>
          <w:b w:val="0"/>
          <w:bCs w:val="0"/>
        </w:rPr>
        <w:t>, respectively,</w:t>
      </w:r>
      <w:r w:rsidR="00C4064D">
        <w:rPr>
          <w:rStyle w:val="Strong"/>
          <w:b w:val="0"/>
          <w:bCs w:val="0"/>
        </w:rPr>
        <w:t xml:space="preserve"> </w:t>
      </w:r>
      <w:r w:rsidR="0053748F">
        <w:rPr>
          <w:rStyle w:val="Strong"/>
          <w:b w:val="0"/>
          <w:bCs w:val="0"/>
        </w:rPr>
        <w:t xml:space="preserve">participated in </w:t>
      </w:r>
      <w:r w:rsidR="00BE7DC4">
        <w:rPr>
          <w:rStyle w:val="Strong"/>
          <w:b w:val="0"/>
          <w:bCs w:val="0"/>
        </w:rPr>
        <w:t>only</w:t>
      </w:r>
      <w:r w:rsidR="0053748F">
        <w:rPr>
          <w:rStyle w:val="Strong"/>
          <w:b w:val="0"/>
          <w:bCs w:val="0"/>
        </w:rPr>
        <w:t xml:space="preserve"> </w:t>
      </w:r>
      <w:r w:rsidR="00C4064D">
        <w:rPr>
          <w:rStyle w:val="Strong"/>
          <w:b w:val="0"/>
          <w:bCs w:val="0"/>
        </w:rPr>
        <w:t>mock exam</w:t>
      </w:r>
      <w:r w:rsidR="00BE7DC4">
        <w:rPr>
          <w:rStyle w:val="Strong"/>
          <w:b w:val="0"/>
          <w:bCs w:val="0"/>
        </w:rPr>
        <w:t>s</w:t>
      </w:r>
      <w:r w:rsidR="00C4064D">
        <w:rPr>
          <w:rStyle w:val="Strong"/>
          <w:b w:val="0"/>
          <w:bCs w:val="0"/>
        </w:rPr>
        <w:t xml:space="preserve"> and </w:t>
      </w:r>
      <w:r w:rsidR="00E1311F">
        <w:rPr>
          <w:rStyle w:val="Strong"/>
          <w:b w:val="0"/>
          <w:bCs w:val="0"/>
        </w:rPr>
        <w:t>5.1% and 3.7%</w:t>
      </w:r>
      <w:r w:rsidR="00C4064D">
        <w:rPr>
          <w:rStyle w:val="Strong"/>
          <w:b w:val="0"/>
          <w:bCs w:val="0"/>
        </w:rPr>
        <w:t xml:space="preserve"> </w:t>
      </w:r>
      <w:r w:rsidR="0053748F">
        <w:rPr>
          <w:rStyle w:val="Strong"/>
          <w:b w:val="0"/>
          <w:bCs w:val="0"/>
        </w:rPr>
        <w:t xml:space="preserve">participated in </w:t>
      </w:r>
      <w:r w:rsidR="00BE7DC4">
        <w:rPr>
          <w:rStyle w:val="Strong"/>
          <w:b w:val="0"/>
          <w:bCs w:val="0"/>
        </w:rPr>
        <w:t>only study sessions</w:t>
      </w:r>
      <w:r w:rsidR="00E1311F">
        <w:rPr>
          <w:rStyle w:val="Strong"/>
          <w:b w:val="0"/>
          <w:bCs w:val="0"/>
        </w:rPr>
        <w:t>, respectively</w:t>
      </w:r>
      <w:r w:rsidR="00C4064D">
        <w:rPr>
          <w:rStyle w:val="Strong"/>
          <w:b w:val="0"/>
          <w:bCs w:val="0"/>
        </w:rPr>
        <w:t>.</w:t>
      </w:r>
    </w:p>
    <w:p w14:paraId="7B74CEE5" w14:textId="77777777" w:rsidR="003B70DF" w:rsidRDefault="003B70DF" w:rsidP="00436FBC">
      <w:pPr>
        <w:pStyle w:val="BodyText"/>
        <w:rPr>
          <w:rStyle w:val="Strong"/>
          <w:b w:val="0"/>
          <w:bCs w:val="0"/>
        </w:rPr>
      </w:pPr>
    </w:p>
    <w:p w14:paraId="4E85CECE" w14:textId="78ED607A" w:rsidR="00CE0E81" w:rsidDel="00DE7B54" w:rsidRDefault="008556AD" w:rsidP="00CE0E81">
      <w:pPr>
        <w:pStyle w:val="BodyText"/>
        <w:rPr>
          <w:rStyle w:val="Strong"/>
          <w:b w:val="0"/>
          <w:bCs w:val="0"/>
        </w:rPr>
      </w:pPr>
      <w:r>
        <w:rPr>
          <w:rStyle w:val="Strong"/>
          <w:b w:val="0"/>
          <w:bCs w:val="0"/>
        </w:rPr>
        <w:t xml:space="preserve">Participation rates varied by student group. </w:t>
      </w:r>
      <w:r w:rsidDel="00DE7B54">
        <w:rPr>
          <w:rStyle w:val="Strong"/>
          <w:b w:val="0"/>
          <w:bCs w:val="0"/>
        </w:rPr>
        <w:t xml:space="preserve">Across subject areas and years, students who are </w:t>
      </w:r>
      <w:r w:rsidRPr="004A4F49" w:rsidDel="00DE7B54">
        <w:rPr>
          <w:rStyle w:val="Strong"/>
          <w:b w:val="0"/>
          <w:bCs w:val="0"/>
        </w:rPr>
        <w:t xml:space="preserve">Asian tended to have the highest rates of participation in mock exams and study sessions, </w:t>
      </w:r>
      <w:r w:rsidDel="00DE7B54">
        <w:rPr>
          <w:rStyle w:val="Strong"/>
          <w:b w:val="0"/>
          <w:bCs w:val="0"/>
        </w:rPr>
        <w:t xml:space="preserve">compared to students who are </w:t>
      </w:r>
      <w:r w:rsidRPr="004A4F49" w:rsidDel="00DE7B54">
        <w:rPr>
          <w:rStyle w:val="Strong"/>
          <w:b w:val="0"/>
          <w:bCs w:val="0"/>
        </w:rPr>
        <w:t>Hispanic/Latino</w:t>
      </w:r>
      <w:r w:rsidDel="00DE7B54">
        <w:rPr>
          <w:rStyle w:val="Strong"/>
          <w:b w:val="0"/>
          <w:bCs w:val="0"/>
        </w:rPr>
        <w:t xml:space="preserve">, who </w:t>
      </w:r>
      <w:r w:rsidRPr="004A4F49" w:rsidDel="00DE7B54">
        <w:rPr>
          <w:rStyle w:val="Strong"/>
          <w:b w:val="0"/>
          <w:bCs w:val="0"/>
        </w:rPr>
        <w:t xml:space="preserve">tended to have the lowest rates of participation. </w:t>
      </w:r>
      <w:r w:rsidR="00CE0E81">
        <w:rPr>
          <w:rStyle w:val="Strong"/>
          <w:b w:val="0"/>
          <w:bCs w:val="0"/>
        </w:rPr>
        <w:t>Additionally, s</w:t>
      </w:r>
      <w:r w:rsidR="00CE0E81" w:rsidRPr="004A4F49" w:rsidDel="00DE7B54">
        <w:rPr>
          <w:rStyle w:val="Strong"/>
          <w:b w:val="0"/>
          <w:bCs w:val="0"/>
        </w:rPr>
        <w:t xml:space="preserve">tudents </w:t>
      </w:r>
      <w:r w:rsidR="00CE0E81" w:rsidDel="00DE7B54">
        <w:rPr>
          <w:rStyle w:val="Strong"/>
          <w:b w:val="0"/>
          <w:bCs w:val="0"/>
        </w:rPr>
        <w:t xml:space="preserve">designated as high needs by DESE </w:t>
      </w:r>
      <w:r w:rsidR="00CE0E81" w:rsidRPr="004A4F49" w:rsidDel="00DE7B54">
        <w:rPr>
          <w:rStyle w:val="Strong"/>
          <w:b w:val="0"/>
          <w:bCs w:val="0"/>
        </w:rPr>
        <w:t>(</w:t>
      </w:r>
      <w:r w:rsidR="00CE0E81" w:rsidDel="00DE7B54">
        <w:rPr>
          <w:rStyle w:val="Strong"/>
          <w:b w:val="0"/>
          <w:bCs w:val="0"/>
        </w:rPr>
        <w:t>i.e., students who are English learners or former English Learners,</w:t>
      </w:r>
      <w:r w:rsidR="00CE0E81" w:rsidDel="00DE7B54">
        <w:rPr>
          <w:rStyle w:val="FootnoteReference"/>
        </w:rPr>
        <w:footnoteReference w:id="3"/>
      </w:r>
      <w:r w:rsidR="00CE0E81" w:rsidDel="00DE7B54">
        <w:rPr>
          <w:rStyle w:val="Strong"/>
          <w:b w:val="0"/>
          <w:bCs w:val="0"/>
        </w:rPr>
        <w:t xml:space="preserve"> students with a documented disability, students from low-income households</w:t>
      </w:r>
      <w:r w:rsidR="00CE0E81" w:rsidRPr="004A4F49" w:rsidDel="00DE7B54">
        <w:rPr>
          <w:rStyle w:val="Strong"/>
          <w:b w:val="0"/>
          <w:bCs w:val="0"/>
        </w:rPr>
        <w:t>) tended to have notably lower participation rates</w:t>
      </w:r>
      <w:r w:rsidR="00EB7F2F">
        <w:rPr>
          <w:rStyle w:val="Strong"/>
          <w:b w:val="0"/>
          <w:bCs w:val="0"/>
        </w:rPr>
        <w:t xml:space="preserve"> than </w:t>
      </w:r>
      <w:r w:rsidR="0093567C">
        <w:rPr>
          <w:rStyle w:val="Strong"/>
          <w:b w:val="0"/>
          <w:bCs w:val="0"/>
        </w:rPr>
        <w:t xml:space="preserve">students who were not </w:t>
      </w:r>
      <w:r w:rsidR="00EB7F2F">
        <w:rPr>
          <w:rStyle w:val="Strong"/>
          <w:b w:val="0"/>
          <w:bCs w:val="0"/>
        </w:rPr>
        <w:t>high</w:t>
      </w:r>
      <w:r w:rsidR="00FF1809">
        <w:rPr>
          <w:rStyle w:val="Strong"/>
          <w:b w:val="0"/>
          <w:bCs w:val="0"/>
        </w:rPr>
        <w:t xml:space="preserve"> </w:t>
      </w:r>
      <w:r w:rsidR="00EB7F2F">
        <w:rPr>
          <w:rStyle w:val="Strong"/>
          <w:b w:val="0"/>
          <w:bCs w:val="0"/>
        </w:rPr>
        <w:t>need</w:t>
      </w:r>
      <w:r w:rsidR="00B75FB9">
        <w:rPr>
          <w:rStyle w:val="Strong"/>
          <w:b w:val="0"/>
          <w:bCs w:val="0"/>
        </w:rPr>
        <w:t>s</w:t>
      </w:r>
      <w:r w:rsidR="00CE0E81" w:rsidRPr="004A4F49" w:rsidDel="00DE7B54">
        <w:rPr>
          <w:rStyle w:val="Strong"/>
          <w:b w:val="0"/>
          <w:bCs w:val="0"/>
        </w:rPr>
        <w:t>.</w:t>
      </w:r>
    </w:p>
    <w:p w14:paraId="3D6CF1B4" w14:textId="6D4CF8A7" w:rsidR="00CE0E81" w:rsidRDefault="00EB7F2F" w:rsidP="00436FBC">
      <w:pPr>
        <w:pStyle w:val="BodyText"/>
        <w:rPr>
          <w:rStyle w:val="Strong"/>
          <w:b w:val="0"/>
          <w:bCs w:val="0"/>
        </w:rPr>
      </w:pPr>
      <w:r>
        <w:rPr>
          <w:rStyle w:val="Strong"/>
          <w:b w:val="0"/>
          <w:bCs w:val="0"/>
        </w:rPr>
        <w:t xml:space="preserve"> </w:t>
      </w:r>
    </w:p>
    <w:p w14:paraId="7B224B7D" w14:textId="38465F6D" w:rsidR="0025064B" w:rsidRDefault="00BA031B" w:rsidP="0025064B">
      <w:pPr>
        <w:pStyle w:val="BodyText"/>
        <w:rPr>
          <w:rStyle w:val="Strong"/>
          <w:b w:val="0"/>
          <w:bCs w:val="0"/>
        </w:rPr>
      </w:pPr>
      <w:r>
        <w:rPr>
          <w:rStyle w:val="Strong"/>
          <w:b w:val="0"/>
          <w:bCs w:val="0"/>
        </w:rPr>
        <w:t xml:space="preserve">Among racial/ethnic </w:t>
      </w:r>
      <w:r w:rsidR="000F29D2">
        <w:rPr>
          <w:rStyle w:val="Strong"/>
          <w:b w:val="0"/>
          <w:bCs w:val="0"/>
        </w:rPr>
        <w:t xml:space="preserve">student </w:t>
      </w:r>
      <w:r>
        <w:rPr>
          <w:rStyle w:val="Strong"/>
          <w:b w:val="0"/>
          <w:bCs w:val="0"/>
        </w:rPr>
        <w:t xml:space="preserve">groups of interest, </w:t>
      </w:r>
      <w:r w:rsidR="008556AD">
        <w:rPr>
          <w:rStyle w:val="Strong"/>
          <w:b w:val="0"/>
          <w:bCs w:val="0"/>
        </w:rPr>
        <w:t xml:space="preserve">students who are Hispanic/Latino tended to have the lowest rates of participation in AP STEM and English </w:t>
      </w:r>
      <w:r w:rsidR="00CE0E81">
        <w:rPr>
          <w:rStyle w:val="Strong"/>
          <w:b w:val="0"/>
          <w:bCs w:val="0"/>
        </w:rPr>
        <w:t>course</w:t>
      </w:r>
      <w:r w:rsidR="00FD4333">
        <w:rPr>
          <w:rStyle w:val="Strong"/>
          <w:b w:val="0"/>
          <w:bCs w:val="0"/>
        </w:rPr>
        <w:t xml:space="preserve">s at participating schools. However, </w:t>
      </w:r>
      <w:r w:rsidR="00BE41AF">
        <w:rPr>
          <w:rStyle w:val="Strong"/>
          <w:b w:val="0"/>
          <w:bCs w:val="0"/>
        </w:rPr>
        <w:lastRenderedPageBreak/>
        <w:t xml:space="preserve">AP course takers in </w:t>
      </w:r>
      <w:r w:rsidR="005854FA">
        <w:rPr>
          <w:rStyle w:val="Strong"/>
          <w:b w:val="0"/>
          <w:bCs w:val="0"/>
        </w:rPr>
        <w:t xml:space="preserve">participating </w:t>
      </w:r>
      <w:r w:rsidR="00564F6E">
        <w:rPr>
          <w:rStyle w:val="Strong"/>
          <w:b w:val="0"/>
          <w:bCs w:val="0"/>
        </w:rPr>
        <w:t xml:space="preserve">schools </w:t>
      </w:r>
      <w:r w:rsidR="002620D8">
        <w:rPr>
          <w:rStyle w:val="Strong"/>
          <w:b w:val="0"/>
          <w:bCs w:val="0"/>
        </w:rPr>
        <w:t>were</w:t>
      </w:r>
      <w:r w:rsidR="00BE41AF">
        <w:rPr>
          <w:rStyle w:val="Strong"/>
          <w:b w:val="0"/>
          <w:bCs w:val="0"/>
        </w:rPr>
        <w:t xml:space="preserve"> overall more </w:t>
      </w:r>
      <w:r w:rsidR="003E14C2">
        <w:rPr>
          <w:rStyle w:val="Strong"/>
          <w:b w:val="0"/>
          <w:bCs w:val="0"/>
        </w:rPr>
        <w:t xml:space="preserve">racially and ethnically </w:t>
      </w:r>
      <w:r w:rsidR="00BE41AF">
        <w:rPr>
          <w:rStyle w:val="Strong"/>
          <w:b w:val="0"/>
          <w:bCs w:val="0"/>
        </w:rPr>
        <w:t>diverse</w:t>
      </w:r>
      <w:r w:rsidR="003E14C2">
        <w:rPr>
          <w:rStyle w:val="Strong"/>
          <w:b w:val="0"/>
          <w:bCs w:val="0"/>
        </w:rPr>
        <w:t xml:space="preserve"> </w:t>
      </w:r>
      <w:r w:rsidR="00BE41AF">
        <w:rPr>
          <w:rStyle w:val="Strong"/>
          <w:b w:val="0"/>
          <w:bCs w:val="0"/>
        </w:rPr>
        <w:t xml:space="preserve">when compared to Statewide participation in AP STEM and English courses. </w:t>
      </w:r>
      <w:r w:rsidR="00725DD3">
        <w:rPr>
          <w:rStyle w:val="Strong"/>
          <w:b w:val="0"/>
          <w:bCs w:val="0"/>
        </w:rPr>
        <w:t xml:space="preserve">For example, in SY2023 </w:t>
      </w:r>
      <w:r w:rsidR="005F1A3E">
        <w:rPr>
          <w:rStyle w:val="Strong"/>
          <w:b w:val="0"/>
          <w:bCs w:val="0"/>
        </w:rPr>
        <w:t>the p</w:t>
      </w:r>
      <w:r w:rsidR="00E27799">
        <w:rPr>
          <w:rStyle w:val="Strong"/>
          <w:b w:val="0"/>
          <w:bCs w:val="0"/>
        </w:rPr>
        <w:t xml:space="preserve">ercentage of </w:t>
      </w:r>
      <w:r w:rsidR="00725DD3">
        <w:rPr>
          <w:rStyle w:val="Strong"/>
          <w:b w:val="0"/>
          <w:bCs w:val="0"/>
        </w:rPr>
        <w:t>s</w:t>
      </w:r>
      <w:r w:rsidR="00BF6E0C">
        <w:rPr>
          <w:rStyle w:val="Strong"/>
          <w:b w:val="0"/>
          <w:bCs w:val="0"/>
        </w:rPr>
        <w:t xml:space="preserve">tudents who are African American/Black and Hispanic/Latino </w:t>
      </w:r>
      <w:r w:rsidR="008E708F">
        <w:rPr>
          <w:rStyle w:val="Strong"/>
          <w:b w:val="0"/>
          <w:bCs w:val="0"/>
        </w:rPr>
        <w:t xml:space="preserve">that </w:t>
      </w:r>
      <w:r w:rsidR="00ED0CF9">
        <w:rPr>
          <w:rStyle w:val="Strong"/>
          <w:b w:val="0"/>
          <w:bCs w:val="0"/>
        </w:rPr>
        <w:t xml:space="preserve">participated in AP STEM and English courses </w:t>
      </w:r>
      <w:r w:rsidR="00E27799">
        <w:rPr>
          <w:rStyle w:val="Strong"/>
          <w:b w:val="0"/>
          <w:bCs w:val="0"/>
        </w:rPr>
        <w:t xml:space="preserve">at participating schools </w:t>
      </w:r>
      <w:r w:rsidR="00C763EB">
        <w:rPr>
          <w:rStyle w:val="Strong"/>
          <w:b w:val="0"/>
          <w:bCs w:val="0"/>
        </w:rPr>
        <w:t xml:space="preserve">were </w:t>
      </w:r>
      <w:r w:rsidR="00ED0CF9">
        <w:rPr>
          <w:rStyle w:val="Strong"/>
          <w:b w:val="0"/>
          <w:bCs w:val="0"/>
        </w:rPr>
        <w:t>6 and 11 percentage points</w:t>
      </w:r>
      <w:r w:rsidR="008E708F">
        <w:rPr>
          <w:rStyle w:val="Strong"/>
          <w:b w:val="0"/>
          <w:bCs w:val="0"/>
        </w:rPr>
        <w:t xml:space="preserve"> </w:t>
      </w:r>
      <w:r w:rsidR="00BA4AC7">
        <w:rPr>
          <w:rStyle w:val="Strong"/>
          <w:b w:val="0"/>
          <w:bCs w:val="0"/>
        </w:rPr>
        <w:t>higher</w:t>
      </w:r>
      <w:r w:rsidR="002F359E">
        <w:rPr>
          <w:rStyle w:val="Strong"/>
          <w:b w:val="0"/>
          <w:bCs w:val="0"/>
        </w:rPr>
        <w:t>, respectively,</w:t>
      </w:r>
      <w:r w:rsidR="008E708F">
        <w:rPr>
          <w:rStyle w:val="Strong"/>
          <w:b w:val="0"/>
          <w:bCs w:val="0"/>
        </w:rPr>
        <w:t xml:space="preserve"> than</w:t>
      </w:r>
      <w:r w:rsidR="008E0364">
        <w:rPr>
          <w:rStyle w:val="Strong"/>
          <w:b w:val="0"/>
          <w:bCs w:val="0"/>
        </w:rPr>
        <w:t xml:space="preserve"> their representation in similar courses </w:t>
      </w:r>
      <w:r w:rsidR="000B4C9C">
        <w:rPr>
          <w:rStyle w:val="Strong"/>
          <w:b w:val="0"/>
          <w:bCs w:val="0"/>
        </w:rPr>
        <w:t>S</w:t>
      </w:r>
      <w:r w:rsidR="008E0364">
        <w:rPr>
          <w:rStyle w:val="Strong"/>
          <w:b w:val="0"/>
          <w:bCs w:val="0"/>
        </w:rPr>
        <w:t>tatewide.</w:t>
      </w:r>
    </w:p>
    <w:p w14:paraId="4AE36011" w14:textId="74F13822" w:rsidR="00E76614" w:rsidRDefault="004A5360" w:rsidP="007B49DA">
      <w:pPr>
        <w:pStyle w:val="Heading4"/>
      </w:pPr>
      <w:bookmarkStart w:id="31" w:name="_Toc203984266"/>
      <w:bookmarkStart w:id="32" w:name="_Toc203984415"/>
      <w:bookmarkStart w:id="33" w:name="_Toc204766649"/>
      <w:bookmarkStart w:id="34" w:name="_Toc206742086"/>
      <w:bookmarkStart w:id="35" w:name="_Toc207183715"/>
      <w:bookmarkStart w:id="36" w:name="_Toc207348147"/>
      <w:r>
        <w:t xml:space="preserve">2. </w:t>
      </w:r>
      <w:r w:rsidR="00D820BA">
        <w:t>Nearly all students who participated in a</w:t>
      </w:r>
      <w:r w:rsidR="004A4F49">
        <w:t xml:space="preserve"> mock exam </w:t>
      </w:r>
      <w:r w:rsidR="00C24B79">
        <w:t xml:space="preserve">or study session </w:t>
      </w:r>
      <w:r w:rsidR="008E0BD6">
        <w:t>passed</w:t>
      </w:r>
      <w:r w:rsidR="00EF7A50">
        <w:t xml:space="preserve"> </w:t>
      </w:r>
      <w:r w:rsidR="004A4F49">
        <w:t>at least one AP course</w:t>
      </w:r>
      <w:r w:rsidR="00FA3014">
        <w:t xml:space="preserve"> and </w:t>
      </w:r>
      <w:r w:rsidR="008E0BD6">
        <w:t>took</w:t>
      </w:r>
      <w:r w:rsidR="00FA3014">
        <w:t xml:space="preserve"> an AP exam </w:t>
      </w:r>
      <w:r w:rsidR="009D540C">
        <w:t xml:space="preserve">in the </w:t>
      </w:r>
      <w:r w:rsidR="00EE0300">
        <w:t xml:space="preserve">corresponding </w:t>
      </w:r>
      <w:r w:rsidR="009D540C">
        <w:t>content area.</w:t>
      </w:r>
      <w:bookmarkEnd w:id="31"/>
      <w:bookmarkEnd w:id="32"/>
      <w:bookmarkEnd w:id="33"/>
      <w:bookmarkEnd w:id="34"/>
      <w:bookmarkEnd w:id="35"/>
      <w:bookmarkEnd w:id="36"/>
      <w:r w:rsidR="009D540C">
        <w:t xml:space="preserve"> </w:t>
      </w:r>
      <w:bookmarkEnd w:id="28"/>
      <w:bookmarkEnd w:id="29"/>
      <w:bookmarkEnd w:id="30"/>
    </w:p>
    <w:p w14:paraId="7E35392A" w14:textId="693B8A90" w:rsidR="002013A0" w:rsidRDefault="00092803" w:rsidP="00D5555E">
      <w:pPr>
        <w:pStyle w:val="BodyText"/>
      </w:pPr>
      <w:r>
        <w:t xml:space="preserve">Course passing: </w:t>
      </w:r>
      <w:r w:rsidR="00E0111B">
        <w:t>Though exact rates varied by content area</w:t>
      </w:r>
      <w:r w:rsidR="007964E3">
        <w:t xml:space="preserve"> (ELA, math, science, and any AP)</w:t>
      </w:r>
      <w:r w:rsidR="00801E87">
        <w:t xml:space="preserve">, support </w:t>
      </w:r>
      <w:r w:rsidR="008467B7">
        <w:t>type,</w:t>
      </w:r>
      <w:r w:rsidR="00D846F0">
        <w:t xml:space="preserve"> and </w:t>
      </w:r>
      <w:r w:rsidR="004D1659">
        <w:t>school</w:t>
      </w:r>
      <w:r w:rsidR="002D4C61">
        <w:t xml:space="preserve"> </w:t>
      </w:r>
      <w:r w:rsidR="00D846F0">
        <w:t>year,</w:t>
      </w:r>
      <w:r w:rsidR="007964E3">
        <w:t xml:space="preserve"> nearly all students (</w:t>
      </w:r>
      <w:r w:rsidR="00D846F0">
        <w:t>94</w:t>
      </w:r>
      <w:r w:rsidR="002D25FA">
        <w:t>–</w:t>
      </w:r>
      <w:r w:rsidR="007964E3">
        <w:t xml:space="preserve">98%) who </w:t>
      </w:r>
      <w:r w:rsidR="0067523D">
        <w:t>participated in</w:t>
      </w:r>
      <w:r w:rsidR="007964E3">
        <w:t xml:space="preserve"> a mock exam or study session in a given content area also passed at least one AP course in that content area</w:t>
      </w:r>
      <w:r w:rsidR="002D25FA">
        <w:t>, compared to 72–</w:t>
      </w:r>
      <w:r w:rsidR="004D1659">
        <w:t>88</w:t>
      </w:r>
      <w:r w:rsidR="002D25FA">
        <w:t xml:space="preserve">% </w:t>
      </w:r>
      <w:r w:rsidR="00E163BD">
        <w:t xml:space="preserve">of </w:t>
      </w:r>
      <w:r w:rsidR="00190856">
        <w:t>non</w:t>
      </w:r>
      <w:r w:rsidR="009450AF">
        <w:t>-participants</w:t>
      </w:r>
      <w:r w:rsidR="002D25FA">
        <w:t>.</w:t>
      </w:r>
    </w:p>
    <w:p w14:paraId="08AF7B5B" w14:textId="77777777" w:rsidR="00D5555E" w:rsidRDefault="00D5555E" w:rsidP="004F1D42">
      <w:pPr>
        <w:pStyle w:val="BodyText"/>
      </w:pPr>
    </w:p>
    <w:p w14:paraId="4D7E8165" w14:textId="7CB1FA63" w:rsidR="00C01E5C" w:rsidRDefault="00092803" w:rsidP="00D5555E">
      <w:pPr>
        <w:pStyle w:val="BodyText"/>
      </w:pPr>
      <w:r>
        <w:t xml:space="preserve">Exam taking: </w:t>
      </w:r>
      <w:r w:rsidR="004D1659">
        <w:t>Though exact rates varied by content area (ELA, math, science, and any AP)</w:t>
      </w:r>
      <w:r w:rsidR="008467B7">
        <w:t>, support type,</w:t>
      </w:r>
      <w:r w:rsidR="004D1659">
        <w:t xml:space="preserve"> and school</w:t>
      </w:r>
      <w:r w:rsidR="00E163BD">
        <w:t xml:space="preserve"> </w:t>
      </w:r>
      <w:r w:rsidR="004D1659">
        <w:t>year, n</w:t>
      </w:r>
      <w:r w:rsidR="00AE0CF5">
        <w:t xml:space="preserve">early all students who </w:t>
      </w:r>
      <w:r w:rsidR="005616E6">
        <w:t>participated in</w:t>
      </w:r>
      <w:r w:rsidR="00AE0CF5">
        <w:t xml:space="preserve"> at least one mock exam or study session (</w:t>
      </w:r>
      <w:r w:rsidR="004D1659">
        <w:t>95</w:t>
      </w:r>
      <w:r w:rsidR="00B37B6D">
        <w:t>–</w:t>
      </w:r>
      <w:r>
        <w:t>98</w:t>
      </w:r>
      <w:r w:rsidR="00FC74FC">
        <w:t>%</w:t>
      </w:r>
      <w:r w:rsidR="00AE0CF5">
        <w:t>)</w:t>
      </w:r>
      <w:r>
        <w:t xml:space="preserve"> </w:t>
      </w:r>
      <w:r w:rsidR="00C01E5C">
        <w:t xml:space="preserve">also took an AP exam in a given subject area, </w:t>
      </w:r>
      <w:r w:rsidR="00C01E5C" w:rsidRPr="008467B7">
        <w:t>compared to</w:t>
      </w:r>
      <w:r w:rsidR="00AE0CF5" w:rsidRPr="008467B7">
        <w:t xml:space="preserve"> </w:t>
      </w:r>
      <w:r w:rsidR="00801E87" w:rsidRPr="009175DE">
        <w:t>59</w:t>
      </w:r>
      <w:r w:rsidR="00B37B6D" w:rsidRPr="008467B7">
        <w:t>–</w:t>
      </w:r>
      <w:r w:rsidR="00801E87" w:rsidRPr="008467B7">
        <w:t>80</w:t>
      </w:r>
      <w:r w:rsidR="00D66D20" w:rsidRPr="008467B7">
        <w:t>% of</w:t>
      </w:r>
      <w:r w:rsidR="00D66D20">
        <w:t xml:space="preserve"> </w:t>
      </w:r>
      <w:r w:rsidR="009450AF">
        <w:t>non-participants</w:t>
      </w:r>
      <w:r w:rsidR="00D66D20">
        <w:t xml:space="preserve">. </w:t>
      </w:r>
    </w:p>
    <w:p w14:paraId="42F7F265" w14:textId="30690CDF" w:rsidR="008520FB" w:rsidRDefault="004A5360" w:rsidP="007B49DA">
      <w:pPr>
        <w:pStyle w:val="Heading4"/>
      </w:pPr>
      <w:bookmarkStart w:id="37" w:name="_Toc203984267"/>
      <w:bookmarkStart w:id="38" w:name="_Toc203984416"/>
      <w:bookmarkStart w:id="39" w:name="_Toc204766650"/>
      <w:bookmarkStart w:id="40" w:name="_Toc206742087"/>
      <w:bookmarkStart w:id="41" w:name="_Toc207183716"/>
      <w:bookmarkStart w:id="42" w:name="_Toc207348148"/>
      <w:r>
        <w:t xml:space="preserve">3. </w:t>
      </w:r>
      <w:r w:rsidR="008520FB">
        <w:t>Student</w:t>
      </w:r>
      <w:r w:rsidR="004B4569">
        <w:t>s</w:t>
      </w:r>
      <w:r w:rsidR="008520FB">
        <w:t xml:space="preserve"> who participated in a mock exam or study session were </w:t>
      </w:r>
      <w:r w:rsidR="00E84266">
        <w:t xml:space="preserve">significantly </w:t>
      </w:r>
      <w:r w:rsidR="008520FB">
        <w:t>more likely to pass an AP exam in their respective</w:t>
      </w:r>
      <w:r w:rsidR="00E15A43">
        <w:t xml:space="preserve"> </w:t>
      </w:r>
      <w:r w:rsidR="008520FB">
        <w:t>content area</w:t>
      </w:r>
      <w:r w:rsidR="00C569BB">
        <w:t xml:space="preserve"> than similar students who did not participate</w:t>
      </w:r>
      <w:r w:rsidR="008520FB">
        <w:t>.</w:t>
      </w:r>
      <w:bookmarkEnd w:id="37"/>
      <w:bookmarkEnd w:id="38"/>
      <w:bookmarkEnd w:id="39"/>
      <w:bookmarkEnd w:id="40"/>
      <w:bookmarkEnd w:id="41"/>
      <w:bookmarkEnd w:id="42"/>
      <w:r w:rsidR="008520FB">
        <w:t xml:space="preserve"> </w:t>
      </w:r>
    </w:p>
    <w:p w14:paraId="45F50419" w14:textId="6652E695" w:rsidR="00135392" w:rsidRDefault="00C01E5C" w:rsidP="004F1D42">
      <w:pPr>
        <w:pStyle w:val="BodyText"/>
      </w:pPr>
      <w:r>
        <w:t xml:space="preserve">Exam passing: Students </w:t>
      </w:r>
      <w:r w:rsidR="00B37B6D">
        <w:t xml:space="preserve">who participated in a mock exam or study session </w:t>
      </w:r>
      <w:r>
        <w:t xml:space="preserve">were </w:t>
      </w:r>
      <w:r w:rsidR="00D66D20">
        <w:t xml:space="preserve">3 to </w:t>
      </w:r>
      <w:r>
        <w:t xml:space="preserve">6 times </w:t>
      </w:r>
      <w:r w:rsidR="00E15A43">
        <w:t xml:space="preserve">more likely </w:t>
      </w:r>
      <w:r>
        <w:t xml:space="preserve">to pass at least one AP exam </w:t>
      </w:r>
      <w:proofErr w:type="gramStart"/>
      <w:r>
        <w:t>in a given</w:t>
      </w:r>
      <w:proofErr w:type="gramEnd"/>
      <w:r>
        <w:t xml:space="preserve"> subject area</w:t>
      </w:r>
      <w:r w:rsidR="00D66D20">
        <w:t xml:space="preserve"> (ELA, math, or science) </w:t>
      </w:r>
      <w:r w:rsidR="002D628F">
        <w:t>than similar</w:t>
      </w:r>
      <w:r w:rsidR="00D66D20">
        <w:t xml:space="preserve"> </w:t>
      </w:r>
      <w:r w:rsidR="0001739D">
        <w:t>non-participants</w:t>
      </w:r>
      <w:r w:rsidR="00D66D20">
        <w:t xml:space="preserve">. </w:t>
      </w:r>
      <w:bookmarkStart w:id="43" w:name="_Toc202784422"/>
      <w:bookmarkStart w:id="44" w:name="_Toc202784508"/>
      <w:bookmarkStart w:id="45" w:name="_Toc202788394"/>
    </w:p>
    <w:p w14:paraId="078DF0E2" w14:textId="181F400F" w:rsidR="00135392" w:rsidRDefault="00135392" w:rsidP="007B49DA">
      <w:pPr>
        <w:pStyle w:val="Heading4"/>
      </w:pPr>
      <w:bookmarkStart w:id="46" w:name="_Toc206742088"/>
      <w:bookmarkStart w:id="47" w:name="_Toc207183717"/>
      <w:bookmarkStart w:id="48" w:name="_Toc207348149"/>
      <w:r w:rsidRPr="006776E4">
        <w:t xml:space="preserve">4. </w:t>
      </w:r>
      <w:r w:rsidR="002161C0" w:rsidRPr="006776E4">
        <w:t>Students designated as h</w:t>
      </w:r>
      <w:r w:rsidRPr="006776E4">
        <w:t>igh need</w:t>
      </w:r>
      <w:r w:rsidR="00DE2FCC" w:rsidRPr="006776E4">
        <w:t>s</w:t>
      </w:r>
      <w:r w:rsidR="00EB7C5E">
        <w:rPr>
          <w:rStyle w:val="FootnoteReference"/>
          <w:bCs/>
        </w:rPr>
        <w:footnoteReference w:id="4"/>
      </w:r>
      <w:r w:rsidRPr="006776E4">
        <w:t xml:space="preserve"> (</w:t>
      </w:r>
      <w:r w:rsidR="00F1088E">
        <w:t xml:space="preserve">including </w:t>
      </w:r>
      <w:r w:rsidR="00497A27">
        <w:t xml:space="preserve">English learners, students with disabilities, and students from low-income </w:t>
      </w:r>
      <w:r w:rsidR="00126299">
        <w:t>households), as well a</w:t>
      </w:r>
      <w:r w:rsidR="00D11694">
        <w:t xml:space="preserve">s </w:t>
      </w:r>
      <w:r w:rsidR="00126299">
        <w:t>s</w:t>
      </w:r>
      <w:r w:rsidR="00D11694">
        <w:t>t</w:t>
      </w:r>
      <w:r w:rsidR="00180EF3" w:rsidRPr="006776E4">
        <w:t xml:space="preserve">udents who are African American/Black </w:t>
      </w:r>
      <w:r w:rsidR="00D11694">
        <w:t>or</w:t>
      </w:r>
      <w:r w:rsidR="00180EF3" w:rsidRPr="006776E4">
        <w:t xml:space="preserve"> Hispanic/Latino </w:t>
      </w:r>
      <w:r w:rsidR="00561FE4">
        <w:t>pass</w:t>
      </w:r>
      <w:r w:rsidR="005B606F">
        <w:t>ed</w:t>
      </w:r>
      <w:r w:rsidR="00561FE4">
        <w:t xml:space="preserve"> AP STEM and English </w:t>
      </w:r>
      <w:r w:rsidR="0002003E">
        <w:t>c</w:t>
      </w:r>
      <w:r w:rsidR="00561FE4">
        <w:t xml:space="preserve">ourses, </w:t>
      </w:r>
      <w:r w:rsidR="005B606F">
        <w:t>participated</w:t>
      </w:r>
      <w:r w:rsidR="00561FE4">
        <w:t xml:space="preserve"> in AP exams, </w:t>
      </w:r>
      <w:r w:rsidR="005B606F">
        <w:t xml:space="preserve">and </w:t>
      </w:r>
      <w:r w:rsidR="00D778D0">
        <w:t>pass</w:t>
      </w:r>
      <w:r w:rsidR="005B606F">
        <w:t>ed</w:t>
      </w:r>
      <w:r w:rsidR="00D778D0">
        <w:t xml:space="preserve"> those exams </w:t>
      </w:r>
      <w:r w:rsidR="005B606F">
        <w:t xml:space="preserve">at lower rates than </w:t>
      </w:r>
      <w:r w:rsidR="00E7674E">
        <w:t xml:space="preserve">students </w:t>
      </w:r>
      <w:r w:rsidR="00180EF3" w:rsidRPr="006776E4">
        <w:t>with other identities.</w:t>
      </w:r>
      <w:bookmarkEnd w:id="46"/>
      <w:bookmarkEnd w:id="47"/>
      <w:bookmarkEnd w:id="48"/>
    </w:p>
    <w:p w14:paraId="75412D26" w14:textId="58BCE27E" w:rsidR="00F0053F" w:rsidRDefault="007F7AA2" w:rsidP="007F7AA2">
      <w:r>
        <w:t xml:space="preserve">While the AP STEM and English program </w:t>
      </w:r>
      <w:proofErr w:type="gramStart"/>
      <w:r w:rsidR="00B2052C">
        <w:t>strives</w:t>
      </w:r>
      <w:proofErr w:type="gramEnd"/>
      <w:r w:rsidR="00B2052C">
        <w:t xml:space="preserve"> to serve </w:t>
      </w:r>
      <w:r>
        <w:t>all students</w:t>
      </w:r>
      <w:r w:rsidR="00C62B8A">
        <w:t xml:space="preserve">—especially </w:t>
      </w:r>
      <w:r w:rsidR="009E0FB0">
        <w:t>those</w:t>
      </w:r>
      <w:r>
        <w:t xml:space="preserve"> </w:t>
      </w:r>
      <w:r w:rsidR="00291469">
        <w:t xml:space="preserve">who have been </w:t>
      </w:r>
      <w:r>
        <w:t>historically marginalize</w:t>
      </w:r>
      <w:r w:rsidR="008154A6">
        <w:t>d—</w:t>
      </w:r>
      <w:r>
        <w:t>students with selec</w:t>
      </w:r>
      <w:r w:rsidR="00992E5B">
        <w:t>t</w:t>
      </w:r>
      <w:r>
        <w:t xml:space="preserve"> identities had </w:t>
      </w:r>
      <w:r w:rsidR="00992E5B">
        <w:t xml:space="preserve">lower </w:t>
      </w:r>
      <w:r>
        <w:t xml:space="preserve">overall rates of AP course </w:t>
      </w:r>
      <w:r w:rsidR="00B32714">
        <w:t xml:space="preserve">passing </w:t>
      </w:r>
      <w:r>
        <w:t xml:space="preserve">and exam taking. </w:t>
      </w:r>
      <w:r w:rsidR="007907EB">
        <w:t>Specifically, s</w:t>
      </w:r>
      <w:r w:rsidR="00F60886">
        <w:t xml:space="preserve">tudents with </w:t>
      </w:r>
      <w:r w:rsidR="002D5930">
        <w:t>disabilities</w:t>
      </w:r>
      <w:r w:rsidR="00334FB3">
        <w:t xml:space="preserve"> </w:t>
      </w:r>
      <w:r w:rsidR="00F60886">
        <w:t xml:space="preserve">had course </w:t>
      </w:r>
      <w:r w:rsidR="005757D6">
        <w:t xml:space="preserve">passing and exam taking rates </w:t>
      </w:r>
      <w:r w:rsidR="00D60126">
        <w:t xml:space="preserve">that were </w:t>
      </w:r>
      <w:r w:rsidR="00CB4339">
        <w:t>approximately 12</w:t>
      </w:r>
      <w:r w:rsidR="005757D6">
        <w:t xml:space="preserve"> percentage points </w:t>
      </w:r>
      <w:r w:rsidR="00C655CD">
        <w:t>lower than</w:t>
      </w:r>
      <w:r w:rsidR="005757D6">
        <w:t xml:space="preserve"> students without disabilit</w:t>
      </w:r>
      <w:r w:rsidR="008215B7">
        <w:t>ies</w:t>
      </w:r>
      <w:r w:rsidR="005757D6">
        <w:t>; s</w:t>
      </w:r>
      <w:r w:rsidR="00DF6BFE">
        <w:t xml:space="preserve">tudents </w:t>
      </w:r>
      <w:r w:rsidR="00F60886">
        <w:t xml:space="preserve">who are English learners </w:t>
      </w:r>
      <w:r w:rsidR="00334FB3">
        <w:t xml:space="preserve">(EL) </w:t>
      </w:r>
      <w:r w:rsidR="00F60886">
        <w:t xml:space="preserve">had course passing </w:t>
      </w:r>
      <w:r w:rsidR="0078329A">
        <w:t xml:space="preserve">and exam taking </w:t>
      </w:r>
      <w:r w:rsidR="004D2918">
        <w:t xml:space="preserve">rates </w:t>
      </w:r>
      <w:r w:rsidR="00D60126">
        <w:t>that were</w:t>
      </w:r>
      <w:r w:rsidR="00CB4339">
        <w:t xml:space="preserve"> </w:t>
      </w:r>
      <w:r w:rsidR="00CB4339">
        <w:lastRenderedPageBreak/>
        <w:t>approximately</w:t>
      </w:r>
      <w:r w:rsidR="00D60126">
        <w:t xml:space="preserve"> </w:t>
      </w:r>
      <w:r w:rsidR="004D2918">
        <w:t xml:space="preserve">20 percentage points </w:t>
      </w:r>
      <w:r w:rsidR="008215B7">
        <w:t xml:space="preserve">lower than </w:t>
      </w:r>
      <w:r w:rsidR="004D2918">
        <w:t xml:space="preserve">students who are not English learners, and low-income students had course passing </w:t>
      </w:r>
      <w:r w:rsidR="0078329A">
        <w:t xml:space="preserve">and exam taking </w:t>
      </w:r>
      <w:r w:rsidR="004D2918">
        <w:t>rates</w:t>
      </w:r>
      <w:r w:rsidR="00D60126">
        <w:t xml:space="preserve"> that were</w:t>
      </w:r>
      <w:r w:rsidR="004D2918">
        <w:t xml:space="preserve"> </w:t>
      </w:r>
      <w:r w:rsidR="00CB4339">
        <w:t xml:space="preserve">approximately </w:t>
      </w:r>
      <w:r w:rsidR="007D563F">
        <w:t xml:space="preserve">10 points </w:t>
      </w:r>
      <w:r w:rsidR="004B79CA">
        <w:t xml:space="preserve">lower than </w:t>
      </w:r>
      <w:r w:rsidR="007D563F">
        <w:t xml:space="preserve">students who are not low-income. </w:t>
      </w:r>
      <w:r>
        <w:t xml:space="preserve">These gaps </w:t>
      </w:r>
      <w:r w:rsidR="00E44F08">
        <w:t xml:space="preserve">were more pronounced in </w:t>
      </w:r>
      <w:r>
        <w:t>AP exam passing rates</w:t>
      </w:r>
      <w:r w:rsidR="00D46EEB">
        <w:t>, which</w:t>
      </w:r>
      <w:r w:rsidR="00297F84">
        <w:t xml:space="preserve"> were </w:t>
      </w:r>
      <w:r w:rsidR="00FF5EE2">
        <w:t xml:space="preserve">35 points </w:t>
      </w:r>
      <w:r w:rsidR="00D46EEB">
        <w:t xml:space="preserve">lower </w:t>
      </w:r>
      <w:r w:rsidR="00FF5EE2">
        <w:t xml:space="preserve">for </w:t>
      </w:r>
      <w:r w:rsidR="00334FB3">
        <w:t xml:space="preserve">English </w:t>
      </w:r>
      <w:proofErr w:type="gramStart"/>
      <w:r w:rsidR="00334FB3">
        <w:t>learners</w:t>
      </w:r>
      <w:proofErr w:type="gramEnd"/>
      <w:r w:rsidR="00334FB3">
        <w:t xml:space="preserve"> </w:t>
      </w:r>
      <w:r w:rsidR="00297F84">
        <w:t>and</w:t>
      </w:r>
      <w:r w:rsidR="00FF5EE2">
        <w:t xml:space="preserve"> 25 points </w:t>
      </w:r>
      <w:r w:rsidR="00D46EEB">
        <w:t xml:space="preserve">lower </w:t>
      </w:r>
      <w:r w:rsidR="00FF5EE2">
        <w:t xml:space="preserve">for </w:t>
      </w:r>
      <w:r w:rsidR="00F1337C">
        <w:t xml:space="preserve">both students with disabilities and students from </w:t>
      </w:r>
      <w:r w:rsidR="00FF5EE2">
        <w:t>low-income</w:t>
      </w:r>
      <w:r w:rsidR="00F1337C">
        <w:t xml:space="preserve"> households</w:t>
      </w:r>
      <w:r w:rsidR="00284BF8">
        <w:t xml:space="preserve">. Students who are African American/Black or Hispanic/Latino </w:t>
      </w:r>
      <w:r w:rsidR="00001B62">
        <w:t xml:space="preserve">experienced the lowest course passing, exam taking, and exam passing rates </w:t>
      </w:r>
      <w:r w:rsidR="00964083">
        <w:t xml:space="preserve">when </w:t>
      </w:r>
      <w:r w:rsidR="007B291B">
        <w:t xml:space="preserve">compared </w:t>
      </w:r>
      <w:r w:rsidR="00964083">
        <w:t xml:space="preserve">to </w:t>
      </w:r>
      <w:r w:rsidR="007B291B">
        <w:t xml:space="preserve">students of other racial or ethnic identities. </w:t>
      </w:r>
    </w:p>
    <w:p w14:paraId="2C52DEB5" w14:textId="17BE0064" w:rsidR="004A4F49" w:rsidRPr="007B49DA" w:rsidRDefault="004A4F49" w:rsidP="007B49DA">
      <w:pPr>
        <w:pStyle w:val="Heading3"/>
        <w:rPr>
          <w:rStyle w:val="Strong"/>
          <w:b w:val="0"/>
          <w:bCs w:val="0"/>
          <w:color w:val="757575" w:themeColor="background2" w:themeShade="80"/>
          <w:sz w:val="28"/>
          <w:szCs w:val="28"/>
        </w:rPr>
      </w:pPr>
      <w:bookmarkStart w:id="49" w:name="_Toc203984268"/>
      <w:bookmarkStart w:id="50" w:name="_Toc203984417"/>
      <w:bookmarkStart w:id="51" w:name="_Toc204766651"/>
      <w:bookmarkStart w:id="52" w:name="_Toc206742089"/>
      <w:bookmarkStart w:id="53" w:name="_Toc207183718"/>
      <w:bookmarkStart w:id="54" w:name="_Toc207348150"/>
      <w:r w:rsidRPr="007B49DA">
        <w:rPr>
          <w:rStyle w:val="Strong"/>
          <w:b w:val="0"/>
          <w:bCs w:val="0"/>
          <w:color w:val="757575" w:themeColor="background2" w:themeShade="80"/>
          <w:sz w:val="28"/>
          <w:szCs w:val="28"/>
        </w:rPr>
        <w:t>APSI survey respondents</w:t>
      </w:r>
      <w:bookmarkEnd w:id="43"/>
      <w:bookmarkEnd w:id="44"/>
      <w:bookmarkEnd w:id="45"/>
      <w:bookmarkEnd w:id="49"/>
      <w:bookmarkEnd w:id="50"/>
      <w:bookmarkEnd w:id="51"/>
      <w:bookmarkEnd w:id="52"/>
      <w:bookmarkEnd w:id="53"/>
      <w:bookmarkEnd w:id="54"/>
    </w:p>
    <w:p w14:paraId="023686B9" w14:textId="56AB1B10" w:rsidR="004A4F49" w:rsidRPr="003E598C" w:rsidRDefault="00B6180D" w:rsidP="007B49DA">
      <w:pPr>
        <w:pStyle w:val="Heading4"/>
        <w:rPr>
          <w:rStyle w:val="Strong"/>
          <w:b w:val="0"/>
          <w:bCs w:val="0"/>
        </w:rPr>
      </w:pPr>
      <w:bookmarkStart w:id="55" w:name="_Toc202784423"/>
      <w:bookmarkStart w:id="56" w:name="_Toc202784509"/>
      <w:bookmarkStart w:id="57" w:name="_Toc202788395"/>
      <w:bookmarkStart w:id="58" w:name="_Toc203984269"/>
      <w:bookmarkStart w:id="59" w:name="_Toc203984418"/>
      <w:bookmarkStart w:id="60" w:name="_Toc204766652"/>
      <w:bookmarkStart w:id="61" w:name="_Toc206742090"/>
      <w:bookmarkStart w:id="62" w:name="_Toc207183719"/>
      <w:bookmarkStart w:id="63" w:name="_Toc207348151"/>
      <w:r>
        <w:rPr>
          <w:rStyle w:val="Strong"/>
          <w:b w:val="0"/>
          <w:bCs w:val="0"/>
        </w:rPr>
        <w:t>5</w:t>
      </w:r>
      <w:r w:rsidR="004A5360">
        <w:rPr>
          <w:rStyle w:val="Strong"/>
          <w:b w:val="0"/>
          <w:bCs w:val="0"/>
        </w:rPr>
        <w:t xml:space="preserve">. </w:t>
      </w:r>
      <w:r w:rsidR="00E62086">
        <w:rPr>
          <w:rStyle w:val="Strong"/>
          <w:b w:val="0"/>
          <w:bCs w:val="0"/>
        </w:rPr>
        <w:t>T</w:t>
      </w:r>
      <w:r w:rsidR="004A4F49" w:rsidRPr="003E598C">
        <w:rPr>
          <w:rStyle w:val="Strong"/>
          <w:b w:val="0"/>
          <w:bCs w:val="0"/>
        </w:rPr>
        <w:t>eachers who participated in the AP</w:t>
      </w:r>
      <w:r w:rsidR="00CB63BC" w:rsidRPr="003E598C">
        <w:rPr>
          <w:rStyle w:val="Strong"/>
          <w:b w:val="0"/>
          <w:bCs w:val="0"/>
        </w:rPr>
        <w:t xml:space="preserve"> Summer Institute (APSI) </w:t>
      </w:r>
      <w:r w:rsidR="004A4F49" w:rsidRPr="003E598C">
        <w:rPr>
          <w:rStyle w:val="Strong"/>
          <w:b w:val="0"/>
          <w:bCs w:val="0"/>
        </w:rPr>
        <w:t>generally reported</w:t>
      </w:r>
      <w:r w:rsidR="001F5A36">
        <w:rPr>
          <w:rStyle w:val="Strong"/>
          <w:b w:val="0"/>
          <w:bCs w:val="0"/>
        </w:rPr>
        <w:t xml:space="preserve"> </w:t>
      </w:r>
      <w:r w:rsidR="004A4F49" w:rsidRPr="003E598C">
        <w:rPr>
          <w:rStyle w:val="Strong"/>
          <w:b w:val="0"/>
          <w:bCs w:val="0"/>
        </w:rPr>
        <w:t>increased preparedness to teach AP STEM and English courses</w:t>
      </w:r>
      <w:bookmarkEnd w:id="55"/>
      <w:bookmarkEnd w:id="56"/>
      <w:bookmarkEnd w:id="57"/>
      <w:bookmarkEnd w:id="58"/>
      <w:bookmarkEnd w:id="59"/>
      <w:r w:rsidR="00AE3F78">
        <w:rPr>
          <w:rStyle w:val="Strong"/>
          <w:b w:val="0"/>
          <w:bCs w:val="0"/>
        </w:rPr>
        <w:t xml:space="preserve"> </w:t>
      </w:r>
      <w:r w:rsidR="006B53A6">
        <w:rPr>
          <w:rStyle w:val="Strong"/>
          <w:b w:val="0"/>
          <w:bCs w:val="0"/>
        </w:rPr>
        <w:t xml:space="preserve">and </w:t>
      </w:r>
      <w:r w:rsidR="00AE3F78">
        <w:rPr>
          <w:rStyle w:val="Strong"/>
          <w:b w:val="0"/>
          <w:bCs w:val="0"/>
        </w:rPr>
        <w:t>students</w:t>
      </w:r>
      <w:r w:rsidR="004A4F49" w:rsidRPr="003E598C">
        <w:rPr>
          <w:rStyle w:val="Strong"/>
          <w:b w:val="0"/>
          <w:bCs w:val="0"/>
        </w:rPr>
        <w:t>.</w:t>
      </w:r>
      <w:bookmarkEnd w:id="60"/>
      <w:bookmarkEnd w:id="61"/>
      <w:bookmarkEnd w:id="62"/>
      <w:bookmarkEnd w:id="63"/>
    </w:p>
    <w:p w14:paraId="713D2D3F" w14:textId="1FE0DE19" w:rsidR="004A4F49" w:rsidRPr="004A4F49" w:rsidRDefault="009A1C69" w:rsidP="004F1D42">
      <w:pPr>
        <w:pStyle w:val="BodyText"/>
        <w:rPr>
          <w:rStyle w:val="Strong"/>
          <w:b w:val="0"/>
          <w:bCs w:val="0"/>
          <w:sz w:val="22"/>
        </w:rPr>
      </w:pPr>
      <w:r>
        <w:rPr>
          <w:rStyle w:val="Strong"/>
          <w:b w:val="0"/>
          <w:bCs w:val="0"/>
        </w:rPr>
        <w:t xml:space="preserve">Teachers who participated in the </w:t>
      </w:r>
      <w:r w:rsidR="000459EF">
        <w:rPr>
          <w:rStyle w:val="Strong"/>
          <w:b w:val="0"/>
          <w:bCs w:val="0"/>
        </w:rPr>
        <w:t xml:space="preserve">APSI were surveyed both immediately after the APSI and </w:t>
      </w:r>
      <w:r w:rsidR="00F93335">
        <w:rPr>
          <w:rStyle w:val="Strong"/>
          <w:b w:val="0"/>
          <w:bCs w:val="0"/>
        </w:rPr>
        <w:t>in November, once teachers had returned to their classrooms. Both i</w:t>
      </w:r>
      <w:r w:rsidR="00B83938">
        <w:rPr>
          <w:rStyle w:val="Strong"/>
          <w:b w:val="0"/>
          <w:bCs w:val="0"/>
        </w:rPr>
        <w:t xml:space="preserve">mmediately after </w:t>
      </w:r>
      <w:r w:rsidR="00007F7C">
        <w:rPr>
          <w:rStyle w:val="Strong"/>
          <w:b w:val="0"/>
          <w:bCs w:val="0"/>
        </w:rPr>
        <w:t>participating</w:t>
      </w:r>
      <w:r w:rsidR="00B83938">
        <w:rPr>
          <w:rStyle w:val="Strong"/>
          <w:b w:val="0"/>
          <w:bCs w:val="0"/>
        </w:rPr>
        <w:t xml:space="preserve"> in the APSI,</w:t>
      </w:r>
      <w:r w:rsidR="00F93335">
        <w:rPr>
          <w:rStyle w:val="Strong"/>
          <w:b w:val="0"/>
          <w:bCs w:val="0"/>
        </w:rPr>
        <w:t xml:space="preserve"> and in the </w:t>
      </w:r>
      <w:r>
        <w:rPr>
          <w:rStyle w:val="Strong"/>
          <w:b w:val="0"/>
          <w:bCs w:val="0"/>
        </w:rPr>
        <w:t>f</w:t>
      </w:r>
      <w:r w:rsidR="00F93335">
        <w:rPr>
          <w:rStyle w:val="Strong"/>
          <w:b w:val="0"/>
          <w:bCs w:val="0"/>
        </w:rPr>
        <w:t>all follow-up survey,</w:t>
      </w:r>
      <w:r w:rsidR="004A4F49" w:rsidRPr="004A4F49">
        <w:rPr>
          <w:rStyle w:val="Strong"/>
          <w:b w:val="0"/>
          <w:bCs w:val="0"/>
        </w:rPr>
        <w:t xml:space="preserve"> respondents indicated an overall improvement in their </w:t>
      </w:r>
      <w:r w:rsidR="00C17655">
        <w:rPr>
          <w:rStyle w:val="Strong"/>
          <w:b w:val="0"/>
          <w:bCs w:val="0"/>
        </w:rPr>
        <w:t xml:space="preserve">readiness </w:t>
      </w:r>
      <w:r w:rsidR="001C40AD">
        <w:rPr>
          <w:rStyle w:val="Strong"/>
          <w:b w:val="0"/>
          <w:bCs w:val="0"/>
        </w:rPr>
        <w:t xml:space="preserve">to </w:t>
      </w:r>
      <w:r w:rsidR="004A4F49" w:rsidRPr="004A4F49">
        <w:rPr>
          <w:rStyle w:val="Strong"/>
          <w:b w:val="0"/>
          <w:bCs w:val="0"/>
        </w:rPr>
        <w:t xml:space="preserve">teach AP STEM and English courses. </w:t>
      </w:r>
      <w:r w:rsidR="00C17655">
        <w:rPr>
          <w:rStyle w:val="Strong"/>
          <w:b w:val="0"/>
          <w:bCs w:val="0"/>
        </w:rPr>
        <w:t>N</w:t>
      </w:r>
      <w:r w:rsidR="004E31FD">
        <w:rPr>
          <w:rStyle w:val="Strong"/>
          <w:b w:val="0"/>
          <w:bCs w:val="0"/>
        </w:rPr>
        <w:t xml:space="preserve">early all </w:t>
      </w:r>
      <w:r w:rsidR="004A4F49" w:rsidRPr="004A4F49">
        <w:rPr>
          <w:rStyle w:val="Strong"/>
          <w:b w:val="0"/>
          <w:bCs w:val="0"/>
        </w:rPr>
        <w:t>teachers</w:t>
      </w:r>
      <w:r w:rsidR="004E31FD">
        <w:rPr>
          <w:rStyle w:val="Strong"/>
          <w:b w:val="0"/>
          <w:bCs w:val="0"/>
        </w:rPr>
        <w:t xml:space="preserve"> </w:t>
      </w:r>
      <w:r w:rsidR="00C17655">
        <w:rPr>
          <w:rStyle w:val="Strong"/>
          <w:b w:val="0"/>
          <w:bCs w:val="0"/>
        </w:rPr>
        <w:t xml:space="preserve">reported feeling more </w:t>
      </w:r>
      <w:r w:rsidR="00D3697B">
        <w:rPr>
          <w:rStyle w:val="Strong"/>
          <w:b w:val="0"/>
          <w:bCs w:val="0"/>
        </w:rPr>
        <w:t xml:space="preserve">prepared to teach </w:t>
      </w:r>
      <w:r w:rsidR="000734AE">
        <w:rPr>
          <w:rStyle w:val="Strong"/>
          <w:b w:val="0"/>
          <w:bCs w:val="0"/>
        </w:rPr>
        <w:t xml:space="preserve">all students and </w:t>
      </w:r>
      <w:r w:rsidR="00C47757">
        <w:rPr>
          <w:rStyle w:val="Strong"/>
          <w:b w:val="0"/>
          <w:bCs w:val="0"/>
        </w:rPr>
        <w:t xml:space="preserve">students who </w:t>
      </w:r>
      <w:r w:rsidR="00DE7733">
        <w:rPr>
          <w:rStyle w:val="Strong"/>
          <w:b w:val="0"/>
          <w:bCs w:val="0"/>
        </w:rPr>
        <w:t xml:space="preserve">have been </w:t>
      </w:r>
      <w:r w:rsidR="004A4F49" w:rsidRPr="004A4F49">
        <w:rPr>
          <w:rStyle w:val="Strong"/>
          <w:b w:val="0"/>
          <w:bCs w:val="0"/>
        </w:rPr>
        <w:t xml:space="preserve">historically marginalized </w:t>
      </w:r>
      <w:proofErr w:type="gramStart"/>
      <w:r w:rsidR="00B32E78">
        <w:rPr>
          <w:rStyle w:val="Strong"/>
          <w:b w:val="0"/>
          <w:bCs w:val="0"/>
        </w:rPr>
        <w:t>as a result of</w:t>
      </w:r>
      <w:proofErr w:type="gramEnd"/>
      <w:r w:rsidR="00B32E78">
        <w:rPr>
          <w:rStyle w:val="Strong"/>
          <w:b w:val="0"/>
          <w:bCs w:val="0"/>
        </w:rPr>
        <w:t xml:space="preserve"> </w:t>
      </w:r>
      <w:r w:rsidR="00D3697B">
        <w:rPr>
          <w:rStyle w:val="Strong"/>
          <w:b w:val="0"/>
          <w:bCs w:val="0"/>
        </w:rPr>
        <w:t>APSI participation.</w:t>
      </w:r>
      <w:r w:rsidR="004A4F49" w:rsidRPr="004A4F49">
        <w:rPr>
          <w:rStyle w:val="Strong"/>
          <w:b w:val="0"/>
          <w:bCs w:val="0"/>
        </w:rPr>
        <w:t xml:space="preserve"> </w:t>
      </w:r>
      <w:r w:rsidR="007C1ACC">
        <w:rPr>
          <w:rStyle w:val="Strong"/>
          <w:b w:val="0"/>
          <w:bCs w:val="0"/>
        </w:rPr>
        <w:t>A</w:t>
      </w:r>
      <w:r w:rsidR="002B28A2">
        <w:rPr>
          <w:rStyle w:val="Strong"/>
          <w:b w:val="0"/>
          <w:bCs w:val="0"/>
        </w:rPr>
        <w:t xml:space="preserve">ll </w:t>
      </w:r>
      <w:r w:rsidR="000335FF">
        <w:rPr>
          <w:rStyle w:val="Strong"/>
          <w:b w:val="0"/>
          <w:bCs w:val="0"/>
        </w:rPr>
        <w:t xml:space="preserve">respondents </w:t>
      </w:r>
      <w:r w:rsidR="002B28A2">
        <w:rPr>
          <w:rStyle w:val="Strong"/>
          <w:b w:val="0"/>
          <w:bCs w:val="0"/>
        </w:rPr>
        <w:t xml:space="preserve">agreed that the APSI increased their familiarity with the goals of AP, and </w:t>
      </w:r>
      <w:r w:rsidR="001E2C9A">
        <w:rPr>
          <w:rStyle w:val="Strong"/>
          <w:b w:val="0"/>
          <w:bCs w:val="0"/>
        </w:rPr>
        <w:t xml:space="preserve">that </w:t>
      </w:r>
      <w:r w:rsidR="002B28A2">
        <w:rPr>
          <w:rStyle w:val="Strong"/>
          <w:b w:val="0"/>
          <w:bCs w:val="0"/>
        </w:rPr>
        <w:t xml:space="preserve">the </w:t>
      </w:r>
      <w:r w:rsidR="0091272F">
        <w:rPr>
          <w:rStyle w:val="Strong"/>
          <w:b w:val="0"/>
          <w:bCs w:val="0"/>
        </w:rPr>
        <w:t>training</w:t>
      </w:r>
      <w:r w:rsidR="002B28A2">
        <w:rPr>
          <w:rStyle w:val="Strong"/>
          <w:b w:val="0"/>
          <w:bCs w:val="0"/>
        </w:rPr>
        <w:t xml:space="preserve"> had been useful in their AP classrooms. </w:t>
      </w:r>
    </w:p>
    <w:p w14:paraId="52FDB21C" w14:textId="41E79BC7" w:rsidR="004A4F49" w:rsidRPr="004A4F49" w:rsidRDefault="004A4F49" w:rsidP="0079651B">
      <w:pPr>
        <w:pStyle w:val="ListBullet"/>
        <w:numPr>
          <w:ilvl w:val="0"/>
          <w:numId w:val="0"/>
        </w:numPr>
        <w:rPr>
          <w:rStyle w:val="Strong"/>
          <w:b w:val="0"/>
          <w:bCs w:val="0"/>
          <w:color w:val="881C1C"/>
          <w:sz w:val="28"/>
          <w:szCs w:val="28"/>
        </w:rPr>
      </w:pPr>
    </w:p>
    <w:p w14:paraId="5F0CB447" w14:textId="77777777" w:rsidR="00F2779E" w:rsidRDefault="00F2779E" w:rsidP="007B49DA">
      <w:pPr>
        <w:pStyle w:val="Heading2"/>
      </w:pPr>
      <w:bookmarkStart w:id="64" w:name="_Introduction"/>
      <w:bookmarkStart w:id="65" w:name="_Toc207348152"/>
      <w:bookmarkEnd w:id="64"/>
      <w:r>
        <w:lastRenderedPageBreak/>
        <w:t>Introduction</w:t>
      </w:r>
      <w:bookmarkEnd w:id="65"/>
    </w:p>
    <w:p w14:paraId="056CFF02" w14:textId="2CAEC48C" w:rsidR="00F2779E" w:rsidRPr="0030236E" w:rsidRDefault="00F2779E" w:rsidP="00F653D6">
      <w:pPr>
        <w:pStyle w:val="BodyText"/>
      </w:pPr>
      <w:r w:rsidRPr="0030236E">
        <w:t xml:space="preserve">The Massachusetts Department of Elementary and Secondary Education (DESE) is engaged in numerous initiatives to increase the college and career readiness of students </w:t>
      </w:r>
      <w:r w:rsidR="006D7B42">
        <w:t>across</w:t>
      </w:r>
      <w:r w:rsidRPr="0030236E">
        <w:t xml:space="preserve"> the Commonwealth, to reduce proficiency gaps and improve academic achievement for all student groups, and to enhance the “STEM pipeline” of </w:t>
      </w:r>
      <w:r w:rsidR="00BF0B29">
        <w:t>those</w:t>
      </w:r>
      <w:r w:rsidRPr="0030236E">
        <w:t xml:space="preserve"> interested in and well prepared for postsecondary education and careers in science, technology, engineering, and mathematics (including computer science).</w:t>
      </w:r>
    </w:p>
    <w:p w14:paraId="4B74434D" w14:textId="77777777" w:rsidR="00AD17B6" w:rsidRPr="0030236E" w:rsidRDefault="00AD17B6" w:rsidP="00F653D6">
      <w:pPr>
        <w:pStyle w:val="BodyText"/>
      </w:pPr>
    </w:p>
    <w:p w14:paraId="417FA2D4" w14:textId="77777777" w:rsidR="00F2779E" w:rsidRPr="0030236E" w:rsidRDefault="00F2779E" w:rsidP="00F653D6">
      <w:pPr>
        <w:pStyle w:val="BodyText"/>
      </w:pPr>
      <w:r w:rsidRPr="0030236E">
        <w:t>One of these initiatives is the AP STEM and English program (hereafter, “the program”). As specified by DESE, the goals</w:t>
      </w:r>
      <w:r w:rsidRPr="0030236E">
        <w:rPr>
          <w:vertAlign w:val="superscript"/>
        </w:rPr>
        <w:footnoteReference w:id="5"/>
      </w:r>
      <w:r w:rsidRPr="0030236E">
        <w:t xml:space="preserve"> of the program are to:</w:t>
      </w:r>
    </w:p>
    <w:p w14:paraId="58967435" w14:textId="44241C96" w:rsidR="00F2779E" w:rsidRPr="00F2779E" w:rsidRDefault="00F2779E" w:rsidP="00F2779E">
      <w:pPr>
        <w:pStyle w:val="ListNumber"/>
        <w:numPr>
          <w:ilvl w:val="0"/>
          <w:numId w:val="14"/>
        </w:numPr>
      </w:pPr>
      <w:r w:rsidRPr="00F2779E">
        <w:t xml:space="preserve">Increase AP </w:t>
      </w:r>
      <w:r w:rsidR="00902A32">
        <w:t>ELA, mathematics, and science co</w:t>
      </w:r>
      <w:r w:rsidRPr="00F2779E">
        <w:t>urse availability, particularly at schools with limited AP science, mathematics, and ELA offerings and high percentages of students who are from historically marginalized communities.</w:t>
      </w:r>
    </w:p>
    <w:p w14:paraId="1EF50340" w14:textId="0FF4557F" w:rsidR="00F2779E" w:rsidRPr="00F2779E" w:rsidRDefault="00F2779E" w:rsidP="00F2779E">
      <w:pPr>
        <w:pStyle w:val="ListNumber"/>
      </w:pPr>
      <w:r w:rsidRPr="00F2779E">
        <w:t xml:space="preserve">Increase historically marginalized students’ participation in AP </w:t>
      </w:r>
      <w:r w:rsidR="00902A32">
        <w:t>ELA, mathematics, and sci</w:t>
      </w:r>
      <w:r w:rsidRPr="00F2779E">
        <w:t>ence courses, such that the demographics of these courses better reflect the student</w:t>
      </w:r>
      <w:r w:rsidR="0037153C">
        <w:t xml:space="preserve"> diversity</w:t>
      </w:r>
      <w:r w:rsidRPr="00F2779E">
        <w:t xml:space="preserve"> of the school and district.</w:t>
      </w:r>
    </w:p>
    <w:p w14:paraId="388A7A9A" w14:textId="361DC18B" w:rsidR="00F2779E" w:rsidRPr="00F2779E" w:rsidRDefault="00F2779E" w:rsidP="00F2779E">
      <w:pPr>
        <w:pStyle w:val="ListNumber"/>
      </w:pPr>
      <w:r w:rsidRPr="00F2779E">
        <w:t xml:space="preserve">Increase student performance in AP </w:t>
      </w:r>
      <w:r w:rsidR="00BD65F8">
        <w:t xml:space="preserve">ELA, mathematics, and </w:t>
      </w:r>
      <w:r w:rsidRPr="00F2779E">
        <w:t>science courses.</w:t>
      </w:r>
    </w:p>
    <w:p w14:paraId="338E434F" w14:textId="77777777" w:rsidR="00F2779E" w:rsidRPr="00F2779E" w:rsidRDefault="00F2779E" w:rsidP="00F2779E">
      <w:pPr>
        <w:pStyle w:val="ListNumber"/>
      </w:pPr>
      <w:r w:rsidRPr="00F2779E">
        <w:t>Increase the number of students taking AP exams, particularly students who are from historically marginalized communities.</w:t>
      </w:r>
    </w:p>
    <w:p w14:paraId="73B8ED9C" w14:textId="77777777" w:rsidR="00F2779E" w:rsidRPr="00F2779E" w:rsidRDefault="00F2779E" w:rsidP="00F2779E">
      <w:pPr>
        <w:pStyle w:val="ListNumber"/>
      </w:pPr>
      <w:r w:rsidRPr="00F2779E">
        <w:t>Increase the number of students scoring a 3 or higher on AP exams, particularly underrepresented minority students and students who are economically disadvantaged.</w:t>
      </w:r>
    </w:p>
    <w:p w14:paraId="1880778E" w14:textId="2E96B708" w:rsidR="00F2779E" w:rsidRPr="00F2779E" w:rsidRDefault="00F2779E" w:rsidP="00F2779E">
      <w:pPr>
        <w:pStyle w:val="ListNumber"/>
      </w:pPr>
      <w:r w:rsidRPr="00F2779E">
        <w:t>Increase readiness for college-level study in</w:t>
      </w:r>
      <w:r w:rsidR="00BD65F8">
        <w:t xml:space="preserve"> ELA, math</w:t>
      </w:r>
      <w:r w:rsidR="00902A32">
        <w:t>ematics</w:t>
      </w:r>
      <w:r w:rsidR="00BD65F8">
        <w:t xml:space="preserve">, and science </w:t>
      </w:r>
      <w:r w:rsidRPr="00F2779E">
        <w:t>fields.</w:t>
      </w:r>
    </w:p>
    <w:p w14:paraId="13773C0F" w14:textId="66F876F6" w:rsidR="00F2779E" w:rsidRPr="00F2779E" w:rsidRDefault="00F2779E" w:rsidP="00F2779E">
      <w:pPr>
        <w:pStyle w:val="ListNumber"/>
      </w:pPr>
      <w:r w:rsidRPr="00F2779E">
        <w:t xml:space="preserve">Improve </w:t>
      </w:r>
      <w:r w:rsidR="00BD65F8">
        <w:t xml:space="preserve">ELA, mathematics, and science </w:t>
      </w:r>
      <w:r w:rsidRPr="00F2779E">
        <w:t>teacher effectiveness, including content knowledge and pedagogical skills.</w:t>
      </w:r>
    </w:p>
    <w:p w14:paraId="6047CB23" w14:textId="77777777" w:rsidR="00F2779E" w:rsidRPr="0030236E" w:rsidRDefault="00F2779E" w:rsidP="00F653D6">
      <w:pPr>
        <w:pStyle w:val="BodyText"/>
      </w:pPr>
      <w:r w:rsidRPr="0030236E">
        <w:t xml:space="preserve">To meet these program goals and track efforts to improve student achievement, DESE contracted with Mass Insight Education and Research (Mi) to implement tasks and responsibilities aligned with the purposes of the program. Mi has administered the program since the initiative’s inception in 2007, including under the program’s previous name, Mass Math + Science Initiative’s (MMSI) “Advanced Placement Training and Awards Program.” </w:t>
      </w:r>
    </w:p>
    <w:p w14:paraId="3D48E6B1" w14:textId="28642073" w:rsidR="00F2779E" w:rsidRPr="0030236E" w:rsidRDefault="00F2779E" w:rsidP="00F653D6">
      <w:pPr>
        <w:pStyle w:val="BodyText"/>
      </w:pPr>
      <w:r w:rsidRPr="0030236E">
        <w:lastRenderedPageBreak/>
        <w:t xml:space="preserve">Mi’s first cohort of the program was comprised of eight schools during the 2008–09 academic year. The program </w:t>
      </w:r>
      <w:r w:rsidR="006C0826">
        <w:t>wel</w:t>
      </w:r>
      <w:r w:rsidRPr="0030236E">
        <w:t>comed its 1</w:t>
      </w:r>
      <w:r>
        <w:t>7</w:t>
      </w:r>
      <w:r w:rsidRPr="0030236E">
        <w:rPr>
          <w:vertAlign w:val="superscript"/>
        </w:rPr>
        <w:t>th</w:t>
      </w:r>
      <w:r w:rsidRPr="0030236E">
        <w:t xml:space="preserve"> cohort of schools during the 202</w:t>
      </w:r>
      <w:r>
        <w:t>4</w:t>
      </w:r>
      <w:r w:rsidRPr="0030236E">
        <w:t>–2</w:t>
      </w:r>
      <w:r>
        <w:t>5</w:t>
      </w:r>
      <w:r w:rsidRPr="0030236E">
        <w:t xml:space="preserve"> academic year. While Mi has evolved their program to continue meeting the needs of </w:t>
      </w:r>
      <w:proofErr w:type="gramStart"/>
      <w:r w:rsidRPr="0030236E">
        <w:t>participating</w:t>
      </w:r>
      <w:proofErr w:type="gramEnd"/>
      <w:r w:rsidRPr="0030236E">
        <w:t xml:space="preserve"> schools, the key tasks implemented by the program have been consistent over time. Namely, Mi aims to do the following in each participating school:</w:t>
      </w:r>
    </w:p>
    <w:p w14:paraId="30C6DA23" w14:textId="77777777" w:rsidR="00F2779E" w:rsidRPr="00F2779E" w:rsidRDefault="00F2779E" w:rsidP="00F2779E">
      <w:pPr>
        <w:pStyle w:val="ListNumber"/>
        <w:numPr>
          <w:ilvl w:val="0"/>
          <w:numId w:val="13"/>
        </w:numPr>
      </w:pPr>
      <w:r w:rsidRPr="00F2779E">
        <w:t>Increase participation and improve performance in AP science, mathematics, and ELA courses and on exams, with a focus on students who are from historically marginalized communities.</w:t>
      </w:r>
    </w:p>
    <w:p w14:paraId="57AB2F47" w14:textId="77777777" w:rsidR="00F2779E" w:rsidRPr="00F2779E" w:rsidRDefault="00F2779E" w:rsidP="00F2779E">
      <w:pPr>
        <w:pStyle w:val="ListNumber"/>
      </w:pPr>
      <w:r w:rsidRPr="00F2779E">
        <w:t>Increase the effectiveness of AP science, mathematics, and ELA teachers.</w:t>
      </w:r>
    </w:p>
    <w:p w14:paraId="5D41AA55" w14:textId="77777777" w:rsidR="00F2779E" w:rsidRPr="00F2779E" w:rsidRDefault="00F2779E" w:rsidP="00F2779E">
      <w:pPr>
        <w:pStyle w:val="ListNumber"/>
      </w:pPr>
      <w:r w:rsidRPr="00F2779E">
        <w:t>Increase the number of new and/or additional AP science, mathematics, and ELA courses offered by districts and schools in the Commonwealth.</w:t>
      </w:r>
    </w:p>
    <w:p w14:paraId="3B305C2A" w14:textId="77777777" w:rsidR="00F2779E" w:rsidRPr="00F2779E" w:rsidRDefault="00F2779E" w:rsidP="00F2779E">
      <w:pPr>
        <w:pStyle w:val="ListNumber"/>
      </w:pPr>
      <w:r w:rsidRPr="00F2779E">
        <w:t>Develop collaborations with other existing and/or newly established AP initiatives or organizations to build a robust and collaborative support system for students who are from historically marginalized communities, their parent(s)/guardian(s), and teachers.</w:t>
      </w:r>
    </w:p>
    <w:p w14:paraId="494C9691" w14:textId="7BB67A8F" w:rsidR="00F2779E" w:rsidRPr="0030236E" w:rsidRDefault="00F2779E" w:rsidP="00F653D6">
      <w:pPr>
        <w:pStyle w:val="BodyText"/>
      </w:pPr>
      <w:r w:rsidRPr="0030236E">
        <w:t xml:space="preserve">In their work </w:t>
      </w:r>
      <w:proofErr w:type="gramStart"/>
      <w:r w:rsidRPr="0030236E">
        <w:t>to complete</w:t>
      </w:r>
      <w:proofErr w:type="gramEnd"/>
      <w:r w:rsidRPr="0030236E">
        <w:t xml:space="preserve"> these tasks, Mi is responsible for a variety of activities that fall into three main tiers of assistance: 1) teacher </w:t>
      </w:r>
      <w:proofErr w:type="gramStart"/>
      <w:r w:rsidRPr="0030236E">
        <w:t>supports</w:t>
      </w:r>
      <w:proofErr w:type="gramEnd"/>
      <w:r w:rsidRPr="0030236E">
        <w:t xml:space="preserve">, 2) student </w:t>
      </w:r>
      <w:proofErr w:type="gramStart"/>
      <w:r w:rsidRPr="0030236E">
        <w:t>supports</w:t>
      </w:r>
      <w:proofErr w:type="gramEnd"/>
      <w:r w:rsidRPr="0030236E">
        <w:t xml:space="preserve">, and 3) school </w:t>
      </w:r>
      <w:proofErr w:type="gramStart"/>
      <w:r w:rsidRPr="0030236E">
        <w:t>supports</w:t>
      </w:r>
      <w:proofErr w:type="gramEnd"/>
      <w:r w:rsidRPr="0030236E">
        <w:t>. Specific examples of these forms of assistance include, but are not limited to, maintaining partnerships with schools with high percentages of students who are from historically marginalized communities, encouraging recruitment of students who are from historically marginalized communities into AP science and mathematics classes, providing exam fee subsidies to students who are economically disadvantaged, and supporting professional development for STEM AP teachers.</w:t>
      </w:r>
    </w:p>
    <w:p w14:paraId="6EAB3502" w14:textId="77777777" w:rsidR="008E4483" w:rsidRPr="0030236E" w:rsidRDefault="008E4483" w:rsidP="00F653D6">
      <w:pPr>
        <w:pStyle w:val="BodyText"/>
      </w:pPr>
    </w:p>
    <w:p w14:paraId="20210F42" w14:textId="48F615AD" w:rsidR="001F1586" w:rsidRDefault="0012091A" w:rsidP="000A32C2">
      <w:pPr>
        <w:pStyle w:val="BodyText"/>
      </w:pPr>
      <w:r>
        <w:t>Since 2013, t</w:t>
      </w:r>
      <w:r w:rsidR="004E3D56">
        <w:t>he UMass Donahue Institute (UMDI) has been contracted by DESE to conduct a</w:t>
      </w:r>
      <w:r w:rsidR="00C13076">
        <w:t xml:space="preserve">n </w:t>
      </w:r>
      <w:r w:rsidR="004E3D56">
        <w:t xml:space="preserve">evaluation of the AP STEM and English </w:t>
      </w:r>
      <w:r w:rsidR="00C13076">
        <w:t xml:space="preserve">program. </w:t>
      </w:r>
      <w:r w:rsidR="001F1586">
        <w:t xml:space="preserve">In Year 8 of the evaluation, UMDI focused on evaluating whether the following program goals were met: </w:t>
      </w:r>
    </w:p>
    <w:p w14:paraId="2F532B1F" w14:textId="22A71336" w:rsidR="001F1586" w:rsidRPr="00F2779E" w:rsidRDefault="001F1586" w:rsidP="00E163BD">
      <w:pPr>
        <w:pStyle w:val="ListNumber"/>
        <w:numPr>
          <w:ilvl w:val="0"/>
          <w:numId w:val="42"/>
        </w:numPr>
      </w:pPr>
      <w:r w:rsidRPr="00F2779E">
        <w:t xml:space="preserve">Increase student enrollment and performance in AP STEM and English courses and exams, particularly among historically marginalized </w:t>
      </w:r>
      <w:r w:rsidR="00AD539F">
        <w:t>student groups</w:t>
      </w:r>
      <w:r w:rsidRPr="00F2779E">
        <w:t>.</w:t>
      </w:r>
    </w:p>
    <w:p w14:paraId="24AA1D6E" w14:textId="77777777" w:rsidR="001F1586" w:rsidRPr="00F2779E" w:rsidRDefault="001F1586" w:rsidP="001F1586">
      <w:pPr>
        <w:pStyle w:val="ListNumber"/>
      </w:pPr>
      <w:r w:rsidRPr="00F2779E">
        <w:t>Increase equity and access to AP STEM and English courses and exams.</w:t>
      </w:r>
    </w:p>
    <w:p w14:paraId="2D37BE48" w14:textId="38B91F19" w:rsidR="001F1586" w:rsidRPr="00B43428" w:rsidRDefault="004439ED" w:rsidP="001F1586">
      <w:r>
        <w:t>D</w:t>
      </w:r>
      <w:r w:rsidR="001F1586" w:rsidRPr="00831C97">
        <w:t>escriptive quantitative analyses conducted</w:t>
      </w:r>
      <w:r w:rsidR="001F1586">
        <w:t xml:space="preserve"> in Years 9 through 12 </w:t>
      </w:r>
      <w:r w:rsidR="00425FC6">
        <w:t>further explored outcomes identified in Year 8</w:t>
      </w:r>
      <w:r w:rsidR="00815B96">
        <w:t xml:space="preserve">, specifically regarding AP course and exam participation and performance. These analyses examined whether </w:t>
      </w:r>
      <w:proofErr w:type="gramStart"/>
      <w:r w:rsidR="00815B96">
        <w:t>students</w:t>
      </w:r>
      <w:r w:rsidR="003B6924">
        <w:t>—</w:t>
      </w:r>
      <w:proofErr w:type="gramEnd"/>
      <w:r w:rsidR="003B6924">
        <w:t xml:space="preserve">particularly those from historically marginalized </w:t>
      </w:r>
      <w:proofErr w:type="gramStart"/>
      <w:r w:rsidR="003B6924">
        <w:t>communities—</w:t>
      </w:r>
      <w:proofErr w:type="gramEnd"/>
      <w:r w:rsidR="003B6924">
        <w:t xml:space="preserve">were taking and passing any AP courses </w:t>
      </w:r>
      <w:r w:rsidR="001F1586" w:rsidRPr="00887FB1">
        <w:t>(ELA, math, or science</w:t>
      </w:r>
      <w:r w:rsidR="001C40AD" w:rsidRPr="00887FB1">
        <w:t>),</w:t>
      </w:r>
      <w:r w:rsidR="001F1586" w:rsidRPr="00887FB1">
        <w:t xml:space="preserve"> </w:t>
      </w:r>
      <w:r w:rsidR="0001179A">
        <w:t xml:space="preserve">as well as </w:t>
      </w:r>
      <w:r w:rsidR="001F1586" w:rsidRPr="00887FB1">
        <w:t>AP ELA, AP math, or AP science course</w:t>
      </w:r>
      <w:r w:rsidR="0028744D">
        <w:t>s</w:t>
      </w:r>
      <w:r w:rsidR="001F1586" w:rsidRPr="00887FB1">
        <w:t>/</w:t>
      </w:r>
      <w:r w:rsidR="0052039A" w:rsidRPr="00887FB1">
        <w:t>exam</w:t>
      </w:r>
      <w:r w:rsidR="0052039A">
        <w:t>s. Additionally</w:t>
      </w:r>
      <w:r w:rsidR="0028744D">
        <w:t xml:space="preserve">, the </w:t>
      </w:r>
      <w:r w:rsidR="0052039A">
        <w:t>analyses</w:t>
      </w:r>
      <w:r w:rsidR="0028744D">
        <w:t xml:space="preserve"> assessed </w:t>
      </w:r>
      <w:r w:rsidR="001F1586" w:rsidRPr="00887FB1">
        <w:t xml:space="preserve">whether schools participating in Mi’s program showed </w:t>
      </w:r>
      <w:r w:rsidR="0028744D">
        <w:t xml:space="preserve">increased </w:t>
      </w:r>
      <w:r w:rsidR="0052039A">
        <w:t xml:space="preserve">rates of </w:t>
      </w:r>
      <w:r w:rsidR="0028744D">
        <w:t>AP course and exam participation.</w:t>
      </w:r>
      <w:r w:rsidR="0052039A">
        <w:t xml:space="preserve"> </w:t>
      </w:r>
    </w:p>
    <w:p w14:paraId="4E8BA845" w14:textId="7C7DB525" w:rsidR="001F1586" w:rsidRDefault="001F1586" w:rsidP="001F1586">
      <w:r w:rsidRPr="00887FB1">
        <w:lastRenderedPageBreak/>
        <w:t xml:space="preserve">One </w:t>
      </w:r>
      <w:r w:rsidR="00E03D76">
        <w:t>outcome</w:t>
      </w:r>
      <w:r w:rsidR="00E03D76" w:rsidRPr="00887FB1">
        <w:t xml:space="preserve"> </w:t>
      </w:r>
      <w:r w:rsidRPr="00887FB1">
        <w:t xml:space="preserve">of this </w:t>
      </w:r>
      <w:r>
        <w:t xml:space="preserve">previous </w:t>
      </w:r>
      <w:r w:rsidRPr="00887FB1">
        <w:t>work is that</w:t>
      </w:r>
      <w:r w:rsidR="00E03D76">
        <w:t xml:space="preserve">, beginning </w:t>
      </w:r>
      <w:r w:rsidRPr="00887FB1">
        <w:t xml:space="preserve">in </w:t>
      </w:r>
      <w:r>
        <w:t xml:space="preserve">school year (SY) </w:t>
      </w:r>
      <w:r w:rsidRPr="00887FB1">
        <w:t xml:space="preserve">2023 </w:t>
      </w:r>
      <w:r w:rsidRPr="00B43428">
        <w:t xml:space="preserve">Mi began providing DESE information on a variety of </w:t>
      </w:r>
      <w:r w:rsidRPr="00887FB1">
        <w:t xml:space="preserve">AP STEM and English-supported </w:t>
      </w:r>
      <w:r w:rsidRPr="00B43428">
        <w:t>activities</w:t>
      </w:r>
      <w:r w:rsidR="00B36DF5">
        <w:t xml:space="preserve">. These activities are organized into </w:t>
      </w:r>
      <w:r w:rsidRPr="00B43428">
        <w:t xml:space="preserve">three main tiers of </w:t>
      </w:r>
      <w:r w:rsidR="006D7F1E">
        <w:t>support</w:t>
      </w:r>
      <w:r w:rsidRPr="00B43428">
        <w:t xml:space="preserve">: 1) teacher </w:t>
      </w:r>
      <w:proofErr w:type="gramStart"/>
      <w:r w:rsidRPr="00B43428">
        <w:t>supports</w:t>
      </w:r>
      <w:proofErr w:type="gramEnd"/>
      <w:r w:rsidRPr="00B43428">
        <w:t xml:space="preserve">, 2) student </w:t>
      </w:r>
      <w:proofErr w:type="gramStart"/>
      <w:r w:rsidRPr="00B43428">
        <w:t>supports</w:t>
      </w:r>
      <w:proofErr w:type="gramEnd"/>
      <w:r w:rsidRPr="00B43428">
        <w:t xml:space="preserve">, and 3) school </w:t>
      </w:r>
      <w:proofErr w:type="gramStart"/>
      <w:r w:rsidRPr="00B43428">
        <w:t>supports</w:t>
      </w:r>
      <w:proofErr w:type="gramEnd"/>
      <w:r w:rsidRPr="00B43428">
        <w:t xml:space="preserve">. </w:t>
      </w:r>
      <w:r w:rsidRPr="00887FB1">
        <w:t>With two years of data now collected (SY</w:t>
      </w:r>
      <w:r w:rsidR="00E80B70">
        <w:t>20</w:t>
      </w:r>
      <w:r w:rsidRPr="00887FB1">
        <w:t>23 and SY</w:t>
      </w:r>
      <w:r w:rsidR="00E80B70">
        <w:t>20</w:t>
      </w:r>
      <w:r w:rsidRPr="00887FB1">
        <w:t xml:space="preserve">24), </w:t>
      </w:r>
      <w:r w:rsidR="006D7F1E">
        <w:t xml:space="preserve">UMDI has, for the first time, been able </w:t>
      </w:r>
      <w:r w:rsidRPr="00887FB1">
        <w:t xml:space="preserve">to link DESE administrative data (SIMS and SCS files) to </w:t>
      </w:r>
      <w:r w:rsidR="006D7F1E">
        <w:t xml:space="preserve">the </w:t>
      </w:r>
      <w:proofErr w:type="gramStart"/>
      <w:r w:rsidRPr="00887FB1">
        <w:t>supports</w:t>
      </w:r>
      <w:proofErr w:type="gramEnd"/>
      <w:r w:rsidRPr="00887FB1">
        <w:t xml:space="preserve"> provided </w:t>
      </w:r>
      <w:r w:rsidR="006D7F1E">
        <w:t xml:space="preserve">by Mi </w:t>
      </w:r>
      <w:r w:rsidRPr="00887FB1">
        <w:t>to schools and students.</w:t>
      </w:r>
    </w:p>
    <w:p w14:paraId="5EC35048" w14:textId="16B132AF" w:rsidR="001F1586" w:rsidRDefault="001F1586" w:rsidP="001F1586">
      <w:pPr>
        <w:spacing w:line="256" w:lineRule="auto"/>
      </w:pPr>
      <w:r>
        <w:t>This current report (Year 13) provides a summary of student-level descriptive and quasi-experimental</w:t>
      </w:r>
      <w:r w:rsidR="003E04C1">
        <w:t xml:space="preserve"> </w:t>
      </w:r>
      <w:r>
        <w:t>analyses conducted to further explore AP course passing and AP exam taking and passing rates—for all students—and respond</w:t>
      </w:r>
      <w:r w:rsidR="006C7D21">
        <w:t>s</w:t>
      </w:r>
      <w:r>
        <w:t xml:space="preserve"> to the following evaluation question:</w:t>
      </w:r>
    </w:p>
    <w:p w14:paraId="05EBC59B" w14:textId="77777777" w:rsidR="001F1586" w:rsidRPr="00F2779E" w:rsidRDefault="001F1586" w:rsidP="001F1586">
      <w:pPr>
        <w:pStyle w:val="ListNumber"/>
        <w:numPr>
          <w:ilvl w:val="0"/>
          <w:numId w:val="12"/>
        </w:numPr>
      </w:pPr>
      <w:r w:rsidRPr="00F2779E">
        <w:t xml:space="preserve">Are students at participating schools who participated in mock exams or study sessions more likely to 1) take an AP exam, 2) pass an AP exam, or 3) pass an AP course than are students at participating schools who did not participate in mock exams or study sessions? </w:t>
      </w:r>
    </w:p>
    <w:p w14:paraId="410890EB" w14:textId="2B52520E" w:rsidR="001F1586" w:rsidRDefault="001F1586" w:rsidP="001F1586">
      <w:r w:rsidRPr="00887FB1">
        <w:t xml:space="preserve">Additionally, </w:t>
      </w:r>
      <w:r>
        <w:t xml:space="preserve">in collaboration with DESE, </w:t>
      </w:r>
      <w:r w:rsidRPr="00887FB1">
        <w:t xml:space="preserve">UMDI distributed </w:t>
      </w:r>
      <w:r w:rsidR="00C92BD9">
        <w:t xml:space="preserve">two </w:t>
      </w:r>
      <w:r w:rsidRPr="00887FB1">
        <w:t>surveys to teachers who participated in the AP Summer Institute during the summer of 2024</w:t>
      </w:r>
      <w:r w:rsidR="00C92BD9">
        <w:t xml:space="preserve">; </w:t>
      </w:r>
      <w:r w:rsidR="00124833">
        <w:t xml:space="preserve">one survey was distributed </w:t>
      </w:r>
      <w:r w:rsidR="00C92BD9">
        <w:t xml:space="preserve">on the final day of the APSI and the other in November, once </w:t>
      </w:r>
      <w:r w:rsidR="00124833">
        <w:t xml:space="preserve">teachers </w:t>
      </w:r>
      <w:r w:rsidR="00C92BD9">
        <w:t xml:space="preserve">had </w:t>
      </w:r>
      <w:r w:rsidR="00124833">
        <w:t>returned to</w:t>
      </w:r>
      <w:r w:rsidR="00C92BD9">
        <w:t xml:space="preserve"> their classrooms</w:t>
      </w:r>
      <w:r w:rsidRPr="00887FB1">
        <w:t xml:space="preserve">. </w:t>
      </w:r>
      <w:r>
        <w:t>Prior to this survey there were limited opportunities to receive feedback from teachers once training was complete, so DESE</w:t>
      </w:r>
      <w:r w:rsidR="000659F0">
        <w:t xml:space="preserve"> </w:t>
      </w:r>
      <w:r>
        <w:t xml:space="preserve">sought to learn about whether </w:t>
      </w:r>
      <w:r w:rsidR="00570400">
        <w:t>teacher</w:t>
      </w:r>
      <w:r>
        <w:t xml:space="preserve"> beliefs </w:t>
      </w:r>
      <w:r w:rsidR="00E03F1C">
        <w:t>about</w:t>
      </w:r>
      <w:r>
        <w:t xml:space="preserve"> the quality of the training changed once they’d been in their classrooms, and if there </w:t>
      </w:r>
      <w:r w:rsidR="00B25894">
        <w:t>were</w:t>
      </w:r>
      <w:r w:rsidR="00932E97">
        <w:t xml:space="preserve"> </w:t>
      </w:r>
      <w:r>
        <w:t>any additional supports that could be provided to teachers to better serve students once APSI training had ended. These surveys aim</w:t>
      </w:r>
      <w:r w:rsidR="006C7D21">
        <w:t>ed</w:t>
      </w:r>
      <w:r>
        <w:t xml:space="preserve"> to respond to the following evaluation questions:</w:t>
      </w:r>
    </w:p>
    <w:p w14:paraId="00AC5766" w14:textId="77777777" w:rsidR="001F1586" w:rsidRDefault="001F1586" w:rsidP="00E163BD">
      <w:pPr>
        <w:pStyle w:val="ListNumber"/>
        <w:numPr>
          <w:ilvl w:val="0"/>
          <w:numId w:val="12"/>
        </w:numPr>
      </w:pPr>
      <w:r>
        <w:t>In what ways and to what extent do the resources and activities provided by the contracted program vendor during APSI training contribute to participants’ preparedness to teach AP courses? What additional types of resources would be helpful?</w:t>
      </w:r>
    </w:p>
    <w:p w14:paraId="6EA1973A" w14:textId="77777777" w:rsidR="001F1586" w:rsidRDefault="001F1586" w:rsidP="001F1586">
      <w:pPr>
        <w:pStyle w:val="ListNumber"/>
      </w:pPr>
      <w:r>
        <w:t>What, if any, are the long-term impacts of the APSI training?</w:t>
      </w:r>
    </w:p>
    <w:p w14:paraId="7CF252A1" w14:textId="75705B90" w:rsidR="001F1586" w:rsidRPr="000C24C1" w:rsidRDefault="001F1586">
      <w:pPr>
        <w:pStyle w:val="ListNumber"/>
        <w:spacing w:after="160" w:line="259" w:lineRule="auto"/>
        <w:rPr>
          <w:color w:val="000000" w:themeColor="text1"/>
        </w:rPr>
      </w:pPr>
      <w:r>
        <w:t>What components of the APSI training foster a college-going culture and/or increase implementation of equity-minded teaching practices?</w:t>
      </w:r>
    </w:p>
    <w:p w14:paraId="4A6577E4" w14:textId="20A619ED" w:rsidR="00F2779E" w:rsidRDefault="00F2779E" w:rsidP="00F653D6">
      <w:pPr>
        <w:pStyle w:val="BodyText"/>
      </w:pPr>
      <w:r w:rsidRPr="0030236E">
        <w:t xml:space="preserve">This report is organized into </w:t>
      </w:r>
      <w:r w:rsidR="00CA0D9E">
        <w:t>four</w:t>
      </w:r>
      <w:r w:rsidR="00CA0D9E" w:rsidRPr="0030236E">
        <w:t xml:space="preserve"> </w:t>
      </w:r>
      <w:r w:rsidRPr="0030236E">
        <w:t xml:space="preserve">main sections. The first </w:t>
      </w:r>
      <w:r w:rsidR="005166E0">
        <w:t>two</w:t>
      </w:r>
      <w:r w:rsidR="005166E0" w:rsidRPr="0030236E">
        <w:t xml:space="preserve"> </w:t>
      </w:r>
      <w:r w:rsidRPr="0030236E">
        <w:t>sections</w:t>
      </w:r>
      <w:r w:rsidRPr="00D6271A">
        <w:rPr>
          <w:color w:val="auto"/>
        </w:rPr>
        <w:t>—</w:t>
      </w:r>
      <w:hyperlink w:anchor="_Introduction" w:history="1">
        <w:r w:rsidR="00CA0D9E" w:rsidRPr="00D6271A">
          <w:rPr>
            <w:rStyle w:val="Hyperlink"/>
            <w:color w:val="auto"/>
            <w14:ligatures w14:val="none"/>
          </w:rPr>
          <w:t>Introduction</w:t>
        </w:r>
      </w:hyperlink>
      <w:r w:rsidR="00CA0D9E" w:rsidRPr="00D6271A">
        <w:rPr>
          <w:color w:val="auto"/>
        </w:rPr>
        <w:t xml:space="preserve"> and </w:t>
      </w:r>
      <w:hyperlink w:anchor="_Methodology" w:history="1">
        <w:r w:rsidR="00CA0D9E" w:rsidRPr="00D6271A">
          <w:rPr>
            <w:rStyle w:val="Hyperlink"/>
            <w:color w:val="auto"/>
            <w14:ligatures w14:val="none"/>
          </w:rPr>
          <w:t>Methodology</w:t>
        </w:r>
      </w:hyperlink>
      <w:r w:rsidRPr="00D6271A">
        <w:rPr>
          <w:color w:val="auto"/>
        </w:rPr>
        <w:t xml:space="preserve">—provide an overarching description of the analyses and summarize points considered in the analyses. The </w:t>
      </w:r>
      <w:r w:rsidR="005166E0" w:rsidRPr="00D6271A">
        <w:rPr>
          <w:color w:val="auto"/>
        </w:rPr>
        <w:t xml:space="preserve">third </w:t>
      </w:r>
      <w:r w:rsidR="00583D13" w:rsidRPr="00D6271A">
        <w:rPr>
          <w:color w:val="auto"/>
        </w:rPr>
        <w:t>section</w:t>
      </w:r>
      <w:r w:rsidRPr="00D6271A">
        <w:rPr>
          <w:color w:val="auto"/>
        </w:rPr>
        <w:t>—</w:t>
      </w:r>
      <w:hyperlink w:anchor="_Results" w:history="1">
        <w:r w:rsidR="000C24C1" w:rsidRPr="00D6271A">
          <w:rPr>
            <w:color w:val="auto"/>
            <w:u w:val="single"/>
          </w:rPr>
          <w:t>Results</w:t>
        </w:r>
      </w:hyperlink>
      <w:r w:rsidR="000C24C1" w:rsidRPr="00D6271A">
        <w:rPr>
          <w:color w:val="auto"/>
        </w:rPr>
        <w:t>—</w:t>
      </w:r>
      <w:r w:rsidRPr="00D6271A">
        <w:rPr>
          <w:color w:val="auto"/>
        </w:rPr>
        <w:t xml:space="preserve">presents the key results from the descriptive </w:t>
      </w:r>
      <w:r w:rsidR="005166E0" w:rsidRPr="00D6271A">
        <w:rPr>
          <w:color w:val="auto"/>
        </w:rPr>
        <w:t xml:space="preserve">and </w:t>
      </w:r>
      <w:r w:rsidR="00C254EF">
        <w:rPr>
          <w:color w:val="auto"/>
        </w:rPr>
        <w:t>quasi-experimental</w:t>
      </w:r>
      <w:r w:rsidR="00C254EF" w:rsidRPr="00D6271A">
        <w:rPr>
          <w:color w:val="auto"/>
        </w:rPr>
        <w:t xml:space="preserve"> </w:t>
      </w:r>
      <w:r w:rsidRPr="00D6271A">
        <w:rPr>
          <w:color w:val="auto"/>
        </w:rPr>
        <w:t>analyses</w:t>
      </w:r>
      <w:r w:rsidR="009E4425">
        <w:rPr>
          <w:color w:val="auto"/>
        </w:rPr>
        <w:t xml:space="preserve">. The report concludes with a brief </w:t>
      </w:r>
      <w:hyperlink w:anchor="_Discussion_and_Conclusion" w:history="1">
        <w:r w:rsidR="00583D13" w:rsidRPr="00D6271A">
          <w:rPr>
            <w:rStyle w:val="Hyperlink"/>
            <w:color w:val="auto"/>
            <w14:ligatures w14:val="none"/>
          </w:rPr>
          <w:t xml:space="preserve">Discussion and </w:t>
        </w:r>
        <w:r w:rsidR="00714721" w:rsidRPr="00D6271A">
          <w:rPr>
            <w:rStyle w:val="Hyperlink"/>
            <w:color w:val="auto"/>
            <w14:ligatures w14:val="none"/>
          </w:rPr>
          <w:t>Conclusion</w:t>
        </w:r>
      </w:hyperlink>
      <w:r w:rsidR="00084D18">
        <w:t xml:space="preserve"> section</w:t>
      </w:r>
      <w:r w:rsidRPr="00D6271A">
        <w:rPr>
          <w:color w:val="auto"/>
        </w:rPr>
        <w:t>.</w:t>
      </w:r>
      <w:r>
        <w:br w:type="page"/>
      </w:r>
    </w:p>
    <w:p w14:paraId="31B53D0C" w14:textId="023DDCF3" w:rsidR="00F2779E" w:rsidRDefault="0012091A" w:rsidP="007B49DA">
      <w:pPr>
        <w:pStyle w:val="Heading2"/>
      </w:pPr>
      <w:bookmarkStart w:id="66" w:name="_Methodology"/>
      <w:bookmarkStart w:id="67" w:name="_Toc207348153"/>
      <w:bookmarkEnd w:id="66"/>
      <w:r>
        <w:lastRenderedPageBreak/>
        <w:t>Methodology</w:t>
      </w:r>
      <w:bookmarkEnd w:id="67"/>
    </w:p>
    <w:p w14:paraId="10F3B953" w14:textId="3A62998E" w:rsidR="00F2779E" w:rsidRDefault="00F2779E" w:rsidP="00F653D6">
      <w:pPr>
        <w:pStyle w:val="BodyText"/>
      </w:pPr>
      <w:r w:rsidRPr="00E6030F">
        <w:t>This report includes a summary of</w:t>
      </w:r>
      <w:r>
        <w:t xml:space="preserve"> descriptive and quasi-experimental</w:t>
      </w:r>
      <w:r w:rsidRPr="00E6030F">
        <w:t xml:space="preserve"> analyses of </w:t>
      </w:r>
      <w:r>
        <w:t>students</w:t>
      </w:r>
      <w:r w:rsidRPr="00E6030F">
        <w:t xml:space="preserve"> </w:t>
      </w:r>
      <w:r w:rsidR="003F7ABC">
        <w:t>who</w:t>
      </w:r>
      <w:r w:rsidR="003F7ABC" w:rsidRPr="00E6030F">
        <w:t xml:space="preserve"> </w:t>
      </w:r>
      <w:r w:rsidRPr="00E6030F">
        <w:t xml:space="preserve">participated in </w:t>
      </w:r>
      <w:r>
        <w:t>two types of student support offered by Mi</w:t>
      </w:r>
      <w:r w:rsidR="003F7ABC">
        <w:t>—</w:t>
      </w:r>
      <w:r>
        <w:t>mock exams and study sessions</w:t>
      </w:r>
      <w:r w:rsidR="003F7ABC">
        <w:t>—</w:t>
      </w:r>
      <w:r>
        <w:t xml:space="preserve">as well as survey results from </w:t>
      </w:r>
      <w:r w:rsidR="00826935">
        <w:t xml:space="preserve">teachers who attended the </w:t>
      </w:r>
      <w:r>
        <w:t>AP Summer Institute (APSI)</w:t>
      </w:r>
      <w:r w:rsidRPr="00E6030F">
        <w:t xml:space="preserve">. </w:t>
      </w:r>
    </w:p>
    <w:p w14:paraId="71194EF6" w14:textId="77777777" w:rsidR="00F2779E" w:rsidRPr="007B49DA" w:rsidRDefault="00F2779E" w:rsidP="007B49DA">
      <w:pPr>
        <w:pStyle w:val="Heading3"/>
        <w:rPr>
          <w:color w:val="757575" w:themeColor="background2" w:themeShade="80"/>
          <w:sz w:val="28"/>
          <w:szCs w:val="28"/>
        </w:rPr>
      </w:pPr>
      <w:bookmarkStart w:id="68" w:name="_Toc202784427"/>
      <w:bookmarkStart w:id="69" w:name="_Toc202784513"/>
      <w:bookmarkStart w:id="70" w:name="_Toc202788398"/>
      <w:bookmarkStart w:id="71" w:name="_Toc204766655"/>
      <w:bookmarkStart w:id="72" w:name="_Toc206742093"/>
      <w:bookmarkStart w:id="73" w:name="_Toc207183722"/>
      <w:bookmarkStart w:id="74" w:name="_Toc207348154"/>
      <w:r w:rsidRPr="007B49DA">
        <w:rPr>
          <w:color w:val="757575" w:themeColor="background2" w:themeShade="80"/>
          <w:sz w:val="28"/>
          <w:szCs w:val="28"/>
        </w:rPr>
        <w:t>Quasi-experimental Analyses</w:t>
      </w:r>
      <w:bookmarkEnd w:id="68"/>
      <w:bookmarkEnd w:id="69"/>
      <w:bookmarkEnd w:id="70"/>
      <w:bookmarkEnd w:id="71"/>
      <w:bookmarkEnd w:id="72"/>
      <w:bookmarkEnd w:id="73"/>
      <w:bookmarkEnd w:id="74"/>
    </w:p>
    <w:p w14:paraId="72F71AD7" w14:textId="591B6CC1" w:rsidR="00F2779E" w:rsidRPr="00865C89" w:rsidRDefault="00F2779E" w:rsidP="00865C89">
      <w:pPr>
        <w:pStyle w:val="BodyText"/>
      </w:pPr>
      <w:r w:rsidRPr="00865C89">
        <w:t xml:space="preserve">Students were </w:t>
      </w:r>
      <w:r w:rsidR="00DC1AE0" w:rsidRPr="00865C89">
        <w:t>included in the</w:t>
      </w:r>
      <w:r w:rsidRPr="00865C89">
        <w:t xml:space="preserve"> analysis if they</w:t>
      </w:r>
      <w:r w:rsidR="00E163BD">
        <w:t>:</w:t>
      </w:r>
      <w:r w:rsidRPr="00865C89">
        <w:t xml:space="preserve"> 1) were enrolled in schools that were </w:t>
      </w:r>
      <w:r w:rsidR="00FA6565">
        <w:t>identified</w:t>
      </w:r>
      <w:r w:rsidRPr="00865C89">
        <w:t xml:space="preserve"> by Mi as being in “Core”</w:t>
      </w:r>
      <w:r w:rsidR="008E15D3">
        <w:rPr>
          <w:rStyle w:val="FootnoteReference"/>
        </w:rPr>
        <w:footnoteReference w:id="6"/>
      </w:r>
      <w:r w:rsidRPr="00865C89">
        <w:t xml:space="preserve"> or “S</w:t>
      </w:r>
      <w:r w:rsidR="004A33E9">
        <w:t xml:space="preserve">ustaining </w:t>
      </w:r>
      <w:r w:rsidRPr="00865C89">
        <w:t>P</w:t>
      </w:r>
      <w:r w:rsidR="004A33E9">
        <w:t>artner or SP</w:t>
      </w:r>
      <w:r w:rsidRPr="00865C89">
        <w:t>P”</w:t>
      </w:r>
      <w:r w:rsidR="008E15D3">
        <w:rPr>
          <w:rStyle w:val="FootnoteReference"/>
        </w:rPr>
        <w:footnoteReference w:id="7"/>
      </w:r>
      <w:r w:rsidRPr="00865C89">
        <w:t xml:space="preserve"> status </w:t>
      </w:r>
      <w:r w:rsidR="00776793">
        <w:t>during</w:t>
      </w:r>
      <w:r w:rsidRPr="00865C89">
        <w:t xml:space="preserve"> SY2023 or SY2024, and 2) were enrolled in at least one AP math, science, or ELA course. </w:t>
      </w:r>
      <w:bookmarkStart w:id="75" w:name="_Hlk202248919"/>
      <w:r w:rsidRPr="00865C89">
        <w:t>In total, 91 participating schools were included for the SY2023 analyses</w:t>
      </w:r>
      <w:r w:rsidR="0079600D">
        <w:t xml:space="preserve">, and </w:t>
      </w:r>
      <w:r w:rsidRPr="00865C89">
        <w:t xml:space="preserve">92 participating schools were included for the SY2024 analyses. </w:t>
      </w:r>
      <w:r w:rsidR="00E6211B">
        <w:t>Individual regression analyses were run by AP content area and student support type,</w:t>
      </w:r>
      <w:r w:rsidR="009A304D">
        <w:t xml:space="preserve"> with the </w:t>
      </w:r>
      <w:r w:rsidR="007311E2">
        <w:t xml:space="preserve">actual number of included schools varying across analyses. </w:t>
      </w:r>
      <w:r w:rsidR="00333A81">
        <w:t xml:space="preserve">A list of all schools </w:t>
      </w:r>
      <w:r w:rsidR="0010010E">
        <w:t xml:space="preserve">in Core or SPP status for SY2023 and SY2024 </w:t>
      </w:r>
      <w:r w:rsidR="004C5C7E">
        <w:t xml:space="preserve">is provided </w:t>
      </w:r>
      <w:r w:rsidR="002D4796">
        <w:t>in Appendix A.</w:t>
      </w:r>
    </w:p>
    <w:bookmarkEnd w:id="75"/>
    <w:p w14:paraId="52E357B2" w14:textId="77777777" w:rsidR="00632BF4" w:rsidRPr="00865C89" w:rsidRDefault="00632BF4" w:rsidP="00865C89">
      <w:pPr>
        <w:pStyle w:val="BodyText"/>
      </w:pPr>
    </w:p>
    <w:p w14:paraId="0CCDA478" w14:textId="64581934" w:rsidR="00F2779E" w:rsidRPr="00865C89" w:rsidRDefault="00F2779E" w:rsidP="00865C89">
      <w:pPr>
        <w:pStyle w:val="BodyText"/>
      </w:pPr>
      <w:r w:rsidRPr="00865C89">
        <w:t xml:space="preserve">Students </w:t>
      </w:r>
      <w:proofErr w:type="gramStart"/>
      <w:r w:rsidRPr="00865C89">
        <w:t>were considered to be</w:t>
      </w:r>
      <w:proofErr w:type="gramEnd"/>
      <w:r w:rsidRPr="00865C89">
        <w:t xml:space="preserve"> mock exam participants or study session participants if they were listed as participating in at least one mock exam or study session for a given AP content area in the </w:t>
      </w:r>
      <w:r w:rsidR="00DC1AE0" w:rsidRPr="00865C89">
        <w:t>data</w:t>
      </w:r>
      <w:r w:rsidRPr="00865C89">
        <w:t xml:space="preserve"> provided to DESE by Mi. </w:t>
      </w:r>
    </w:p>
    <w:p w14:paraId="4A352FDE" w14:textId="77777777" w:rsidR="008F3B50" w:rsidRPr="00865C89" w:rsidRDefault="008F3B50" w:rsidP="00865C89">
      <w:pPr>
        <w:pStyle w:val="BodyText"/>
      </w:pPr>
    </w:p>
    <w:p w14:paraId="482B3489" w14:textId="3F66A976" w:rsidR="00F2779E" w:rsidRPr="00865C89" w:rsidRDefault="00F2779E" w:rsidP="00865C89">
      <w:pPr>
        <w:pStyle w:val="BodyText"/>
      </w:pPr>
      <w:r w:rsidRPr="00865C89">
        <w:t>The descriptive and quasi-experimental analyses are based on AP course data from the Student Course Schedule (SCS) data file</w:t>
      </w:r>
      <w:r w:rsidR="00FC0513">
        <w:t>s</w:t>
      </w:r>
      <w:r w:rsidRPr="00865C89">
        <w:t xml:space="preserve"> and AP exam data from the AP Exam data file</w:t>
      </w:r>
      <w:r w:rsidR="00FC0513">
        <w:t>s</w:t>
      </w:r>
      <w:r w:rsidRPr="00865C89">
        <w:t xml:space="preserve"> provided by DESE for SY2023 and SY2024. Data </w:t>
      </w:r>
      <w:r w:rsidR="007D7603">
        <w:t xml:space="preserve">from these files </w:t>
      </w:r>
      <w:r w:rsidRPr="00865C89">
        <w:t>were merged with corresponding Student Information Management System (SIMS) data</w:t>
      </w:r>
      <w:r w:rsidR="00470FE9" w:rsidRPr="00865C89">
        <w:t xml:space="preserve"> files</w:t>
      </w:r>
      <w:r w:rsidR="00FA2A05">
        <w:t>,</w:t>
      </w:r>
      <w:r w:rsidRPr="00865C89">
        <w:t xml:space="preserve"> to identify key demographic information for participating students. </w:t>
      </w:r>
    </w:p>
    <w:p w14:paraId="2725F05C" w14:textId="77777777" w:rsidR="00470FE9" w:rsidRPr="00865C89" w:rsidRDefault="00470FE9" w:rsidP="00865C89">
      <w:pPr>
        <w:pStyle w:val="BodyText"/>
      </w:pPr>
    </w:p>
    <w:p w14:paraId="3C8B344D" w14:textId="19637C72" w:rsidR="00F2779E" w:rsidRPr="00865C89" w:rsidRDefault="00F2779E" w:rsidP="00865C89">
      <w:pPr>
        <w:pStyle w:val="BodyText"/>
      </w:pPr>
      <w:r w:rsidRPr="00865C89">
        <w:t>To be considered an AP course passer, a student must have</w:t>
      </w:r>
      <w:r w:rsidR="00E163BD">
        <w:t>:</w:t>
      </w:r>
      <w:r w:rsidRPr="00865C89">
        <w:t xml:space="preserve"> 1) completed the AP course, 2) earned credit, and 3) </w:t>
      </w:r>
      <w:proofErr w:type="gramStart"/>
      <w:r w:rsidRPr="00865C89">
        <w:t>received</w:t>
      </w:r>
      <w:proofErr w:type="gramEnd"/>
      <w:r w:rsidRPr="00865C89">
        <w:t xml:space="preserve"> a passing letter or numeric grade within the AP course. To be considered an exam taker, a student must have taken one or more AP </w:t>
      </w:r>
      <w:r w:rsidR="00E163BD">
        <w:t xml:space="preserve">ELA, </w:t>
      </w:r>
      <w:r w:rsidRPr="00865C89">
        <w:t xml:space="preserve">math, </w:t>
      </w:r>
      <w:r w:rsidR="00E163BD">
        <w:t xml:space="preserve">or </w:t>
      </w:r>
      <w:r w:rsidRPr="00865C89">
        <w:t>science</w:t>
      </w:r>
      <w:r w:rsidR="00E163BD">
        <w:t xml:space="preserve"> </w:t>
      </w:r>
      <w:r w:rsidRPr="00865C89">
        <w:t>exam</w:t>
      </w:r>
      <w:r w:rsidR="000D79C6" w:rsidRPr="00865C89">
        <w:t>. T</w:t>
      </w:r>
      <w:r w:rsidRPr="00865C89">
        <w:t xml:space="preserve">o be considered an exam </w:t>
      </w:r>
      <w:r w:rsidR="000D79C6" w:rsidRPr="00865C89">
        <w:t>“</w:t>
      </w:r>
      <w:r w:rsidRPr="00865C89">
        <w:t>passer</w:t>
      </w:r>
      <w:r w:rsidR="000D79C6" w:rsidRPr="00865C89">
        <w:t>”</w:t>
      </w:r>
      <w:r w:rsidRPr="00865C89">
        <w:t xml:space="preserve"> a student must have scored a three or </w:t>
      </w:r>
      <w:r w:rsidR="000D79C6" w:rsidRPr="00865C89">
        <w:t xml:space="preserve">higher </w:t>
      </w:r>
      <w:r w:rsidRPr="00865C89">
        <w:t>on at least one of their AP</w:t>
      </w:r>
      <w:r w:rsidR="00E163BD">
        <w:t xml:space="preserve"> ELA, </w:t>
      </w:r>
      <w:r w:rsidRPr="00865C89">
        <w:t>math,</w:t>
      </w:r>
      <w:r w:rsidR="00E163BD">
        <w:t xml:space="preserve"> or</w:t>
      </w:r>
      <w:r w:rsidRPr="00865C89">
        <w:t xml:space="preserve"> science exams. </w:t>
      </w:r>
    </w:p>
    <w:p w14:paraId="154F4D7D" w14:textId="77777777" w:rsidR="008F3B50" w:rsidRPr="00865C89" w:rsidRDefault="008F3B50" w:rsidP="00865C89">
      <w:pPr>
        <w:pStyle w:val="BodyText"/>
      </w:pPr>
    </w:p>
    <w:p w14:paraId="492B970A" w14:textId="08FC787A" w:rsidR="00F2779E" w:rsidRPr="00F2779E" w:rsidRDefault="00F2779E" w:rsidP="00E27B97">
      <w:pPr>
        <w:pStyle w:val="BodyText"/>
      </w:pPr>
      <w:r w:rsidRPr="00865C89">
        <w:t>This report summarizes the results of descriptive and quasi-experimental analyses that explored the performance of students relevant to AP course passing</w:t>
      </w:r>
      <w:r w:rsidR="00DE0C6D" w:rsidRPr="00865C89">
        <w:t xml:space="preserve">, </w:t>
      </w:r>
      <w:r w:rsidRPr="00865C89">
        <w:t>AP exam taking</w:t>
      </w:r>
      <w:r w:rsidR="00DE0C6D" w:rsidRPr="00865C89">
        <w:t>,</w:t>
      </w:r>
      <w:r w:rsidRPr="00865C89">
        <w:t xml:space="preserve"> and </w:t>
      </w:r>
      <w:r w:rsidR="00DE0C6D" w:rsidRPr="00865C89">
        <w:t xml:space="preserve">AP exam </w:t>
      </w:r>
      <w:r w:rsidRPr="00865C89">
        <w:t xml:space="preserve">passing. </w:t>
      </w:r>
      <w:r w:rsidR="0065730E">
        <w:lastRenderedPageBreak/>
        <w:t>R</w:t>
      </w:r>
      <w:r w:rsidRPr="00865C89">
        <w:t xml:space="preserve">esults are presented </w:t>
      </w:r>
      <w:r w:rsidR="00E163BD">
        <w:t xml:space="preserve">for all AP </w:t>
      </w:r>
      <w:r w:rsidR="006D604B">
        <w:t>outcome</w:t>
      </w:r>
      <w:r w:rsidR="00E163BD">
        <w:t>s</w:t>
      </w:r>
      <w:r w:rsidRPr="00865C89">
        <w:t xml:space="preserve"> </w:t>
      </w:r>
      <w:r w:rsidR="00240111">
        <w:t>in</w:t>
      </w:r>
      <w:r w:rsidRPr="00865C89">
        <w:t xml:space="preserve"> school year</w:t>
      </w:r>
      <w:r w:rsidR="00E163BD">
        <w:t xml:space="preserve">s </w:t>
      </w:r>
      <w:r w:rsidRPr="00865C89">
        <w:t xml:space="preserve">SY2023 and SY2024. The </w:t>
      </w:r>
      <w:r w:rsidR="00BA17AE">
        <w:t>R</w:t>
      </w:r>
      <w:r w:rsidRPr="00865C89">
        <w:t>esults</w:t>
      </w:r>
      <w:r w:rsidR="002D24EE">
        <w:rPr>
          <w:rStyle w:val="FootnoteReference"/>
        </w:rPr>
        <w:footnoteReference w:id="8"/>
      </w:r>
      <w:r w:rsidR="0073596F">
        <w:t xml:space="preserve"> </w:t>
      </w:r>
      <w:r w:rsidR="00BA17AE">
        <w:t>section</w:t>
      </w:r>
      <w:r w:rsidRPr="00865C89">
        <w:t xml:space="preserve"> </w:t>
      </w:r>
      <w:r w:rsidR="00BA17AE">
        <w:t xml:space="preserve">summarizes </w:t>
      </w:r>
      <w:r w:rsidR="00FB6DB5">
        <w:t>student</w:t>
      </w:r>
      <w:r w:rsidRPr="00865C89">
        <w:t xml:space="preserve"> </w:t>
      </w:r>
      <w:r w:rsidR="00FB6DB5">
        <w:t xml:space="preserve">participation and </w:t>
      </w:r>
      <w:r w:rsidRPr="00865C89">
        <w:t>performance</w:t>
      </w:r>
      <w:r w:rsidR="00A251AC">
        <w:t>,</w:t>
      </w:r>
      <w:r w:rsidRPr="00865C89">
        <w:t xml:space="preserve"> relevant to AP course passing and AP exam taking and passing</w:t>
      </w:r>
      <w:r w:rsidR="001C71D4">
        <w:t>.</w:t>
      </w:r>
      <w:r w:rsidR="00E27B97">
        <w:t xml:space="preserve"> A full set of results</w:t>
      </w:r>
      <w:r w:rsidR="00E163BD">
        <w:t>, including outcomes by content area (ELA, math, and science)</w:t>
      </w:r>
      <w:r w:rsidR="00E27B97">
        <w:t xml:space="preserve"> are provided in </w:t>
      </w:r>
      <w:r w:rsidR="009A056E">
        <w:t>the Supplemental Appendices</w:t>
      </w:r>
      <w:r w:rsidR="00E27B97">
        <w:t>.</w:t>
      </w:r>
    </w:p>
    <w:p w14:paraId="0639CFAF" w14:textId="78411ECF" w:rsidR="001F5D98" w:rsidRPr="007B49DA" w:rsidRDefault="00266CFF" w:rsidP="007B49DA">
      <w:pPr>
        <w:pStyle w:val="Heading3"/>
        <w:rPr>
          <w:sz w:val="28"/>
          <w:szCs w:val="28"/>
        </w:rPr>
      </w:pPr>
      <w:bookmarkStart w:id="76" w:name="_Toc204766656"/>
      <w:bookmarkStart w:id="77" w:name="_Toc206742094"/>
      <w:bookmarkStart w:id="78" w:name="_Toc207183723"/>
      <w:bookmarkStart w:id="79" w:name="_Toc207348155"/>
      <w:bookmarkStart w:id="80" w:name="_Toc200638432"/>
      <w:bookmarkStart w:id="81" w:name="_Toc202784430"/>
      <w:bookmarkStart w:id="82" w:name="_Toc202784516"/>
      <w:bookmarkStart w:id="83" w:name="_Toc202788399"/>
      <w:r w:rsidRPr="007B49DA">
        <w:rPr>
          <w:color w:val="757575" w:themeColor="background2" w:themeShade="80"/>
          <w:sz w:val="28"/>
          <w:szCs w:val="28"/>
        </w:rPr>
        <w:t xml:space="preserve">Description of </w:t>
      </w:r>
      <w:r w:rsidR="001F5D98" w:rsidRPr="007B49DA">
        <w:rPr>
          <w:color w:val="757575" w:themeColor="background2" w:themeShade="80"/>
          <w:sz w:val="28"/>
          <w:szCs w:val="28"/>
        </w:rPr>
        <w:t>Quasi-</w:t>
      </w:r>
      <w:r w:rsidR="007A70DF" w:rsidRPr="007B49DA">
        <w:rPr>
          <w:color w:val="757575" w:themeColor="background2" w:themeShade="80"/>
          <w:sz w:val="28"/>
          <w:szCs w:val="28"/>
        </w:rPr>
        <w:t>e</w:t>
      </w:r>
      <w:r w:rsidR="001F5D98" w:rsidRPr="007B49DA">
        <w:rPr>
          <w:color w:val="757575" w:themeColor="background2" w:themeShade="80"/>
          <w:sz w:val="28"/>
          <w:szCs w:val="28"/>
        </w:rPr>
        <w:t>xperimental Design (QED)</w:t>
      </w:r>
      <w:bookmarkEnd w:id="76"/>
      <w:bookmarkEnd w:id="77"/>
      <w:bookmarkEnd w:id="78"/>
      <w:bookmarkEnd w:id="79"/>
      <w:r w:rsidR="001F5D98" w:rsidRPr="007B49DA">
        <w:rPr>
          <w:color w:val="757575" w:themeColor="background2" w:themeShade="80"/>
          <w:sz w:val="28"/>
          <w:szCs w:val="28"/>
        </w:rPr>
        <w:t xml:space="preserve"> </w:t>
      </w:r>
      <w:bookmarkEnd w:id="80"/>
      <w:bookmarkEnd w:id="81"/>
      <w:bookmarkEnd w:id="82"/>
      <w:bookmarkEnd w:id="83"/>
    </w:p>
    <w:p w14:paraId="72E12165" w14:textId="7BFE3AEA" w:rsidR="00F2779E" w:rsidRDefault="00F2779E" w:rsidP="004F1D42">
      <w:pPr>
        <w:pStyle w:val="BodyText"/>
      </w:pPr>
      <w:r w:rsidRPr="00CC5ABC">
        <w:t xml:space="preserve">Differences in treatment </w:t>
      </w:r>
      <w:r>
        <w:t xml:space="preserve">(i.e., students participating in at least one student support) </w:t>
      </w:r>
      <w:r w:rsidRPr="00CC5ABC">
        <w:t xml:space="preserve">and comparison </w:t>
      </w:r>
      <w:r>
        <w:t xml:space="preserve">(i.e., students who did not participate in at least one student support) </w:t>
      </w:r>
      <w:r w:rsidRPr="00CC5ABC">
        <w:t xml:space="preserve">group students were assessed using a quasi-experimental matched comparison group design. </w:t>
      </w:r>
      <w:r>
        <w:t>Treatment groups included students who participated in at least one mock exam or study session.</w:t>
      </w:r>
    </w:p>
    <w:p w14:paraId="41CB2211" w14:textId="77777777" w:rsidR="00F2779E" w:rsidRDefault="00F2779E" w:rsidP="004F1D42">
      <w:pPr>
        <w:pStyle w:val="BodyText"/>
      </w:pPr>
    </w:p>
    <w:p w14:paraId="28E6C21D" w14:textId="2EE002AC" w:rsidR="00F2779E" w:rsidRDefault="00F2779E" w:rsidP="004F1D42">
      <w:pPr>
        <w:pStyle w:val="BodyText"/>
      </w:pPr>
      <w:bookmarkStart w:id="84" w:name="_Hlk181803725"/>
      <w:r w:rsidRPr="00CC5ABC">
        <w:t>Multi-level</w:t>
      </w:r>
      <w:r>
        <w:t>,</w:t>
      </w:r>
      <w:r w:rsidRPr="00CC5ABC">
        <w:t xml:space="preserve"> mixed-effect</w:t>
      </w:r>
      <w:r>
        <w:t>,</w:t>
      </w:r>
      <w:r w:rsidRPr="00CC5ABC">
        <w:t xml:space="preserve"> logistic regression</w:t>
      </w:r>
      <w:r w:rsidR="00B668FB">
        <w:t xml:space="preserve"> models</w:t>
      </w:r>
      <w:r w:rsidRPr="00CC5ABC">
        <w:t xml:space="preserve"> were </w:t>
      </w:r>
      <w:r w:rsidR="00B668FB">
        <w:t>constructed</w:t>
      </w:r>
      <w:r w:rsidR="00B668FB" w:rsidRPr="00CC5ABC">
        <w:t xml:space="preserve"> </w:t>
      </w:r>
      <w:r w:rsidRPr="00CC5ABC">
        <w:t xml:space="preserve">to assess the impact of </w:t>
      </w:r>
      <w:r>
        <w:t>mock exam</w:t>
      </w:r>
      <w:r w:rsidR="00B668FB">
        <w:t>s and</w:t>
      </w:r>
      <w:r>
        <w:t xml:space="preserve"> study session</w:t>
      </w:r>
      <w:r w:rsidR="00B668FB">
        <w:t>s</w:t>
      </w:r>
      <w:r>
        <w:t xml:space="preserve"> </w:t>
      </w:r>
      <w:r w:rsidRPr="00CC5ABC">
        <w:t xml:space="preserve">on </w:t>
      </w:r>
      <w:r w:rsidR="00B668FB">
        <w:t xml:space="preserve">three educational outcomes </w:t>
      </w:r>
      <w:r w:rsidR="00DA531A">
        <w:t>(AP course passing, AP exam taking, and AP exam passing) across four AP content areas of interest (ELA, math, science, or any AP [ELA, math, or science</w:t>
      </w:r>
      <w:bookmarkEnd w:id="84"/>
      <w:r w:rsidR="00DA531A">
        <w:t>]</w:t>
      </w:r>
      <w:r w:rsidR="00B668FB">
        <w:t xml:space="preserve">; </w:t>
      </w:r>
      <w:r w:rsidR="00563EFD">
        <w:t xml:space="preserve">resulting in </w:t>
      </w:r>
      <w:r w:rsidR="00B668FB">
        <w:t xml:space="preserve">12 </w:t>
      </w:r>
      <w:r w:rsidR="00B14D38">
        <w:t>total outcomes</w:t>
      </w:r>
      <w:r w:rsidR="00DA531A">
        <w:t>).</w:t>
      </w:r>
      <w:r>
        <w:t xml:space="preserve"> </w:t>
      </w:r>
    </w:p>
    <w:p w14:paraId="37B1A781" w14:textId="77777777" w:rsidR="00A6651A" w:rsidRDefault="00A6651A" w:rsidP="004F1D42">
      <w:pPr>
        <w:pStyle w:val="BodyText"/>
      </w:pPr>
    </w:p>
    <w:p w14:paraId="421D1096" w14:textId="1E414845" w:rsidR="00F2779E" w:rsidRPr="00592A76" w:rsidRDefault="00F2779E" w:rsidP="00673231">
      <w:pPr>
        <w:pStyle w:val="BodyText"/>
      </w:pPr>
      <w:r w:rsidRPr="00592A76">
        <w:t>Students were nested within school</w:t>
      </w:r>
      <w:r>
        <w:t>s</w:t>
      </w:r>
      <w:r w:rsidRPr="00592A76">
        <w:t>. Carefully selected covariates were included in each analysis to minimize the potential for bias. These covariates included gender, race/ethnicity (</w:t>
      </w:r>
      <w:r w:rsidR="00590C86">
        <w:t>A</w:t>
      </w:r>
      <w:r w:rsidR="00213AFA">
        <w:t xml:space="preserve">frican American/Black, </w:t>
      </w:r>
      <w:r w:rsidR="00B967EF">
        <w:t>A</w:t>
      </w:r>
      <w:r w:rsidR="00A80D51">
        <w:t xml:space="preserve">merican Indian/Alaskan Native </w:t>
      </w:r>
      <w:r w:rsidR="0073596F">
        <w:t>[</w:t>
      </w:r>
      <w:r w:rsidR="00A80D51">
        <w:t>AIAN</w:t>
      </w:r>
      <w:r w:rsidR="0073596F">
        <w:t>]</w:t>
      </w:r>
      <w:r w:rsidR="00A80D51">
        <w:t xml:space="preserve">, </w:t>
      </w:r>
      <w:r w:rsidR="00213AFA">
        <w:t xml:space="preserve">Asian, </w:t>
      </w:r>
      <w:r w:rsidR="0057673F" w:rsidRPr="00592A76">
        <w:t>Hispanic/Latino</w:t>
      </w:r>
      <w:r w:rsidR="00983612">
        <w:t xml:space="preserve">, </w:t>
      </w:r>
      <w:r w:rsidR="00983612" w:rsidRPr="00592A76">
        <w:t xml:space="preserve">Multi-racial </w:t>
      </w:r>
      <w:proofErr w:type="gramStart"/>
      <w:r w:rsidR="00983612" w:rsidRPr="00592A76">
        <w:t>Non-Hispanic</w:t>
      </w:r>
      <w:proofErr w:type="gramEnd"/>
      <w:r w:rsidR="00983612" w:rsidRPr="00592A76">
        <w:t xml:space="preserve"> </w:t>
      </w:r>
      <w:r w:rsidR="0073596F">
        <w:t>[</w:t>
      </w:r>
      <w:r w:rsidR="00983612" w:rsidRPr="00592A76">
        <w:t>MR</w:t>
      </w:r>
      <w:r w:rsidR="0073596F">
        <w:t>]</w:t>
      </w:r>
      <w:r w:rsidR="00983612">
        <w:t>,</w:t>
      </w:r>
      <w:r w:rsidR="0057673F" w:rsidRPr="00592A76">
        <w:t xml:space="preserve"> </w:t>
      </w:r>
      <w:r w:rsidR="000159C5" w:rsidRPr="00592A76">
        <w:t xml:space="preserve">Native Hawaiian/Pacific Islander </w:t>
      </w:r>
      <w:r w:rsidR="0073596F">
        <w:t>[</w:t>
      </w:r>
      <w:r w:rsidR="000159C5" w:rsidRPr="00592A76">
        <w:t>NHPI</w:t>
      </w:r>
      <w:r w:rsidR="0073596F">
        <w:t xml:space="preserve">], </w:t>
      </w:r>
      <w:r w:rsidR="000159C5">
        <w:t xml:space="preserve">and </w:t>
      </w:r>
      <w:r w:rsidRPr="00592A76">
        <w:t xml:space="preserve">White), English Learner (EL) status, </w:t>
      </w:r>
      <w:r w:rsidR="000159C5">
        <w:t>s</w:t>
      </w:r>
      <w:r w:rsidRPr="00592A76">
        <w:t xml:space="preserve">tudents with </w:t>
      </w:r>
      <w:r w:rsidR="000159C5">
        <w:t>d</w:t>
      </w:r>
      <w:r w:rsidRPr="00592A76">
        <w:t>isabilities (SWD) status, low-income (</w:t>
      </w:r>
      <w:r w:rsidR="00672277">
        <w:t>Low-income</w:t>
      </w:r>
      <w:r w:rsidRPr="00592A76">
        <w:t>) status</w:t>
      </w:r>
      <w:r>
        <w:t>, and grade level</w:t>
      </w:r>
      <w:r w:rsidRPr="00592A76">
        <w:t xml:space="preserve">. </w:t>
      </w:r>
    </w:p>
    <w:p w14:paraId="70122E25" w14:textId="77777777" w:rsidR="00F2779E" w:rsidRPr="00CC5ABC" w:rsidRDefault="00F2779E" w:rsidP="004F1D42">
      <w:pPr>
        <w:pStyle w:val="BodyText"/>
      </w:pPr>
    </w:p>
    <w:p w14:paraId="0481319D" w14:textId="07225172" w:rsidR="00F2779E" w:rsidRPr="00CC5ABC" w:rsidRDefault="00F2779E" w:rsidP="004F1D42">
      <w:pPr>
        <w:pStyle w:val="BodyText"/>
      </w:pPr>
      <w:r>
        <w:t>Treatment and comparison</w:t>
      </w:r>
      <w:r w:rsidR="00563EFD">
        <w:t xml:space="preserve"> </w:t>
      </w:r>
      <w:r>
        <w:t>group s</w:t>
      </w:r>
      <w:r w:rsidRPr="00CC5ABC">
        <w:t xml:space="preserve">tudents </w:t>
      </w:r>
      <w:r>
        <w:t xml:space="preserve">differed </w:t>
      </w:r>
      <w:r w:rsidR="00FE09C2">
        <w:t xml:space="preserve">from participating students </w:t>
      </w:r>
      <w:r>
        <w:t xml:space="preserve">on </w:t>
      </w:r>
      <w:proofErr w:type="gramStart"/>
      <w:r>
        <w:t>a number of</w:t>
      </w:r>
      <w:proofErr w:type="gramEnd"/>
      <w:r>
        <w:t xml:space="preserve"> key characteristics (e.g., </w:t>
      </w:r>
      <w:r w:rsidR="00FD2E34">
        <w:t>the share</w:t>
      </w:r>
      <w:r>
        <w:t xml:space="preserve"> of students participating in AP math mock exams </w:t>
      </w:r>
      <w:r w:rsidR="00FD2E34">
        <w:t xml:space="preserve">who </w:t>
      </w:r>
      <w:r>
        <w:t>were Students with Disabilities or low-income students</w:t>
      </w:r>
      <w:r w:rsidR="00FD2E34">
        <w:t xml:space="preserve"> was smaller than </w:t>
      </w:r>
      <w:r w:rsidR="004138ED">
        <w:t>that of the comparison group</w:t>
      </w:r>
      <w:r>
        <w:t>).</w:t>
      </w:r>
      <w:r w:rsidRPr="00CC5ABC">
        <w:t xml:space="preserve"> To </w:t>
      </w:r>
      <w:r>
        <w:t xml:space="preserve">account for and </w:t>
      </w:r>
      <w:r w:rsidRPr="00CC5ABC">
        <w:t xml:space="preserve">reduce these differences substantially, propensity score weighting procedures were used, thereby improving the validity of the estimates of </w:t>
      </w:r>
      <w:r>
        <w:t>the impact of student support participation on education outcomes</w:t>
      </w:r>
      <w:r w:rsidRPr="00CC5ABC">
        <w:t xml:space="preserve">. </w:t>
      </w:r>
    </w:p>
    <w:p w14:paraId="6B59045D" w14:textId="77777777" w:rsidR="00F2779E" w:rsidRPr="00CC5ABC" w:rsidRDefault="00F2779E" w:rsidP="004F1D42">
      <w:pPr>
        <w:pStyle w:val="BodyText"/>
      </w:pPr>
    </w:p>
    <w:p w14:paraId="510943B1" w14:textId="224BEECF" w:rsidR="00F2779E" w:rsidRPr="000D70B0" w:rsidRDefault="00F2779E" w:rsidP="004F1D42">
      <w:pPr>
        <w:pStyle w:val="BodyText"/>
      </w:pPr>
      <w:r w:rsidRPr="000D70B0">
        <w:t xml:space="preserve">In total, </w:t>
      </w:r>
      <w:r>
        <w:t>48</w:t>
      </w:r>
      <w:r w:rsidRPr="000D70B0">
        <w:t xml:space="preserve"> models—comparing</w:t>
      </w:r>
      <w:r>
        <w:t xml:space="preserve"> students who participated in student supports</w:t>
      </w:r>
      <w:r w:rsidRPr="000D70B0">
        <w:t xml:space="preserve"> to </w:t>
      </w:r>
      <w:r>
        <w:t>students who did not participate in student supports</w:t>
      </w:r>
      <w:r w:rsidRPr="000D70B0">
        <w:t xml:space="preserve">—were analyzed. For all the models assessed in this study, propensity score weighting results were within the parameters specified in the U.S. Department of Education’s What Works Clearinghouse “Standards Handbook Version 4.1” (2020). </w:t>
      </w:r>
      <w:r>
        <w:t>The two years of data (SY2023 and SY2024)</w:t>
      </w:r>
      <w:r w:rsidRPr="000D70B0">
        <w:t xml:space="preserve"> were </w:t>
      </w:r>
      <w:r>
        <w:t>analyzed separately</w:t>
      </w:r>
      <w:r w:rsidRPr="000D70B0">
        <w:t>.</w:t>
      </w:r>
    </w:p>
    <w:p w14:paraId="6B76CA52" w14:textId="77777777" w:rsidR="00F2779E" w:rsidRPr="000D70B0" w:rsidRDefault="00F2779E" w:rsidP="00F2779E">
      <w:pPr>
        <w:spacing w:after="0" w:line="240" w:lineRule="auto"/>
        <w:rPr>
          <w:rFonts w:cs="Times New Roman"/>
        </w:rPr>
      </w:pPr>
    </w:p>
    <w:p w14:paraId="473C90A4" w14:textId="77777777" w:rsidR="00F2779E" w:rsidRPr="00A245BC" w:rsidRDefault="00F2779E" w:rsidP="007B49DA">
      <w:pPr>
        <w:pStyle w:val="Heading4"/>
      </w:pPr>
      <w:bookmarkStart w:id="85" w:name="_Toc200638433"/>
      <w:bookmarkStart w:id="86" w:name="_Toc202784431"/>
      <w:bookmarkStart w:id="87" w:name="_Toc202784517"/>
      <w:bookmarkStart w:id="88" w:name="_Toc202788400"/>
      <w:bookmarkStart w:id="89" w:name="_Toc203984423"/>
      <w:bookmarkStart w:id="90" w:name="_Toc204766657"/>
      <w:bookmarkStart w:id="91" w:name="_Toc206742095"/>
      <w:bookmarkStart w:id="92" w:name="_Toc207183724"/>
      <w:bookmarkStart w:id="93" w:name="_Toc207348156"/>
      <w:r w:rsidRPr="00A245BC">
        <w:t>Sample Selection</w:t>
      </w:r>
      <w:bookmarkEnd w:id="85"/>
      <w:bookmarkEnd w:id="86"/>
      <w:bookmarkEnd w:id="87"/>
      <w:bookmarkEnd w:id="88"/>
      <w:bookmarkEnd w:id="89"/>
      <w:bookmarkEnd w:id="90"/>
      <w:bookmarkEnd w:id="91"/>
      <w:bookmarkEnd w:id="92"/>
      <w:bookmarkEnd w:id="93"/>
    </w:p>
    <w:p w14:paraId="23776AE9" w14:textId="71836D60" w:rsidR="00FA499C" w:rsidRPr="004F1D42" w:rsidRDefault="00F2779E" w:rsidP="00673231">
      <w:pPr>
        <w:pStyle w:val="BodyText"/>
      </w:pPr>
      <w:r w:rsidRPr="00865C89">
        <w:t xml:space="preserve">Schools with either </w:t>
      </w:r>
      <w:r w:rsidR="0001110D" w:rsidRPr="00865C89">
        <w:t>all</w:t>
      </w:r>
      <w:r w:rsidRPr="00865C89">
        <w:t xml:space="preserve"> or zero participants in the treatment or control group for SY2023 </w:t>
      </w:r>
      <w:r w:rsidR="004514E5" w:rsidRPr="00865C89">
        <w:t>or</w:t>
      </w:r>
      <w:r w:rsidRPr="00865C89">
        <w:t xml:space="preserve"> SY2024 were excluded</w:t>
      </w:r>
      <w:r w:rsidR="00240423" w:rsidRPr="00865C89">
        <w:t xml:space="preserve"> from</w:t>
      </w:r>
      <w:r w:rsidRPr="00865C89">
        <w:t xml:space="preserve"> the analysis. The number of schools excluded by support type (</w:t>
      </w:r>
      <w:r w:rsidR="005C4FFC">
        <w:t>i.e.</w:t>
      </w:r>
      <w:r w:rsidRPr="00865C89">
        <w:t xml:space="preserve">, mock exam or study session) varied by AP </w:t>
      </w:r>
      <w:r w:rsidR="00073FEE">
        <w:t>content area</w:t>
      </w:r>
      <w:r w:rsidR="00073FEE" w:rsidRPr="00865C89">
        <w:t xml:space="preserve"> </w:t>
      </w:r>
      <w:r w:rsidRPr="00865C89">
        <w:t>(</w:t>
      </w:r>
      <w:r w:rsidR="005C4FFC">
        <w:t>i.e.,</w:t>
      </w:r>
      <w:r w:rsidR="00CA1AEF">
        <w:t xml:space="preserve"> AP English, AP math, AP science, and any AP). </w:t>
      </w:r>
      <w:r w:rsidR="000D2025" w:rsidRPr="00865C89">
        <w:t xml:space="preserve">Overall, more schools </w:t>
      </w:r>
      <w:r w:rsidR="00652509" w:rsidRPr="00865C89">
        <w:t xml:space="preserve">that </w:t>
      </w:r>
      <w:r w:rsidR="000D2025" w:rsidRPr="00865C89">
        <w:t>participated in study sessions were excluded from the quasi-experimental analysis</w:t>
      </w:r>
      <w:r w:rsidR="003143EC">
        <w:t>,</w:t>
      </w:r>
      <w:r w:rsidR="000D2025" w:rsidRPr="00865C89">
        <w:t xml:space="preserve"> due to having </w:t>
      </w:r>
      <w:r w:rsidR="00187981" w:rsidRPr="00865C89">
        <w:t>all</w:t>
      </w:r>
      <w:r w:rsidR="00BD6FC0">
        <w:t xml:space="preserve"> </w:t>
      </w:r>
      <w:r w:rsidR="00AD129C">
        <w:t xml:space="preserve">AP </w:t>
      </w:r>
      <w:r w:rsidR="00BD6FC0">
        <w:t>students</w:t>
      </w:r>
      <w:r w:rsidR="00187981" w:rsidRPr="00865C89">
        <w:t xml:space="preserve"> </w:t>
      </w:r>
      <w:r w:rsidR="00AD129C">
        <w:t xml:space="preserve">in either the treatment or control </w:t>
      </w:r>
      <w:r w:rsidR="001E4AB7">
        <w:t>group</w:t>
      </w:r>
      <w:r w:rsidR="00AD129C">
        <w:t xml:space="preserve"> </w:t>
      </w:r>
      <w:r w:rsidR="000D2025" w:rsidRPr="00865C89">
        <w:t xml:space="preserve">for SY2023 </w:t>
      </w:r>
      <w:r w:rsidR="00AD129C">
        <w:t>or</w:t>
      </w:r>
      <w:r w:rsidR="000D2025" w:rsidRPr="00865C89">
        <w:t xml:space="preserve"> SY2024. </w:t>
      </w:r>
      <w:r w:rsidR="004F1D42">
        <w:t xml:space="preserve">Tables summarizing the number of schools included and excluded from the analysis by support type (mock exam and study session) are provided in Appendix </w:t>
      </w:r>
      <w:r w:rsidR="007E66E6">
        <w:t>C</w:t>
      </w:r>
      <w:r w:rsidR="004F1D42">
        <w:t>.</w:t>
      </w:r>
    </w:p>
    <w:p w14:paraId="4B6A124A" w14:textId="5FD078A7" w:rsidR="00F2779E" w:rsidRPr="009F24E1" w:rsidRDefault="00F2779E" w:rsidP="007B49DA">
      <w:pPr>
        <w:pStyle w:val="Heading4"/>
      </w:pPr>
      <w:bookmarkStart w:id="94" w:name="_Toc200638434"/>
      <w:bookmarkStart w:id="95" w:name="_Toc202784432"/>
      <w:bookmarkStart w:id="96" w:name="_Toc202784518"/>
      <w:bookmarkStart w:id="97" w:name="_Toc202788401"/>
      <w:bookmarkStart w:id="98" w:name="_Toc203984424"/>
      <w:bookmarkStart w:id="99" w:name="_Toc204766658"/>
      <w:bookmarkStart w:id="100" w:name="_Toc206742096"/>
      <w:bookmarkStart w:id="101" w:name="_Toc207183725"/>
      <w:bookmarkStart w:id="102" w:name="_Toc207348157"/>
      <w:r w:rsidRPr="000D70B0">
        <w:t xml:space="preserve">Description of </w:t>
      </w:r>
      <w:r w:rsidR="00566BD1">
        <w:t>M</w:t>
      </w:r>
      <w:r w:rsidRPr="000D70B0">
        <w:t xml:space="preserve">odeling </w:t>
      </w:r>
      <w:r w:rsidR="00566BD1">
        <w:t>P</w:t>
      </w:r>
      <w:r w:rsidRPr="000D70B0">
        <w:t>rocedures</w:t>
      </w:r>
      <w:bookmarkEnd w:id="94"/>
      <w:bookmarkEnd w:id="95"/>
      <w:bookmarkEnd w:id="96"/>
      <w:bookmarkEnd w:id="97"/>
      <w:bookmarkEnd w:id="98"/>
      <w:bookmarkEnd w:id="99"/>
      <w:bookmarkEnd w:id="100"/>
      <w:bookmarkEnd w:id="101"/>
      <w:bookmarkEnd w:id="102"/>
    </w:p>
    <w:p w14:paraId="3F4C84C3" w14:textId="60BA1C77" w:rsidR="00F2779E" w:rsidRPr="000D70B0" w:rsidRDefault="00F2779E" w:rsidP="000B15E9">
      <w:pPr>
        <w:spacing w:after="0" w:line="320" w:lineRule="atLeast"/>
        <w:contextualSpacing/>
        <w:rPr>
          <w:rFonts w:cs="Times New Roman"/>
          <w:b/>
        </w:rPr>
      </w:pPr>
      <w:r w:rsidRPr="000D70B0">
        <w:rPr>
          <w:rFonts w:cs="Times New Roman"/>
        </w:rPr>
        <w:t xml:space="preserve">Mixed-effects logistic regression models were developed to assess the impact of the intervention on the likelihood of </w:t>
      </w:r>
      <w:r>
        <w:rPr>
          <w:rFonts w:cs="Times New Roman"/>
        </w:rPr>
        <w:t>passing an AP course or taking (or passing) an AP exam</w:t>
      </w:r>
      <w:r w:rsidRPr="000D70B0">
        <w:rPr>
          <w:rFonts w:cs="Times New Roman"/>
        </w:rPr>
        <w:t xml:space="preserve">. Mixed-effects logistic regression </w:t>
      </w:r>
      <w:r w:rsidR="000716FA">
        <w:rPr>
          <w:rFonts w:cs="Times New Roman"/>
        </w:rPr>
        <w:t>models include</w:t>
      </w:r>
      <w:r w:rsidRPr="000D70B0">
        <w:rPr>
          <w:rFonts w:cs="Times New Roman"/>
        </w:rPr>
        <w:t xml:space="preserve"> both fixed effects and random effects. The following equation represents the general modeling procedure:</w:t>
      </w:r>
    </w:p>
    <w:p w14:paraId="758E0B8C" w14:textId="77777777" w:rsidR="00F2779E" w:rsidRPr="000D70B0" w:rsidRDefault="00F2779E" w:rsidP="00F2779E">
      <w:pPr>
        <w:spacing w:after="0" w:line="240" w:lineRule="auto"/>
        <w:rPr>
          <w:rFonts w:cs="Times New Roman"/>
        </w:rPr>
      </w:pPr>
    </w:p>
    <w:p w14:paraId="655DEA7A" w14:textId="77777777" w:rsidR="00F2779E" w:rsidRPr="000D70B0" w:rsidRDefault="00F2779E" w:rsidP="00F2779E">
      <w:pPr>
        <w:spacing w:after="0" w:line="240" w:lineRule="auto"/>
        <w:ind w:left="1440" w:hanging="720"/>
        <w:rPr>
          <w:rFonts w:cs="Times New Roman"/>
          <w:i/>
        </w:rPr>
      </w:pPr>
      <w:r w:rsidRPr="000D70B0">
        <w:rPr>
          <w:rFonts w:cs="Times New Roman"/>
          <w:i/>
          <w:iCs/>
        </w:rPr>
        <w:t xml:space="preserve"> </w:t>
      </w:r>
      <w:proofErr w:type="spellStart"/>
      <w:r w:rsidRPr="000D70B0">
        <w:rPr>
          <w:rFonts w:cs="Times New Roman"/>
          <w:i/>
        </w:rPr>
        <w:t>Y</w:t>
      </w:r>
      <w:r w:rsidRPr="000D70B0">
        <w:rPr>
          <w:rFonts w:cs="Times New Roman"/>
          <w:i/>
          <w:vertAlign w:val="subscript"/>
        </w:rPr>
        <w:t>ij</w:t>
      </w:r>
      <w:proofErr w:type="spellEnd"/>
      <w:r w:rsidRPr="000D70B0">
        <w:rPr>
          <w:rFonts w:cs="Times New Roman"/>
        </w:rPr>
        <w:t xml:space="preserve"> </w:t>
      </w:r>
      <w:r w:rsidRPr="000D70B0">
        <w:rPr>
          <w:rFonts w:cs="Times New Roman"/>
          <w:i/>
        </w:rPr>
        <w:t>= β</w:t>
      </w:r>
      <w:r w:rsidRPr="000D70B0">
        <w:rPr>
          <w:rFonts w:cs="Times New Roman"/>
          <w:i/>
          <w:vertAlign w:val="subscript"/>
        </w:rPr>
        <w:t>0</w:t>
      </w:r>
      <w:r w:rsidRPr="000D70B0">
        <w:rPr>
          <w:rFonts w:cs="Times New Roman"/>
          <w:i/>
        </w:rPr>
        <w:t xml:space="preserve"> + β</w:t>
      </w:r>
      <w:r w:rsidRPr="000D70B0">
        <w:rPr>
          <w:rFonts w:cs="Times New Roman"/>
          <w:i/>
          <w:vertAlign w:val="subscript"/>
        </w:rPr>
        <w:t>1</w:t>
      </w:r>
      <w:r w:rsidRPr="000D70B0">
        <w:rPr>
          <w:rFonts w:cs="Times New Roman"/>
        </w:rPr>
        <w:t>(</w:t>
      </w:r>
      <w:r>
        <w:rPr>
          <w:rFonts w:cs="Times New Roman"/>
          <w:i/>
        </w:rPr>
        <w:t>Support</w:t>
      </w:r>
      <w:r w:rsidRPr="000D70B0">
        <w:rPr>
          <w:rFonts w:cs="Times New Roman"/>
        </w:rPr>
        <w:t>)</w:t>
      </w:r>
      <w:r w:rsidRPr="000D70B0">
        <w:rPr>
          <w:rFonts w:cs="Times New Roman"/>
          <w:i/>
        </w:rPr>
        <w:t xml:space="preserve"> +</w:t>
      </w:r>
      <w:r w:rsidRPr="000D70B0">
        <w:rPr>
          <w:rFonts w:cs="Times New Roman"/>
          <w:i/>
          <w:vertAlign w:val="subscript"/>
        </w:rPr>
        <w:t xml:space="preserve"> </w:t>
      </w:r>
      <w:r w:rsidRPr="000D70B0">
        <w:rPr>
          <w:rFonts w:cs="Times New Roman"/>
          <w:i/>
        </w:rPr>
        <w:t>β</w:t>
      </w:r>
      <w:r w:rsidRPr="000D70B0">
        <w:rPr>
          <w:rFonts w:cs="Times New Roman"/>
          <w:i/>
          <w:vertAlign w:val="subscript"/>
        </w:rPr>
        <w:t>2</w:t>
      </w:r>
      <w:r w:rsidRPr="000D70B0">
        <w:rPr>
          <w:rFonts w:cs="Times New Roman"/>
        </w:rPr>
        <w:t>(</w:t>
      </w:r>
      <w:proofErr w:type="spellStart"/>
      <w:r>
        <w:rPr>
          <w:rFonts w:cs="Times New Roman"/>
        </w:rPr>
        <w:t>Female</w:t>
      </w:r>
      <w:r w:rsidRPr="000D70B0">
        <w:rPr>
          <w:rFonts w:cs="Times New Roman"/>
          <w:i/>
          <w:vertAlign w:val="subscript"/>
        </w:rPr>
        <w:t>ij</w:t>
      </w:r>
      <w:proofErr w:type="spellEnd"/>
      <w:r w:rsidRPr="000D70B0">
        <w:rPr>
          <w:rFonts w:cs="Times New Roman"/>
        </w:rPr>
        <w:t xml:space="preserve">) </w:t>
      </w:r>
      <w:r w:rsidRPr="000D70B0">
        <w:rPr>
          <w:rFonts w:cs="Times New Roman"/>
          <w:i/>
        </w:rPr>
        <w:t>+</w:t>
      </w:r>
      <w:r w:rsidRPr="000D70B0">
        <w:rPr>
          <w:rFonts w:cs="Times New Roman"/>
          <w:i/>
          <w:vertAlign w:val="subscript"/>
        </w:rPr>
        <w:t xml:space="preserve"> </w:t>
      </w:r>
      <w:r w:rsidRPr="000D70B0">
        <w:rPr>
          <w:rFonts w:cs="Times New Roman"/>
          <w:i/>
        </w:rPr>
        <w:t>β</w:t>
      </w:r>
      <w:r w:rsidRPr="000D70B0">
        <w:rPr>
          <w:rFonts w:cs="Times New Roman"/>
          <w:i/>
          <w:vertAlign w:val="subscript"/>
        </w:rPr>
        <w:t>3</w:t>
      </w:r>
      <w:r w:rsidRPr="000D70B0">
        <w:rPr>
          <w:rFonts w:cs="Times New Roman"/>
        </w:rPr>
        <w:t>(</w:t>
      </w:r>
      <w:proofErr w:type="spellStart"/>
      <w:r>
        <w:rPr>
          <w:rFonts w:cs="Times New Roman"/>
          <w:i/>
        </w:rPr>
        <w:t>White</w:t>
      </w:r>
      <w:r w:rsidRPr="000D70B0">
        <w:rPr>
          <w:rFonts w:cs="Times New Roman"/>
          <w:i/>
          <w:vertAlign w:val="subscript"/>
        </w:rPr>
        <w:t>ij</w:t>
      </w:r>
      <w:proofErr w:type="spellEnd"/>
      <w:r w:rsidRPr="000D70B0">
        <w:rPr>
          <w:rFonts w:cs="Times New Roman"/>
        </w:rPr>
        <w:t>)</w:t>
      </w:r>
      <w:r w:rsidRPr="000D70B0">
        <w:rPr>
          <w:rFonts w:cs="Times New Roman"/>
          <w:i/>
        </w:rPr>
        <w:t xml:space="preserve"> +</w:t>
      </w:r>
      <w:r w:rsidRPr="000D70B0">
        <w:rPr>
          <w:rFonts w:cs="Times New Roman"/>
          <w:i/>
          <w:vertAlign w:val="subscript"/>
        </w:rPr>
        <w:t xml:space="preserve"> </w:t>
      </w:r>
      <w:r w:rsidRPr="000D70B0">
        <w:rPr>
          <w:rFonts w:cs="Times New Roman"/>
          <w:i/>
        </w:rPr>
        <w:t>β</w:t>
      </w:r>
      <w:r w:rsidRPr="000D70B0">
        <w:rPr>
          <w:rFonts w:cs="Times New Roman"/>
          <w:i/>
          <w:vertAlign w:val="subscript"/>
        </w:rPr>
        <w:t>5</w:t>
      </w:r>
      <w:r w:rsidRPr="000D70B0">
        <w:rPr>
          <w:rFonts w:cs="Times New Roman"/>
        </w:rPr>
        <w:t>(</w:t>
      </w:r>
      <w:proofErr w:type="spellStart"/>
      <w:r>
        <w:rPr>
          <w:rFonts w:cs="Times New Roman"/>
          <w:i/>
        </w:rPr>
        <w:t>Black</w:t>
      </w:r>
      <w:r w:rsidRPr="000D70B0">
        <w:rPr>
          <w:rFonts w:cs="Times New Roman"/>
          <w:i/>
          <w:vertAlign w:val="subscript"/>
        </w:rPr>
        <w:t>ij</w:t>
      </w:r>
      <w:proofErr w:type="spellEnd"/>
      <w:r w:rsidRPr="000D70B0">
        <w:rPr>
          <w:rFonts w:cs="Times New Roman"/>
        </w:rPr>
        <w:t>)</w:t>
      </w:r>
      <w:r w:rsidRPr="000D70B0">
        <w:rPr>
          <w:rFonts w:cs="Times New Roman"/>
          <w:i/>
        </w:rPr>
        <w:t xml:space="preserve"> +</w:t>
      </w:r>
      <w:r w:rsidRPr="000D70B0">
        <w:rPr>
          <w:rFonts w:cs="Times New Roman"/>
          <w:i/>
          <w:vertAlign w:val="subscript"/>
        </w:rPr>
        <w:t xml:space="preserve"> </w:t>
      </w:r>
      <w:r w:rsidRPr="000D70B0">
        <w:rPr>
          <w:rFonts w:cs="Times New Roman"/>
          <w:i/>
        </w:rPr>
        <w:t>β</w:t>
      </w:r>
      <w:r w:rsidRPr="000D70B0">
        <w:rPr>
          <w:rFonts w:cs="Times New Roman"/>
          <w:i/>
          <w:vertAlign w:val="subscript"/>
        </w:rPr>
        <w:t>6</w:t>
      </w:r>
      <w:r w:rsidRPr="000D70B0">
        <w:rPr>
          <w:rFonts w:cs="Times New Roman"/>
        </w:rPr>
        <w:t>(</w:t>
      </w:r>
      <w:proofErr w:type="spellStart"/>
      <w:r>
        <w:rPr>
          <w:rFonts w:cs="Times New Roman"/>
          <w:i/>
        </w:rPr>
        <w:t>Asian</w:t>
      </w:r>
      <w:r w:rsidRPr="000D70B0">
        <w:rPr>
          <w:rFonts w:cs="Times New Roman"/>
          <w:i/>
          <w:vertAlign w:val="subscript"/>
        </w:rPr>
        <w:t>ij</w:t>
      </w:r>
      <w:proofErr w:type="spellEnd"/>
      <w:r w:rsidRPr="000D70B0">
        <w:rPr>
          <w:rFonts w:cs="Times New Roman"/>
        </w:rPr>
        <w:t xml:space="preserve">) </w:t>
      </w:r>
      <w:r w:rsidRPr="000D70B0">
        <w:rPr>
          <w:rFonts w:cs="Times New Roman"/>
          <w:i/>
        </w:rPr>
        <w:t>+</w:t>
      </w:r>
      <w:r w:rsidRPr="000D70B0">
        <w:rPr>
          <w:rFonts w:cs="Times New Roman"/>
          <w:i/>
          <w:vertAlign w:val="subscript"/>
        </w:rPr>
        <w:t xml:space="preserve"> </w:t>
      </w:r>
      <w:r w:rsidRPr="000D70B0">
        <w:rPr>
          <w:rFonts w:cs="Times New Roman"/>
          <w:i/>
        </w:rPr>
        <w:t>β</w:t>
      </w:r>
      <w:r w:rsidRPr="000D70B0">
        <w:rPr>
          <w:rFonts w:cs="Times New Roman"/>
          <w:i/>
          <w:vertAlign w:val="subscript"/>
        </w:rPr>
        <w:t>7</w:t>
      </w:r>
      <w:r w:rsidRPr="000D70B0">
        <w:rPr>
          <w:rFonts w:cs="Times New Roman"/>
        </w:rPr>
        <w:t>(</w:t>
      </w:r>
      <w:proofErr w:type="spellStart"/>
      <w:r>
        <w:rPr>
          <w:rFonts w:cs="Times New Roman"/>
          <w:i/>
        </w:rPr>
        <w:t>AIAN</w:t>
      </w:r>
      <w:r w:rsidRPr="000D70B0">
        <w:rPr>
          <w:rFonts w:cs="Times New Roman"/>
          <w:i/>
          <w:vertAlign w:val="subscript"/>
        </w:rPr>
        <w:t>ij</w:t>
      </w:r>
      <w:proofErr w:type="spellEnd"/>
      <w:r w:rsidRPr="000D70B0">
        <w:rPr>
          <w:rFonts w:cs="Times New Roman"/>
        </w:rPr>
        <w:t xml:space="preserve">) </w:t>
      </w:r>
      <w:r w:rsidRPr="000D70B0">
        <w:rPr>
          <w:rFonts w:cs="Times New Roman"/>
          <w:i/>
        </w:rPr>
        <w:t>+</w:t>
      </w:r>
      <w:r w:rsidRPr="000D70B0">
        <w:rPr>
          <w:rFonts w:cs="Times New Roman"/>
          <w:i/>
          <w:vertAlign w:val="subscript"/>
        </w:rPr>
        <w:t xml:space="preserve"> </w:t>
      </w:r>
      <w:r w:rsidRPr="000D70B0">
        <w:rPr>
          <w:rFonts w:cs="Times New Roman"/>
          <w:i/>
        </w:rPr>
        <w:t>β</w:t>
      </w:r>
      <w:r w:rsidRPr="000D70B0">
        <w:rPr>
          <w:rFonts w:cs="Times New Roman"/>
          <w:i/>
          <w:vertAlign w:val="subscript"/>
        </w:rPr>
        <w:t>8</w:t>
      </w:r>
      <w:r w:rsidRPr="000D70B0">
        <w:rPr>
          <w:rFonts w:cs="Times New Roman"/>
        </w:rPr>
        <w:t>(</w:t>
      </w:r>
      <w:proofErr w:type="spellStart"/>
      <w:r>
        <w:rPr>
          <w:rFonts w:cs="Times New Roman"/>
          <w:i/>
        </w:rPr>
        <w:t>NHPI</w:t>
      </w:r>
      <w:r w:rsidRPr="000D70B0">
        <w:rPr>
          <w:rFonts w:cs="Times New Roman"/>
          <w:i/>
          <w:vertAlign w:val="subscript"/>
        </w:rPr>
        <w:t>ij</w:t>
      </w:r>
      <w:proofErr w:type="spellEnd"/>
      <w:r w:rsidRPr="000D70B0">
        <w:rPr>
          <w:rFonts w:cs="Times New Roman"/>
        </w:rPr>
        <w:t>)</w:t>
      </w:r>
      <w:r w:rsidRPr="000D70B0">
        <w:rPr>
          <w:rFonts w:cs="Times New Roman"/>
          <w:i/>
        </w:rPr>
        <w:t xml:space="preserve"> </w:t>
      </w:r>
      <w:r>
        <w:rPr>
          <w:rFonts w:cs="Times New Roman"/>
          <w:i/>
        </w:rPr>
        <w:t xml:space="preserve">+ </w:t>
      </w:r>
      <w:r w:rsidRPr="000D70B0">
        <w:rPr>
          <w:rFonts w:cs="Times New Roman"/>
          <w:i/>
        </w:rPr>
        <w:t>β</w:t>
      </w:r>
      <w:r>
        <w:rPr>
          <w:rFonts w:cs="Times New Roman"/>
          <w:i/>
          <w:vertAlign w:val="subscript"/>
        </w:rPr>
        <w:t>9</w:t>
      </w:r>
      <w:r w:rsidRPr="000D70B0">
        <w:rPr>
          <w:rFonts w:cs="Times New Roman"/>
        </w:rPr>
        <w:t>(</w:t>
      </w:r>
      <w:proofErr w:type="spellStart"/>
      <w:r>
        <w:rPr>
          <w:rFonts w:cs="Times New Roman"/>
          <w:i/>
        </w:rPr>
        <w:t>MR</w:t>
      </w:r>
      <w:r w:rsidRPr="000D70B0">
        <w:rPr>
          <w:rFonts w:cs="Times New Roman"/>
          <w:i/>
          <w:vertAlign w:val="subscript"/>
        </w:rPr>
        <w:t>ij</w:t>
      </w:r>
      <w:proofErr w:type="spellEnd"/>
      <w:r w:rsidRPr="000D70B0">
        <w:rPr>
          <w:rFonts w:cs="Times New Roman"/>
        </w:rPr>
        <w:t>)</w:t>
      </w:r>
      <w:r>
        <w:rPr>
          <w:rFonts w:cs="Times New Roman"/>
        </w:rPr>
        <w:t xml:space="preserve"> + </w:t>
      </w:r>
      <w:r w:rsidRPr="000D70B0">
        <w:rPr>
          <w:rFonts w:cs="Times New Roman"/>
          <w:i/>
        </w:rPr>
        <w:t>β</w:t>
      </w:r>
      <w:r w:rsidRPr="000D70B0">
        <w:rPr>
          <w:rFonts w:cs="Times New Roman"/>
          <w:i/>
          <w:vertAlign w:val="subscript"/>
        </w:rPr>
        <w:t>1</w:t>
      </w:r>
      <w:r>
        <w:rPr>
          <w:rFonts w:cs="Times New Roman"/>
          <w:i/>
          <w:vertAlign w:val="subscript"/>
        </w:rPr>
        <w:t>0</w:t>
      </w:r>
      <w:r w:rsidRPr="000D70B0">
        <w:rPr>
          <w:rFonts w:cs="Times New Roman"/>
        </w:rPr>
        <w:t>(</w:t>
      </w:r>
      <w:proofErr w:type="spellStart"/>
      <w:r>
        <w:rPr>
          <w:rFonts w:cs="Times New Roman"/>
          <w:i/>
        </w:rPr>
        <w:t>Hispanic</w:t>
      </w:r>
      <w:r w:rsidRPr="000D70B0">
        <w:rPr>
          <w:rFonts w:cs="Times New Roman"/>
          <w:i/>
          <w:vertAlign w:val="subscript"/>
        </w:rPr>
        <w:t>ij</w:t>
      </w:r>
      <w:proofErr w:type="spellEnd"/>
      <w:r w:rsidRPr="000D70B0">
        <w:rPr>
          <w:rFonts w:cs="Times New Roman"/>
        </w:rPr>
        <w:t>)</w:t>
      </w:r>
      <w:r>
        <w:rPr>
          <w:rFonts w:cs="Times New Roman"/>
        </w:rPr>
        <w:t xml:space="preserve"> + </w:t>
      </w:r>
      <w:r w:rsidRPr="000D70B0">
        <w:rPr>
          <w:rFonts w:cs="Times New Roman"/>
          <w:i/>
        </w:rPr>
        <w:t>β</w:t>
      </w:r>
      <w:r w:rsidRPr="000D70B0">
        <w:rPr>
          <w:rFonts w:cs="Times New Roman"/>
          <w:i/>
          <w:vertAlign w:val="subscript"/>
        </w:rPr>
        <w:t>1</w:t>
      </w:r>
      <w:r>
        <w:rPr>
          <w:rFonts w:cs="Times New Roman"/>
          <w:i/>
          <w:vertAlign w:val="subscript"/>
        </w:rPr>
        <w:t>1</w:t>
      </w:r>
      <w:r w:rsidRPr="000D70B0">
        <w:rPr>
          <w:rFonts w:cs="Times New Roman"/>
        </w:rPr>
        <w:t>(</w:t>
      </w:r>
      <w:r>
        <w:rPr>
          <w:rFonts w:cs="Times New Roman"/>
          <w:i/>
        </w:rPr>
        <w:t>EL</w:t>
      </w:r>
      <w:r w:rsidRPr="000D70B0">
        <w:rPr>
          <w:rFonts w:cs="Times New Roman"/>
          <w:i/>
          <w:vertAlign w:val="subscript"/>
        </w:rPr>
        <w:t>ij</w:t>
      </w:r>
      <w:r w:rsidRPr="000D70B0">
        <w:rPr>
          <w:rFonts w:cs="Times New Roman"/>
        </w:rPr>
        <w:t>)</w:t>
      </w:r>
      <w:r>
        <w:rPr>
          <w:rFonts w:cs="Times New Roman"/>
        </w:rPr>
        <w:t xml:space="preserve"> + </w:t>
      </w:r>
      <w:r w:rsidRPr="000D70B0">
        <w:rPr>
          <w:rFonts w:cs="Times New Roman"/>
          <w:i/>
        </w:rPr>
        <w:t>β</w:t>
      </w:r>
      <w:r w:rsidRPr="000D70B0">
        <w:rPr>
          <w:rFonts w:cs="Times New Roman"/>
          <w:i/>
          <w:vertAlign w:val="subscript"/>
        </w:rPr>
        <w:t>1</w:t>
      </w:r>
      <w:r>
        <w:rPr>
          <w:rFonts w:cs="Times New Roman"/>
          <w:i/>
          <w:vertAlign w:val="subscript"/>
        </w:rPr>
        <w:t>2</w:t>
      </w:r>
      <w:r w:rsidRPr="000D70B0">
        <w:rPr>
          <w:rFonts w:cs="Times New Roman"/>
        </w:rPr>
        <w:t>(</w:t>
      </w:r>
      <w:proofErr w:type="spellStart"/>
      <w:r>
        <w:rPr>
          <w:rFonts w:cs="Times New Roman"/>
          <w:i/>
        </w:rPr>
        <w:t>SWD</w:t>
      </w:r>
      <w:r w:rsidRPr="000D70B0">
        <w:rPr>
          <w:rFonts w:cs="Times New Roman"/>
          <w:i/>
          <w:vertAlign w:val="subscript"/>
        </w:rPr>
        <w:t>ij</w:t>
      </w:r>
      <w:proofErr w:type="spellEnd"/>
      <w:r w:rsidRPr="000D70B0">
        <w:rPr>
          <w:rFonts w:cs="Times New Roman"/>
        </w:rPr>
        <w:t>)</w:t>
      </w:r>
      <w:r>
        <w:rPr>
          <w:rFonts w:cs="Times New Roman"/>
        </w:rPr>
        <w:t xml:space="preserve"> + </w:t>
      </w:r>
      <w:r w:rsidRPr="000D70B0">
        <w:rPr>
          <w:rFonts w:cs="Times New Roman"/>
          <w:i/>
        </w:rPr>
        <w:t>β</w:t>
      </w:r>
      <w:r w:rsidRPr="000D70B0">
        <w:rPr>
          <w:rFonts w:cs="Times New Roman"/>
          <w:i/>
          <w:vertAlign w:val="subscript"/>
        </w:rPr>
        <w:t>1</w:t>
      </w:r>
      <w:r>
        <w:rPr>
          <w:rFonts w:cs="Times New Roman"/>
          <w:i/>
          <w:vertAlign w:val="subscript"/>
        </w:rPr>
        <w:t>3</w:t>
      </w:r>
      <w:r w:rsidRPr="000D70B0">
        <w:rPr>
          <w:rFonts w:cs="Times New Roman"/>
        </w:rPr>
        <w:t>(</w:t>
      </w:r>
      <w:r>
        <w:rPr>
          <w:rFonts w:cs="Times New Roman"/>
          <w:i/>
        </w:rPr>
        <w:t>LOWINC</w:t>
      </w:r>
      <w:r w:rsidRPr="000D70B0">
        <w:rPr>
          <w:rFonts w:cs="Times New Roman"/>
        </w:rPr>
        <w:t>)</w:t>
      </w:r>
      <w:r>
        <w:rPr>
          <w:rFonts w:cs="Times New Roman"/>
        </w:rPr>
        <w:t xml:space="preserve"> + </w:t>
      </w:r>
      <w:r w:rsidRPr="000D70B0">
        <w:rPr>
          <w:rFonts w:cs="Times New Roman"/>
          <w:i/>
        </w:rPr>
        <w:t>β</w:t>
      </w:r>
      <w:r w:rsidRPr="000D70B0">
        <w:rPr>
          <w:rFonts w:cs="Times New Roman"/>
          <w:i/>
          <w:vertAlign w:val="subscript"/>
        </w:rPr>
        <w:t>1</w:t>
      </w:r>
      <w:r>
        <w:rPr>
          <w:rFonts w:cs="Times New Roman"/>
          <w:i/>
          <w:vertAlign w:val="subscript"/>
        </w:rPr>
        <w:t>4</w:t>
      </w:r>
      <w:r w:rsidRPr="000D70B0">
        <w:rPr>
          <w:rFonts w:cs="Times New Roman"/>
        </w:rPr>
        <w:t>(</w:t>
      </w:r>
      <w:r>
        <w:rPr>
          <w:rFonts w:cs="Times New Roman"/>
          <w:i/>
        </w:rPr>
        <w:t>Grade</w:t>
      </w:r>
      <w:r w:rsidRPr="000D70B0">
        <w:rPr>
          <w:rFonts w:cs="Times New Roman"/>
        </w:rPr>
        <w:t>)</w:t>
      </w:r>
      <w:r>
        <w:rPr>
          <w:rFonts w:cs="Times New Roman"/>
        </w:rPr>
        <w:t xml:space="preserve"> </w:t>
      </w:r>
      <w:r w:rsidRPr="000D70B0">
        <w:rPr>
          <w:rFonts w:cs="Times New Roman"/>
          <w:i/>
        </w:rPr>
        <w:t>+</w:t>
      </w:r>
      <w:r w:rsidRPr="000D70B0">
        <w:rPr>
          <w:rFonts w:cs="Times New Roman"/>
          <w:i/>
          <w:vertAlign w:val="subscript"/>
        </w:rPr>
        <w:t xml:space="preserve"> </w:t>
      </w:r>
      <w:r w:rsidRPr="000D70B0">
        <w:rPr>
          <w:rFonts w:cs="Times New Roman"/>
          <w:i/>
        </w:rPr>
        <w:t>u</w:t>
      </w:r>
      <w:r w:rsidRPr="000D70B0">
        <w:rPr>
          <w:rFonts w:cs="Times New Roman"/>
          <w:i/>
          <w:vertAlign w:val="subscript"/>
        </w:rPr>
        <w:t>0j</w:t>
      </w:r>
      <w:r w:rsidRPr="000D70B0">
        <w:rPr>
          <w:rFonts w:cs="Times New Roman"/>
          <w:i/>
        </w:rPr>
        <w:t xml:space="preserve"> + </w:t>
      </w:r>
      <w:proofErr w:type="spellStart"/>
      <w:r w:rsidRPr="000D70B0">
        <w:rPr>
          <w:rFonts w:cs="Times New Roman"/>
          <w:i/>
        </w:rPr>
        <w:t>e</w:t>
      </w:r>
      <w:r w:rsidRPr="000D70B0">
        <w:rPr>
          <w:rFonts w:cs="Times New Roman"/>
          <w:i/>
          <w:vertAlign w:val="subscript"/>
        </w:rPr>
        <w:t>ij</w:t>
      </w:r>
      <w:proofErr w:type="spellEnd"/>
    </w:p>
    <w:p w14:paraId="5EF92475" w14:textId="77777777" w:rsidR="00F2779E" w:rsidRPr="000D70B0" w:rsidRDefault="00F2779E" w:rsidP="00F2779E">
      <w:pPr>
        <w:spacing w:after="0" w:line="240" w:lineRule="auto"/>
        <w:rPr>
          <w:rFonts w:cs="Times New Roman"/>
          <w:i/>
        </w:rPr>
      </w:pPr>
    </w:p>
    <w:p w14:paraId="16F88A0D" w14:textId="77777777" w:rsidR="00F2779E" w:rsidRPr="000D70B0" w:rsidRDefault="00F2779E" w:rsidP="00F2779E">
      <w:pPr>
        <w:spacing w:after="0" w:line="240" w:lineRule="auto"/>
        <w:ind w:left="720"/>
        <w:rPr>
          <w:rFonts w:cs="Times New Roman"/>
          <w:i/>
        </w:rPr>
      </w:pPr>
      <w:r w:rsidRPr="000D70B0">
        <w:rPr>
          <w:rFonts w:cs="Times New Roman"/>
        </w:rPr>
        <w:t xml:space="preserve">For </w:t>
      </w:r>
      <w:r w:rsidRPr="000D70B0">
        <w:rPr>
          <w:rFonts w:cs="Times New Roman"/>
          <w:i/>
        </w:rPr>
        <w:t xml:space="preserve">i = </w:t>
      </w:r>
      <w:r w:rsidRPr="000D70B0">
        <w:rPr>
          <w:rFonts w:cs="Times New Roman"/>
        </w:rPr>
        <w:t xml:space="preserve">1, </w:t>
      </w:r>
      <w:proofErr w:type="gramStart"/>
      <w:r w:rsidRPr="000D70B0">
        <w:rPr>
          <w:rFonts w:cs="Times New Roman"/>
        </w:rPr>
        <w:t>… ,</w:t>
      </w:r>
      <w:proofErr w:type="gramEnd"/>
      <w:r w:rsidRPr="000D70B0">
        <w:rPr>
          <w:rFonts w:cs="Times New Roman"/>
        </w:rPr>
        <w:t xml:space="preserve"> </w:t>
      </w:r>
      <w:proofErr w:type="spellStart"/>
      <w:r w:rsidRPr="000D70B0">
        <w:rPr>
          <w:rFonts w:cs="Times New Roman"/>
          <w:i/>
        </w:rPr>
        <w:t>n</w:t>
      </w:r>
      <w:r w:rsidRPr="000D70B0">
        <w:rPr>
          <w:rFonts w:cs="Times New Roman"/>
          <w:i/>
          <w:vertAlign w:val="subscript"/>
        </w:rPr>
        <w:t>j</w:t>
      </w:r>
      <w:proofErr w:type="spellEnd"/>
      <w:r w:rsidRPr="000D70B0">
        <w:rPr>
          <w:rFonts w:cs="Times New Roman"/>
          <w:i/>
        </w:rPr>
        <w:t xml:space="preserve"> </w:t>
      </w:r>
      <w:r w:rsidRPr="000D70B0">
        <w:rPr>
          <w:rFonts w:cs="Times New Roman"/>
        </w:rPr>
        <w:t>students,</w:t>
      </w:r>
      <w:r w:rsidRPr="000D70B0">
        <w:rPr>
          <w:rFonts w:cs="Times New Roman"/>
          <w:i/>
        </w:rPr>
        <w:t xml:space="preserve"> </w:t>
      </w:r>
      <w:r w:rsidRPr="000D70B0">
        <w:rPr>
          <w:rFonts w:cs="Times New Roman"/>
        </w:rPr>
        <w:t xml:space="preserve">and </w:t>
      </w:r>
      <w:r w:rsidRPr="000D70B0">
        <w:rPr>
          <w:rFonts w:cs="Times New Roman"/>
          <w:i/>
        </w:rPr>
        <w:t xml:space="preserve">j = </w:t>
      </w:r>
      <w:r w:rsidRPr="000D70B0">
        <w:rPr>
          <w:rFonts w:cs="Times New Roman"/>
        </w:rPr>
        <w:t xml:space="preserve">1, </w:t>
      </w:r>
      <w:proofErr w:type="gramStart"/>
      <w:r w:rsidRPr="000D70B0">
        <w:rPr>
          <w:rFonts w:cs="Times New Roman"/>
        </w:rPr>
        <w:t>… ,</w:t>
      </w:r>
      <w:proofErr w:type="gramEnd"/>
      <w:r w:rsidRPr="000D70B0">
        <w:rPr>
          <w:rFonts w:cs="Times New Roman"/>
        </w:rPr>
        <w:t xml:space="preserve"> </w:t>
      </w:r>
      <w:proofErr w:type="spellStart"/>
      <w:r>
        <w:rPr>
          <w:rFonts w:cs="Times New Roman"/>
        </w:rPr>
        <w:t>n</w:t>
      </w:r>
      <w:r>
        <w:rPr>
          <w:rFonts w:cs="Times New Roman"/>
          <w:i/>
          <w:vertAlign w:val="subscript"/>
        </w:rPr>
        <w:t>i</w:t>
      </w:r>
      <w:proofErr w:type="spellEnd"/>
      <w:r w:rsidRPr="000D70B0">
        <w:rPr>
          <w:rFonts w:cs="Times New Roman"/>
          <w:i/>
        </w:rPr>
        <w:t xml:space="preserve"> </w:t>
      </w:r>
      <w:r>
        <w:rPr>
          <w:rFonts w:cs="Times New Roman"/>
        </w:rPr>
        <w:t>schools</w:t>
      </w:r>
      <w:r w:rsidRPr="000D70B0">
        <w:rPr>
          <w:rFonts w:cs="Times New Roman"/>
          <w:i/>
        </w:rPr>
        <w:t>.</w:t>
      </w:r>
    </w:p>
    <w:p w14:paraId="57D4DDA0" w14:textId="77777777" w:rsidR="00F2779E" w:rsidRPr="000D70B0" w:rsidRDefault="00F2779E" w:rsidP="00F2779E">
      <w:pPr>
        <w:spacing w:after="0" w:line="240" w:lineRule="auto"/>
        <w:rPr>
          <w:rFonts w:cs="Times New Roman"/>
          <w:i/>
        </w:rPr>
      </w:pPr>
    </w:p>
    <w:p w14:paraId="1C473937" w14:textId="77777777" w:rsidR="00F2779E" w:rsidRPr="000D70B0" w:rsidRDefault="00F2779E" w:rsidP="000B15E9">
      <w:pPr>
        <w:spacing w:after="0" w:line="320" w:lineRule="atLeast"/>
        <w:contextualSpacing/>
        <w:rPr>
          <w:rFonts w:cs="Times New Roman"/>
        </w:rPr>
      </w:pPr>
      <w:r w:rsidRPr="000D70B0">
        <w:rPr>
          <w:rFonts w:cs="Times New Roman"/>
        </w:rPr>
        <w:t xml:space="preserve">Random effects were included to account for </w:t>
      </w:r>
      <w:r>
        <w:rPr>
          <w:rFonts w:cs="Times New Roman"/>
        </w:rPr>
        <w:t>district</w:t>
      </w:r>
      <w:r w:rsidRPr="000D70B0">
        <w:rPr>
          <w:rFonts w:cs="Times New Roman"/>
        </w:rPr>
        <w:t xml:space="preserve"> and individual student effects by adding a random error term for each </w:t>
      </w:r>
      <w:r>
        <w:rPr>
          <w:rFonts w:cs="Times New Roman"/>
        </w:rPr>
        <w:t>district</w:t>
      </w:r>
      <w:r w:rsidRPr="000D70B0">
        <w:rPr>
          <w:rFonts w:cs="Times New Roman"/>
        </w:rPr>
        <w:t xml:space="preserve"> (</w:t>
      </w:r>
      <w:proofErr w:type="spellStart"/>
      <w:r w:rsidRPr="000D70B0">
        <w:rPr>
          <w:rFonts w:cs="Times New Roman"/>
          <w:i/>
        </w:rPr>
        <w:t>u</w:t>
      </w:r>
      <w:r w:rsidRPr="000D70B0">
        <w:rPr>
          <w:rFonts w:cs="Times New Roman"/>
          <w:i/>
          <w:vertAlign w:val="subscript"/>
        </w:rPr>
        <w:t>i</w:t>
      </w:r>
      <w:proofErr w:type="spellEnd"/>
      <w:r w:rsidRPr="000D70B0">
        <w:rPr>
          <w:rFonts w:cs="Times New Roman"/>
        </w:rPr>
        <w:t>), and individual observations (</w:t>
      </w:r>
      <w:proofErr w:type="spellStart"/>
      <w:r w:rsidRPr="000D70B0">
        <w:rPr>
          <w:rFonts w:cs="Times New Roman"/>
          <w:i/>
        </w:rPr>
        <w:t>e</w:t>
      </w:r>
      <w:r w:rsidRPr="000D70B0">
        <w:rPr>
          <w:rFonts w:cs="Times New Roman"/>
          <w:i/>
          <w:vertAlign w:val="subscript"/>
        </w:rPr>
        <w:t>ij</w:t>
      </w:r>
      <w:proofErr w:type="spellEnd"/>
      <w:r w:rsidRPr="000D70B0">
        <w:rPr>
          <w:rFonts w:cs="Times New Roman"/>
        </w:rPr>
        <w:t xml:space="preserve">). </w:t>
      </w:r>
      <w:r w:rsidRPr="000D70B0">
        <w:rPr>
          <w:rFonts w:cs="Times New Roman"/>
          <w:i/>
        </w:rPr>
        <w:t>β</w:t>
      </w:r>
      <w:r w:rsidRPr="000D70B0">
        <w:rPr>
          <w:rFonts w:cs="Times New Roman"/>
          <w:i/>
          <w:vertAlign w:val="subscript"/>
        </w:rPr>
        <w:t xml:space="preserve">0 </w:t>
      </w:r>
      <w:r w:rsidRPr="000D70B0">
        <w:rPr>
          <w:rFonts w:cs="Times New Roman"/>
        </w:rPr>
        <w:t>represents the intercept. The coefficients</w:t>
      </w:r>
      <w:r>
        <w:rPr>
          <w:rFonts w:cs="Times New Roman"/>
        </w:rPr>
        <w:t xml:space="preserve"> </w:t>
      </w:r>
      <w:r w:rsidRPr="000D70B0">
        <w:rPr>
          <w:rFonts w:cs="Times New Roman"/>
          <w:i/>
        </w:rPr>
        <w:t>β</w:t>
      </w:r>
      <w:r w:rsidRPr="000D70B0">
        <w:rPr>
          <w:rFonts w:cs="Times New Roman"/>
          <w:i/>
          <w:vertAlign w:val="subscript"/>
        </w:rPr>
        <w:t xml:space="preserve">1 </w:t>
      </w:r>
      <w:r w:rsidRPr="000D70B0">
        <w:rPr>
          <w:rFonts w:cs="Times New Roman"/>
        </w:rPr>
        <w:t>through</w:t>
      </w:r>
      <w:r w:rsidRPr="000D70B0">
        <w:rPr>
          <w:rFonts w:cs="Times New Roman"/>
          <w:i/>
        </w:rPr>
        <w:t xml:space="preserve"> β</w:t>
      </w:r>
      <w:r>
        <w:rPr>
          <w:rFonts w:cs="Times New Roman"/>
          <w:i/>
          <w:vertAlign w:val="subscript"/>
        </w:rPr>
        <w:t>14</w:t>
      </w:r>
      <w:r w:rsidRPr="000D70B0">
        <w:rPr>
          <w:rFonts w:cs="Times New Roman"/>
          <w:i/>
          <w:vertAlign w:val="subscript"/>
        </w:rPr>
        <w:t xml:space="preserve"> </w:t>
      </w:r>
      <w:r w:rsidRPr="000D70B0">
        <w:rPr>
          <w:rFonts w:cs="Times New Roman"/>
        </w:rPr>
        <w:t>represent the fixed effects of a given covariate on the outcome (</w:t>
      </w:r>
      <w:proofErr w:type="spellStart"/>
      <w:r w:rsidRPr="000D70B0">
        <w:rPr>
          <w:rFonts w:cs="Times New Roman"/>
          <w:i/>
        </w:rPr>
        <w:t>Y</w:t>
      </w:r>
      <w:r w:rsidRPr="000D70B0">
        <w:rPr>
          <w:rFonts w:cs="Times New Roman"/>
          <w:i/>
          <w:vertAlign w:val="subscript"/>
        </w:rPr>
        <w:t>ij</w:t>
      </w:r>
      <w:proofErr w:type="spellEnd"/>
      <w:r w:rsidRPr="000D70B0">
        <w:rPr>
          <w:rFonts w:cs="Times New Roman"/>
        </w:rPr>
        <w:t xml:space="preserve">). </w:t>
      </w:r>
      <w:r w:rsidRPr="00CC5ABC">
        <w:rPr>
          <w:rFonts w:cs="Times New Roman"/>
        </w:rPr>
        <w:t>Outcomes</w:t>
      </w:r>
      <w:r w:rsidRPr="00CC5ABC">
        <w:rPr>
          <w:rFonts w:cs="Times New Roman"/>
          <w:i/>
        </w:rPr>
        <w:t xml:space="preserve"> </w:t>
      </w:r>
      <w:r w:rsidRPr="00CC5ABC">
        <w:rPr>
          <w:rFonts w:cs="Times New Roman"/>
        </w:rPr>
        <w:t xml:space="preserve">(i.e., values for </w:t>
      </w:r>
      <w:proofErr w:type="spellStart"/>
      <w:r w:rsidRPr="00CC5ABC">
        <w:rPr>
          <w:rFonts w:cs="Times New Roman"/>
          <w:i/>
        </w:rPr>
        <w:t>Y</w:t>
      </w:r>
      <w:r w:rsidRPr="00CC5ABC">
        <w:rPr>
          <w:rFonts w:cs="Times New Roman"/>
          <w:i/>
          <w:vertAlign w:val="subscript"/>
        </w:rPr>
        <w:t>ij</w:t>
      </w:r>
      <w:proofErr w:type="spellEnd"/>
      <w:r w:rsidRPr="00CC5ABC">
        <w:rPr>
          <w:rFonts w:cs="Times New Roman"/>
        </w:rPr>
        <w:t xml:space="preserve">) were binary. </w:t>
      </w:r>
    </w:p>
    <w:p w14:paraId="736AB0A5" w14:textId="77777777" w:rsidR="00F2779E" w:rsidRPr="000D70B0" w:rsidRDefault="00F2779E" w:rsidP="000B15E9">
      <w:pPr>
        <w:spacing w:after="0" w:line="320" w:lineRule="atLeast"/>
        <w:contextualSpacing/>
        <w:rPr>
          <w:rFonts w:cs="Times New Roman"/>
        </w:rPr>
      </w:pPr>
    </w:p>
    <w:p w14:paraId="5F079696" w14:textId="486617C6" w:rsidR="00F2779E" w:rsidRDefault="00F2779E" w:rsidP="000B15E9">
      <w:pPr>
        <w:spacing w:after="0" w:line="320" w:lineRule="atLeast"/>
        <w:contextualSpacing/>
        <w:rPr>
          <w:rFonts w:cs="Times New Roman"/>
        </w:rPr>
      </w:pPr>
      <w:r w:rsidRPr="000B15E9">
        <w:rPr>
          <w:color w:val="000000" w:themeColor="text1"/>
        </w:rPr>
        <w:t>For this study, the coefficient of greatest interest was β1, which represents the estimated impact of participating in a student support (mock exam or study session) status on students’ likelihood of passing an AP course, taking an AP exam, or passing an AP exam. AP content areas were examined separately</w:t>
      </w:r>
      <w:r>
        <w:rPr>
          <w:rFonts w:cs="Times New Roman"/>
        </w:rPr>
        <w:t>.</w:t>
      </w:r>
    </w:p>
    <w:p w14:paraId="4128E104" w14:textId="77777777" w:rsidR="00F2779E" w:rsidRDefault="00F2779E" w:rsidP="00F2779E">
      <w:pPr>
        <w:spacing w:after="0" w:line="240" w:lineRule="auto"/>
        <w:rPr>
          <w:rFonts w:cs="Times New Roman"/>
        </w:rPr>
      </w:pPr>
    </w:p>
    <w:p w14:paraId="4BF8ED37" w14:textId="2C4DDEEC" w:rsidR="00F2779E" w:rsidRPr="007B49DA" w:rsidRDefault="00F2779E" w:rsidP="007B49DA">
      <w:pPr>
        <w:pStyle w:val="Heading3"/>
        <w:rPr>
          <w:color w:val="757575" w:themeColor="background2" w:themeShade="80"/>
          <w:sz w:val="28"/>
          <w:szCs w:val="28"/>
        </w:rPr>
      </w:pPr>
      <w:bookmarkStart w:id="103" w:name="_Toc200638435"/>
      <w:bookmarkStart w:id="104" w:name="_Toc202784433"/>
      <w:bookmarkStart w:id="105" w:name="_Toc202784519"/>
      <w:bookmarkStart w:id="106" w:name="_Toc202788402"/>
      <w:bookmarkStart w:id="107" w:name="_Toc204766659"/>
      <w:bookmarkStart w:id="108" w:name="_Toc206742097"/>
      <w:bookmarkStart w:id="109" w:name="_Toc207183726"/>
      <w:bookmarkStart w:id="110" w:name="_Toc207348158"/>
      <w:r w:rsidRPr="007B49DA">
        <w:rPr>
          <w:color w:val="757575" w:themeColor="background2" w:themeShade="80"/>
          <w:sz w:val="28"/>
          <w:szCs w:val="28"/>
        </w:rPr>
        <w:t xml:space="preserve">APSI </w:t>
      </w:r>
      <w:r w:rsidR="00C375BC" w:rsidRPr="007B49DA">
        <w:rPr>
          <w:color w:val="757575" w:themeColor="background2" w:themeShade="80"/>
          <w:sz w:val="28"/>
          <w:szCs w:val="28"/>
        </w:rPr>
        <w:t>S</w:t>
      </w:r>
      <w:r w:rsidR="00EE6756" w:rsidRPr="007B49DA">
        <w:rPr>
          <w:color w:val="757575" w:themeColor="background2" w:themeShade="80"/>
          <w:sz w:val="28"/>
          <w:szCs w:val="28"/>
        </w:rPr>
        <w:t xml:space="preserve">urvey </w:t>
      </w:r>
      <w:bookmarkEnd w:id="103"/>
      <w:bookmarkEnd w:id="104"/>
      <w:bookmarkEnd w:id="105"/>
      <w:r w:rsidR="00C375BC" w:rsidRPr="007B49DA">
        <w:rPr>
          <w:color w:val="757575" w:themeColor="background2" w:themeShade="80"/>
          <w:sz w:val="28"/>
          <w:szCs w:val="28"/>
        </w:rPr>
        <w:t>A</w:t>
      </w:r>
      <w:r w:rsidR="00EE6756" w:rsidRPr="007B49DA">
        <w:rPr>
          <w:color w:val="757575" w:themeColor="background2" w:themeShade="80"/>
          <w:sz w:val="28"/>
          <w:szCs w:val="28"/>
        </w:rPr>
        <w:t xml:space="preserve">nalysis </w:t>
      </w:r>
      <w:bookmarkEnd w:id="106"/>
      <w:r w:rsidR="00C375BC" w:rsidRPr="007B49DA">
        <w:rPr>
          <w:color w:val="757575" w:themeColor="background2" w:themeShade="80"/>
          <w:sz w:val="28"/>
          <w:szCs w:val="28"/>
        </w:rPr>
        <w:t>A</w:t>
      </w:r>
      <w:r w:rsidR="00EE6756" w:rsidRPr="007B49DA">
        <w:rPr>
          <w:color w:val="757575" w:themeColor="background2" w:themeShade="80"/>
          <w:sz w:val="28"/>
          <w:szCs w:val="28"/>
        </w:rPr>
        <w:t>pproach</w:t>
      </w:r>
      <w:bookmarkEnd w:id="107"/>
      <w:bookmarkEnd w:id="108"/>
      <w:bookmarkEnd w:id="109"/>
      <w:bookmarkEnd w:id="110"/>
    </w:p>
    <w:p w14:paraId="27B136BE" w14:textId="43AE574D" w:rsidR="00F2779E" w:rsidRDefault="00F2779E" w:rsidP="00673231">
      <w:pPr>
        <w:pStyle w:val="BodyText"/>
      </w:pPr>
      <w:r>
        <w:t xml:space="preserve">AP teachers who had participated in one or more </w:t>
      </w:r>
      <w:r w:rsidR="001F5D98">
        <w:t>Mi APSI training</w:t>
      </w:r>
      <w:r>
        <w:t xml:space="preserve"> during the summer of </w:t>
      </w:r>
      <w:r w:rsidR="001F5D98">
        <w:t>SY202</w:t>
      </w:r>
      <w:r w:rsidR="00724665">
        <w:t xml:space="preserve">5 were </w:t>
      </w:r>
      <w:r w:rsidR="00E070A0">
        <w:t>surveyed</w:t>
      </w:r>
      <w:r w:rsidR="001F5D98">
        <w:t>.</w:t>
      </w:r>
      <w:r>
        <w:t xml:space="preserve"> </w:t>
      </w:r>
      <w:r w:rsidRPr="00005D03">
        <w:t>UMDI designed t</w:t>
      </w:r>
      <w:r>
        <w:t>wo</w:t>
      </w:r>
      <w:r w:rsidRPr="00005D03">
        <w:t xml:space="preserve"> survey</w:t>
      </w:r>
      <w:r>
        <w:t>s</w:t>
      </w:r>
      <w:r w:rsidRPr="00005D03">
        <w:t xml:space="preserve"> in collaboration with DESE and administered the </w:t>
      </w:r>
      <w:r>
        <w:t xml:space="preserve">first survey </w:t>
      </w:r>
      <w:r w:rsidRPr="00005D03">
        <w:t>in J</w:t>
      </w:r>
      <w:r>
        <w:t xml:space="preserve">uly </w:t>
      </w:r>
      <w:r w:rsidRPr="00005D03">
        <w:t>202</w:t>
      </w:r>
      <w:r>
        <w:t>4 and the follow-up survey in November 2024</w:t>
      </w:r>
      <w:r w:rsidR="00FC6EE5">
        <w:t>, once teachers had returned to their classrooms and were able to implement knowledge and/or skills learned during the APSI</w:t>
      </w:r>
      <w:r>
        <w:t xml:space="preserve">. </w:t>
      </w:r>
      <w:r w:rsidR="006F3F2D">
        <w:t>C</w:t>
      </w:r>
      <w:r>
        <w:t xml:space="preserve">losed-ended survey responses were descriptively analyzed in SPSS, and short-answer responses were </w:t>
      </w:r>
      <w:r w:rsidR="00B1316C">
        <w:t>inductively coded</w:t>
      </w:r>
      <w:r w:rsidR="00B346CF">
        <w:t xml:space="preserve"> </w:t>
      </w:r>
      <w:r>
        <w:t xml:space="preserve">to identify themes across respondents. </w:t>
      </w:r>
      <w:r w:rsidRPr="00005D03">
        <w:t xml:space="preserve">Survey findings </w:t>
      </w:r>
      <w:r w:rsidR="003363AD">
        <w:t>were</w:t>
      </w:r>
      <w:r w:rsidRPr="00005D03">
        <w:t xml:space="preserve"> aggregated to </w:t>
      </w:r>
      <w:r w:rsidRPr="00005D03">
        <w:lastRenderedPageBreak/>
        <w:t>maintain teachers’ anonymity.</w:t>
      </w:r>
      <w:r w:rsidR="00FC6EE5">
        <w:rPr>
          <w:rStyle w:val="FootnoteReference"/>
        </w:rPr>
        <w:footnoteReference w:id="9"/>
      </w:r>
      <w:r w:rsidRPr="00005D03">
        <w:t xml:space="preserve"> </w:t>
      </w:r>
      <w:r>
        <w:t xml:space="preserve">Table </w:t>
      </w:r>
      <w:r w:rsidR="00CA1AEF">
        <w:t xml:space="preserve">1 </w:t>
      </w:r>
      <w:r>
        <w:t xml:space="preserve">shows the response rates for the initial and follow-up surveys. </w:t>
      </w:r>
      <w:r w:rsidR="001F5D98" w:rsidRPr="008F1DAD">
        <w:t>Appendi</w:t>
      </w:r>
      <w:r w:rsidR="00ED328E">
        <w:t xml:space="preserve">ces </w:t>
      </w:r>
      <w:r w:rsidR="0032299E">
        <w:t xml:space="preserve">D </w:t>
      </w:r>
      <w:r w:rsidR="00ED328E">
        <w:t xml:space="preserve">and </w:t>
      </w:r>
      <w:r w:rsidR="0032299E">
        <w:t xml:space="preserve">E </w:t>
      </w:r>
      <w:r w:rsidR="00ED328E">
        <w:t xml:space="preserve">provide the July survey instrument and summary of survey response data, respectively, and Appendices </w:t>
      </w:r>
      <w:r w:rsidR="0032299E">
        <w:t xml:space="preserve">F </w:t>
      </w:r>
      <w:r w:rsidR="00ED328E">
        <w:t xml:space="preserve">and </w:t>
      </w:r>
      <w:r w:rsidR="0032299E">
        <w:t xml:space="preserve">G </w:t>
      </w:r>
      <w:r w:rsidR="00ED328E">
        <w:t xml:space="preserve">provide the November survey instrument and </w:t>
      </w:r>
      <w:r w:rsidR="00E96E24">
        <w:t xml:space="preserve">summary of survey response data. </w:t>
      </w:r>
    </w:p>
    <w:p w14:paraId="548DCFBE" w14:textId="3FC81F4B" w:rsidR="00F2779E" w:rsidRPr="007D1DA2" w:rsidRDefault="00F2779E" w:rsidP="00F2779E">
      <w:pPr>
        <w:pStyle w:val="TableCaption"/>
      </w:pPr>
      <w:bookmarkStart w:id="111" w:name="_Toc207183791"/>
      <w:r w:rsidRPr="007D1DA2">
        <w:rPr>
          <w:bCs/>
        </w:rPr>
        <w:t xml:space="preserve">Table </w:t>
      </w:r>
      <w:r w:rsidR="00552280">
        <w:rPr>
          <w:bCs/>
        </w:rPr>
        <w:t>1</w:t>
      </w:r>
      <w:r w:rsidR="0071667E">
        <w:rPr>
          <w:bCs/>
        </w:rPr>
        <w:t>.</w:t>
      </w:r>
      <w:r>
        <w:rPr>
          <w:bCs/>
        </w:rPr>
        <w:t xml:space="preserve"> </w:t>
      </w:r>
      <w:r w:rsidRPr="007D1DA2">
        <w:t xml:space="preserve">Number of </w:t>
      </w:r>
      <w:r w:rsidR="002776E7">
        <w:t>AP STEM ELA</w:t>
      </w:r>
      <w:r w:rsidRPr="007D1DA2">
        <w:t xml:space="preserve"> teachers who </w:t>
      </w:r>
      <w:r>
        <w:t>participated in the APSI training and partially or fully completed initial survey and</w:t>
      </w:r>
      <w:r w:rsidR="00535105">
        <w:t>/</w:t>
      </w:r>
      <w:r>
        <w:t>or the follow-up survey</w:t>
      </w:r>
      <w:bookmarkEnd w:id="111"/>
      <w:r>
        <w:t xml:space="preserve"> </w:t>
      </w:r>
    </w:p>
    <w:tbl>
      <w:tblPr>
        <w:tblStyle w:val="UMDIMaroon"/>
        <w:tblW w:w="4879" w:type="dxa"/>
        <w:tblLook w:val="04A0" w:firstRow="1" w:lastRow="0" w:firstColumn="1" w:lastColumn="0" w:noHBand="0" w:noVBand="1"/>
      </w:tblPr>
      <w:tblGrid>
        <w:gridCol w:w="3398"/>
        <w:gridCol w:w="740"/>
        <w:gridCol w:w="741"/>
      </w:tblGrid>
      <w:tr w:rsidR="00637392" w:rsidRPr="007D1DA2" w14:paraId="148B0508" w14:textId="77777777">
        <w:trPr>
          <w:cnfStyle w:val="100000000000" w:firstRow="1" w:lastRow="0" w:firstColumn="0" w:lastColumn="0" w:oddVBand="0" w:evenVBand="0" w:oddHBand="0" w:evenHBand="0" w:firstRowFirstColumn="0" w:firstRowLastColumn="0" w:lastRowFirstColumn="0" w:lastRowLastColumn="0"/>
          <w:trHeight w:val="523"/>
        </w:trPr>
        <w:tc>
          <w:tcPr>
            <w:cnfStyle w:val="001000000000" w:firstRow="0" w:lastRow="0" w:firstColumn="1" w:lastColumn="0" w:oddVBand="0" w:evenVBand="0" w:oddHBand="0" w:evenHBand="0" w:firstRowFirstColumn="0" w:firstRowLastColumn="0" w:lastRowFirstColumn="0" w:lastRowLastColumn="0"/>
            <w:tcW w:w="0" w:type="auto"/>
            <w:noWrap/>
            <w:hideMark/>
          </w:tcPr>
          <w:p w14:paraId="5F67991E" w14:textId="77777777" w:rsidR="00F2779E" w:rsidRPr="007D1DA2" w:rsidRDefault="00F2779E">
            <w:pPr>
              <w:spacing w:after="0" w:line="259" w:lineRule="auto"/>
            </w:pPr>
            <w:bookmarkStart w:id="112" w:name="_Hlk202247836"/>
            <w:r w:rsidRPr="007D1DA2">
              <w:t>AP Teachers</w:t>
            </w:r>
          </w:p>
        </w:tc>
        <w:tc>
          <w:tcPr>
            <w:tcW w:w="0" w:type="auto"/>
            <w:noWrap/>
            <w:hideMark/>
          </w:tcPr>
          <w:p w14:paraId="2469FFB9" w14:textId="77777777" w:rsidR="00F2779E" w:rsidRPr="007D1DA2" w:rsidRDefault="00F2779E">
            <w:pPr>
              <w:spacing w:after="0" w:line="259" w:lineRule="auto"/>
              <w:cnfStyle w:val="100000000000" w:firstRow="1" w:lastRow="0" w:firstColumn="0" w:lastColumn="0" w:oddVBand="0" w:evenVBand="0" w:oddHBand="0" w:evenHBand="0" w:firstRowFirstColumn="0" w:firstRowLastColumn="0" w:lastRowFirstColumn="0" w:lastRowLastColumn="0"/>
            </w:pPr>
            <w:r>
              <w:t>N</w:t>
            </w:r>
          </w:p>
        </w:tc>
        <w:tc>
          <w:tcPr>
            <w:tcW w:w="0" w:type="auto"/>
            <w:noWrap/>
          </w:tcPr>
          <w:p w14:paraId="11841E4C" w14:textId="77777777" w:rsidR="00F2779E" w:rsidRPr="007D1DA2" w:rsidRDefault="00F2779E">
            <w:pPr>
              <w:spacing w:after="0" w:line="259" w:lineRule="auto"/>
              <w:cnfStyle w:val="100000000000" w:firstRow="1" w:lastRow="0" w:firstColumn="0" w:lastColumn="0" w:oddVBand="0" w:evenVBand="0" w:oddHBand="0" w:evenHBand="0" w:firstRowFirstColumn="0" w:firstRowLastColumn="0" w:lastRowFirstColumn="0" w:lastRowLastColumn="0"/>
            </w:pPr>
            <w:r>
              <w:t>%</w:t>
            </w:r>
          </w:p>
        </w:tc>
      </w:tr>
      <w:tr w:rsidR="00F2779E" w:rsidRPr="007D1DA2" w14:paraId="4DF9F4EC" w14:textId="77777777">
        <w:trPr>
          <w:cnfStyle w:val="000000100000" w:firstRow="0" w:lastRow="0" w:firstColumn="0" w:lastColumn="0" w:oddVBand="0" w:evenVBand="0" w:oddHBand="1" w:evenHBand="0" w:firstRowFirstColumn="0" w:firstRowLastColumn="0" w:lastRowFirstColumn="0" w:lastRowLastColumn="0"/>
          <w:trHeight w:val="523"/>
        </w:trPr>
        <w:tc>
          <w:tcPr>
            <w:cnfStyle w:val="001000000000" w:firstRow="0" w:lastRow="0" w:firstColumn="1" w:lastColumn="0" w:oddVBand="0" w:evenVBand="0" w:oddHBand="0" w:evenHBand="0" w:firstRowFirstColumn="0" w:firstRowLastColumn="0" w:lastRowFirstColumn="0" w:lastRowLastColumn="0"/>
            <w:tcW w:w="0" w:type="auto"/>
            <w:hideMark/>
          </w:tcPr>
          <w:p w14:paraId="344CB8F5" w14:textId="77777777" w:rsidR="00F2779E" w:rsidRPr="007D1DA2" w:rsidRDefault="00F2779E">
            <w:pPr>
              <w:spacing w:after="0" w:line="259" w:lineRule="auto"/>
            </w:pPr>
            <w:r>
              <w:t xml:space="preserve"># of APSI </w:t>
            </w:r>
            <w:r w:rsidR="00CC2794">
              <w:t>Registrants</w:t>
            </w:r>
            <w:r w:rsidR="00D843E0">
              <w:t xml:space="preserve"> </w:t>
            </w:r>
          </w:p>
        </w:tc>
        <w:tc>
          <w:tcPr>
            <w:tcW w:w="740" w:type="dxa"/>
            <w:noWrap/>
            <w:hideMark/>
          </w:tcPr>
          <w:p w14:paraId="7E60598E" w14:textId="77777777" w:rsidR="00F2779E" w:rsidRPr="007D1DA2" w:rsidRDefault="00F2779E">
            <w:pPr>
              <w:spacing w:after="0" w:line="259" w:lineRule="auto"/>
              <w:cnfStyle w:val="000000100000" w:firstRow="0" w:lastRow="0" w:firstColumn="0" w:lastColumn="0" w:oddVBand="0" w:evenVBand="0" w:oddHBand="1" w:evenHBand="0" w:firstRowFirstColumn="0" w:firstRowLastColumn="0" w:lastRowFirstColumn="0" w:lastRowLastColumn="0"/>
            </w:pPr>
            <w:r>
              <w:t>11</w:t>
            </w:r>
            <w:r w:rsidR="00B93F21">
              <w:t>5</w:t>
            </w:r>
            <w:r w:rsidR="00C34CF8">
              <w:rPr>
                <w:rStyle w:val="FootnoteReference"/>
              </w:rPr>
              <w:footnoteReference w:id="10"/>
            </w:r>
          </w:p>
        </w:tc>
        <w:tc>
          <w:tcPr>
            <w:tcW w:w="741" w:type="dxa"/>
            <w:noWrap/>
            <w:hideMark/>
          </w:tcPr>
          <w:p w14:paraId="51589286" w14:textId="77777777" w:rsidR="00F2779E" w:rsidRPr="007D1DA2" w:rsidRDefault="00F2779E">
            <w:pPr>
              <w:spacing w:after="0" w:line="259" w:lineRule="auto"/>
              <w:cnfStyle w:val="000000100000" w:firstRow="0" w:lastRow="0" w:firstColumn="0" w:lastColumn="0" w:oddVBand="0" w:evenVBand="0" w:oddHBand="1" w:evenHBand="0" w:firstRowFirstColumn="0" w:firstRowLastColumn="0" w:lastRowFirstColumn="0" w:lastRowLastColumn="0"/>
            </w:pPr>
            <w:r>
              <w:t>100%</w:t>
            </w:r>
          </w:p>
        </w:tc>
      </w:tr>
      <w:tr w:rsidR="00F2779E" w:rsidRPr="007D1DA2" w14:paraId="695D5491" w14:textId="77777777">
        <w:trPr>
          <w:cnfStyle w:val="000000010000" w:firstRow="0" w:lastRow="0" w:firstColumn="0" w:lastColumn="0" w:oddVBand="0" w:evenVBand="0" w:oddHBand="0" w:evenHBand="1" w:firstRowFirstColumn="0" w:firstRowLastColumn="0" w:lastRowFirstColumn="0" w:lastRowLastColumn="0"/>
          <w:trHeight w:val="523"/>
        </w:trPr>
        <w:tc>
          <w:tcPr>
            <w:cnfStyle w:val="001000000000" w:firstRow="0" w:lastRow="0" w:firstColumn="1" w:lastColumn="0" w:oddVBand="0" w:evenVBand="0" w:oddHBand="0" w:evenHBand="0" w:firstRowFirstColumn="0" w:firstRowLastColumn="0" w:lastRowFirstColumn="0" w:lastRowLastColumn="0"/>
            <w:tcW w:w="0" w:type="auto"/>
            <w:noWrap/>
            <w:hideMark/>
          </w:tcPr>
          <w:p w14:paraId="0935DE33" w14:textId="77777777" w:rsidR="00F2779E" w:rsidRPr="007D1DA2" w:rsidRDefault="00F2779E">
            <w:pPr>
              <w:spacing w:after="0" w:line="259" w:lineRule="auto"/>
            </w:pPr>
            <w:r>
              <w:t>Initial Survey Respondents</w:t>
            </w:r>
          </w:p>
        </w:tc>
        <w:tc>
          <w:tcPr>
            <w:tcW w:w="740" w:type="dxa"/>
            <w:noWrap/>
            <w:hideMark/>
          </w:tcPr>
          <w:p w14:paraId="729A038C" w14:textId="77777777" w:rsidR="00F2779E" w:rsidRPr="007D1DA2" w:rsidRDefault="00F2779E">
            <w:pPr>
              <w:spacing w:after="0" w:line="259" w:lineRule="auto"/>
              <w:cnfStyle w:val="000000010000" w:firstRow="0" w:lastRow="0" w:firstColumn="0" w:lastColumn="0" w:oddVBand="0" w:evenVBand="0" w:oddHBand="0" w:evenHBand="1" w:firstRowFirstColumn="0" w:firstRowLastColumn="0" w:lastRowFirstColumn="0" w:lastRowLastColumn="0"/>
            </w:pPr>
            <w:r>
              <w:t>34</w:t>
            </w:r>
          </w:p>
        </w:tc>
        <w:tc>
          <w:tcPr>
            <w:tcW w:w="741" w:type="dxa"/>
            <w:noWrap/>
            <w:hideMark/>
          </w:tcPr>
          <w:p w14:paraId="1986F478" w14:textId="49F8F406" w:rsidR="00F2779E" w:rsidRPr="007D1DA2" w:rsidRDefault="00D47425">
            <w:pPr>
              <w:spacing w:after="0" w:line="259" w:lineRule="auto"/>
              <w:cnfStyle w:val="000000010000" w:firstRow="0" w:lastRow="0" w:firstColumn="0" w:lastColumn="0" w:oddVBand="0" w:evenVBand="0" w:oddHBand="0" w:evenHBand="1" w:firstRowFirstColumn="0" w:firstRowLastColumn="0" w:lastRowFirstColumn="0" w:lastRowLastColumn="0"/>
            </w:pPr>
            <w:r>
              <w:t>30</w:t>
            </w:r>
            <w:r w:rsidR="00F2779E">
              <w:t>%</w:t>
            </w:r>
          </w:p>
        </w:tc>
      </w:tr>
      <w:tr w:rsidR="00F2779E" w:rsidRPr="007D1DA2" w14:paraId="51C231C6" w14:textId="77777777">
        <w:trPr>
          <w:cnfStyle w:val="000000100000" w:firstRow="0" w:lastRow="0" w:firstColumn="0" w:lastColumn="0" w:oddVBand="0" w:evenVBand="0" w:oddHBand="1" w:evenHBand="0" w:firstRowFirstColumn="0" w:firstRowLastColumn="0" w:lastRowFirstColumn="0" w:lastRowLastColumn="0"/>
          <w:trHeight w:val="523"/>
        </w:trPr>
        <w:tc>
          <w:tcPr>
            <w:cnfStyle w:val="001000000000" w:firstRow="0" w:lastRow="0" w:firstColumn="1" w:lastColumn="0" w:oddVBand="0" w:evenVBand="0" w:oddHBand="0" w:evenHBand="0" w:firstRowFirstColumn="0" w:firstRowLastColumn="0" w:lastRowFirstColumn="0" w:lastRowLastColumn="0"/>
            <w:tcW w:w="0" w:type="auto"/>
            <w:noWrap/>
            <w:hideMark/>
          </w:tcPr>
          <w:p w14:paraId="3C8228A0" w14:textId="77777777" w:rsidR="00F2779E" w:rsidRPr="007D1DA2" w:rsidRDefault="00F2779E">
            <w:pPr>
              <w:spacing w:after="0" w:line="259" w:lineRule="auto"/>
            </w:pPr>
            <w:r>
              <w:t>Follow-up Survey Respondents</w:t>
            </w:r>
          </w:p>
        </w:tc>
        <w:tc>
          <w:tcPr>
            <w:tcW w:w="740" w:type="dxa"/>
            <w:noWrap/>
            <w:hideMark/>
          </w:tcPr>
          <w:p w14:paraId="685D55D1" w14:textId="77777777" w:rsidR="00F2779E" w:rsidRPr="007D1DA2" w:rsidRDefault="00F2779E">
            <w:pPr>
              <w:spacing w:after="0" w:line="259" w:lineRule="auto"/>
              <w:cnfStyle w:val="000000100000" w:firstRow="0" w:lastRow="0" w:firstColumn="0" w:lastColumn="0" w:oddVBand="0" w:evenVBand="0" w:oddHBand="1" w:evenHBand="0" w:firstRowFirstColumn="0" w:firstRowLastColumn="0" w:lastRowFirstColumn="0" w:lastRowLastColumn="0"/>
            </w:pPr>
            <w:r>
              <w:t>2</w:t>
            </w:r>
            <w:r w:rsidR="00CF61F3">
              <w:t>3</w:t>
            </w:r>
          </w:p>
        </w:tc>
        <w:tc>
          <w:tcPr>
            <w:tcW w:w="741" w:type="dxa"/>
            <w:noWrap/>
            <w:hideMark/>
          </w:tcPr>
          <w:p w14:paraId="5FB22F01" w14:textId="77777777" w:rsidR="00F2779E" w:rsidRPr="007D1DA2" w:rsidRDefault="00F2779E">
            <w:pPr>
              <w:spacing w:after="0" w:line="259" w:lineRule="auto"/>
              <w:cnfStyle w:val="000000100000" w:firstRow="0" w:lastRow="0" w:firstColumn="0" w:lastColumn="0" w:oddVBand="0" w:evenVBand="0" w:oddHBand="1" w:evenHBand="0" w:firstRowFirstColumn="0" w:firstRowLastColumn="0" w:lastRowFirstColumn="0" w:lastRowLastColumn="0"/>
            </w:pPr>
            <w:r>
              <w:t>2</w:t>
            </w:r>
            <w:r w:rsidR="00AB43B5">
              <w:t>0</w:t>
            </w:r>
            <w:r>
              <w:t>%</w:t>
            </w:r>
          </w:p>
        </w:tc>
      </w:tr>
      <w:bookmarkEnd w:id="112"/>
    </w:tbl>
    <w:p w14:paraId="21FC4ECD" w14:textId="77777777" w:rsidR="00F2779E" w:rsidRDefault="00F2779E" w:rsidP="00F2779E">
      <w:pPr>
        <w:pStyle w:val="BodyText"/>
      </w:pPr>
    </w:p>
    <w:p w14:paraId="13740E59" w14:textId="77777777" w:rsidR="00F2779E" w:rsidRPr="007B49DA" w:rsidRDefault="00F2779E" w:rsidP="007B49DA">
      <w:pPr>
        <w:pStyle w:val="Heading3"/>
        <w:rPr>
          <w:sz w:val="28"/>
          <w:szCs w:val="28"/>
        </w:rPr>
      </w:pPr>
      <w:bookmarkStart w:id="113" w:name="_Toc202784520"/>
      <w:bookmarkStart w:id="114" w:name="_Toc202788403"/>
      <w:bookmarkStart w:id="115" w:name="_Toc204766660"/>
      <w:bookmarkStart w:id="116" w:name="_Toc206742098"/>
      <w:bookmarkStart w:id="117" w:name="_Toc207183727"/>
      <w:bookmarkStart w:id="118" w:name="_Toc207348159"/>
      <w:r w:rsidRPr="007B49DA">
        <w:rPr>
          <w:color w:val="757575" w:themeColor="background2" w:themeShade="80"/>
          <w:sz w:val="28"/>
          <w:szCs w:val="28"/>
        </w:rPr>
        <w:t>Limitations</w:t>
      </w:r>
      <w:bookmarkEnd w:id="113"/>
      <w:bookmarkEnd w:id="114"/>
      <w:bookmarkEnd w:id="115"/>
      <w:bookmarkEnd w:id="116"/>
      <w:bookmarkEnd w:id="117"/>
      <w:bookmarkEnd w:id="118"/>
    </w:p>
    <w:p w14:paraId="665726B3" w14:textId="77777777" w:rsidR="00F2779E" w:rsidRPr="00887FB1" w:rsidRDefault="00F2779E" w:rsidP="007B49DA">
      <w:pPr>
        <w:pStyle w:val="Heading4"/>
      </w:pPr>
      <w:bookmarkStart w:id="119" w:name="_Toc202784435"/>
      <w:bookmarkStart w:id="120" w:name="_Toc202784521"/>
      <w:bookmarkStart w:id="121" w:name="_Toc202788404"/>
      <w:bookmarkStart w:id="122" w:name="_Toc203984427"/>
      <w:bookmarkStart w:id="123" w:name="_Toc204766661"/>
      <w:bookmarkStart w:id="124" w:name="_Toc206742099"/>
      <w:bookmarkStart w:id="125" w:name="_Toc207183728"/>
      <w:bookmarkStart w:id="126" w:name="_Toc207348160"/>
      <w:r>
        <w:t>Descriptive and Quasi-experimental Analyses</w:t>
      </w:r>
      <w:bookmarkEnd w:id="119"/>
      <w:bookmarkEnd w:id="120"/>
      <w:bookmarkEnd w:id="121"/>
      <w:bookmarkEnd w:id="122"/>
      <w:bookmarkEnd w:id="123"/>
      <w:bookmarkEnd w:id="124"/>
      <w:bookmarkEnd w:id="125"/>
      <w:bookmarkEnd w:id="126"/>
    </w:p>
    <w:p w14:paraId="01C4654D" w14:textId="58E6A502" w:rsidR="00F2779E" w:rsidRDefault="00CA1DB7" w:rsidP="00673231">
      <w:pPr>
        <w:pStyle w:val="BodyText"/>
      </w:pPr>
      <w:r w:rsidRPr="000E55E9">
        <w:t>Our modeling approach and the descriptive statistics we collect</w:t>
      </w:r>
      <w:r w:rsidR="008A3584" w:rsidRPr="000E55E9">
        <w:t>ed</w:t>
      </w:r>
      <w:r w:rsidRPr="000E55E9">
        <w:t xml:space="preserve"> d</w:t>
      </w:r>
      <w:r w:rsidR="008A3584" w:rsidRPr="000E55E9">
        <w:t>id</w:t>
      </w:r>
      <w:r w:rsidRPr="000E55E9">
        <w:t xml:space="preserve"> not allow us to fully account for various factors that may</w:t>
      </w:r>
      <w:r w:rsidR="008A3584" w:rsidRPr="000E55E9">
        <w:t xml:space="preserve"> have</w:t>
      </w:r>
      <w:r w:rsidRPr="000E55E9">
        <w:t xml:space="preserve"> influence</w:t>
      </w:r>
      <w:r w:rsidR="008A3584" w:rsidRPr="000E55E9">
        <w:t>d</w:t>
      </w:r>
      <w:r w:rsidRPr="000E55E9">
        <w:t xml:space="preserve"> the results. One key limitation </w:t>
      </w:r>
      <w:r w:rsidR="008A3584" w:rsidRPr="000E55E9">
        <w:t>was</w:t>
      </w:r>
      <w:r w:rsidRPr="000E55E9">
        <w:t xml:space="preserve"> the potential for self-selection bias: students who chose to participate in supports such as mock exams or study sessions may </w:t>
      </w:r>
      <w:r w:rsidR="00E27534" w:rsidRPr="000E55E9">
        <w:t xml:space="preserve">have been </w:t>
      </w:r>
      <w:r w:rsidRPr="000E55E9">
        <w:t xml:space="preserve">more motivated to succeed in AP courses and exams. Additionally, our analyses </w:t>
      </w:r>
      <w:r w:rsidR="00C417F7">
        <w:t>did</w:t>
      </w:r>
      <w:r w:rsidR="00C417F7" w:rsidRPr="000E55E9">
        <w:t xml:space="preserve"> </w:t>
      </w:r>
      <w:r w:rsidR="00E27534" w:rsidRPr="000E55E9">
        <w:t>not account for the effects</w:t>
      </w:r>
      <w:r w:rsidRPr="000E55E9">
        <w:t xml:space="preserve"> of school-level policies that may have been implemented alongside the intervention. </w:t>
      </w:r>
      <w:r w:rsidR="00AF1B43">
        <w:t xml:space="preserve">For example, some schools may have implemented policies that required every student </w:t>
      </w:r>
      <w:r w:rsidR="00B52559">
        <w:t>enrolled in</w:t>
      </w:r>
      <w:r w:rsidR="00AF1B43">
        <w:t xml:space="preserve"> an AP course to </w:t>
      </w:r>
      <w:r w:rsidR="005D212E">
        <w:t xml:space="preserve">take the corresponding AP exam. </w:t>
      </w:r>
      <w:r w:rsidR="002F0617">
        <w:t>Additionally</w:t>
      </w:r>
      <w:r w:rsidRPr="000E55E9">
        <w:t>, we d</w:t>
      </w:r>
      <w:r w:rsidR="00E27534" w:rsidRPr="000E55E9">
        <w:t>id</w:t>
      </w:r>
      <w:r w:rsidRPr="000E55E9">
        <w:t xml:space="preserve"> not account for students participating in multiple types of supports—for example, a student who t</w:t>
      </w:r>
      <w:r w:rsidR="00E27534" w:rsidRPr="000E55E9">
        <w:t>ook</w:t>
      </w:r>
      <w:r w:rsidRPr="000E55E9">
        <w:t xml:space="preserve"> a mock exam may also </w:t>
      </w:r>
      <w:r w:rsidR="00E27534" w:rsidRPr="000E55E9">
        <w:t xml:space="preserve">have </w:t>
      </w:r>
      <w:r w:rsidRPr="000E55E9">
        <w:t>attend</w:t>
      </w:r>
      <w:r w:rsidR="00E27534" w:rsidRPr="000E55E9">
        <w:t>ed</w:t>
      </w:r>
      <w:r w:rsidRPr="000E55E9">
        <w:t xml:space="preserve"> a study session.</w:t>
      </w:r>
      <w:r w:rsidR="0016250A">
        <w:t xml:space="preserve"> </w:t>
      </w:r>
      <w:r w:rsidR="00F2779E">
        <w:t>Our measure of course passing relie</w:t>
      </w:r>
      <w:r w:rsidR="008C0499">
        <w:t>d</w:t>
      </w:r>
      <w:r w:rsidR="00F2779E">
        <w:t xml:space="preserve"> on SCS data. </w:t>
      </w:r>
      <w:r w:rsidR="00064C17">
        <w:t xml:space="preserve">However, variation in grading policies or practices at the </w:t>
      </w:r>
      <w:r w:rsidR="00F2779E">
        <w:t>teacher or school</w:t>
      </w:r>
      <w:r w:rsidR="00CF786F">
        <w:t xml:space="preserve"> </w:t>
      </w:r>
      <w:r w:rsidR="00F2779E">
        <w:t xml:space="preserve">level </w:t>
      </w:r>
      <w:r w:rsidR="008C0499">
        <w:t>may have</w:t>
      </w:r>
      <w:r w:rsidR="00CF786F">
        <w:t xml:space="preserve"> influenced</w:t>
      </w:r>
      <w:r w:rsidR="008C0499">
        <w:t xml:space="preserve"> student grades</w:t>
      </w:r>
      <w:r w:rsidR="00CC10B0">
        <w:t>. T</w:t>
      </w:r>
      <w:r w:rsidR="00F2779E">
        <w:t xml:space="preserve">o the extent that </w:t>
      </w:r>
      <w:r w:rsidR="00CC10B0">
        <w:t>such</w:t>
      </w:r>
      <w:r w:rsidR="00F2779E">
        <w:t xml:space="preserve"> variation exist</w:t>
      </w:r>
      <w:r w:rsidR="00326F92">
        <w:t>ed</w:t>
      </w:r>
      <w:r w:rsidR="00F2779E">
        <w:t xml:space="preserve">, it could </w:t>
      </w:r>
      <w:r w:rsidR="00CC10B0">
        <w:t>affect</w:t>
      </w:r>
      <w:r w:rsidR="00F2779E">
        <w:t xml:space="preserve"> our results related to course passing rates. </w:t>
      </w:r>
      <w:r w:rsidR="00CC10B0">
        <w:t xml:space="preserve">Ultimately, this </w:t>
      </w:r>
      <w:r w:rsidR="00887358">
        <w:t>potential source of</w:t>
      </w:r>
      <w:r w:rsidR="00F2779E">
        <w:t xml:space="preserve"> variation is not something that we </w:t>
      </w:r>
      <w:r w:rsidR="00887358">
        <w:t xml:space="preserve">could </w:t>
      </w:r>
      <w:r w:rsidR="00F2779E">
        <w:t>account for in our descriptive or quasi-experimental analyses.</w:t>
      </w:r>
      <w:r w:rsidR="00EA4769" w:rsidDel="00EA4769">
        <w:t xml:space="preserve"> </w:t>
      </w:r>
    </w:p>
    <w:p w14:paraId="666EF5A4" w14:textId="77777777" w:rsidR="00F2779E" w:rsidRDefault="00F2779E" w:rsidP="00F2779E">
      <w:pPr>
        <w:pStyle w:val="BodyText"/>
      </w:pPr>
    </w:p>
    <w:p w14:paraId="49D27709" w14:textId="5A2222FE" w:rsidR="00F2779E" w:rsidRDefault="00F2779E" w:rsidP="00F2779E">
      <w:pPr>
        <w:pStyle w:val="BodyText"/>
      </w:pPr>
      <w:r>
        <w:t xml:space="preserve">All schools in our descriptive and quasi-experimental analyses </w:t>
      </w:r>
      <w:r w:rsidR="00887358">
        <w:t>were</w:t>
      </w:r>
      <w:r>
        <w:t xml:space="preserve"> either</w:t>
      </w:r>
      <w:r w:rsidR="00887358">
        <w:t xml:space="preserve"> in</w:t>
      </w:r>
      <w:r>
        <w:t xml:space="preserve"> Core or SPP status. Schools can be in Core status for up to 3 years</w:t>
      </w:r>
      <w:r w:rsidR="00887358">
        <w:t xml:space="preserve"> (per subject area)</w:t>
      </w:r>
      <w:r>
        <w:t xml:space="preserve">, and in SPP status for even longer </w:t>
      </w:r>
      <w:r>
        <w:lastRenderedPageBreak/>
        <w:t>periods of time. We d</w:t>
      </w:r>
      <w:r w:rsidR="00887358">
        <w:t>id</w:t>
      </w:r>
      <w:r>
        <w:t xml:space="preserve"> not account for whether schools were in Core or SPP status or for the length of time spent </w:t>
      </w:r>
      <w:proofErr w:type="gramStart"/>
      <w:r>
        <w:t>in</w:t>
      </w:r>
      <w:proofErr w:type="gramEnd"/>
      <w:r>
        <w:t xml:space="preserve"> each status in our descriptive or quasi-experimental models.</w:t>
      </w:r>
    </w:p>
    <w:p w14:paraId="2A2D78AD" w14:textId="77777777" w:rsidR="00F2779E" w:rsidRDefault="00F2779E" w:rsidP="00F2779E">
      <w:pPr>
        <w:pStyle w:val="BodyText"/>
      </w:pPr>
    </w:p>
    <w:p w14:paraId="6D76FF70" w14:textId="056236E8" w:rsidR="00F2779E" w:rsidRDefault="00F2779E" w:rsidP="00F2779E">
      <w:pPr>
        <w:pStyle w:val="BodyText"/>
      </w:pPr>
      <w:r>
        <w:t xml:space="preserve">Additionally, our measures of student </w:t>
      </w:r>
      <w:proofErr w:type="gramStart"/>
      <w:r>
        <w:t>supports</w:t>
      </w:r>
      <w:proofErr w:type="gramEnd"/>
      <w:r>
        <w:t xml:space="preserve"> (mock exam and study session participation) </w:t>
      </w:r>
      <w:r w:rsidR="00D25518">
        <w:t>were</w:t>
      </w:r>
      <w:r w:rsidR="00B64EDD">
        <w:t xml:space="preserve"> based s</w:t>
      </w:r>
      <w:r w:rsidR="00A61F8F">
        <w:t xml:space="preserve">olely on </w:t>
      </w:r>
      <w:r>
        <w:t>the program data submitted by Mi</w:t>
      </w:r>
      <w:r w:rsidR="00A61F8F">
        <w:t xml:space="preserve">. These measures </w:t>
      </w:r>
      <w:r w:rsidR="006E34E4">
        <w:t>reflect the</w:t>
      </w:r>
      <w:r>
        <w:t xml:space="preserve"> program as</w:t>
      </w:r>
      <w:r w:rsidR="00543DE9">
        <w:t xml:space="preserve"> it was </w:t>
      </w:r>
      <w:proofErr w:type="gramStart"/>
      <w:r w:rsidR="00543DE9">
        <w:t>documented, and</w:t>
      </w:r>
      <w:proofErr w:type="gramEnd"/>
      <w:r w:rsidR="00543DE9">
        <w:t xml:space="preserve"> may not capture all aspects of how </w:t>
      </w:r>
      <w:r w:rsidR="00314EE7">
        <w:t xml:space="preserve">the program </w:t>
      </w:r>
      <w:r>
        <w:t xml:space="preserve">was </w:t>
      </w:r>
      <w:r w:rsidR="00E17389">
        <w:t>administered</w:t>
      </w:r>
      <w:r>
        <w:t>.</w:t>
      </w:r>
    </w:p>
    <w:p w14:paraId="2E30E054" w14:textId="77777777" w:rsidR="002E466F" w:rsidRDefault="002E466F" w:rsidP="002E466F">
      <w:pPr>
        <w:pStyle w:val="BodyText"/>
      </w:pPr>
    </w:p>
    <w:p w14:paraId="6ECF16A8" w14:textId="73DB63F2" w:rsidR="00F2779E" w:rsidRDefault="00EA61E9" w:rsidP="00F2779E">
      <w:pPr>
        <w:pStyle w:val="BodyText"/>
      </w:pPr>
      <w:r>
        <w:t>Lastly, w</w:t>
      </w:r>
      <w:r w:rsidR="002E466F">
        <w:t xml:space="preserve">e did not include </w:t>
      </w:r>
      <w:r w:rsidR="002E466F" w:rsidRPr="002E466F">
        <w:t xml:space="preserve">MCAS </w:t>
      </w:r>
      <w:r w:rsidR="002E466F">
        <w:t xml:space="preserve">results </w:t>
      </w:r>
      <w:r w:rsidR="00410A56">
        <w:t xml:space="preserve">for </w:t>
      </w:r>
      <w:r w:rsidR="002E466F">
        <w:t xml:space="preserve">ELA, math, or science </w:t>
      </w:r>
      <w:r w:rsidR="002E466F" w:rsidRPr="002E466F">
        <w:t xml:space="preserve">as a control </w:t>
      </w:r>
      <w:r w:rsidR="00410A56">
        <w:t>variable in our analysis</w:t>
      </w:r>
      <w:r w:rsidR="002E466F">
        <w:t>.</w:t>
      </w:r>
      <w:r w:rsidR="002E466F" w:rsidRPr="002E466F">
        <w:t xml:space="preserve"> </w:t>
      </w:r>
      <w:r w:rsidR="00410A56">
        <w:t xml:space="preserve">While there is </w:t>
      </w:r>
      <w:r w:rsidR="002E466F" w:rsidRPr="002E466F">
        <w:t xml:space="preserve">some evidence of difference in </w:t>
      </w:r>
      <w:r w:rsidR="00CA595B">
        <w:t>MCAS performance (</w:t>
      </w:r>
      <w:r w:rsidR="0034290B">
        <w:t xml:space="preserve">i.e., </w:t>
      </w:r>
      <w:r w:rsidR="003649EF">
        <w:t>meeting or exceeding expectations</w:t>
      </w:r>
      <w:r w:rsidR="00CA595B">
        <w:t>)</w:t>
      </w:r>
      <w:r w:rsidR="003649EF">
        <w:t xml:space="preserve"> </w:t>
      </w:r>
      <w:r w:rsidR="00CA595B">
        <w:t>between</w:t>
      </w:r>
      <w:r w:rsidR="002E466F" w:rsidRPr="002E466F">
        <w:t xml:space="preserve"> students who did and did not participate in mock exams or study sessions</w:t>
      </w:r>
      <w:r w:rsidR="00375F66">
        <w:t>. However,</w:t>
      </w:r>
      <w:r w:rsidR="00841437">
        <w:t xml:space="preserve"> a substantial number of students were missing MCAS data due to the</w:t>
      </w:r>
      <w:r w:rsidR="000E55E9">
        <w:t xml:space="preserve"> </w:t>
      </w:r>
      <w:r w:rsidR="00C02B71">
        <w:t>cancellation</w:t>
      </w:r>
      <w:r w:rsidR="00FC441F">
        <w:t xml:space="preserve"> </w:t>
      </w:r>
      <w:r w:rsidR="00992E28">
        <w:t xml:space="preserve">of MCAS during the </w:t>
      </w:r>
      <w:r w:rsidR="00FC441F">
        <w:t>COVID-19 pandemic.</w:t>
      </w:r>
      <w:r w:rsidR="006C2C77">
        <w:t xml:space="preserve"> </w:t>
      </w:r>
      <w:r w:rsidR="00992E28">
        <w:t xml:space="preserve">As a result, we chose not to include MCAS scores in our models. </w:t>
      </w:r>
      <w:r w:rsidR="006C2C77">
        <w:t xml:space="preserve">For additional information regarding MCAS performance, please see </w:t>
      </w:r>
      <w:r w:rsidR="006C2C77" w:rsidRPr="008F1DAD">
        <w:t xml:space="preserve">Appendix </w:t>
      </w:r>
      <w:r w:rsidR="007E66E6">
        <w:t>H</w:t>
      </w:r>
      <w:r w:rsidR="006C2C77" w:rsidRPr="008F1DAD">
        <w:t>.</w:t>
      </w:r>
      <w:r w:rsidR="00552280">
        <w:t xml:space="preserve"> </w:t>
      </w:r>
    </w:p>
    <w:p w14:paraId="19A52E9C" w14:textId="277175E6" w:rsidR="00F2779E" w:rsidRPr="00887FB1" w:rsidRDefault="00F2779E" w:rsidP="007B49DA">
      <w:pPr>
        <w:pStyle w:val="Heading4"/>
      </w:pPr>
      <w:bookmarkStart w:id="127" w:name="_Toc203984428"/>
      <w:bookmarkStart w:id="128" w:name="_Toc204766662"/>
      <w:bookmarkStart w:id="129" w:name="_Toc206742100"/>
      <w:bookmarkStart w:id="130" w:name="_Toc207183729"/>
      <w:bookmarkStart w:id="131" w:name="_Toc207348161"/>
      <w:bookmarkStart w:id="132" w:name="_Toc202784436"/>
      <w:bookmarkStart w:id="133" w:name="_Toc202784522"/>
      <w:bookmarkStart w:id="134" w:name="_Toc202788405"/>
      <w:r w:rsidRPr="00887FB1">
        <w:t>Surveys</w:t>
      </w:r>
      <w:bookmarkEnd w:id="127"/>
      <w:bookmarkEnd w:id="128"/>
      <w:bookmarkEnd w:id="129"/>
      <w:bookmarkEnd w:id="130"/>
      <w:bookmarkEnd w:id="131"/>
      <w:r w:rsidRPr="00887FB1">
        <w:t xml:space="preserve"> </w:t>
      </w:r>
      <w:bookmarkEnd w:id="132"/>
      <w:bookmarkEnd w:id="133"/>
      <w:bookmarkEnd w:id="134"/>
    </w:p>
    <w:p w14:paraId="70F9C8A5" w14:textId="2ACE5AF5" w:rsidR="00F2779E" w:rsidRDefault="00F2779E" w:rsidP="00F2779E">
      <w:r>
        <w:t xml:space="preserve">UMDI analyzed survey data collected </w:t>
      </w:r>
      <w:r w:rsidRPr="00E92248">
        <w:t xml:space="preserve">from </w:t>
      </w:r>
      <w:r>
        <w:t xml:space="preserve">teachers </w:t>
      </w:r>
      <w:r w:rsidRPr="00E92248">
        <w:t>identified by Mi as particip</w:t>
      </w:r>
      <w:r w:rsidR="00A561B1">
        <w:t>ants</w:t>
      </w:r>
      <w:r w:rsidRPr="00E92248">
        <w:t xml:space="preserve"> in the AP Summer Institute (APSI) training </w:t>
      </w:r>
      <w:r w:rsidR="00A561B1">
        <w:t>held</w:t>
      </w:r>
      <w:r w:rsidR="000E55E9">
        <w:t xml:space="preserve"> </w:t>
      </w:r>
      <w:r w:rsidRPr="00E92248">
        <w:t>July 15–</w:t>
      </w:r>
      <w:r w:rsidRPr="00F26639">
        <w:t xml:space="preserve">19, 2024. </w:t>
      </w:r>
      <w:r w:rsidR="006F7C21">
        <w:t>T</w:t>
      </w:r>
      <w:r w:rsidRPr="00F26639">
        <w:t xml:space="preserve">he first survey, </w:t>
      </w:r>
      <w:proofErr w:type="gramStart"/>
      <w:r w:rsidRPr="00F26639">
        <w:t>administered</w:t>
      </w:r>
      <w:proofErr w:type="gramEnd"/>
      <w:r w:rsidRPr="00F26639">
        <w:t xml:space="preserve"> on the final day of the APSI, received 34 partial or complete responses, </w:t>
      </w:r>
      <w:r>
        <w:t>representing</w:t>
      </w:r>
      <w:r w:rsidRPr="00F26639">
        <w:t xml:space="preserve"> </w:t>
      </w:r>
      <w:r w:rsidR="00ED65E5">
        <w:t>30</w:t>
      </w:r>
      <w:r w:rsidRPr="00F26639">
        <w:t xml:space="preserve">% of </w:t>
      </w:r>
      <w:r>
        <w:t>all</w:t>
      </w:r>
      <w:r w:rsidRPr="00F26639">
        <w:t xml:space="preserve"> participants. </w:t>
      </w:r>
      <w:r w:rsidR="00B416A9">
        <w:t>A</w:t>
      </w:r>
      <w:r w:rsidRPr="00F26639">
        <w:t xml:space="preserve"> follow-up survey</w:t>
      </w:r>
      <w:r w:rsidR="00B416A9">
        <w:t xml:space="preserve"> conducted in November yielded</w:t>
      </w:r>
      <w:r w:rsidRPr="00F26639">
        <w:t xml:space="preserve"> </w:t>
      </w:r>
      <w:r>
        <w:t>2</w:t>
      </w:r>
      <w:r w:rsidR="00FC7A92">
        <w:t>3</w:t>
      </w:r>
      <w:r>
        <w:t xml:space="preserve"> partial or complete responses, representing 2</w:t>
      </w:r>
      <w:r w:rsidR="00927189">
        <w:t>0</w:t>
      </w:r>
      <w:r>
        <w:t xml:space="preserve">% of all participants. UMDI initially planned </w:t>
      </w:r>
      <w:r w:rsidR="003536CB">
        <w:t xml:space="preserve">to conduct </w:t>
      </w:r>
      <w:r>
        <w:t>a</w:t>
      </w:r>
      <w:r w:rsidR="009C6324">
        <w:t xml:space="preserve"> matched comparison of responses between the two surveys.</w:t>
      </w:r>
      <w:r w:rsidR="003276F9">
        <w:t xml:space="preserve"> However,</w:t>
      </w:r>
      <w:r>
        <w:t xml:space="preserve"> </w:t>
      </w:r>
      <w:r w:rsidR="003276F9">
        <w:t>due to</w:t>
      </w:r>
      <w:r w:rsidR="000E55E9">
        <w:t xml:space="preserve"> </w:t>
      </w:r>
      <w:r>
        <w:t>the low response rate</w:t>
      </w:r>
      <w:r w:rsidR="003276F9">
        <w:t>s, this analysis was not feasible.</w:t>
      </w:r>
      <w:r>
        <w:t xml:space="preserve"> We further recognize that the</w:t>
      </w:r>
      <w:r w:rsidRPr="00E92248">
        <w:t xml:space="preserve"> small number of respondents</w:t>
      </w:r>
      <w:r>
        <w:t xml:space="preserve"> from both surveys </w:t>
      </w:r>
      <w:r w:rsidR="00257850">
        <w:t>do not represent</w:t>
      </w:r>
      <w:r w:rsidR="006468A2">
        <w:t xml:space="preserve"> </w:t>
      </w:r>
      <w:r w:rsidRPr="00E92248">
        <w:t>the entire</w:t>
      </w:r>
      <w:r w:rsidR="003B5EBB">
        <w:t xml:space="preserve"> APSI participant</w:t>
      </w:r>
      <w:r w:rsidRPr="00E92248">
        <w:t xml:space="preserve"> population</w:t>
      </w:r>
      <w:r>
        <w:t xml:space="preserve">, </w:t>
      </w:r>
      <w:r w:rsidR="003B5EBB">
        <w:t xml:space="preserve">and as such, </w:t>
      </w:r>
      <w:r>
        <w:t xml:space="preserve">the </w:t>
      </w:r>
      <w:r w:rsidRPr="00676AB1">
        <w:t>survey findings might not fully capture the</w:t>
      </w:r>
      <w:r w:rsidR="00475D74">
        <w:t xml:space="preserve">ir full </w:t>
      </w:r>
      <w:r w:rsidR="005E28B7">
        <w:t xml:space="preserve">range of </w:t>
      </w:r>
      <w:r w:rsidRPr="00676AB1">
        <w:t>experiences</w:t>
      </w:r>
      <w:r>
        <w:t xml:space="preserve">. </w:t>
      </w:r>
    </w:p>
    <w:p w14:paraId="39936810" w14:textId="50B8A6B9" w:rsidR="00F2779E" w:rsidRPr="0079651B" w:rsidRDefault="002D3878" w:rsidP="00F2779E">
      <w:r>
        <w:t>Finally</w:t>
      </w:r>
      <w:r w:rsidR="0079651B" w:rsidRPr="0079651B">
        <w:t>, we are unable to link the quasi-experimental data to the APSI teacher survey data, because the quasi-experimental</w:t>
      </w:r>
      <w:r w:rsidR="005E28B7">
        <w:t xml:space="preserve"> analyses focused on </w:t>
      </w:r>
      <w:r w:rsidR="0079651B" w:rsidRPr="0079651B">
        <w:t>SY2023 and SY2024</w:t>
      </w:r>
      <w:r w:rsidR="00CF43ED">
        <w:t>,</w:t>
      </w:r>
      <w:r w:rsidR="0079651B" w:rsidRPr="0079651B">
        <w:t xml:space="preserve"> prior to the APSI </w:t>
      </w:r>
      <w:r w:rsidR="00CB31CE">
        <w:t>in</w:t>
      </w:r>
      <w:r w:rsidR="00CF43ED">
        <w:t xml:space="preserve"> </w:t>
      </w:r>
      <w:r w:rsidR="0079651B" w:rsidRPr="0079651B">
        <w:t xml:space="preserve">SY2025. </w:t>
      </w:r>
    </w:p>
    <w:p w14:paraId="35DD24FD" w14:textId="56154634" w:rsidR="0097797B" w:rsidRDefault="0097797B" w:rsidP="007B49DA">
      <w:pPr>
        <w:pStyle w:val="Heading2"/>
      </w:pPr>
      <w:bookmarkStart w:id="135" w:name="_Results"/>
      <w:bookmarkStart w:id="136" w:name="_Toc207348162"/>
      <w:bookmarkEnd w:id="135"/>
      <w:r>
        <w:lastRenderedPageBreak/>
        <w:t>Results</w:t>
      </w:r>
      <w:bookmarkEnd w:id="136"/>
    </w:p>
    <w:p w14:paraId="0B3D923A" w14:textId="1FF172C5" w:rsidR="00030A37" w:rsidRDefault="00DC6B71" w:rsidP="00DC6B71">
      <w:pPr>
        <w:pStyle w:val="BodyText"/>
      </w:pPr>
      <w:bookmarkStart w:id="137" w:name="_Toc200638438"/>
      <w:bookmarkStart w:id="138" w:name="_Toc202784438"/>
      <w:bookmarkStart w:id="139" w:name="_Toc202784524"/>
      <w:bookmarkStart w:id="140" w:name="_Toc202788407"/>
      <w:r>
        <w:t xml:space="preserve">The results </w:t>
      </w:r>
      <w:r w:rsidR="00734DF3">
        <w:t xml:space="preserve">from the </w:t>
      </w:r>
      <w:r w:rsidR="00651C99">
        <w:t xml:space="preserve">descriptive, </w:t>
      </w:r>
      <w:r w:rsidR="00734DF3">
        <w:t>quasi-experimental</w:t>
      </w:r>
      <w:r w:rsidR="00DA1680">
        <w:t>, and survey</w:t>
      </w:r>
      <w:r w:rsidR="00734DF3">
        <w:t xml:space="preserve"> analyses</w:t>
      </w:r>
      <w:r w:rsidR="000D7274">
        <w:t xml:space="preserve">, </w:t>
      </w:r>
      <w:r w:rsidR="00734DF3">
        <w:t xml:space="preserve">are </w:t>
      </w:r>
      <w:r w:rsidR="00237383">
        <w:t xml:space="preserve">presented </w:t>
      </w:r>
      <w:r w:rsidR="00F50C7B">
        <w:t xml:space="preserve">by key </w:t>
      </w:r>
      <w:proofErr w:type="gramStart"/>
      <w:r w:rsidR="00734DF3">
        <w:t>finding</w:t>
      </w:r>
      <w:proofErr w:type="gramEnd"/>
      <w:r w:rsidR="00F50C7B">
        <w:t>.</w:t>
      </w:r>
      <w:r w:rsidR="00255BCA">
        <w:t xml:space="preserve"> </w:t>
      </w:r>
      <w:r w:rsidR="00030A37">
        <w:t>Key findings include:</w:t>
      </w:r>
    </w:p>
    <w:p w14:paraId="208F3EA9" w14:textId="375E9C28" w:rsidR="00030A37" w:rsidRDefault="001B2E27" w:rsidP="000E55E9">
      <w:pPr>
        <w:pStyle w:val="ListNumber"/>
        <w:numPr>
          <w:ilvl w:val="0"/>
          <w:numId w:val="27"/>
        </w:numPr>
        <w:tabs>
          <w:tab w:val="clear" w:pos="360"/>
          <w:tab w:val="num" w:pos="720"/>
        </w:tabs>
        <w:ind w:left="720"/>
      </w:pPr>
      <w:r>
        <w:t>About two-thirds (</w:t>
      </w:r>
      <w:r w:rsidR="00534B4B">
        <w:t>approximately</w:t>
      </w:r>
      <w:r w:rsidR="00E1311F">
        <w:t xml:space="preserve"> </w:t>
      </w:r>
      <w:r>
        <w:t>66%</w:t>
      </w:r>
      <w:r w:rsidR="005020AE">
        <w:t>)</w:t>
      </w:r>
      <w:r>
        <w:t xml:space="preserve"> of students </w:t>
      </w:r>
      <w:r w:rsidR="0002508D">
        <w:t xml:space="preserve">enrolled in AP </w:t>
      </w:r>
      <w:r w:rsidR="00830DD9">
        <w:t xml:space="preserve">courses </w:t>
      </w:r>
      <w:r w:rsidR="00056F2A">
        <w:t xml:space="preserve">at participating schools </w:t>
      </w:r>
      <w:r>
        <w:t>engaged in at least one type of student support (mock exam</w:t>
      </w:r>
      <w:r w:rsidR="00E1311F">
        <w:t>s</w:t>
      </w:r>
      <w:r>
        <w:t xml:space="preserve"> or study session</w:t>
      </w:r>
      <w:r w:rsidR="00E1311F">
        <w:t>s</w:t>
      </w:r>
      <w:r>
        <w:t xml:space="preserve">), though </w:t>
      </w:r>
      <w:r w:rsidR="00534B4B">
        <w:t>participation rates</w:t>
      </w:r>
      <w:r>
        <w:t xml:space="preserve"> varied </w:t>
      </w:r>
      <w:r w:rsidR="00E1311F">
        <w:t xml:space="preserve">across </w:t>
      </w:r>
      <w:r>
        <w:t>student groups</w:t>
      </w:r>
      <w:r w:rsidR="00E1311F">
        <w:t xml:space="preserve"> of interest</w:t>
      </w:r>
      <w:r>
        <w:t>.</w:t>
      </w:r>
    </w:p>
    <w:p w14:paraId="4CEF54E5" w14:textId="384D14AC" w:rsidR="009713C3" w:rsidRDefault="00A779F8" w:rsidP="009713C3">
      <w:pPr>
        <w:pStyle w:val="ListNumber"/>
        <w:tabs>
          <w:tab w:val="clear" w:pos="360"/>
          <w:tab w:val="num" w:pos="720"/>
        </w:tabs>
        <w:ind w:left="720"/>
      </w:pPr>
      <w:r>
        <w:t xml:space="preserve">Nearly all students who participated in a mock exam or study session passed at least one AP course and took an AP exam in their </w:t>
      </w:r>
      <w:r w:rsidR="00E1311F">
        <w:t xml:space="preserve">corresponding </w:t>
      </w:r>
      <w:r>
        <w:t>content area.</w:t>
      </w:r>
    </w:p>
    <w:p w14:paraId="688CC9A1" w14:textId="6FDEBBAB" w:rsidR="00932E84" w:rsidRDefault="00A779F8" w:rsidP="000E55E9">
      <w:pPr>
        <w:pStyle w:val="ListNumber"/>
        <w:tabs>
          <w:tab w:val="clear" w:pos="360"/>
          <w:tab w:val="num" w:pos="720"/>
        </w:tabs>
        <w:ind w:left="720"/>
      </w:pPr>
      <w:r>
        <w:t xml:space="preserve">Students who participated in a mock exam or study session were </w:t>
      </w:r>
      <w:r w:rsidR="00E1311F">
        <w:t xml:space="preserve">significantly </w:t>
      </w:r>
      <w:r>
        <w:t xml:space="preserve">more likely to pass an AP exam </w:t>
      </w:r>
      <w:r w:rsidR="00932E84">
        <w:t>in their respective content area</w:t>
      </w:r>
      <w:r w:rsidR="00D74DC9">
        <w:t xml:space="preserve"> than similar </w:t>
      </w:r>
      <w:r w:rsidR="00B9619F">
        <w:t>students who did not participate</w:t>
      </w:r>
      <w:r w:rsidR="00932E84">
        <w:t>.</w:t>
      </w:r>
    </w:p>
    <w:p w14:paraId="03926E31" w14:textId="14D3572B" w:rsidR="009713C3" w:rsidRDefault="005A6568" w:rsidP="000E55E9">
      <w:pPr>
        <w:pStyle w:val="ListNumber"/>
        <w:tabs>
          <w:tab w:val="clear" w:pos="360"/>
          <w:tab w:val="num" w:pos="720"/>
        </w:tabs>
        <w:ind w:left="720"/>
      </w:pPr>
      <w:r>
        <w:t>Students designated as high needs (</w:t>
      </w:r>
      <w:r w:rsidR="00BD503A">
        <w:t>including English learners, students with disabilities, and students from low-income households</w:t>
      </w:r>
      <w:r>
        <w:t>) and students who are African American/Black or Hispanic/Latino passed AP STEM and English courses</w:t>
      </w:r>
      <w:r w:rsidR="00C47EA5">
        <w:t>, participated in AP exams, and passed those exams at lower rates than students with other identities.</w:t>
      </w:r>
    </w:p>
    <w:p w14:paraId="5DCC02B3" w14:textId="13796793" w:rsidR="00676416" w:rsidRDefault="00E1311F" w:rsidP="000E55E9">
      <w:pPr>
        <w:pStyle w:val="ListNumber"/>
        <w:tabs>
          <w:tab w:val="clear" w:pos="360"/>
          <w:tab w:val="num" w:pos="720"/>
        </w:tabs>
        <w:ind w:left="720"/>
      </w:pPr>
      <w:r>
        <w:t>T</w:t>
      </w:r>
      <w:r w:rsidR="00932E84">
        <w:t xml:space="preserve">eachers who </w:t>
      </w:r>
      <w:r>
        <w:t>participated in the AP Summer Institute (APSI) generally reported</w:t>
      </w:r>
      <w:r w:rsidR="0028207F">
        <w:t xml:space="preserve"> </w:t>
      </w:r>
      <w:r>
        <w:t>increased preparedness to teach AP STEM and English courses and students.</w:t>
      </w:r>
      <w:r w:rsidR="00932E84">
        <w:t xml:space="preserve"> </w:t>
      </w:r>
    </w:p>
    <w:p w14:paraId="3AD70BEC" w14:textId="77777777" w:rsidR="00676416" w:rsidRDefault="00676416">
      <w:pPr>
        <w:spacing w:after="160" w:line="259" w:lineRule="auto"/>
      </w:pPr>
      <w:r>
        <w:br w:type="page"/>
      </w:r>
    </w:p>
    <w:p w14:paraId="759E7793" w14:textId="1401B682" w:rsidR="00B92022" w:rsidRPr="009175DE" w:rsidRDefault="008E0BD6" w:rsidP="009175DE">
      <w:pPr>
        <w:pStyle w:val="Heading3"/>
        <w:pBdr>
          <w:top w:val="single" w:sz="12" w:space="1" w:color="881C1C"/>
          <w:bottom w:val="single" w:sz="12" w:space="1" w:color="881C1C"/>
        </w:pBdr>
        <w:jc w:val="center"/>
        <w:rPr>
          <w:color w:val="auto"/>
        </w:rPr>
      </w:pPr>
      <w:bookmarkStart w:id="141" w:name="_Toc207348163"/>
      <w:r>
        <w:rPr>
          <w:color w:val="auto"/>
        </w:rPr>
        <w:lastRenderedPageBreak/>
        <w:t xml:space="preserve">Key Finding 1: </w:t>
      </w:r>
      <w:r w:rsidR="00B92022" w:rsidRPr="009175DE">
        <w:rPr>
          <w:color w:val="auto"/>
        </w:rPr>
        <w:t>About two-thirds (</w:t>
      </w:r>
      <w:r w:rsidR="00E1311F">
        <w:rPr>
          <w:color w:val="auto"/>
        </w:rPr>
        <w:t xml:space="preserve">approximately </w:t>
      </w:r>
      <w:r w:rsidR="008A1482">
        <w:rPr>
          <w:color w:val="auto"/>
        </w:rPr>
        <w:t>6</w:t>
      </w:r>
      <w:r w:rsidR="00077D21">
        <w:rPr>
          <w:color w:val="auto"/>
        </w:rPr>
        <w:t>6%</w:t>
      </w:r>
      <w:r w:rsidR="00B92022" w:rsidRPr="009175DE">
        <w:rPr>
          <w:color w:val="auto"/>
        </w:rPr>
        <w:t xml:space="preserve">) of students </w:t>
      </w:r>
      <w:r w:rsidR="005A6568">
        <w:rPr>
          <w:color w:val="auto"/>
        </w:rPr>
        <w:t xml:space="preserve">enrolled at participating schools </w:t>
      </w:r>
      <w:r w:rsidR="00B92022" w:rsidRPr="009175DE">
        <w:rPr>
          <w:color w:val="auto"/>
        </w:rPr>
        <w:t xml:space="preserve">engaged in at least one type of student support (mock exams or study sessions), though </w:t>
      </w:r>
      <w:r w:rsidR="00C40FD6">
        <w:rPr>
          <w:color w:val="auto"/>
        </w:rPr>
        <w:t>participation rates</w:t>
      </w:r>
      <w:r w:rsidR="00B92022" w:rsidRPr="009175DE">
        <w:rPr>
          <w:color w:val="auto"/>
        </w:rPr>
        <w:t xml:space="preserve"> varied </w:t>
      </w:r>
      <w:r w:rsidR="00E1311F">
        <w:rPr>
          <w:color w:val="auto"/>
        </w:rPr>
        <w:t>across</w:t>
      </w:r>
      <w:r w:rsidR="00E1311F" w:rsidRPr="009175DE">
        <w:rPr>
          <w:color w:val="auto"/>
        </w:rPr>
        <w:t xml:space="preserve"> </w:t>
      </w:r>
      <w:r w:rsidR="00B92022" w:rsidRPr="009175DE">
        <w:rPr>
          <w:color w:val="auto"/>
        </w:rPr>
        <w:t>student groups of interest.</w:t>
      </w:r>
      <w:bookmarkEnd w:id="141"/>
    </w:p>
    <w:p w14:paraId="2F9CCDB9" w14:textId="008225D3" w:rsidR="00B92022" w:rsidRDefault="000E55E9" w:rsidP="00B92022">
      <w:pPr>
        <w:pStyle w:val="BodyText"/>
        <w:rPr>
          <w:rStyle w:val="Strong"/>
          <w:b w:val="0"/>
          <w:bCs w:val="0"/>
        </w:rPr>
      </w:pPr>
      <w:r>
        <w:t>I</w:t>
      </w:r>
      <w:r w:rsidR="0040735E" w:rsidRPr="0040735E">
        <w:t xml:space="preserve">n both SY2023 and SY2024, approximately two-thirds of students (65.6% and 65.8%, respectively) participated in at least one type of student </w:t>
      </w:r>
      <w:proofErr w:type="gramStart"/>
      <w:r w:rsidR="0040735E" w:rsidRPr="0040735E">
        <w:t>support—</w:t>
      </w:r>
      <w:proofErr w:type="gramEnd"/>
      <w:r w:rsidR="0040735E" w:rsidRPr="0040735E">
        <w:t>either a mock exam or a study session. Among students who participated in only one support, mock exams were more commonly attended than study sessions</w:t>
      </w:r>
      <w:r w:rsidR="00D7471A">
        <w:t>, and p</w:t>
      </w:r>
      <w:r w:rsidR="00B92022" w:rsidRPr="00B92022">
        <w:rPr>
          <w:rStyle w:val="Strong"/>
          <w:b w:val="0"/>
          <w:bCs w:val="0"/>
        </w:rPr>
        <w:t xml:space="preserve">articipation </w:t>
      </w:r>
      <w:r w:rsidR="0040735E">
        <w:rPr>
          <w:rStyle w:val="Strong"/>
          <w:b w:val="0"/>
          <w:bCs w:val="0"/>
        </w:rPr>
        <w:t xml:space="preserve">rates </w:t>
      </w:r>
      <w:r w:rsidR="00B92022" w:rsidRPr="00B92022">
        <w:rPr>
          <w:rStyle w:val="Strong"/>
          <w:b w:val="0"/>
          <w:bCs w:val="0"/>
        </w:rPr>
        <w:t xml:space="preserve">varied </w:t>
      </w:r>
      <w:r w:rsidR="00A45D14">
        <w:rPr>
          <w:rStyle w:val="Strong"/>
          <w:b w:val="0"/>
          <w:bCs w:val="0"/>
        </w:rPr>
        <w:t>across</w:t>
      </w:r>
      <w:r w:rsidR="00B92022" w:rsidRPr="00B92022">
        <w:rPr>
          <w:rStyle w:val="Strong"/>
          <w:b w:val="0"/>
          <w:bCs w:val="0"/>
        </w:rPr>
        <w:t xml:space="preserve"> student groups of interest</w:t>
      </w:r>
      <w:r w:rsidR="009323A0">
        <w:rPr>
          <w:rStyle w:val="Strong"/>
          <w:b w:val="0"/>
          <w:bCs w:val="0"/>
        </w:rPr>
        <w:t>.</w:t>
      </w:r>
      <w:r w:rsidR="00AC3746">
        <w:rPr>
          <w:rStyle w:val="Strong"/>
          <w:b w:val="0"/>
          <w:bCs w:val="0"/>
        </w:rPr>
        <w:t xml:space="preserve"> </w:t>
      </w:r>
      <w:r w:rsidR="00B92022" w:rsidRPr="00B92022">
        <w:rPr>
          <w:rStyle w:val="Strong"/>
          <w:b w:val="0"/>
          <w:bCs w:val="0"/>
        </w:rPr>
        <w:t xml:space="preserve">Across subject areas and years, </w:t>
      </w:r>
      <w:r w:rsidR="00D7471A">
        <w:rPr>
          <w:rStyle w:val="Strong"/>
          <w:b w:val="0"/>
          <w:bCs w:val="0"/>
        </w:rPr>
        <w:t xml:space="preserve">students who are </w:t>
      </w:r>
      <w:r w:rsidR="00B92022" w:rsidRPr="00B92022">
        <w:rPr>
          <w:rStyle w:val="Strong"/>
          <w:b w:val="0"/>
          <w:bCs w:val="0"/>
        </w:rPr>
        <w:t xml:space="preserve">Asian tended to have the highest rates of participation in mock exams </w:t>
      </w:r>
      <w:r w:rsidR="00C86EB8">
        <w:rPr>
          <w:rStyle w:val="Strong"/>
          <w:b w:val="0"/>
          <w:bCs w:val="0"/>
        </w:rPr>
        <w:t>and in</w:t>
      </w:r>
      <w:r w:rsidR="00B92022" w:rsidRPr="00B92022">
        <w:rPr>
          <w:rStyle w:val="Strong"/>
          <w:b w:val="0"/>
          <w:bCs w:val="0"/>
        </w:rPr>
        <w:t xml:space="preserve"> study sessions, </w:t>
      </w:r>
      <w:r w:rsidR="008E074A">
        <w:rPr>
          <w:rStyle w:val="Strong"/>
          <w:b w:val="0"/>
          <w:bCs w:val="0"/>
        </w:rPr>
        <w:t xml:space="preserve">while </w:t>
      </w:r>
      <w:r w:rsidR="00563D33">
        <w:rPr>
          <w:rStyle w:val="Strong"/>
          <w:b w:val="0"/>
          <w:bCs w:val="0"/>
        </w:rPr>
        <w:t xml:space="preserve">students who are </w:t>
      </w:r>
      <w:r w:rsidR="00B92022" w:rsidRPr="00B92022">
        <w:rPr>
          <w:rStyle w:val="Strong"/>
          <w:b w:val="0"/>
          <w:bCs w:val="0"/>
        </w:rPr>
        <w:t xml:space="preserve">Hispanic/Latino </w:t>
      </w:r>
      <w:r w:rsidR="008E074A">
        <w:rPr>
          <w:rStyle w:val="Strong"/>
          <w:b w:val="0"/>
          <w:bCs w:val="0"/>
        </w:rPr>
        <w:t>t</w:t>
      </w:r>
      <w:r w:rsidR="00B92022" w:rsidRPr="00B92022">
        <w:rPr>
          <w:rStyle w:val="Strong"/>
          <w:b w:val="0"/>
          <w:bCs w:val="0"/>
        </w:rPr>
        <w:t>ended to have the lowest</w:t>
      </w:r>
      <w:r w:rsidR="00163913">
        <w:rPr>
          <w:rStyle w:val="Strong"/>
          <w:b w:val="0"/>
          <w:bCs w:val="0"/>
        </w:rPr>
        <w:t xml:space="preserve"> rates of participation in mock exams and in study sessions</w:t>
      </w:r>
      <w:r w:rsidR="008E074A">
        <w:rPr>
          <w:rStyle w:val="Strong"/>
          <w:b w:val="0"/>
          <w:bCs w:val="0"/>
        </w:rPr>
        <w:t>.</w:t>
      </w:r>
      <w:r w:rsidR="00B92022" w:rsidRPr="00B92022">
        <w:rPr>
          <w:rStyle w:val="Strong"/>
          <w:b w:val="0"/>
          <w:bCs w:val="0"/>
        </w:rPr>
        <w:t xml:space="preserve"> Students </w:t>
      </w:r>
      <w:r w:rsidR="008C1990">
        <w:rPr>
          <w:rStyle w:val="Strong"/>
          <w:b w:val="0"/>
          <w:bCs w:val="0"/>
        </w:rPr>
        <w:t>designated as high needs by DESE</w:t>
      </w:r>
      <w:r w:rsidR="008E074A">
        <w:rPr>
          <w:rStyle w:val="Strong"/>
          <w:b w:val="0"/>
          <w:bCs w:val="0"/>
        </w:rPr>
        <w:t xml:space="preserve">—including </w:t>
      </w:r>
      <w:r w:rsidR="00B92022" w:rsidRPr="00B92022">
        <w:rPr>
          <w:rStyle w:val="Strong"/>
          <w:b w:val="0"/>
          <w:bCs w:val="0"/>
        </w:rPr>
        <w:t>English learners, students with disabilities, and students from low-income household</w:t>
      </w:r>
      <w:r w:rsidR="00163913">
        <w:rPr>
          <w:rStyle w:val="Strong"/>
          <w:b w:val="0"/>
          <w:bCs w:val="0"/>
        </w:rPr>
        <w:t>s</w:t>
      </w:r>
      <w:r w:rsidR="008E074A">
        <w:rPr>
          <w:rStyle w:val="Strong"/>
          <w:b w:val="0"/>
          <w:bCs w:val="0"/>
        </w:rPr>
        <w:t>—</w:t>
      </w:r>
      <w:r w:rsidR="00AC3746">
        <w:rPr>
          <w:rStyle w:val="Strong"/>
          <w:b w:val="0"/>
          <w:bCs w:val="0"/>
        </w:rPr>
        <w:t xml:space="preserve">also </w:t>
      </w:r>
      <w:r w:rsidR="008E074A">
        <w:rPr>
          <w:rStyle w:val="Strong"/>
          <w:b w:val="0"/>
          <w:bCs w:val="0"/>
        </w:rPr>
        <w:t>had</w:t>
      </w:r>
      <w:r w:rsidR="008E074A" w:rsidRPr="00B92022">
        <w:rPr>
          <w:rStyle w:val="Strong"/>
          <w:b w:val="0"/>
          <w:bCs w:val="0"/>
        </w:rPr>
        <w:t xml:space="preserve"> </w:t>
      </w:r>
      <w:r w:rsidR="00B92022" w:rsidRPr="00B92022">
        <w:rPr>
          <w:rStyle w:val="Strong"/>
          <w:b w:val="0"/>
          <w:bCs w:val="0"/>
        </w:rPr>
        <w:t xml:space="preserve">notably lower participation rates </w:t>
      </w:r>
      <w:r w:rsidR="00574EF4">
        <w:rPr>
          <w:rStyle w:val="Strong"/>
          <w:b w:val="0"/>
          <w:bCs w:val="0"/>
        </w:rPr>
        <w:t xml:space="preserve">in mock exams and in study sessions </w:t>
      </w:r>
      <w:r w:rsidR="00163913">
        <w:rPr>
          <w:rStyle w:val="Strong"/>
          <w:b w:val="0"/>
          <w:bCs w:val="0"/>
        </w:rPr>
        <w:t xml:space="preserve">when </w:t>
      </w:r>
      <w:r w:rsidR="008E074A">
        <w:rPr>
          <w:rStyle w:val="Strong"/>
          <w:b w:val="0"/>
          <w:bCs w:val="0"/>
        </w:rPr>
        <w:t xml:space="preserve">compared to </w:t>
      </w:r>
      <w:r w:rsidR="00B92022" w:rsidRPr="00B92022">
        <w:rPr>
          <w:rStyle w:val="Strong"/>
          <w:b w:val="0"/>
          <w:bCs w:val="0"/>
        </w:rPr>
        <w:t>their peers.</w:t>
      </w:r>
    </w:p>
    <w:p w14:paraId="5709E2EE" w14:textId="77777777" w:rsidR="006D0AD0" w:rsidRDefault="006D0AD0" w:rsidP="00B92022">
      <w:pPr>
        <w:pStyle w:val="BodyText"/>
        <w:rPr>
          <w:rStyle w:val="Strong"/>
          <w:b w:val="0"/>
          <w:bCs w:val="0"/>
        </w:rPr>
      </w:pPr>
    </w:p>
    <w:p w14:paraId="34A9B60C" w14:textId="1515F665" w:rsidR="00824804" w:rsidRDefault="006D0AD0" w:rsidP="00B92022">
      <w:pPr>
        <w:pStyle w:val="BodyText"/>
        <w:rPr>
          <w:rStyle w:val="Strong"/>
          <w:b w:val="0"/>
          <w:bCs w:val="0"/>
        </w:rPr>
      </w:pPr>
      <w:r>
        <w:rPr>
          <w:rStyle w:val="Strong"/>
          <w:b w:val="0"/>
          <w:bCs w:val="0"/>
        </w:rPr>
        <w:t xml:space="preserve">Results </w:t>
      </w:r>
      <w:r w:rsidR="0066105B">
        <w:rPr>
          <w:rStyle w:val="Strong"/>
          <w:b w:val="0"/>
          <w:bCs w:val="0"/>
        </w:rPr>
        <w:t>presented for this</w:t>
      </w:r>
      <w:r>
        <w:rPr>
          <w:rStyle w:val="Strong"/>
          <w:b w:val="0"/>
          <w:bCs w:val="0"/>
        </w:rPr>
        <w:t xml:space="preserve"> key finding are </w:t>
      </w:r>
      <w:r w:rsidR="002F01C6">
        <w:rPr>
          <w:rStyle w:val="Strong"/>
          <w:b w:val="0"/>
          <w:bCs w:val="0"/>
        </w:rPr>
        <w:t xml:space="preserve">organized </w:t>
      </w:r>
      <w:r w:rsidR="00824804">
        <w:rPr>
          <w:rStyle w:val="Strong"/>
          <w:b w:val="0"/>
          <w:bCs w:val="0"/>
        </w:rPr>
        <w:t>as</w:t>
      </w:r>
      <w:r w:rsidR="0066105B">
        <w:rPr>
          <w:rStyle w:val="Strong"/>
          <w:b w:val="0"/>
          <w:bCs w:val="0"/>
        </w:rPr>
        <w:t xml:space="preserve"> follows</w:t>
      </w:r>
      <w:r w:rsidR="001E5B06">
        <w:rPr>
          <w:rStyle w:val="Strong"/>
          <w:b w:val="0"/>
          <w:bCs w:val="0"/>
        </w:rPr>
        <w:t>:</w:t>
      </w:r>
    </w:p>
    <w:p w14:paraId="0BA7EEDD" w14:textId="75291BF1" w:rsidR="00824804" w:rsidRPr="00AC4713" w:rsidRDefault="001E5B06" w:rsidP="00B8419E">
      <w:pPr>
        <w:pStyle w:val="ListNumber"/>
        <w:numPr>
          <w:ilvl w:val="0"/>
          <w:numId w:val="30"/>
        </w:numPr>
        <w:spacing w:after="0"/>
        <w:rPr>
          <w:rStyle w:val="Strong"/>
          <w:b w:val="0"/>
          <w:bCs w:val="0"/>
          <w:color w:val="000000" w:themeColor="text1"/>
        </w:rPr>
      </w:pPr>
      <w:r w:rsidRPr="00AC4713">
        <w:rPr>
          <w:rStyle w:val="Strong"/>
          <w:b w:val="0"/>
          <w:bCs w:val="0"/>
        </w:rPr>
        <w:t>AP c</w:t>
      </w:r>
      <w:r w:rsidR="006D0AD0" w:rsidRPr="00AC4713">
        <w:rPr>
          <w:rStyle w:val="Strong"/>
          <w:b w:val="0"/>
          <w:bCs w:val="0"/>
        </w:rPr>
        <w:t>ourse participation</w:t>
      </w:r>
    </w:p>
    <w:p w14:paraId="495AF74D" w14:textId="54284B47" w:rsidR="001D028C" w:rsidRDefault="00D53045" w:rsidP="00B8419E">
      <w:pPr>
        <w:pStyle w:val="ListBullet2"/>
        <w:numPr>
          <w:ilvl w:val="1"/>
          <w:numId w:val="28"/>
        </w:numPr>
        <w:spacing w:after="0"/>
        <w:rPr>
          <w:rStyle w:val="Strong"/>
          <w:b w:val="0"/>
          <w:bCs w:val="0"/>
        </w:rPr>
      </w:pPr>
      <w:r>
        <w:rPr>
          <w:rStyle w:val="Strong"/>
          <w:b w:val="0"/>
          <w:bCs w:val="0"/>
        </w:rPr>
        <w:t xml:space="preserve">  </w:t>
      </w:r>
      <w:r w:rsidR="001E5B06">
        <w:rPr>
          <w:rStyle w:val="Strong"/>
          <w:b w:val="0"/>
          <w:bCs w:val="0"/>
        </w:rPr>
        <w:t>AP c</w:t>
      </w:r>
      <w:r w:rsidR="00640987">
        <w:rPr>
          <w:rStyle w:val="Strong"/>
          <w:b w:val="0"/>
          <w:bCs w:val="0"/>
        </w:rPr>
        <w:t>ourse participation by demographic group</w:t>
      </w:r>
    </w:p>
    <w:p w14:paraId="000518DC" w14:textId="758F3B96" w:rsidR="00D53045" w:rsidRDefault="00D53045" w:rsidP="00B8419E">
      <w:pPr>
        <w:pStyle w:val="ListBullet3"/>
        <w:numPr>
          <w:ilvl w:val="2"/>
          <w:numId w:val="28"/>
        </w:numPr>
        <w:spacing w:after="0"/>
        <w:rPr>
          <w:rStyle w:val="Strong"/>
          <w:b w:val="0"/>
          <w:bCs w:val="0"/>
        </w:rPr>
      </w:pPr>
      <w:r>
        <w:rPr>
          <w:rStyle w:val="Strong"/>
          <w:b w:val="0"/>
          <w:bCs w:val="0"/>
        </w:rPr>
        <w:t xml:space="preserve">    </w:t>
      </w:r>
      <w:r w:rsidR="001D028C">
        <w:rPr>
          <w:rStyle w:val="Strong"/>
          <w:b w:val="0"/>
          <w:bCs w:val="0"/>
        </w:rPr>
        <w:t>R</w:t>
      </w:r>
      <w:r w:rsidR="00824804" w:rsidRPr="001D028C">
        <w:rPr>
          <w:rStyle w:val="Strong"/>
          <w:b w:val="0"/>
          <w:bCs w:val="0"/>
        </w:rPr>
        <w:t>ace/ethnicity</w:t>
      </w:r>
      <w:r w:rsidR="001D028C">
        <w:rPr>
          <w:rStyle w:val="FootnoteReference"/>
        </w:rPr>
        <w:footnoteReference w:id="11"/>
      </w:r>
      <w:r w:rsidR="00824804" w:rsidRPr="001D028C">
        <w:rPr>
          <w:rStyle w:val="Strong"/>
          <w:b w:val="0"/>
          <w:bCs w:val="0"/>
        </w:rPr>
        <w:t xml:space="preserve"> </w:t>
      </w:r>
    </w:p>
    <w:p w14:paraId="7AFF9824" w14:textId="52EF7A53" w:rsidR="00824804" w:rsidRPr="00D53045" w:rsidRDefault="001D028C" w:rsidP="00C34DA1">
      <w:pPr>
        <w:pStyle w:val="ListBullet3"/>
        <w:numPr>
          <w:ilvl w:val="2"/>
          <w:numId w:val="28"/>
        </w:numPr>
        <w:spacing w:after="0"/>
        <w:rPr>
          <w:rStyle w:val="Strong"/>
          <w:b w:val="0"/>
          <w:bCs w:val="0"/>
        </w:rPr>
      </w:pPr>
      <w:r w:rsidRPr="00D53045">
        <w:rPr>
          <w:rStyle w:val="Strong"/>
          <w:b w:val="0"/>
          <w:bCs w:val="0"/>
        </w:rPr>
        <w:t>A</w:t>
      </w:r>
      <w:r w:rsidR="00824804" w:rsidRPr="00D53045">
        <w:rPr>
          <w:rStyle w:val="Strong"/>
          <w:b w:val="0"/>
          <w:bCs w:val="0"/>
        </w:rPr>
        <w:t>dditional student groups of interest</w:t>
      </w:r>
      <w:r w:rsidRPr="00D53045">
        <w:rPr>
          <w:rStyle w:val="Strong"/>
          <w:b w:val="0"/>
          <w:bCs w:val="0"/>
        </w:rPr>
        <w:t xml:space="preserve"> (EL, SWD, </w:t>
      </w:r>
      <w:r w:rsidR="009F4187">
        <w:rPr>
          <w:rStyle w:val="Strong"/>
          <w:b w:val="0"/>
          <w:bCs w:val="0"/>
        </w:rPr>
        <w:t>l</w:t>
      </w:r>
      <w:r w:rsidRPr="00D53045">
        <w:rPr>
          <w:rStyle w:val="Strong"/>
          <w:b w:val="0"/>
          <w:bCs w:val="0"/>
        </w:rPr>
        <w:t>ow-income</w:t>
      </w:r>
      <w:r w:rsidR="00C34DA1">
        <w:rPr>
          <w:rStyle w:val="Strong"/>
          <w:b w:val="0"/>
          <w:bCs w:val="0"/>
        </w:rPr>
        <w:t>, gender</w:t>
      </w:r>
      <w:r w:rsidRPr="00D53045">
        <w:rPr>
          <w:rStyle w:val="Strong"/>
          <w:b w:val="0"/>
          <w:bCs w:val="0"/>
        </w:rPr>
        <w:t>)</w:t>
      </w:r>
    </w:p>
    <w:p w14:paraId="5B4A0067" w14:textId="202B61BA" w:rsidR="00824804" w:rsidRDefault="001E5B06" w:rsidP="00C34DA1">
      <w:pPr>
        <w:pStyle w:val="ListNumber"/>
        <w:spacing w:after="0"/>
        <w:rPr>
          <w:rStyle w:val="Strong"/>
          <w:b w:val="0"/>
          <w:bCs w:val="0"/>
        </w:rPr>
      </w:pPr>
      <w:r>
        <w:rPr>
          <w:rStyle w:val="Strong"/>
          <w:b w:val="0"/>
          <w:bCs w:val="0"/>
        </w:rPr>
        <w:t>AP student su</w:t>
      </w:r>
      <w:r w:rsidR="00640987">
        <w:rPr>
          <w:rStyle w:val="Strong"/>
          <w:b w:val="0"/>
          <w:bCs w:val="0"/>
        </w:rPr>
        <w:t>pport participation</w:t>
      </w:r>
      <w:r w:rsidR="00824804">
        <w:rPr>
          <w:rStyle w:val="Strong"/>
          <w:b w:val="0"/>
          <w:bCs w:val="0"/>
        </w:rPr>
        <w:t xml:space="preserve"> </w:t>
      </w:r>
    </w:p>
    <w:p w14:paraId="7A0B34A2" w14:textId="4744DDF4" w:rsidR="001D028C" w:rsidRDefault="00D53045" w:rsidP="00C34DA1">
      <w:pPr>
        <w:pStyle w:val="ListBullet2"/>
        <w:numPr>
          <w:ilvl w:val="1"/>
          <w:numId w:val="28"/>
        </w:numPr>
        <w:spacing w:after="0"/>
        <w:rPr>
          <w:rStyle w:val="Strong"/>
          <w:b w:val="0"/>
          <w:bCs w:val="0"/>
        </w:rPr>
      </w:pPr>
      <w:r>
        <w:rPr>
          <w:rStyle w:val="Strong"/>
          <w:b w:val="0"/>
          <w:bCs w:val="0"/>
        </w:rPr>
        <w:t xml:space="preserve">  </w:t>
      </w:r>
      <w:r w:rsidR="001E5B06">
        <w:rPr>
          <w:rStyle w:val="Strong"/>
          <w:b w:val="0"/>
          <w:bCs w:val="0"/>
        </w:rPr>
        <w:t xml:space="preserve">AP </w:t>
      </w:r>
      <w:proofErr w:type="gramStart"/>
      <w:r w:rsidR="001E5B06">
        <w:rPr>
          <w:rStyle w:val="Strong"/>
          <w:b w:val="0"/>
          <w:bCs w:val="0"/>
        </w:rPr>
        <w:t>student</w:t>
      </w:r>
      <w:proofErr w:type="gramEnd"/>
      <w:r w:rsidR="001E5B06">
        <w:rPr>
          <w:rStyle w:val="Strong"/>
          <w:b w:val="0"/>
          <w:bCs w:val="0"/>
        </w:rPr>
        <w:t xml:space="preserve"> s</w:t>
      </w:r>
      <w:r w:rsidR="00640987">
        <w:rPr>
          <w:rStyle w:val="Strong"/>
          <w:b w:val="0"/>
          <w:bCs w:val="0"/>
        </w:rPr>
        <w:t>upport participation by demographic group</w:t>
      </w:r>
      <w:r w:rsidR="00824804">
        <w:rPr>
          <w:rStyle w:val="Strong"/>
          <w:b w:val="0"/>
          <w:bCs w:val="0"/>
        </w:rPr>
        <w:t xml:space="preserve"> </w:t>
      </w:r>
    </w:p>
    <w:p w14:paraId="0E3FA5DC" w14:textId="467CF817" w:rsidR="001D028C" w:rsidRDefault="00D53045" w:rsidP="00C34DA1">
      <w:pPr>
        <w:pStyle w:val="ListBullet3"/>
        <w:numPr>
          <w:ilvl w:val="2"/>
          <w:numId w:val="28"/>
        </w:numPr>
        <w:spacing w:after="0"/>
        <w:rPr>
          <w:rStyle w:val="Strong"/>
          <w:b w:val="0"/>
          <w:bCs w:val="0"/>
        </w:rPr>
      </w:pPr>
      <w:r>
        <w:rPr>
          <w:rStyle w:val="Strong"/>
          <w:b w:val="0"/>
          <w:bCs w:val="0"/>
        </w:rPr>
        <w:t xml:space="preserve">    </w:t>
      </w:r>
      <w:r w:rsidR="001D028C">
        <w:rPr>
          <w:rStyle w:val="Strong"/>
          <w:b w:val="0"/>
          <w:bCs w:val="0"/>
        </w:rPr>
        <w:t>R</w:t>
      </w:r>
      <w:r w:rsidR="00824804">
        <w:rPr>
          <w:rStyle w:val="Strong"/>
          <w:b w:val="0"/>
          <w:bCs w:val="0"/>
        </w:rPr>
        <w:t xml:space="preserve">ace/ethnicity </w:t>
      </w:r>
    </w:p>
    <w:p w14:paraId="2175885E" w14:textId="483494DF" w:rsidR="006D0AD0" w:rsidRDefault="001D028C" w:rsidP="00C34DA1">
      <w:pPr>
        <w:pStyle w:val="ListBullet3"/>
        <w:numPr>
          <w:ilvl w:val="2"/>
          <w:numId w:val="28"/>
        </w:numPr>
        <w:spacing w:after="0"/>
        <w:rPr>
          <w:rStyle w:val="Strong"/>
          <w:b w:val="0"/>
          <w:bCs w:val="0"/>
        </w:rPr>
      </w:pPr>
      <w:r>
        <w:rPr>
          <w:rStyle w:val="Strong"/>
          <w:b w:val="0"/>
          <w:bCs w:val="0"/>
        </w:rPr>
        <w:t>A</w:t>
      </w:r>
      <w:r w:rsidR="00824804">
        <w:rPr>
          <w:rStyle w:val="Strong"/>
          <w:b w:val="0"/>
          <w:bCs w:val="0"/>
        </w:rPr>
        <w:t>dditional student groups of interest</w:t>
      </w:r>
      <w:r>
        <w:rPr>
          <w:rStyle w:val="Strong"/>
          <w:b w:val="0"/>
          <w:bCs w:val="0"/>
        </w:rPr>
        <w:t xml:space="preserve"> (EL, SWD, </w:t>
      </w:r>
      <w:r w:rsidR="009F4187">
        <w:rPr>
          <w:rStyle w:val="Strong"/>
          <w:b w:val="0"/>
          <w:bCs w:val="0"/>
        </w:rPr>
        <w:t>l</w:t>
      </w:r>
      <w:r>
        <w:rPr>
          <w:rStyle w:val="Strong"/>
          <w:b w:val="0"/>
          <w:bCs w:val="0"/>
        </w:rPr>
        <w:t>ow-income</w:t>
      </w:r>
      <w:r w:rsidR="00C34DA1">
        <w:rPr>
          <w:rStyle w:val="Strong"/>
          <w:b w:val="0"/>
          <w:bCs w:val="0"/>
        </w:rPr>
        <w:t>, gender</w:t>
      </w:r>
      <w:r>
        <w:rPr>
          <w:rStyle w:val="Strong"/>
          <w:b w:val="0"/>
          <w:bCs w:val="0"/>
        </w:rPr>
        <w:t>)</w:t>
      </w:r>
    </w:p>
    <w:p w14:paraId="0F63F25D" w14:textId="77777777" w:rsidR="00C34DA1" w:rsidRPr="00B92022" w:rsidRDefault="00C34DA1" w:rsidP="00C34DA1">
      <w:pPr>
        <w:pStyle w:val="ListBullet3"/>
        <w:numPr>
          <w:ilvl w:val="0"/>
          <w:numId w:val="0"/>
        </w:numPr>
        <w:spacing w:after="0"/>
        <w:rPr>
          <w:rStyle w:val="Strong"/>
          <w:b w:val="0"/>
          <w:bCs w:val="0"/>
        </w:rPr>
      </w:pPr>
    </w:p>
    <w:p w14:paraId="7117C308" w14:textId="77777777" w:rsidR="00490A50" w:rsidRPr="00077584" w:rsidRDefault="00490A50" w:rsidP="007B49DA">
      <w:pPr>
        <w:pStyle w:val="Heading4"/>
      </w:pPr>
      <w:bookmarkStart w:id="142" w:name="_Toc200638439"/>
      <w:bookmarkStart w:id="143" w:name="_Toc202784439"/>
      <w:bookmarkStart w:id="144" w:name="_Toc202784525"/>
      <w:bookmarkStart w:id="145" w:name="_Toc202788408"/>
      <w:bookmarkStart w:id="146" w:name="_Toc203984431"/>
      <w:bookmarkStart w:id="147" w:name="_Toc204766665"/>
      <w:bookmarkStart w:id="148" w:name="_Toc206742103"/>
      <w:bookmarkStart w:id="149" w:name="_Toc207183732"/>
      <w:bookmarkStart w:id="150" w:name="_Toc207348164"/>
      <w:bookmarkEnd w:id="137"/>
      <w:bookmarkEnd w:id="138"/>
      <w:bookmarkEnd w:id="139"/>
      <w:bookmarkEnd w:id="140"/>
      <w:r w:rsidRPr="00077584">
        <w:t>AP Course Participation</w:t>
      </w:r>
      <w:bookmarkEnd w:id="142"/>
      <w:bookmarkEnd w:id="143"/>
      <w:bookmarkEnd w:id="144"/>
      <w:bookmarkEnd w:id="145"/>
      <w:bookmarkEnd w:id="146"/>
      <w:bookmarkEnd w:id="147"/>
      <w:bookmarkEnd w:id="148"/>
      <w:bookmarkEnd w:id="149"/>
      <w:bookmarkEnd w:id="150"/>
    </w:p>
    <w:p w14:paraId="37A1EBB0" w14:textId="205058FF" w:rsidR="00490A50" w:rsidRDefault="00490A50" w:rsidP="00490A50">
      <w:pPr>
        <w:pStyle w:val="BodyText"/>
      </w:pPr>
      <w:r>
        <w:t xml:space="preserve">The number of students participating in AP courses </w:t>
      </w:r>
      <w:r w:rsidR="00D87DB5">
        <w:t xml:space="preserve">in participating schools </w:t>
      </w:r>
      <w:r>
        <w:t xml:space="preserve">was </w:t>
      </w:r>
      <w:r w:rsidR="004C598C">
        <w:t>similar</w:t>
      </w:r>
      <w:r>
        <w:t xml:space="preserve"> across SY2023</w:t>
      </w:r>
      <w:r w:rsidR="004C598C">
        <w:t xml:space="preserve"> </w:t>
      </w:r>
      <w:r w:rsidR="004B02DF">
        <w:t xml:space="preserve">and </w:t>
      </w:r>
      <w:r>
        <w:t>SY2024,</w:t>
      </w:r>
      <w:r w:rsidR="00710D08">
        <w:rPr>
          <w:rStyle w:val="FootnoteReference"/>
        </w:rPr>
        <w:footnoteReference w:id="12"/>
      </w:r>
      <w:r>
        <w:t xml:space="preserve"> with 12,016 students participating in at least one AP </w:t>
      </w:r>
      <w:r w:rsidR="004B7B4E">
        <w:t xml:space="preserve">ELA, </w:t>
      </w:r>
      <w:r>
        <w:t xml:space="preserve">math, </w:t>
      </w:r>
      <w:r w:rsidR="004B7B4E">
        <w:t>or</w:t>
      </w:r>
      <w:r>
        <w:t xml:space="preserve"> science course in SY2023, and 11,491 students participating in at least one </w:t>
      </w:r>
      <w:r w:rsidR="004C2C08">
        <w:t xml:space="preserve">AP ELA, </w:t>
      </w:r>
      <w:r>
        <w:t xml:space="preserve">math, </w:t>
      </w:r>
      <w:r w:rsidR="004C2C08">
        <w:t xml:space="preserve">or </w:t>
      </w:r>
      <w:r>
        <w:t>science, in SY2024. More students participated in at least one AP ELA course (6,742</w:t>
      </w:r>
      <w:r w:rsidR="004C598C">
        <w:t xml:space="preserve"> </w:t>
      </w:r>
      <w:r>
        <w:t>/</w:t>
      </w:r>
      <w:r w:rsidR="004C598C">
        <w:t xml:space="preserve"> </w:t>
      </w:r>
      <w:r>
        <w:t>6,505) than did students in AP math (5,015</w:t>
      </w:r>
      <w:r w:rsidR="00956639">
        <w:t xml:space="preserve"> </w:t>
      </w:r>
      <w:r>
        <w:t>/</w:t>
      </w:r>
      <w:r w:rsidR="00956639">
        <w:t xml:space="preserve"> </w:t>
      </w:r>
      <w:r>
        <w:t xml:space="preserve">4,760) </w:t>
      </w:r>
      <w:r w:rsidR="00333AEC">
        <w:t xml:space="preserve">or AP science (5,163 / 4,374) </w:t>
      </w:r>
      <w:r>
        <w:t>courses.</w:t>
      </w:r>
    </w:p>
    <w:p w14:paraId="59DB9A6C" w14:textId="757AABA6" w:rsidR="00490A50" w:rsidRDefault="00490A50" w:rsidP="00490A50">
      <w:pPr>
        <w:pStyle w:val="FigureCaption"/>
      </w:pPr>
      <w:bookmarkStart w:id="151" w:name="_Toc201916787"/>
      <w:bookmarkStart w:id="152" w:name="_Toc201928377"/>
      <w:bookmarkStart w:id="153" w:name="_Toc207348443"/>
      <w:r>
        <w:lastRenderedPageBreak/>
        <w:t xml:space="preserve">Figure </w:t>
      </w:r>
      <w:r w:rsidR="00535105">
        <w:t>1.</w:t>
      </w:r>
      <w:r>
        <w:t xml:space="preserve"> The number of AP students participating in at least one AP course, by AP content area.</w:t>
      </w:r>
      <w:bookmarkEnd w:id="151"/>
      <w:bookmarkEnd w:id="152"/>
      <w:bookmarkEnd w:id="153"/>
    </w:p>
    <w:p w14:paraId="58C0191E" w14:textId="048235EF" w:rsidR="00490A50" w:rsidRDefault="00333AEC" w:rsidP="00490A50">
      <w:pPr>
        <w:pStyle w:val="BodyText"/>
      </w:pPr>
      <w:r>
        <w:rPr>
          <w:noProof/>
        </w:rPr>
        <w:drawing>
          <wp:inline distT="0" distB="0" distL="0" distR="0" wp14:anchorId="125BB87E" wp14:editId="7743D341">
            <wp:extent cx="4572000" cy="2743200"/>
            <wp:effectExtent l="0" t="0" r="0" b="0"/>
            <wp:docPr id="1096014856" name="Chart 1" descr="A bar chart showing the number of AP students participating in at least one AP course, by AP content area in SY2023 and SY2024. &#10;In SY2024:, 6,505 students participated in AP ELA; 4,760 students participated in AP Math; 4,373 students participated in AP Science; and 11,491 participated in any AP. In SY2024: 6,742 students participated in AP ELA; 5,015 students participated in AP Math; 5,163 students participated in AP Science; and 12,016 students participated in any AP.">
              <a:extLst xmlns:a="http://schemas.openxmlformats.org/drawingml/2006/main">
                <a:ext uri="{FF2B5EF4-FFF2-40B4-BE49-F238E27FC236}">
                  <a16:creationId xmlns:a16="http://schemas.microsoft.com/office/drawing/2014/main" id="{22D1768D-9722-6C2F-B64C-D7FACA56710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2F6693F3" w14:textId="3A343A52" w:rsidR="00490A50" w:rsidRPr="00FB54E7" w:rsidRDefault="00490A50" w:rsidP="007B49DA">
      <w:pPr>
        <w:pStyle w:val="Heading5"/>
        <w:rPr>
          <w:color w:val="404040" w:themeColor="text1" w:themeTint="BF"/>
        </w:rPr>
      </w:pPr>
      <w:bookmarkStart w:id="154" w:name="_Toc200638440"/>
      <w:bookmarkStart w:id="155" w:name="_Toc202784440"/>
      <w:bookmarkStart w:id="156" w:name="_Toc202784526"/>
      <w:bookmarkStart w:id="157" w:name="_Toc202788409"/>
      <w:r w:rsidRPr="00FB54E7">
        <w:rPr>
          <w:color w:val="404040" w:themeColor="text1" w:themeTint="BF"/>
        </w:rPr>
        <w:t xml:space="preserve">AP </w:t>
      </w:r>
      <w:r w:rsidR="0027742E" w:rsidRPr="00FB54E7">
        <w:rPr>
          <w:color w:val="404040" w:themeColor="text1" w:themeTint="BF"/>
        </w:rPr>
        <w:t xml:space="preserve">Course Participation and </w:t>
      </w:r>
      <w:r w:rsidRPr="00FB54E7">
        <w:rPr>
          <w:color w:val="404040" w:themeColor="text1" w:themeTint="BF"/>
        </w:rPr>
        <w:t>Student Demographics</w:t>
      </w:r>
      <w:bookmarkEnd w:id="154"/>
      <w:bookmarkEnd w:id="155"/>
      <w:bookmarkEnd w:id="156"/>
      <w:bookmarkEnd w:id="157"/>
    </w:p>
    <w:p w14:paraId="7F327CB7" w14:textId="3CB9B38A" w:rsidR="00640987" w:rsidRPr="00903C39" w:rsidRDefault="00640987" w:rsidP="007B49DA">
      <w:pPr>
        <w:pStyle w:val="Heading6"/>
        <w:rPr>
          <w:color w:val="595959" w:themeColor="text1" w:themeTint="A6"/>
        </w:rPr>
      </w:pPr>
      <w:r w:rsidRPr="00903C39">
        <w:rPr>
          <w:color w:val="595959" w:themeColor="text1" w:themeTint="A6"/>
        </w:rPr>
        <w:t>Race / ethnicity</w:t>
      </w:r>
    </w:p>
    <w:p w14:paraId="774CFE14" w14:textId="3EEE2413" w:rsidR="007570E5" w:rsidRDefault="00490A50" w:rsidP="007B49DA">
      <w:pPr>
        <w:pStyle w:val="BodyText"/>
      </w:pPr>
      <w:r>
        <w:t>In both SY2023</w:t>
      </w:r>
      <w:r w:rsidR="007A65AE">
        <w:t xml:space="preserve"> </w:t>
      </w:r>
      <w:r w:rsidR="003E077B">
        <w:t xml:space="preserve">and </w:t>
      </w:r>
      <w:r>
        <w:t>SY2024</w:t>
      </w:r>
      <w:r w:rsidR="003E077B">
        <w:t xml:space="preserve"> (see Figure 2)</w:t>
      </w:r>
      <w:r w:rsidR="004B3858">
        <w:t>,</w:t>
      </w:r>
      <w:r>
        <w:t xml:space="preserve"> </w:t>
      </w:r>
      <w:r w:rsidR="009036FD">
        <w:t>a slight</w:t>
      </w:r>
      <w:r>
        <w:t xml:space="preserve"> majority of students</w:t>
      </w:r>
      <w:r w:rsidR="00CE6138">
        <w:t xml:space="preserve"> </w:t>
      </w:r>
      <w:r w:rsidR="001074A4">
        <w:t>enrolled in AP STEM and English courses at participating schools</w:t>
      </w:r>
      <w:r>
        <w:t xml:space="preserve"> were White (51.5% / 52.2%). </w:t>
      </w:r>
      <w:r w:rsidR="006F24ED">
        <w:t xml:space="preserve">Students who are </w:t>
      </w:r>
      <w:r w:rsidR="003E077B">
        <w:t xml:space="preserve">Hispanic/Latino </w:t>
      </w:r>
      <w:r w:rsidR="0068099D">
        <w:t>comprised</w:t>
      </w:r>
      <w:r w:rsidR="00A72A03">
        <w:t xml:space="preserve"> </w:t>
      </w:r>
      <w:r>
        <w:t xml:space="preserve">23.3% </w:t>
      </w:r>
      <w:r w:rsidR="00A72A03">
        <w:t>in SY2023 and</w:t>
      </w:r>
      <w:r>
        <w:t xml:space="preserve"> 23.2%</w:t>
      </w:r>
      <w:r w:rsidR="00A72A03">
        <w:t xml:space="preserve"> in SY2024</w:t>
      </w:r>
      <w:r>
        <w:t xml:space="preserve">, </w:t>
      </w:r>
      <w:r w:rsidR="00A72A03">
        <w:t xml:space="preserve">followed by </w:t>
      </w:r>
      <w:r w:rsidR="006F24ED">
        <w:t xml:space="preserve">students who are </w:t>
      </w:r>
      <w:r>
        <w:t xml:space="preserve">Black (12.6% / 12.7%), </w:t>
      </w:r>
      <w:r w:rsidR="008B3635">
        <w:t>and</w:t>
      </w:r>
      <w:r>
        <w:t xml:space="preserve"> </w:t>
      </w:r>
      <w:r w:rsidR="006F24ED">
        <w:t xml:space="preserve">students who are </w:t>
      </w:r>
      <w:r>
        <w:t>Asian (8.9% / 7.8%)</w:t>
      </w:r>
      <w:r w:rsidR="008B3635">
        <w:t xml:space="preserve">. A </w:t>
      </w:r>
      <w:r>
        <w:t xml:space="preserve">smaller proportion of students were </w:t>
      </w:r>
      <w:r w:rsidR="008B3635">
        <w:t xml:space="preserve">identified as </w:t>
      </w:r>
      <w:r>
        <w:t>Multiracial (3.4% / 3.8%).</w:t>
      </w:r>
      <w:r>
        <w:rPr>
          <w:rStyle w:val="FootnoteReference"/>
        </w:rPr>
        <w:footnoteReference w:id="13"/>
      </w:r>
      <w:r w:rsidR="001824B2">
        <w:t xml:space="preserve"> </w:t>
      </w:r>
    </w:p>
    <w:p w14:paraId="1A0763CC" w14:textId="62D50896" w:rsidR="00D5023D" w:rsidRDefault="00C34DA1" w:rsidP="007B49DA">
      <w:pPr>
        <w:pStyle w:val="FigureCaption"/>
      </w:pPr>
      <w:bookmarkStart w:id="158" w:name="_Toc207348444"/>
      <w:r>
        <w:rPr>
          <w:noProof/>
        </w:rPr>
        <w:lastRenderedPageBreak/>
        <w:drawing>
          <wp:anchor distT="0" distB="0" distL="114300" distR="114300" simplePos="0" relativeHeight="251658242" behindDoc="0" locked="0" layoutInCell="1" allowOverlap="1" wp14:anchorId="30FC9227" wp14:editId="036B0852">
            <wp:simplePos x="0" y="0"/>
            <wp:positionH relativeFrom="column">
              <wp:posOffset>0</wp:posOffset>
            </wp:positionH>
            <wp:positionV relativeFrom="paragraph">
              <wp:posOffset>265430</wp:posOffset>
            </wp:positionV>
            <wp:extent cx="3933825" cy="3276600"/>
            <wp:effectExtent l="0" t="0" r="9525" b="0"/>
            <wp:wrapTopAndBottom/>
            <wp:docPr id="1308502931" name="Chart 1" descr="A stacked bar chart showing the percentage of AP students by race/ethnicity for SY2023 and SY2024. &#10;In SY2023, among 11,491 students they are: 8.9% Asian, 12.6% African American/Black, 23.3% Hispanic/Latino, 3.4% Multiracial, and 51.5% White. &#10;In SY2024, among 12.016 students they are: 7.8% Asian, 12.7% African American/Black, 23.2% Hispanic/Latino, 3.8% Multiracial, and 52.2% White. Students who are American Indian Alaska Native (AIAN) or Native Hawaiian Pacific Islander (NHPI) were excluded from this figure due to low population counts.">
              <a:extLst xmlns:a="http://schemas.openxmlformats.org/drawingml/2006/main">
                <a:ext uri="{FF2B5EF4-FFF2-40B4-BE49-F238E27FC236}">
                  <a16:creationId xmlns:a16="http://schemas.microsoft.com/office/drawing/2014/main" id="{BC38C9CD-0AFD-7974-A16F-880F9EAAC68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page">
              <wp14:pctWidth>0</wp14:pctWidth>
            </wp14:sizeRelH>
            <wp14:sizeRelV relativeFrom="page">
              <wp14:pctHeight>0</wp14:pctHeight>
            </wp14:sizeRelV>
          </wp:anchor>
        </w:drawing>
      </w:r>
      <w:r w:rsidR="00D5023D">
        <w:t xml:space="preserve">Figure 2. The percentages of AP students, by </w:t>
      </w:r>
      <w:r w:rsidR="00CC5BD5">
        <w:t>race/ethnicity</w:t>
      </w:r>
      <w:r>
        <w:t>, by year</w:t>
      </w:r>
      <w:r w:rsidR="00D5023D">
        <w:t>.</w:t>
      </w:r>
      <w:bookmarkEnd w:id="158"/>
    </w:p>
    <w:p w14:paraId="288C43C8" w14:textId="2840AB15" w:rsidR="00D5023D" w:rsidRDefault="00D5023D" w:rsidP="007B49DA">
      <w:pPr>
        <w:pStyle w:val="BodyText"/>
      </w:pPr>
    </w:p>
    <w:p w14:paraId="3CA33E1B" w14:textId="20C365A8" w:rsidR="009B635D" w:rsidRDefault="009B635D" w:rsidP="007B49DA">
      <w:pPr>
        <w:pStyle w:val="BodyText"/>
        <w:rPr>
          <w:rStyle w:val="Strong"/>
          <w:b w:val="0"/>
          <w:bCs w:val="0"/>
        </w:rPr>
      </w:pPr>
      <w:r>
        <w:rPr>
          <w:rStyle w:val="Strong"/>
          <w:b w:val="0"/>
          <w:bCs w:val="0"/>
        </w:rPr>
        <w:t xml:space="preserve">Although there </w:t>
      </w:r>
      <w:r w:rsidR="00310997">
        <w:rPr>
          <w:rStyle w:val="Strong"/>
          <w:b w:val="0"/>
          <w:bCs w:val="0"/>
        </w:rPr>
        <w:t xml:space="preserve">was </w:t>
      </w:r>
      <w:r>
        <w:rPr>
          <w:rStyle w:val="Strong"/>
          <w:b w:val="0"/>
          <w:bCs w:val="0"/>
        </w:rPr>
        <w:t xml:space="preserve">a slight majority of participants </w:t>
      </w:r>
      <w:r w:rsidR="00FC424A">
        <w:rPr>
          <w:rStyle w:val="Strong"/>
          <w:b w:val="0"/>
          <w:bCs w:val="0"/>
        </w:rPr>
        <w:t xml:space="preserve">taking AP STEM and English courses in the program who were White, </w:t>
      </w:r>
      <w:r w:rsidR="00BE33EC">
        <w:rPr>
          <w:rStyle w:val="Strong"/>
          <w:b w:val="0"/>
          <w:bCs w:val="0"/>
        </w:rPr>
        <w:t xml:space="preserve">racial and ethnic </w:t>
      </w:r>
      <w:r w:rsidR="00986F7B">
        <w:rPr>
          <w:rStyle w:val="Strong"/>
          <w:b w:val="0"/>
          <w:bCs w:val="0"/>
        </w:rPr>
        <w:t xml:space="preserve">student characteristics </w:t>
      </w:r>
      <w:r w:rsidR="00B8306B">
        <w:rPr>
          <w:rStyle w:val="Strong"/>
          <w:b w:val="0"/>
          <w:bCs w:val="0"/>
        </w:rPr>
        <w:t>within the program are overall more diverse when compared to Statewide participation in AP STEM and English courses.</w:t>
      </w:r>
      <w:r w:rsidR="00AE32E5">
        <w:rPr>
          <w:rStyle w:val="FootnoteReference"/>
        </w:rPr>
        <w:footnoteReference w:id="14"/>
      </w:r>
      <w:r w:rsidR="00B8306B">
        <w:rPr>
          <w:rStyle w:val="Strong"/>
          <w:b w:val="0"/>
          <w:bCs w:val="0"/>
        </w:rPr>
        <w:t xml:space="preserve"> </w:t>
      </w:r>
      <w:r w:rsidR="00C23DF3">
        <w:rPr>
          <w:rStyle w:val="Strong"/>
          <w:b w:val="0"/>
          <w:bCs w:val="0"/>
        </w:rPr>
        <w:t>As an example, Figure 3</w:t>
      </w:r>
      <w:r w:rsidR="00D94007">
        <w:rPr>
          <w:rStyle w:val="Strong"/>
          <w:b w:val="0"/>
          <w:bCs w:val="0"/>
        </w:rPr>
        <w:t>, below,</w:t>
      </w:r>
      <w:r w:rsidR="00C23DF3">
        <w:rPr>
          <w:rStyle w:val="Strong"/>
          <w:b w:val="0"/>
          <w:bCs w:val="0"/>
        </w:rPr>
        <w:t xml:space="preserve"> illustrates SY2023</w:t>
      </w:r>
      <w:r w:rsidR="007E220D">
        <w:rPr>
          <w:rStyle w:val="FootnoteReference"/>
        </w:rPr>
        <w:footnoteReference w:id="15"/>
      </w:r>
      <w:r w:rsidR="00C23DF3">
        <w:rPr>
          <w:rStyle w:val="Strong"/>
          <w:b w:val="0"/>
          <w:bCs w:val="0"/>
        </w:rPr>
        <w:t xml:space="preserve"> </w:t>
      </w:r>
      <w:r w:rsidR="002A7634">
        <w:rPr>
          <w:rStyle w:val="Strong"/>
          <w:b w:val="0"/>
          <w:bCs w:val="0"/>
        </w:rPr>
        <w:t>course takers</w:t>
      </w:r>
      <w:r w:rsidR="00C23DF3">
        <w:rPr>
          <w:rStyle w:val="Strong"/>
          <w:b w:val="0"/>
          <w:bCs w:val="0"/>
        </w:rPr>
        <w:t xml:space="preserve"> in the AP STEM and English program compared to Statewide </w:t>
      </w:r>
      <w:r w:rsidR="008F3482">
        <w:rPr>
          <w:rStyle w:val="Strong"/>
          <w:b w:val="0"/>
          <w:bCs w:val="0"/>
        </w:rPr>
        <w:t>AP STEM and English course takers</w:t>
      </w:r>
      <w:r w:rsidR="00C23DF3">
        <w:rPr>
          <w:rStyle w:val="Strong"/>
          <w:b w:val="0"/>
          <w:bCs w:val="0"/>
        </w:rPr>
        <w:t xml:space="preserve">. </w:t>
      </w:r>
      <w:r w:rsidR="008E03AF">
        <w:rPr>
          <w:rStyle w:val="Strong"/>
          <w:b w:val="0"/>
          <w:bCs w:val="0"/>
        </w:rPr>
        <w:t>Noteworthy is that the</w:t>
      </w:r>
      <w:r w:rsidR="00B66BCD">
        <w:rPr>
          <w:rStyle w:val="Strong"/>
          <w:b w:val="0"/>
          <w:bCs w:val="0"/>
        </w:rPr>
        <w:t xml:space="preserve">re is an over </w:t>
      </w:r>
      <w:proofErr w:type="gramStart"/>
      <w:r w:rsidR="00B66BCD">
        <w:rPr>
          <w:rStyle w:val="Strong"/>
          <w:b w:val="0"/>
          <w:bCs w:val="0"/>
        </w:rPr>
        <w:t>+11 point</w:t>
      </w:r>
      <w:proofErr w:type="gramEnd"/>
      <w:r w:rsidR="00B66BCD">
        <w:rPr>
          <w:rStyle w:val="Strong"/>
          <w:b w:val="0"/>
          <w:bCs w:val="0"/>
        </w:rPr>
        <w:t xml:space="preserve"> difference and </w:t>
      </w:r>
      <w:r w:rsidR="008E03AF">
        <w:rPr>
          <w:rStyle w:val="Strong"/>
          <w:b w:val="0"/>
          <w:bCs w:val="0"/>
        </w:rPr>
        <w:t>a nearly</w:t>
      </w:r>
      <w:r w:rsidR="005D5FE5">
        <w:rPr>
          <w:rStyle w:val="Strong"/>
          <w:b w:val="0"/>
          <w:bCs w:val="0"/>
        </w:rPr>
        <w:t xml:space="preserve"> </w:t>
      </w:r>
      <w:proofErr w:type="gramStart"/>
      <w:r w:rsidR="005D5FE5">
        <w:rPr>
          <w:rStyle w:val="Strong"/>
          <w:b w:val="0"/>
          <w:bCs w:val="0"/>
        </w:rPr>
        <w:t>+</w:t>
      </w:r>
      <w:r w:rsidR="008E03AF">
        <w:rPr>
          <w:rStyle w:val="Strong"/>
          <w:b w:val="0"/>
          <w:bCs w:val="0"/>
        </w:rPr>
        <w:t>6 point</w:t>
      </w:r>
      <w:proofErr w:type="gramEnd"/>
      <w:r w:rsidR="008E03AF">
        <w:rPr>
          <w:rStyle w:val="Strong"/>
          <w:b w:val="0"/>
          <w:bCs w:val="0"/>
        </w:rPr>
        <w:t xml:space="preserve"> </w:t>
      </w:r>
      <w:r w:rsidR="005D5FE5">
        <w:rPr>
          <w:rStyle w:val="Strong"/>
          <w:b w:val="0"/>
          <w:bCs w:val="0"/>
        </w:rPr>
        <w:t xml:space="preserve">difference in the participation of </w:t>
      </w:r>
      <w:r w:rsidR="00B66BCD">
        <w:rPr>
          <w:rStyle w:val="Strong"/>
          <w:b w:val="0"/>
          <w:bCs w:val="0"/>
        </w:rPr>
        <w:t xml:space="preserve">Hispanic/Latino and </w:t>
      </w:r>
      <w:r w:rsidR="005D5FE5">
        <w:rPr>
          <w:rStyle w:val="Strong"/>
          <w:b w:val="0"/>
          <w:bCs w:val="0"/>
        </w:rPr>
        <w:t>African American/Black students in the AP STEM and English program compared to Statewide AP STEM and English course takers</w:t>
      </w:r>
      <w:r w:rsidR="00B66BCD">
        <w:rPr>
          <w:rStyle w:val="Strong"/>
          <w:b w:val="0"/>
          <w:bCs w:val="0"/>
        </w:rPr>
        <w:t>, respectively</w:t>
      </w:r>
      <w:r w:rsidR="005D5FE5">
        <w:rPr>
          <w:rStyle w:val="Strong"/>
          <w:b w:val="0"/>
          <w:bCs w:val="0"/>
        </w:rPr>
        <w:t xml:space="preserve">. Additionally, </w:t>
      </w:r>
      <w:r w:rsidR="00305D1F" w:rsidRPr="00334FB3">
        <w:t xml:space="preserve">White student participation in the AP STEM and English program is approximately 10 percentage points lower than among students enrolled in comparable courses </w:t>
      </w:r>
      <w:r w:rsidR="000B4C9C">
        <w:t>S</w:t>
      </w:r>
      <w:r w:rsidR="00305D1F" w:rsidRPr="00334FB3">
        <w:t>tatewide.</w:t>
      </w:r>
      <w:r w:rsidR="00B34862">
        <w:rPr>
          <w:rStyle w:val="FootnoteReference"/>
        </w:rPr>
        <w:footnoteReference w:id="16"/>
      </w:r>
      <w:r w:rsidR="005D5FE5">
        <w:rPr>
          <w:rStyle w:val="Strong"/>
          <w:b w:val="0"/>
          <w:bCs w:val="0"/>
        </w:rPr>
        <w:t xml:space="preserve"> </w:t>
      </w:r>
    </w:p>
    <w:p w14:paraId="1CD74A7B" w14:textId="72B0FFFE" w:rsidR="002D4FC6" w:rsidRPr="0002140A" w:rsidRDefault="00B32102" w:rsidP="007B49DA">
      <w:pPr>
        <w:pStyle w:val="FigureCaption"/>
        <w:rPr>
          <w:rStyle w:val="Strong"/>
          <w:b/>
          <w:bCs w:val="0"/>
        </w:rPr>
      </w:pPr>
      <w:bookmarkStart w:id="159" w:name="_Toc207348445"/>
      <w:r w:rsidRPr="0002140A">
        <w:rPr>
          <w:rStyle w:val="Strong"/>
          <w:b/>
          <w:bCs w:val="0"/>
        </w:rPr>
        <w:lastRenderedPageBreak/>
        <w:t>Figure 3. AP STEM and English program and Statewide AP STEM and English course takers by race/ethnicity, SY2023.</w:t>
      </w:r>
      <w:bookmarkEnd w:id="159"/>
      <w:r w:rsidRPr="0002140A">
        <w:rPr>
          <w:rStyle w:val="Strong"/>
          <w:b/>
          <w:bCs w:val="0"/>
        </w:rPr>
        <w:t xml:space="preserve"> </w:t>
      </w:r>
    </w:p>
    <w:p w14:paraId="27272B25" w14:textId="20B7747E" w:rsidR="008F3482" w:rsidRDefault="00373B5C" w:rsidP="007B49DA">
      <w:pPr>
        <w:pStyle w:val="BodyText"/>
        <w:rPr>
          <w:rStyle w:val="Strong"/>
          <w:b w:val="0"/>
          <w:bCs w:val="0"/>
        </w:rPr>
      </w:pPr>
      <w:r>
        <w:rPr>
          <w:noProof/>
        </w:rPr>
        <w:drawing>
          <wp:inline distT="0" distB="0" distL="0" distR="0" wp14:anchorId="0AC0B52E" wp14:editId="6CBC260F">
            <wp:extent cx="5085471" cy="3910818"/>
            <wp:effectExtent l="0" t="0" r="1270" b="13970"/>
            <wp:docPr id="142163231" name="Chart 1" descr="Stacked bar charts for of AP STEM and English program students by race/ethnicity compared to Statewide AP STEM and English course takers by race/ethnicity for SY2023.&#10;Among AP STEM and English program course takers (11,491), students are: 8.9% Asian, 12.6% African American/Black, 23.3% Hispanic/Latino, 3.4% Multiracial, and 51.5% White. &#10;Among Statewide AP STEM and English course takers (47,345), students are: 14.6% Asian, 6.9% African American/Black, 12.0% Hispanic/Latino, 3.9% Multiracial, and 62.3% White. Students who are American Indian Alaska Native (AIAN) or Native Hawaiian Pacific Islander (NHPI) were excluded from this figure due to low population counts.">
              <a:extLst xmlns:a="http://schemas.openxmlformats.org/drawingml/2006/main">
                <a:ext uri="{FF2B5EF4-FFF2-40B4-BE49-F238E27FC236}">
                  <a16:creationId xmlns:a16="http://schemas.microsoft.com/office/drawing/2014/main" id="{7DF6B62F-5CF9-473C-8392-070D0A9F5FC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697D444D" w14:textId="77777777" w:rsidR="00AE32E5" w:rsidRDefault="00AE32E5" w:rsidP="007B49DA">
      <w:pPr>
        <w:pStyle w:val="BodyText"/>
      </w:pPr>
    </w:p>
    <w:p w14:paraId="3BAFF369" w14:textId="69B1EA7A" w:rsidR="00640987" w:rsidRPr="00BB77B5" w:rsidRDefault="000774D8" w:rsidP="007B49DA">
      <w:pPr>
        <w:pStyle w:val="Heading6"/>
        <w:rPr>
          <w:color w:val="595959" w:themeColor="text1" w:themeTint="A6"/>
        </w:rPr>
      </w:pPr>
      <w:r w:rsidRPr="00BB77B5">
        <w:rPr>
          <w:color w:val="595959" w:themeColor="text1" w:themeTint="A6"/>
        </w:rPr>
        <w:t>Additional</w:t>
      </w:r>
      <w:r w:rsidR="00640987" w:rsidRPr="00BB77B5">
        <w:rPr>
          <w:color w:val="595959" w:themeColor="text1" w:themeTint="A6"/>
        </w:rPr>
        <w:t xml:space="preserve"> student groups of interest</w:t>
      </w:r>
    </w:p>
    <w:p w14:paraId="0D469C49" w14:textId="008AAEA5" w:rsidR="00490A50" w:rsidRDefault="00216B05" w:rsidP="00490A50">
      <w:pPr>
        <w:pStyle w:val="BodyText"/>
      </w:pPr>
      <w:r>
        <w:t xml:space="preserve">Separately (Figure </w:t>
      </w:r>
      <w:r w:rsidR="007B5C82">
        <w:t>4</w:t>
      </w:r>
      <w:r>
        <w:t>), a</w:t>
      </w:r>
      <w:r w:rsidR="00490A50">
        <w:t xml:space="preserve"> little over one-third of students </w:t>
      </w:r>
      <w:proofErr w:type="gramStart"/>
      <w:r w:rsidR="00490A50">
        <w:t>were considered to be</w:t>
      </w:r>
      <w:proofErr w:type="gramEnd"/>
      <w:r w:rsidR="00490A50">
        <w:t xml:space="preserve"> low-income</w:t>
      </w:r>
      <w:r>
        <w:t xml:space="preserve"> in SY</w:t>
      </w:r>
      <w:r w:rsidR="00E80B70">
        <w:t>20</w:t>
      </w:r>
      <w:r>
        <w:t>23 and SY</w:t>
      </w:r>
      <w:r w:rsidR="00E80B70">
        <w:t>20</w:t>
      </w:r>
      <w:r>
        <w:t>24</w:t>
      </w:r>
      <w:r w:rsidR="00490A50">
        <w:t xml:space="preserve"> (38.8% / 38.4%). Only a small number of students </w:t>
      </w:r>
      <w:proofErr w:type="gramStart"/>
      <w:r w:rsidR="00490A50">
        <w:t>were considered to be</w:t>
      </w:r>
      <w:proofErr w:type="gramEnd"/>
      <w:r w:rsidR="00490A50">
        <w:t xml:space="preserve"> English </w:t>
      </w:r>
      <w:r w:rsidR="006F24ED">
        <w:t>l</w:t>
      </w:r>
      <w:r w:rsidR="00490A50">
        <w:t xml:space="preserve">earners (2.7% / 2.4%) or </w:t>
      </w:r>
      <w:r w:rsidR="006F24ED">
        <w:t>s</w:t>
      </w:r>
      <w:r w:rsidR="00490A50">
        <w:t xml:space="preserve">tudents with </w:t>
      </w:r>
      <w:r w:rsidR="006F24ED">
        <w:t>d</w:t>
      </w:r>
      <w:r w:rsidR="00490A50">
        <w:t xml:space="preserve">isabilities (2.7% / 3.1%). </w:t>
      </w:r>
      <w:r w:rsidR="00E909EE">
        <w:t>F</w:t>
      </w:r>
      <w:r w:rsidR="00490A50">
        <w:t xml:space="preserve">emale students (58.3% / 57.6%) </w:t>
      </w:r>
      <w:r w:rsidR="00E909EE">
        <w:t>were the most represented gender</w:t>
      </w:r>
      <w:r w:rsidR="00490A50">
        <w:t>.</w:t>
      </w:r>
      <w:r w:rsidR="00490A50">
        <w:rPr>
          <w:rStyle w:val="FootnoteReference"/>
        </w:rPr>
        <w:footnoteReference w:id="17"/>
      </w:r>
      <w:r w:rsidR="00490A50">
        <w:t xml:space="preserve"> Slightly less than half of all students were in the 12</w:t>
      </w:r>
      <w:r w:rsidR="00490A50" w:rsidRPr="00887FB1">
        <w:rPr>
          <w:vertAlign w:val="superscript"/>
        </w:rPr>
        <w:t>th</w:t>
      </w:r>
      <w:r w:rsidR="00490A50">
        <w:t xml:space="preserve"> grade (48.5% / 48.8%), followed by the 11</w:t>
      </w:r>
      <w:r w:rsidR="00490A50" w:rsidRPr="00887FB1">
        <w:rPr>
          <w:vertAlign w:val="superscript"/>
        </w:rPr>
        <w:t>th</w:t>
      </w:r>
      <w:r w:rsidR="00490A50">
        <w:t xml:space="preserve"> grade (41.1% / 41.3%), and the 9</w:t>
      </w:r>
      <w:r w:rsidR="00490A50" w:rsidRPr="00887FB1">
        <w:rPr>
          <w:vertAlign w:val="superscript"/>
        </w:rPr>
        <w:t>th</w:t>
      </w:r>
      <w:r w:rsidR="00490A50">
        <w:t>/10th grade (10.4% / 9.9%).</w:t>
      </w:r>
      <w:r w:rsidR="00490A50">
        <w:rPr>
          <w:rStyle w:val="FootnoteReference"/>
        </w:rPr>
        <w:footnoteReference w:id="18"/>
      </w:r>
    </w:p>
    <w:p w14:paraId="08388122" w14:textId="5B1B7316" w:rsidR="00490A50" w:rsidRDefault="00490A50" w:rsidP="00490A50">
      <w:pPr>
        <w:pStyle w:val="FigureCaption"/>
      </w:pPr>
      <w:bookmarkStart w:id="160" w:name="_Toc201916789"/>
      <w:bookmarkStart w:id="161" w:name="_Toc201928379"/>
      <w:bookmarkStart w:id="162" w:name="_Toc207348446"/>
      <w:r>
        <w:lastRenderedPageBreak/>
        <w:t xml:space="preserve">Figure </w:t>
      </w:r>
      <w:r w:rsidR="00A63304">
        <w:t>4</w:t>
      </w:r>
      <w:r w:rsidR="00535105">
        <w:t>.</w:t>
      </w:r>
      <w:r>
        <w:t xml:space="preserve"> The percentage of AP students by demographic characteristics.</w:t>
      </w:r>
      <w:bookmarkEnd w:id="160"/>
      <w:bookmarkEnd w:id="161"/>
      <w:bookmarkEnd w:id="162"/>
    </w:p>
    <w:p w14:paraId="7ABEA84D" w14:textId="0F258003" w:rsidR="00490A50" w:rsidRDefault="00052BFA" w:rsidP="00490A50">
      <w:pPr>
        <w:pStyle w:val="BodyText"/>
      </w:pPr>
      <w:r>
        <w:rPr>
          <w:noProof/>
        </w:rPr>
        <w:drawing>
          <wp:inline distT="0" distB="0" distL="0" distR="0" wp14:anchorId="2CAC9F13" wp14:editId="35422486">
            <wp:extent cx="4358640" cy="3251200"/>
            <wp:effectExtent l="0" t="0" r="3810" b="6350"/>
            <wp:docPr id="189617843" name="Chart 1" descr="Horizontal bar chart showing the percentage of AP students by demographic characters for SY2023 and SY2024.&#10;For students who are: English learners: 2.7% in SY2023 and 2.4% in SY2024; Female: 58.3% in SY2023 and 57.6% in SY2024; Low-income: 38.8% in SY2023 and 38.4% in SY2024; students with a disability: 2.7% in SY2023 and 3.1% in SY2024; 9th or 10th grade: 10.4% in SY2023 and 9.9% in SY2024; 11th grade: 41.1% in SY2023 and 41.3% in SY2024; 12th grade: 48.5% in SY2023 and 48.8% in SY2024.">
              <a:extLst xmlns:a="http://schemas.openxmlformats.org/drawingml/2006/main">
                <a:ext uri="{FF2B5EF4-FFF2-40B4-BE49-F238E27FC236}">
                  <a16:creationId xmlns:a16="http://schemas.microsoft.com/office/drawing/2014/main" id="{6D111C96-DFFE-4E81-79BD-7E467BAC2DF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7F4B7F97" w14:textId="77777777" w:rsidR="00490A50" w:rsidRDefault="00490A50" w:rsidP="00490A50">
      <w:pPr>
        <w:pStyle w:val="BodyText"/>
      </w:pPr>
    </w:p>
    <w:p w14:paraId="0E6ABA2C" w14:textId="17CC4240" w:rsidR="00490A50" w:rsidRDefault="00490A50" w:rsidP="007B49DA">
      <w:pPr>
        <w:pStyle w:val="Heading4"/>
      </w:pPr>
      <w:bookmarkStart w:id="163" w:name="_Toc200638441"/>
      <w:bookmarkStart w:id="164" w:name="_Toc202784441"/>
      <w:bookmarkStart w:id="165" w:name="_Toc202784527"/>
      <w:bookmarkStart w:id="166" w:name="_Toc202788410"/>
      <w:bookmarkStart w:id="167" w:name="_Toc203984432"/>
      <w:bookmarkStart w:id="168" w:name="_Toc204766666"/>
      <w:bookmarkStart w:id="169" w:name="_Toc206742104"/>
      <w:bookmarkStart w:id="170" w:name="_Toc207183733"/>
      <w:bookmarkStart w:id="171" w:name="_Toc207348165"/>
      <w:r>
        <w:t xml:space="preserve">AP Student </w:t>
      </w:r>
      <w:r w:rsidR="004210DB">
        <w:t xml:space="preserve">Support </w:t>
      </w:r>
      <w:r>
        <w:t>Participation</w:t>
      </w:r>
      <w:bookmarkEnd w:id="163"/>
      <w:bookmarkEnd w:id="164"/>
      <w:bookmarkEnd w:id="165"/>
      <w:bookmarkEnd w:id="166"/>
      <w:bookmarkEnd w:id="167"/>
      <w:bookmarkEnd w:id="168"/>
      <w:bookmarkEnd w:id="169"/>
      <w:bookmarkEnd w:id="170"/>
      <w:bookmarkEnd w:id="171"/>
    </w:p>
    <w:p w14:paraId="2F74D645" w14:textId="67AC8BC3" w:rsidR="00490A50" w:rsidRDefault="001B75A0" w:rsidP="00490A50">
      <w:pPr>
        <w:pStyle w:val="BodyText"/>
      </w:pPr>
      <w:r>
        <w:t xml:space="preserve">When considering levels of engagement in student </w:t>
      </w:r>
      <w:proofErr w:type="gramStart"/>
      <w:r>
        <w:t>supports</w:t>
      </w:r>
      <w:proofErr w:type="gramEnd"/>
      <w:r>
        <w:t xml:space="preserve">, </w:t>
      </w:r>
      <w:r w:rsidR="00FE0199">
        <w:t>roughly two-thirds of students participated in at least one type of student support across either school year (</w:t>
      </w:r>
      <w:r w:rsidR="005F292A">
        <w:t>65.6%</w:t>
      </w:r>
      <w:r w:rsidR="00D70DAF">
        <w:t xml:space="preserve"> </w:t>
      </w:r>
      <w:r w:rsidR="005F292A">
        <w:t>/</w:t>
      </w:r>
      <w:r w:rsidR="00D70DAF">
        <w:t xml:space="preserve"> </w:t>
      </w:r>
      <w:r w:rsidR="00045249">
        <w:t>66.8</w:t>
      </w:r>
      <w:r w:rsidR="005F292A">
        <w:t xml:space="preserve">%). </w:t>
      </w:r>
      <w:r w:rsidR="008C6568">
        <w:t>I</w:t>
      </w:r>
      <w:r w:rsidR="00CC39C5">
        <w:t xml:space="preserve">t </w:t>
      </w:r>
      <w:r>
        <w:t>was</w:t>
      </w:r>
      <w:r w:rsidR="00CC39C5">
        <w:t xml:space="preserve"> common</w:t>
      </w:r>
      <w:r w:rsidR="00AE2C54">
        <w:t xml:space="preserve"> </w:t>
      </w:r>
      <w:proofErr w:type="gramStart"/>
      <w:r w:rsidR="00AE2C54">
        <w:t>across</w:t>
      </w:r>
      <w:proofErr w:type="gramEnd"/>
      <w:r w:rsidR="00AE2C54">
        <w:t xml:space="preserve"> both school years</w:t>
      </w:r>
      <w:r w:rsidR="00CC39C5">
        <w:t xml:space="preserve"> that students participated </w:t>
      </w:r>
      <w:r>
        <w:t>either in mock exams only (</w:t>
      </w:r>
      <w:r w:rsidR="00DB78AC">
        <w:t>31.4%</w:t>
      </w:r>
      <w:r w:rsidR="00D70DAF">
        <w:t xml:space="preserve"> </w:t>
      </w:r>
      <w:r w:rsidR="00DE6B3F">
        <w:t>/</w:t>
      </w:r>
      <w:r w:rsidR="00D70DAF">
        <w:t xml:space="preserve"> </w:t>
      </w:r>
      <w:r w:rsidR="00045249">
        <w:t>35.3</w:t>
      </w:r>
      <w:r w:rsidR="00DE6B3F">
        <w:t>%</w:t>
      </w:r>
      <w:r w:rsidR="00DB78AC">
        <w:t>)</w:t>
      </w:r>
      <w:r>
        <w:t xml:space="preserve">, or mock exams </w:t>
      </w:r>
      <w:r w:rsidRPr="009175DE">
        <w:rPr>
          <w:i/>
          <w:iCs/>
        </w:rPr>
        <w:t>and</w:t>
      </w:r>
      <w:r>
        <w:t xml:space="preserve"> study sessions</w:t>
      </w:r>
      <w:r w:rsidR="00BB5FA4">
        <w:t xml:space="preserve"> (29.1%</w:t>
      </w:r>
      <w:r w:rsidR="00D70DAF">
        <w:t xml:space="preserve"> </w:t>
      </w:r>
      <w:r w:rsidR="00DE6B3F">
        <w:t>/</w:t>
      </w:r>
      <w:r w:rsidR="00DE6B3F" w:rsidRPr="00DE6B3F">
        <w:t xml:space="preserve"> </w:t>
      </w:r>
      <w:r w:rsidR="00045249">
        <w:t>27.8</w:t>
      </w:r>
      <w:r w:rsidR="00DE6B3F">
        <w:t>%</w:t>
      </w:r>
      <w:r w:rsidR="00BB5FA4">
        <w:t xml:space="preserve">). It was notably less common that students </w:t>
      </w:r>
      <w:r w:rsidR="00490A50">
        <w:t xml:space="preserve">participated in </w:t>
      </w:r>
      <w:r w:rsidR="008A282D">
        <w:t xml:space="preserve">only </w:t>
      </w:r>
      <w:r w:rsidR="00490A50">
        <w:t>study sessions (5.1%</w:t>
      </w:r>
      <w:r w:rsidR="00D70DAF">
        <w:t xml:space="preserve"> </w:t>
      </w:r>
      <w:r w:rsidR="00045249">
        <w:t>/</w:t>
      </w:r>
      <w:r w:rsidR="00D70DAF">
        <w:t xml:space="preserve"> </w:t>
      </w:r>
      <w:r w:rsidR="00045249">
        <w:t>3.7</w:t>
      </w:r>
      <w:r w:rsidR="00DE6B3F">
        <w:t>%</w:t>
      </w:r>
      <w:r w:rsidR="00490A50">
        <w:t xml:space="preserve">). </w:t>
      </w:r>
    </w:p>
    <w:p w14:paraId="304CD5F5" w14:textId="0FCDD1E6" w:rsidR="00490A50" w:rsidRDefault="00490A50" w:rsidP="00490A50">
      <w:pPr>
        <w:pStyle w:val="FigureCaption"/>
      </w:pPr>
      <w:bookmarkStart w:id="172" w:name="_Toc201916790"/>
      <w:bookmarkStart w:id="173" w:name="_Toc201928380"/>
      <w:bookmarkStart w:id="174" w:name="_Toc207348447"/>
      <w:r>
        <w:t xml:space="preserve">Figure </w:t>
      </w:r>
      <w:r w:rsidR="00A63304">
        <w:t>5.</w:t>
      </w:r>
      <w:r>
        <w:t xml:space="preserve"> The percentage of AP students participating in student supports, by type of student support</w:t>
      </w:r>
      <w:bookmarkEnd w:id="172"/>
      <w:bookmarkEnd w:id="173"/>
      <w:bookmarkEnd w:id="174"/>
    </w:p>
    <w:p w14:paraId="7916C2C7" w14:textId="16ACCA9D" w:rsidR="002B5C53" w:rsidRPr="002B5C53" w:rsidRDefault="002B5C53" w:rsidP="008E5FE2">
      <w:pPr>
        <w:pStyle w:val="BodyText"/>
      </w:pPr>
      <w:r>
        <w:rPr>
          <w:noProof/>
        </w:rPr>
        <w:drawing>
          <wp:inline distT="0" distB="0" distL="0" distR="0" wp14:anchorId="7DE5AC9E" wp14:editId="661D7362">
            <wp:extent cx="5518205" cy="2488758"/>
            <wp:effectExtent l="0" t="0" r="6350" b="6985"/>
            <wp:docPr id="1181267762" name="Chart 1" descr="Horizontal stacked bar chart showing the percentage of AP students participating in student supports, by type of support for SY2023 and SY2024.&#10;In SY2023, 29.1% of students received both mock exam and study session supports; 31.4% received mock exam support only; 5.1% received study session support only; and 34.4% received neither support.&#10;In SY2024, 27.8% of students received both mock exam and study session supports; 35.3% received mock exam support only; 3.7% received study session support only; and 33.2% received neither support.">
              <a:extLst xmlns:a="http://schemas.openxmlformats.org/drawingml/2006/main">
                <a:ext uri="{FF2B5EF4-FFF2-40B4-BE49-F238E27FC236}">
                  <a16:creationId xmlns:a16="http://schemas.microsoft.com/office/drawing/2014/main" id="{AD325B50-FAD5-EA4C-DF02-8A3290B6CE5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0EB8D706" w14:textId="37850A0A" w:rsidR="00490A50" w:rsidRPr="00E125F2" w:rsidRDefault="00490A50" w:rsidP="00490A50">
      <w:pPr>
        <w:pStyle w:val="BodyText"/>
      </w:pPr>
    </w:p>
    <w:p w14:paraId="4241B48B" w14:textId="733A8A95" w:rsidR="00530FCE" w:rsidRPr="00530FCE" w:rsidRDefault="00A859B0" w:rsidP="00530FCE">
      <w:pPr>
        <w:pStyle w:val="BodyText"/>
      </w:pPr>
      <w:r>
        <w:t xml:space="preserve">When considering participation in student </w:t>
      </w:r>
      <w:proofErr w:type="gramStart"/>
      <w:r>
        <w:t>supports</w:t>
      </w:r>
      <w:proofErr w:type="gramEnd"/>
      <w:r>
        <w:t xml:space="preserve"> by subject, a</w:t>
      </w:r>
      <w:r w:rsidR="00490A50">
        <w:t>cross both years</w:t>
      </w:r>
      <w:r w:rsidR="00EA2F9B">
        <w:t xml:space="preserve"> (</w:t>
      </w:r>
      <w:r w:rsidR="00EA2F9B" w:rsidRPr="00A93FDB">
        <w:t xml:space="preserve">Table </w:t>
      </w:r>
      <w:r w:rsidR="00041E4E" w:rsidRPr="00041E4E">
        <w:t>2</w:t>
      </w:r>
      <w:r w:rsidR="00EA2F9B">
        <w:t>)</w:t>
      </w:r>
      <w:r w:rsidR="00490A50">
        <w:t>, notably more students took AP ELA mock exams than AP math or AP science exams. In SY2023</w:t>
      </w:r>
      <w:r w:rsidR="00D65E2E">
        <w:t xml:space="preserve"> / SY2024</w:t>
      </w:r>
      <w:r w:rsidR="00490A50">
        <w:t>, 4,305</w:t>
      </w:r>
      <w:r w:rsidR="00E70972">
        <w:t xml:space="preserve"> </w:t>
      </w:r>
      <w:r w:rsidR="00D65E2E">
        <w:t>/</w:t>
      </w:r>
      <w:r w:rsidR="00E70972">
        <w:t xml:space="preserve"> </w:t>
      </w:r>
      <w:r w:rsidR="00383C42">
        <w:t>4,619</w:t>
      </w:r>
      <w:r w:rsidR="00490A50">
        <w:t xml:space="preserve"> students (66.2%</w:t>
      </w:r>
      <w:r w:rsidR="00383C42">
        <w:t xml:space="preserve"> / </w:t>
      </w:r>
      <w:r w:rsidR="00E70972">
        <w:t>68.5%</w:t>
      </w:r>
      <w:r w:rsidR="00490A50">
        <w:t xml:space="preserve">) took at least one AP ELA exam, as compared to 2,236 </w:t>
      </w:r>
      <w:r w:rsidR="00E70972">
        <w:t xml:space="preserve">/ </w:t>
      </w:r>
      <w:r w:rsidR="006B7B33">
        <w:t xml:space="preserve">2,645 </w:t>
      </w:r>
      <w:r w:rsidR="00490A50">
        <w:t>students (51.1%</w:t>
      </w:r>
      <w:r w:rsidR="006B7B33">
        <w:t xml:space="preserve"> / 51.2</w:t>
      </w:r>
      <w:r w:rsidR="00490A50">
        <w:t xml:space="preserve">%) </w:t>
      </w:r>
      <w:r w:rsidR="00134C74">
        <w:t>who took</w:t>
      </w:r>
      <w:r w:rsidR="00490A50">
        <w:t xml:space="preserve"> AP science and 2,183 </w:t>
      </w:r>
      <w:r w:rsidR="00FF1E9C">
        <w:t>/ 2,367</w:t>
      </w:r>
      <w:r w:rsidR="00490A50">
        <w:t xml:space="preserve"> (45.9%</w:t>
      </w:r>
      <w:r w:rsidR="00FF1E9C">
        <w:t xml:space="preserve"> / </w:t>
      </w:r>
      <w:r w:rsidR="00CB7DAF">
        <w:t>47.2%</w:t>
      </w:r>
      <w:r w:rsidR="00490A50">
        <w:t>) AP math</w:t>
      </w:r>
      <w:r w:rsidR="005A46E5">
        <w:t xml:space="preserve"> exams</w:t>
      </w:r>
      <w:r w:rsidR="00490A50">
        <w:t xml:space="preserve">. Overall, 6,953 </w:t>
      </w:r>
      <w:r w:rsidR="00CB7DAF">
        <w:t>/</w:t>
      </w:r>
      <w:r w:rsidR="0051749E">
        <w:t xml:space="preserve"> 7,583</w:t>
      </w:r>
      <w:r w:rsidR="00490A50">
        <w:t xml:space="preserve"> students (60.5%</w:t>
      </w:r>
      <w:r w:rsidR="0051749E">
        <w:t xml:space="preserve"> / 63.1</w:t>
      </w:r>
      <w:r w:rsidR="00490A50">
        <w:t>%) participated in at least one mock exam for any (ELA, math, or science) AP content area. In contrast to mock exams, the number of students participating in at least one study session was notably lower across all AP content areas, and the differences between content areas were not as large</w:t>
      </w:r>
      <w:r w:rsidR="005A46E5">
        <w:t xml:space="preserve"> for study sessions as they were for</w:t>
      </w:r>
      <w:r w:rsidR="00E61C74">
        <w:t xml:space="preserve"> mock exams</w:t>
      </w:r>
      <w:r w:rsidR="00490A50">
        <w:t xml:space="preserve">. </w:t>
      </w:r>
      <w:r w:rsidR="00530FCE" w:rsidRPr="00530FCE">
        <w:t>In </w:t>
      </w:r>
      <w:r w:rsidR="004134CF" w:rsidRPr="00CD116B">
        <w:t>SY2023</w:t>
      </w:r>
      <w:r w:rsidR="00530FCE" w:rsidRPr="00530FCE">
        <w:t>,</w:t>
      </w:r>
      <w:r w:rsidR="00BA7158">
        <w:t xml:space="preserve"> </w:t>
      </w:r>
      <w:r w:rsidR="00530FCE" w:rsidRPr="00530FCE">
        <w:t>1,876 students participated in at least one AP ELA study session, representing 28.8% of the student population. During the same year, 1,576 students (33.1%) attended at least one AP math study session, while 1,329 students (30.4%) participated in AP science sessions. Overall, 3,924 students (34.1%), took part in at least one study session across any AP subject area—ELA, math, or science.</w:t>
      </w:r>
      <w:r w:rsidR="00530FCE">
        <w:t xml:space="preserve"> </w:t>
      </w:r>
      <w:r w:rsidR="00530FCE" w:rsidRPr="00530FCE">
        <w:t xml:space="preserve">Similarly, </w:t>
      </w:r>
      <w:r w:rsidR="00BA7158">
        <w:t xml:space="preserve">in </w:t>
      </w:r>
      <w:r w:rsidR="004134CF" w:rsidRPr="00CD116B">
        <w:t>SY2024</w:t>
      </w:r>
      <w:r w:rsidR="00530FCE" w:rsidRPr="00530FCE">
        <w:t>,</w:t>
      </w:r>
      <w:r w:rsidR="00BA7158">
        <w:t xml:space="preserve"> </w:t>
      </w:r>
      <w:r w:rsidR="00530FCE" w:rsidRPr="00530FCE">
        <w:t xml:space="preserve">1,584 (33.1%) of students participated in at least one ELA Study session. AP math sessions saw 1,462 students participating (29.2%), and AP science sessions had 1,580 students involved (30.6%). Altogether, 3,787 students (31.5%) attended at least one study session in any AP subject area. </w:t>
      </w:r>
    </w:p>
    <w:p w14:paraId="4B4314CC" w14:textId="519BE52A" w:rsidR="00750D7A" w:rsidRDefault="00EF5BC5" w:rsidP="00A93FDB">
      <w:pPr>
        <w:pStyle w:val="TableCaption"/>
      </w:pPr>
      <w:bookmarkStart w:id="175" w:name="_Toc207183792"/>
      <w:bookmarkStart w:id="176" w:name="_Toc201916791"/>
      <w:bookmarkStart w:id="177" w:name="_Toc201928381"/>
      <w:r>
        <w:t xml:space="preserve">Table </w:t>
      </w:r>
      <w:r w:rsidR="00642954">
        <w:t>2</w:t>
      </w:r>
      <w:r>
        <w:t>. Number of AP students participating in at least one AP mock exam, by AP content area</w:t>
      </w:r>
      <w:r w:rsidR="001270C0">
        <w:t>, by school year</w:t>
      </w:r>
      <w:bookmarkEnd w:id="175"/>
    </w:p>
    <w:tbl>
      <w:tblPr>
        <w:tblStyle w:val="UMDIMaroon"/>
        <w:tblpPr w:leftFromText="180" w:rightFromText="180" w:vertAnchor="page" w:horzAnchor="margin" w:tblpY="7902"/>
        <w:tblW w:w="9403" w:type="dxa"/>
        <w:tblLook w:val="04A0" w:firstRow="1" w:lastRow="0" w:firstColumn="1" w:lastColumn="0" w:noHBand="0" w:noVBand="1"/>
      </w:tblPr>
      <w:tblGrid>
        <w:gridCol w:w="1880"/>
        <w:gridCol w:w="1504"/>
        <w:gridCol w:w="1505"/>
        <w:gridCol w:w="1504"/>
        <w:gridCol w:w="1505"/>
        <w:gridCol w:w="1505"/>
      </w:tblGrid>
      <w:tr w:rsidR="004342AF" w14:paraId="0F00733E" w14:textId="77777777" w:rsidTr="006652F0">
        <w:trPr>
          <w:cnfStyle w:val="100000000000" w:firstRow="1" w:lastRow="0" w:firstColumn="0" w:lastColumn="0" w:oddVBand="0" w:evenVBand="0" w:oddHBand="0" w:evenHBand="0" w:firstRowFirstColumn="0" w:firstRowLastColumn="0" w:lastRowFirstColumn="0" w:lastRowLastColumn="0"/>
          <w:trHeight w:val="666"/>
        </w:trPr>
        <w:tc>
          <w:tcPr>
            <w:cnfStyle w:val="001000000000" w:firstRow="0" w:lastRow="0" w:firstColumn="1" w:lastColumn="0" w:oddVBand="0" w:evenVBand="0" w:oddHBand="0" w:evenHBand="0" w:firstRowFirstColumn="0" w:firstRowLastColumn="0" w:lastRowFirstColumn="0" w:lastRowLastColumn="0"/>
            <w:tcW w:w="1880" w:type="dxa"/>
          </w:tcPr>
          <w:p w14:paraId="2DE36B9B" w14:textId="77777777" w:rsidR="006652F0" w:rsidRPr="00041E4E" w:rsidRDefault="006652F0" w:rsidP="006652F0">
            <w:pPr>
              <w:pStyle w:val="BodyText"/>
              <w:rPr>
                <w:color w:val="FFFFFF" w:themeColor="background1"/>
              </w:rPr>
            </w:pPr>
            <w:bookmarkStart w:id="178" w:name="_Toc200638442"/>
            <w:bookmarkStart w:id="179" w:name="_Toc202784442"/>
            <w:bookmarkStart w:id="180" w:name="_Toc202784528"/>
            <w:bookmarkStart w:id="181" w:name="_Toc202788411"/>
            <w:bookmarkEnd w:id="176"/>
            <w:bookmarkEnd w:id="177"/>
            <w:r>
              <w:rPr>
                <w:color w:val="FFFFFF" w:themeColor="background1"/>
              </w:rPr>
              <w:t>Student Support</w:t>
            </w:r>
          </w:p>
        </w:tc>
        <w:tc>
          <w:tcPr>
            <w:tcW w:w="1504" w:type="dxa"/>
          </w:tcPr>
          <w:p w14:paraId="08A3DB06" w14:textId="77777777" w:rsidR="006652F0" w:rsidRPr="00041E4E" w:rsidRDefault="006652F0" w:rsidP="006652F0">
            <w:pPr>
              <w:pStyle w:val="BodyText"/>
              <w:cnfStyle w:val="100000000000" w:firstRow="1" w:lastRow="0" w:firstColumn="0" w:lastColumn="0" w:oddVBand="0" w:evenVBand="0" w:oddHBand="0" w:evenHBand="0" w:firstRowFirstColumn="0" w:firstRowLastColumn="0" w:lastRowFirstColumn="0" w:lastRowLastColumn="0"/>
              <w:rPr>
                <w:color w:val="FFFFFF" w:themeColor="background1"/>
              </w:rPr>
            </w:pPr>
            <w:r w:rsidRPr="00041E4E">
              <w:rPr>
                <w:color w:val="FFFFFF" w:themeColor="background1"/>
              </w:rPr>
              <w:t>School Year</w:t>
            </w:r>
          </w:p>
        </w:tc>
        <w:tc>
          <w:tcPr>
            <w:tcW w:w="1505" w:type="dxa"/>
          </w:tcPr>
          <w:p w14:paraId="1116341F" w14:textId="77777777" w:rsidR="006652F0" w:rsidRPr="00041E4E" w:rsidRDefault="006652F0" w:rsidP="006652F0">
            <w:pPr>
              <w:pStyle w:val="BodyText"/>
              <w:cnfStyle w:val="100000000000" w:firstRow="1" w:lastRow="0" w:firstColumn="0" w:lastColumn="0" w:oddVBand="0" w:evenVBand="0" w:oddHBand="0" w:evenHBand="0" w:firstRowFirstColumn="0" w:firstRowLastColumn="0" w:lastRowFirstColumn="0" w:lastRowLastColumn="0"/>
              <w:rPr>
                <w:color w:val="FFFFFF" w:themeColor="background1"/>
              </w:rPr>
            </w:pPr>
            <w:r w:rsidRPr="00041E4E">
              <w:rPr>
                <w:color w:val="FFFFFF" w:themeColor="background1"/>
              </w:rPr>
              <w:t>AP ELA</w:t>
            </w:r>
          </w:p>
        </w:tc>
        <w:tc>
          <w:tcPr>
            <w:tcW w:w="1504" w:type="dxa"/>
          </w:tcPr>
          <w:p w14:paraId="1BDA52EB" w14:textId="77777777" w:rsidR="006652F0" w:rsidRPr="00041E4E" w:rsidRDefault="006652F0" w:rsidP="006652F0">
            <w:pPr>
              <w:pStyle w:val="BodyText"/>
              <w:cnfStyle w:val="100000000000" w:firstRow="1" w:lastRow="0" w:firstColumn="0" w:lastColumn="0" w:oddVBand="0" w:evenVBand="0" w:oddHBand="0" w:evenHBand="0" w:firstRowFirstColumn="0" w:firstRowLastColumn="0" w:lastRowFirstColumn="0" w:lastRowLastColumn="0"/>
              <w:rPr>
                <w:color w:val="FFFFFF" w:themeColor="background1"/>
              </w:rPr>
            </w:pPr>
            <w:r w:rsidRPr="00041E4E">
              <w:rPr>
                <w:color w:val="FFFFFF" w:themeColor="background1"/>
              </w:rPr>
              <w:t>AP Math</w:t>
            </w:r>
          </w:p>
        </w:tc>
        <w:tc>
          <w:tcPr>
            <w:tcW w:w="1505" w:type="dxa"/>
          </w:tcPr>
          <w:p w14:paraId="21ABCA0E" w14:textId="77777777" w:rsidR="006652F0" w:rsidRPr="00041E4E" w:rsidRDefault="006652F0" w:rsidP="006652F0">
            <w:pPr>
              <w:pStyle w:val="BodyText"/>
              <w:cnfStyle w:val="100000000000" w:firstRow="1" w:lastRow="0" w:firstColumn="0" w:lastColumn="0" w:oddVBand="0" w:evenVBand="0" w:oddHBand="0" w:evenHBand="0" w:firstRowFirstColumn="0" w:firstRowLastColumn="0" w:lastRowFirstColumn="0" w:lastRowLastColumn="0"/>
              <w:rPr>
                <w:color w:val="FFFFFF" w:themeColor="background1"/>
              </w:rPr>
            </w:pPr>
            <w:r w:rsidRPr="00041E4E">
              <w:rPr>
                <w:color w:val="FFFFFF" w:themeColor="background1"/>
              </w:rPr>
              <w:t>AP Science</w:t>
            </w:r>
          </w:p>
        </w:tc>
        <w:tc>
          <w:tcPr>
            <w:tcW w:w="1505" w:type="dxa"/>
          </w:tcPr>
          <w:p w14:paraId="567335E7" w14:textId="77777777" w:rsidR="006652F0" w:rsidRPr="00041E4E" w:rsidRDefault="006652F0" w:rsidP="006652F0">
            <w:pPr>
              <w:pStyle w:val="BodyText"/>
              <w:spacing w:after="0"/>
              <w:cnfStyle w:val="100000000000" w:firstRow="1" w:lastRow="0" w:firstColumn="0" w:lastColumn="0" w:oddVBand="0" w:evenVBand="0" w:oddHBand="0" w:evenHBand="0" w:firstRowFirstColumn="0" w:firstRowLastColumn="0" w:lastRowFirstColumn="0" w:lastRowLastColumn="0"/>
              <w:rPr>
                <w:color w:val="FFFFFF" w:themeColor="background1"/>
              </w:rPr>
            </w:pPr>
            <w:r w:rsidRPr="00041E4E">
              <w:rPr>
                <w:color w:val="FFFFFF" w:themeColor="background1"/>
              </w:rPr>
              <w:t>Any AP</w:t>
            </w:r>
          </w:p>
        </w:tc>
      </w:tr>
      <w:tr w:rsidR="004342AF" w14:paraId="34F43FB0" w14:textId="77777777" w:rsidTr="006652F0">
        <w:trPr>
          <w:cnfStyle w:val="000000100000" w:firstRow="0" w:lastRow="0" w:firstColumn="0" w:lastColumn="0" w:oddVBand="0" w:evenVBand="0" w:oddHBand="1" w:evenHBand="0" w:firstRowFirstColumn="0" w:firstRowLastColumn="0" w:lastRowFirstColumn="0" w:lastRowLastColumn="0"/>
          <w:trHeight w:val="493"/>
        </w:trPr>
        <w:tc>
          <w:tcPr>
            <w:cnfStyle w:val="001000000000" w:firstRow="0" w:lastRow="0" w:firstColumn="1" w:lastColumn="0" w:oddVBand="0" w:evenVBand="0" w:oddHBand="0" w:evenHBand="0" w:firstRowFirstColumn="0" w:firstRowLastColumn="0" w:lastRowFirstColumn="0" w:lastRowLastColumn="0"/>
            <w:tcW w:w="1880" w:type="dxa"/>
          </w:tcPr>
          <w:p w14:paraId="0408F53A" w14:textId="77777777" w:rsidR="006652F0" w:rsidRPr="009175DE" w:rsidRDefault="006652F0" w:rsidP="006652F0">
            <w:pPr>
              <w:pStyle w:val="BodyText"/>
              <w:spacing w:after="0"/>
              <w:jc w:val="center"/>
            </w:pPr>
            <w:r>
              <w:t>Mock exam</w:t>
            </w:r>
          </w:p>
        </w:tc>
        <w:tc>
          <w:tcPr>
            <w:tcW w:w="1504" w:type="dxa"/>
          </w:tcPr>
          <w:p w14:paraId="66B45848" w14:textId="77777777" w:rsidR="006652F0" w:rsidRPr="009175DE" w:rsidRDefault="006652F0" w:rsidP="006652F0">
            <w:pPr>
              <w:pStyle w:val="BodyText"/>
              <w:spacing w:after="0"/>
              <w:cnfStyle w:val="000000100000" w:firstRow="0" w:lastRow="0" w:firstColumn="0" w:lastColumn="0" w:oddVBand="0" w:evenVBand="0" w:oddHBand="1" w:evenHBand="0" w:firstRowFirstColumn="0" w:firstRowLastColumn="0" w:lastRowFirstColumn="0" w:lastRowLastColumn="0"/>
            </w:pPr>
            <w:r w:rsidRPr="009175DE">
              <w:t>SY2023</w:t>
            </w:r>
          </w:p>
        </w:tc>
        <w:tc>
          <w:tcPr>
            <w:tcW w:w="1505" w:type="dxa"/>
          </w:tcPr>
          <w:p w14:paraId="2FABB46C" w14:textId="77777777" w:rsidR="006652F0" w:rsidRPr="009175DE" w:rsidRDefault="006652F0" w:rsidP="006652F0">
            <w:pPr>
              <w:pStyle w:val="BodyText"/>
              <w:spacing w:after="0"/>
              <w:cnfStyle w:val="000000100000" w:firstRow="0" w:lastRow="0" w:firstColumn="0" w:lastColumn="0" w:oddVBand="0" w:evenVBand="0" w:oddHBand="1" w:evenHBand="0" w:firstRowFirstColumn="0" w:firstRowLastColumn="0" w:lastRowFirstColumn="0" w:lastRowLastColumn="0"/>
            </w:pPr>
            <w:r w:rsidRPr="009175DE">
              <w:t>4</w:t>
            </w:r>
            <w:r>
              <w:t>,</w:t>
            </w:r>
            <w:r w:rsidRPr="009175DE">
              <w:t>305</w:t>
            </w:r>
            <w:r>
              <w:t xml:space="preserve"> (66.2%)</w:t>
            </w:r>
          </w:p>
        </w:tc>
        <w:tc>
          <w:tcPr>
            <w:tcW w:w="1504" w:type="dxa"/>
          </w:tcPr>
          <w:p w14:paraId="69356D25" w14:textId="77777777" w:rsidR="006652F0" w:rsidRPr="009175DE" w:rsidRDefault="006652F0" w:rsidP="006652F0">
            <w:pPr>
              <w:pStyle w:val="BodyText"/>
              <w:spacing w:after="0"/>
              <w:cnfStyle w:val="000000100000" w:firstRow="0" w:lastRow="0" w:firstColumn="0" w:lastColumn="0" w:oddVBand="0" w:evenVBand="0" w:oddHBand="1" w:evenHBand="0" w:firstRowFirstColumn="0" w:firstRowLastColumn="0" w:lastRowFirstColumn="0" w:lastRowLastColumn="0"/>
            </w:pPr>
            <w:r w:rsidRPr="009175DE">
              <w:t>2</w:t>
            </w:r>
            <w:r>
              <w:t>,</w:t>
            </w:r>
            <w:r w:rsidRPr="009175DE">
              <w:t>183</w:t>
            </w:r>
            <w:r>
              <w:t xml:space="preserve"> (45.9%)</w:t>
            </w:r>
          </w:p>
        </w:tc>
        <w:tc>
          <w:tcPr>
            <w:tcW w:w="1505" w:type="dxa"/>
          </w:tcPr>
          <w:p w14:paraId="41A92372" w14:textId="77777777" w:rsidR="006652F0" w:rsidRPr="009175DE" w:rsidRDefault="006652F0" w:rsidP="006652F0">
            <w:pPr>
              <w:pStyle w:val="BodyText"/>
              <w:spacing w:after="0"/>
              <w:cnfStyle w:val="000000100000" w:firstRow="0" w:lastRow="0" w:firstColumn="0" w:lastColumn="0" w:oddVBand="0" w:evenVBand="0" w:oddHBand="1" w:evenHBand="0" w:firstRowFirstColumn="0" w:firstRowLastColumn="0" w:lastRowFirstColumn="0" w:lastRowLastColumn="0"/>
            </w:pPr>
            <w:r w:rsidRPr="009175DE">
              <w:t>2</w:t>
            </w:r>
            <w:r>
              <w:t>,</w:t>
            </w:r>
            <w:r w:rsidRPr="009175DE">
              <w:t>236</w:t>
            </w:r>
            <w:r>
              <w:t xml:space="preserve"> (51.1%)</w:t>
            </w:r>
          </w:p>
        </w:tc>
        <w:tc>
          <w:tcPr>
            <w:tcW w:w="1505" w:type="dxa"/>
          </w:tcPr>
          <w:p w14:paraId="10C1A1B0" w14:textId="77777777" w:rsidR="006652F0" w:rsidRPr="009175DE" w:rsidRDefault="006652F0" w:rsidP="006652F0">
            <w:pPr>
              <w:pStyle w:val="BodyText"/>
              <w:spacing w:after="0"/>
              <w:cnfStyle w:val="000000100000" w:firstRow="0" w:lastRow="0" w:firstColumn="0" w:lastColumn="0" w:oddVBand="0" w:evenVBand="0" w:oddHBand="1" w:evenHBand="0" w:firstRowFirstColumn="0" w:firstRowLastColumn="0" w:lastRowFirstColumn="0" w:lastRowLastColumn="0"/>
            </w:pPr>
            <w:r w:rsidRPr="009175DE">
              <w:t>6</w:t>
            </w:r>
            <w:r>
              <w:t>,</w:t>
            </w:r>
            <w:r w:rsidRPr="009175DE">
              <w:t>953</w:t>
            </w:r>
            <w:r>
              <w:t xml:space="preserve"> (60.5%)</w:t>
            </w:r>
          </w:p>
        </w:tc>
      </w:tr>
      <w:tr w:rsidR="004342AF" w14:paraId="0EEE1707" w14:textId="77777777" w:rsidTr="006652F0">
        <w:trPr>
          <w:cnfStyle w:val="000000010000" w:firstRow="0" w:lastRow="0" w:firstColumn="0" w:lastColumn="0" w:oddVBand="0" w:evenVBand="0" w:oddHBand="0" w:evenHBand="1"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1880" w:type="dxa"/>
          </w:tcPr>
          <w:p w14:paraId="7E55D793" w14:textId="77777777" w:rsidR="006652F0" w:rsidRPr="009175DE" w:rsidRDefault="006652F0" w:rsidP="006652F0">
            <w:pPr>
              <w:pStyle w:val="BodyText"/>
              <w:spacing w:after="0"/>
              <w:jc w:val="center"/>
            </w:pPr>
            <w:r>
              <w:t>Mock exam</w:t>
            </w:r>
          </w:p>
        </w:tc>
        <w:tc>
          <w:tcPr>
            <w:tcW w:w="1504" w:type="dxa"/>
          </w:tcPr>
          <w:p w14:paraId="3E3C2680" w14:textId="77777777" w:rsidR="006652F0" w:rsidRPr="009175DE" w:rsidRDefault="006652F0" w:rsidP="006652F0">
            <w:pPr>
              <w:pStyle w:val="BodyText"/>
              <w:spacing w:after="0"/>
              <w:cnfStyle w:val="000000010000" w:firstRow="0" w:lastRow="0" w:firstColumn="0" w:lastColumn="0" w:oddVBand="0" w:evenVBand="0" w:oddHBand="0" w:evenHBand="1" w:firstRowFirstColumn="0" w:firstRowLastColumn="0" w:lastRowFirstColumn="0" w:lastRowLastColumn="0"/>
            </w:pPr>
            <w:r w:rsidRPr="009175DE">
              <w:t>SY2024</w:t>
            </w:r>
          </w:p>
        </w:tc>
        <w:tc>
          <w:tcPr>
            <w:tcW w:w="1505" w:type="dxa"/>
          </w:tcPr>
          <w:p w14:paraId="249DDF55" w14:textId="77777777" w:rsidR="006652F0" w:rsidRPr="009175DE" w:rsidRDefault="006652F0" w:rsidP="006652F0">
            <w:pPr>
              <w:pStyle w:val="BodyText"/>
              <w:spacing w:after="0"/>
              <w:cnfStyle w:val="000000010000" w:firstRow="0" w:lastRow="0" w:firstColumn="0" w:lastColumn="0" w:oddVBand="0" w:evenVBand="0" w:oddHBand="0" w:evenHBand="1" w:firstRowFirstColumn="0" w:firstRowLastColumn="0" w:lastRowFirstColumn="0" w:lastRowLastColumn="0"/>
            </w:pPr>
            <w:r w:rsidRPr="009175DE">
              <w:t>4</w:t>
            </w:r>
            <w:r>
              <w:t>,</w:t>
            </w:r>
            <w:r w:rsidRPr="009175DE">
              <w:t>619</w:t>
            </w:r>
            <w:r>
              <w:t xml:space="preserve"> (68.5%)</w:t>
            </w:r>
          </w:p>
        </w:tc>
        <w:tc>
          <w:tcPr>
            <w:tcW w:w="1504" w:type="dxa"/>
          </w:tcPr>
          <w:p w14:paraId="578D89C2" w14:textId="77777777" w:rsidR="006652F0" w:rsidRPr="009175DE" w:rsidRDefault="006652F0" w:rsidP="006652F0">
            <w:pPr>
              <w:pStyle w:val="BodyText"/>
              <w:spacing w:after="0"/>
              <w:cnfStyle w:val="000000010000" w:firstRow="0" w:lastRow="0" w:firstColumn="0" w:lastColumn="0" w:oddVBand="0" w:evenVBand="0" w:oddHBand="0" w:evenHBand="1" w:firstRowFirstColumn="0" w:firstRowLastColumn="0" w:lastRowFirstColumn="0" w:lastRowLastColumn="0"/>
            </w:pPr>
            <w:r w:rsidRPr="009175DE">
              <w:t>2</w:t>
            </w:r>
            <w:r>
              <w:t>,</w:t>
            </w:r>
            <w:r w:rsidRPr="009175DE">
              <w:t>367</w:t>
            </w:r>
            <w:r>
              <w:t xml:space="preserve"> (47.2%)</w:t>
            </w:r>
          </w:p>
        </w:tc>
        <w:tc>
          <w:tcPr>
            <w:tcW w:w="1505" w:type="dxa"/>
          </w:tcPr>
          <w:p w14:paraId="6BEAB50F" w14:textId="77777777" w:rsidR="006652F0" w:rsidRPr="009175DE" w:rsidRDefault="006652F0" w:rsidP="006652F0">
            <w:pPr>
              <w:pStyle w:val="BodyText"/>
              <w:spacing w:after="0"/>
              <w:cnfStyle w:val="000000010000" w:firstRow="0" w:lastRow="0" w:firstColumn="0" w:lastColumn="0" w:oddVBand="0" w:evenVBand="0" w:oddHBand="0" w:evenHBand="1" w:firstRowFirstColumn="0" w:firstRowLastColumn="0" w:lastRowFirstColumn="0" w:lastRowLastColumn="0"/>
            </w:pPr>
            <w:r w:rsidRPr="009175DE">
              <w:t>2</w:t>
            </w:r>
            <w:r>
              <w:t>,</w:t>
            </w:r>
            <w:r w:rsidRPr="009175DE">
              <w:t>645</w:t>
            </w:r>
            <w:r>
              <w:t xml:space="preserve"> (51.2%)</w:t>
            </w:r>
          </w:p>
        </w:tc>
        <w:tc>
          <w:tcPr>
            <w:tcW w:w="1505" w:type="dxa"/>
          </w:tcPr>
          <w:p w14:paraId="2630FBA2" w14:textId="77777777" w:rsidR="006652F0" w:rsidRPr="009175DE" w:rsidRDefault="006652F0" w:rsidP="006652F0">
            <w:pPr>
              <w:pStyle w:val="BodyText"/>
              <w:spacing w:after="0"/>
              <w:cnfStyle w:val="000000010000" w:firstRow="0" w:lastRow="0" w:firstColumn="0" w:lastColumn="0" w:oddVBand="0" w:evenVBand="0" w:oddHBand="0" w:evenHBand="1" w:firstRowFirstColumn="0" w:firstRowLastColumn="0" w:lastRowFirstColumn="0" w:lastRowLastColumn="0"/>
            </w:pPr>
            <w:r w:rsidRPr="009175DE">
              <w:t>7</w:t>
            </w:r>
            <w:r>
              <w:t>,</w:t>
            </w:r>
            <w:r w:rsidRPr="009175DE">
              <w:t>585</w:t>
            </w:r>
            <w:r>
              <w:t xml:space="preserve"> (63.1%)</w:t>
            </w:r>
          </w:p>
        </w:tc>
      </w:tr>
      <w:tr w:rsidR="004342AF" w14:paraId="15BA5EA5" w14:textId="77777777" w:rsidTr="006652F0">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1880" w:type="dxa"/>
          </w:tcPr>
          <w:p w14:paraId="62F4A452" w14:textId="77777777" w:rsidR="006652F0" w:rsidRPr="009175DE" w:rsidRDefault="006652F0" w:rsidP="006652F0">
            <w:pPr>
              <w:pStyle w:val="BodyText"/>
              <w:spacing w:after="0"/>
              <w:jc w:val="center"/>
            </w:pPr>
            <w:r>
              <w:t>Study session</w:t>
            </w:r>
          </w:p>
        </w:tc>
        <w:tc>
          <w:tcPr>
            <w:tcW w:w="1504" w:type="dxa"/>
          </w:tcPr>
          <w:p w14:paraId="5E50B946" w14:textId="77777777" w:rsidR="006652F0" w:rsidRPr="009175DE" w:rsidRDefault="006652F0" w:rsidP="006652F0">
            <w:pPr>
              <w:pStyle w:val="BodyText"/>
              <w:spacing w:after="0"/>
              <w:cnfStyle w:val="000000100000" w:firstRow="0" w:lastRow="0" w:firstColumn="0" w:lastColumn="0" w:oddVBand="0" w:evenVBand="0" w:oddHBand="1" w:evenHBand="0" w:firstRowFirstColumn="0" w:firstRowLastColumn="0" w:lastRowFirstColumn="0" w:lastRowLastColumn="0"/>
            </w:pPr>
            <w:r w:rsidRPr="009175DE">
              <w:t>SY2023</w:t>
            </w:r>
          </w:p>
        </w:tc>
        <w:tc>
          <w:tcPr>
            <w:tcW w:w="1505" w:type="dxa"/>
          </w:tcPr>
          <w:p w14:paraId="59E0AA50" w14:textId="77777777" w:rsidR="006652F0" w:rsidRPr="009175DE" w:rsidRDefault="006652F0" w:rsidP="006652F0">
            <w:pPr>
              <w:pStyle w:val="BodyText"/>
              <w:spacing w:after="0"/>
              <w:cnfStyle w:val="000000100000" w:firstRow="0" w:lastRow="0" w:firstColumn="0" w:lastColumn="0" w:oddVBand="0" w:evenVBand="0" w:oddHBand="1" w:evenHBand="0" w:firstRowFirstColumn="0" w:firstRowLastColumn="0" w:lastRowFirstColumn="0" w:lastRowLastColumn="0"/>
            </w:pPr>
            <w:r w:rsidRPr="009175DE">
              <w:t>1</w:t>
            </w:r>
            <w:r>
              <w:t>,</w:t>
            </w:r>
            <w:r w:rsidRPr="009175DE">
              <w:t>876</w:t>
            </w:r>
            <w:r>
              <w:t xml:space="preserve"> (28.8%)</w:t>
            </w:r>
          </w:p>
        </w:tc>
        <w:tc>
          <w:tcPr>
            <w:tcW w:w="1504" w:type="dxa"/>
          </w:tcPr>
          <w:p w14:paraId="1AF2B0E2" w14:textId="77777777" w:rsidR="006652F0" w:rsidRPr="009175DE" w:rsidRDefault="006652F0" w:rsidP="006652F0">
            <w:pPr>
              <w:pStyle w:val="BodyText"/>
              <w:spacing w:after="0"/>
              <w:cnfStyle w:val="000000100000" w:firstRow="0" w:lastRow="0" w:firstColumn="0" w:lastColumn="0" w:oddVBand="0" w:evenVBand="0" w:oddHBand="1" w:evenHBand="0" w:firstRowFirstColumn="0" w:firstRowLastColumn="0" w:lastRowFirstColumn="0" w:lastRowLastColumn="0"/>
            </w:pPr>
            <w:r w:rsidRPr="009175DE">
              <w:t>1</w:t>
            </w:r>
            <w:r>
              <w:t>,</w:t>
            </w:r>
            <w:r w:rsidRPr="009175DE">
              <w:t>576</w:t>
            </w:r>
            <w:r>
              <w:t xml:space="preserve"> (33.1%)</w:t>
            </w:r>
          </w:p>
        </w:tc>
        <w:tc>
          <w:tcPr>
            <w:tcW w:w="1505" w:type="dxa"/>
          </w:tcPr>
          <w:p w14:paraId="6B787E34" w14:textId="77777777" w:rsidR="006652F0" w:rsidRPr="009175DE" w:rsidRDefault="006652F0" w:rsidP="006652F0">
            <w:pPr>
              <w:pStyle w:val="BodyText"/>
              <w:spacing w:after="0"/>
              <w:cnfStyle w:val="000000100000" w:firstRow="0" w:lastRow="0" w:firstColumn="0" w:lastColumn="0" w:oddVBand="0" w:evenVBand="0" w:oddHBand="1" w:evenHBand="0" w:firstRowFirstColumn="0" w:firstRowLastColumn="0" w:lastRowFirstColumn="0" w:lastRowLastColumn="0"/>
            </w:pPr>
            <w:r w:rsidRPr="009175DE">
              <w:t>1</w:t>
            </w:r>
            <w:r>
              <w:t>,</w:t>
            </w:r>
            <w:r w:rsidRPr="009175DE">
              <w:t>329</w:t>
            </w:r>
            <w:r>
              <w:t xml:space="preserve"> (30.4%)</w:t>
            </w:r>
          </w:p>
        </w:tc>
        <w:tc>
          <w:tcPr>
            <w:tcW w:w="1505" w:type="dxa"/>
          </w:tcPr>
          <w:p w14:paraId="088E8243" w14:textId="77777777" w:rsidR="006652F0" w:rsidRPr="009175DE" w:rsidRDefault="006652F0" w:rsidP="006652F0">
            <w:pPr>
              <w:pStyle w:val="BodyText"/>
              <w:spacing w:after="0"/>
              <w:cnfStyle w:val="000000100000" w:firstRow="0" w:lastRow="0" w:firstColumn="0" w:lastColumn="0" w:oddVBand="0" w:evenVBand="0" w:oddHBand="1" w:evenHBand="0" w:firstRowFirstColumn="0" w:firstRowLastColumn="0" w:lastRowFirstColumn="0" w:lastRowLastColumn="0"/>
            </w:pPr>
            <w:r w:rsidRPr="009175DE">
              <w:t>3</w:t>
            </w:r>
            <w:r>
              <w:t>,</w:t>
            </w:r>
            <w:r w:rsidRPr="009175DE">
              <w:t>924</w:t>
            </w:r>
            <w:r>
              <w:t xml:space="preserve"> (34.1%)</w:t>
            </w:r>
          </w:p>
        </w:tc>
      </w:tr>
      <w:tr w:rsidR="004342AF" w14:paraId="59B2A80B" w14:textId="77777777" w:rsidTr="006652F0">
        <w:trPr>
          <w:cnfStyle w:val="000000010000" w:firstRow="0" w:lastRow="0" w:firstColumn="0" w:lastColumn="0" w:oddVBand="0" w:evenVBand="0" w:oddHBand="0" w:evenHBand="1" w:firstRowFirstColumn="0" w:firstRowLastColumn="0" w:lastRowFirstColumn="0" w:lastRowLastColumn="0"/>
          <w:trHeight w:val="523"/>
        </w:trPr>
        <w:tc>
          <w:tcPr>
            <w:cnfStyle w:val="001000000000" w:firstRow="0" w:lastRow="0" w:firstColumn="1" w:lastColumn="0" w:oddVBand="0" w:evenVBand="0" w:oddHBand="0" w:evenHBand="0" w:firstRowFirstColumn="0" w:firstRowLastColumn="0" w:lastRowFirstColumn="0" w:lastRowLastColumn="0"/>
            <w:tcW w:w="1880" w:type="dxa"/>
          </w:tcPr>
          <w:p w14:paraId="3D582A3D" w14:textId="77777777" w:rsidR="006652F0" w:rsidRPr="009175DE" w:rsidRDefault="006652F0" w:rsidP="006652F0">
            <w:pPr>
              <w:pStyle w:val="BodyText"/>
              <w:spacing w:after="0"/>
              <w:jc w:val="center"/>
            </w:pPr>
            <w:r>
              <w:t>Study session</w:t>
            </w:r>
          </w:p>
        </w:tc>
        <w:tc>
          <w:tcPr>
            <w:tcW w:w="1504" w:type="dxa"/>
          </w:tcPr>
          <w:p w14:paraId="7A5932CF" w14:textId="77777777" w:rsidR="006652F0" w:rsidRPr="009175DE" w:rsidRDefault="006652F0" w:rsidP="006652F0">
            <w:pPr>
              <w:pStyle w:val="BodyText"/>
              <w:spacing w:after="0"/>
              <w:cnfStyle w:val="000000010000" w:firstRow="0" w:lastRow="0" w:firstColumn="0" w:lastColumn="0" w:oddVBand="0" w:evenVBand="0" w:oddHBand="0" w:evenHBand="1" w:firstRowFirstColumn="0" w:firstRowLastColumn="0" w:lastRowFirstColumn="0" w:lastRowLastColumn="0"/>
            </w:pPr>
            <w:r w:rsidRPr="009175DE">
              <w:t>SY2024</w:t>
            </w:r>
          </w:p>
        </w:tc>
        <w:tc>
          <w:tcPr>
            <w:tcW w:w="1505" w:type="dxa"/>
          </w:tcPr>
          <w:p w14:paraId="4AFF286F" w14:textId="77777777" w:rsidR="006652F0" w:rsidRPr="009175DE" w:rsidRDefault="006652F0" w:rsidP="006652F0">
            <w:pPr>
              <w:pStyle w:val="BodyText"/>
              <w:spacing w:after="0"/>
              <w:cnfStyle w:val="000000010000" w:firstRow="0" w:lastRow="0" w:firstColumn="0" w:lastColumn="0" w:oddVBand="0" w:evenVBand="0" w:oddHBand="0" w:evenHBand="1" w:firstRowFirstColumn="0" w:firstRowLastColumn="0" w:lastRowFirstColumn="0" w:lastRowLastColumn="0"/>
            </w:pPr>
            <w:r w:rsidRPr="009175DE">
              <w:t>1</w:t>
            </w:r>
            <w:r>
              <w:t>,</w:t>
            </w:r>
            <w:r w:rsidRPr="009175DE">
              <w:t>584</w:t>
            </w:r>
            <w:r>
              <w:t xml:space="preserve"> (23.5%)</w:t>
            </w:r>
          </w:p>
        </w:tc>
        <w:tc>
          <w:tcPr>
            <w:tcW w:w="1504" w:type="dxa"/>
          </w:tcPr>
          <w:p w14:paraId="39BF0045" w14:textId="77777777" w:rsidR="006652F0" w:rsidRPr="009175DE" w:rsidRDefault="006652F0" w:rsidP="006652F0">
            <w:pPr>
              <w:pStyle w:val="BodyText"/>
              <w:spacing w:after="0"/>
              <w:cnfStyle w:val="000000010000" w:firstRow="0" w:lastRow="0" w:firstColumn="0" w:lastColumn="0" w:oddVBand="0" w:evenVBand="0" w:oddHBand="0" w:evenHBand="1" w:firstRowFirstColumn="0" w:firstRowLastColumn="0" w:lastRowFirstColumn="0" w:lastRowLastColumn="0"/>
            </w:pPr>
            <w:r w:rsidRPr="009175DE">
              <w:t>1</w:t>
            </w:r>
            <w:r>
              <w:t>,</w:t>
            </w:r>
            <w:r w:rsidRPr="009175DE">
              <w:t>462</w:t>
            </w:r>
            <w:r>
              <w:t xml:space="preserve"> (29.2%)</w:t>
            </w:r>
          </w:p>
        </w:tc>
        <w:tc>
          <w:tcPr>
            <w:tcW w:w="1505" w:type="dxa"/>
          </w:tcPr>
          <w:p w14:paraId="6F7A17A7" w14:textId="77777777" w:rsidR="006652F0" w:rsidRPr="009175DE" w:rsidRDefault="006652F0" w:rsidP="006652F0">
            <w:pPr>
              <w:pStyle w:val="BodyText"/>
              <w:spacing w:after="0"/>
              <w:cnfStyle w:val="000000010000" w:firstRow="0" w:lastRow="0" w:firstColumn="0" w:lastColumn="0" w:oddVBand="0" w:evenVBand="0" w:oddHBand="0" w:evenHBand="1" w:firstRowFirstColumn="0" w:firstRowLastColumn="0" w:lastRowFirstColumn="0" w:lastRowLastColumn="0"/>
            </w:pPr>
            <w:r w:rsidRPr="009175DE">
              <w:t>1</w:t>
            </w:r>
            <w:r>
              <w:t>,</w:t>
            </w:r>
            <w:r w:rsidRPr="009175DE">
              <w:t>580</w:t>
            </w:r>
            <w:r>
              <w:t xml:space="preserve"> (30.6%)</w:t>
            </w:r>
          </w:p>
        </w:tc>
        <w:tc>
          <w:tcPr>
            <w:tcW w:w="1505" w:type="dxa"/>
          </w:tcPr>
          <w:p w14:paraId="39EA5189" w14:textId="77777777" w:rsidR="006652F0" w:rsidRPr="009175DE" w:rsidRDefault="006652F0" w:rsidP="006652F0">
            <w:pPr>
              <w:pStyle w:val="BodyText"/>
              <w:spacing w:after="0"/>
              <w:cnfStyle w:val="000000010000" w:firstRow="0" w:lastRow="0" w:firstColumn="0" w:lastColumn="0" w:oddVBand="0" w:evenVBand="0" w:oddHBand="0" w:evenHBand="1" w:firstRowFirstColumn="0" w:firstRowLastColumn="0" w:lastRowFirstColumn="0" w:lastRowLastColumn="0"/>
            </w:pPr>
            <w:r w:rsidRPr="009175DE">
              <w:t>3</w:t>
            </w:r>
            <w:r>
              <w:t>,7</w:t>
            </w:r>
            <w:r w:rsidRPr="009175DE">
              <w:t>87</w:t>
            </w:r>
            <w:r>
              <w:t xml:space="preserve"> (31.5%)</w:t>
            </w:r>
          </w:p>
        </w:tc>
      </w:tr>
    </w:tbl>
    <w:p w14:paraId="66A5F803" w14:textId="77777777" w:rsidR="00B9053B" w:rsidRDefault="00B9053B" w:rsidP="007B49DA"/>
    <w:p w14:paraId="509FA01B" w14:textId="77777777" w:rsidR="000774D8" w:rsidRPr="00FB54E7" w:rsidRDefault="00490A50" w:rsidP="007B49DA">
      <w:pPr>
        <w:pStyle w:val="Heading5"/>
        <w:rPr>
          <w:color w:val="595959" w:themeColor="text1" w:themeTint="A6"/>
        </w:rPr>
      </w:pPr>
      <w:r w:rsidRPr="00FB54E7">
        <w:rPr>
          <w:color w:val="595959" w:themeColor="text1" w:themeTint="A6"/>
        </w:rPr>
        <w:t xml:space="preserve">AP Student </w:t>
      </w:r>
      <w:r w:rsidR="004210DB" w:rsidRPr="00FB54E7">
        <w:rPr>
          <w:color w:val="595959" w:themeColor="text1" w:themeTint="A6"/>
        </w:rPr>
        <w:t xml:space="preserve">Support </w:t>
      </w:r>
      <w:r w:rsidRPr="00FB54E7">
        <w:rPr>
          <w:color w:val="595959" w:themeColor="text1" w:themeTint="A6"/>
        </w:rPr>
        <w:t xml:space="preserve">Participation </w:t>
      </w:r>
      <w:r w:rsidR="000774D8" w:rsidRPr="00FB54E7">
        <w:rPr>
          <w:color w:val="595959" w:themeColor="text1" w:themeTint="A6"/>
        </w:rPr>
        <w:t>and Student Demographics</w:t>
      </w:r>
    </w:p>
    <w:p w14:paraId="6D8D9050" w14:textId="11C1DA5D" w:rsidR="00490A50" w:rsidRPr="008655F8" w:rsidRDefault="00490A50" w:rsidP="007B49DA">
      <w:pPr>
        <w:pStyle w:val="Heading6"/>
        <w:rPr>
          <w:color w:val="595959" w:themeColor="text1" w:themeTint="A6"/>
        </w:rPr>
      </w:pPr>
      <w:r w:rsidRPr="008655F8">
        <w:rPr>
          <w:color w:val="595959" w:themeColor="text1" w:themeTint="A6"/>
        </w:rPr>
        <w:t>Rac</w:t>
      </w:r>
      <w:r w:rsidR="004210DB" w:rsidRPr="008655F8">
        <w:rPr>
          <w:color w:val="595959" w:themeColor="text1" w:themeTint="A6"/>
        </w:rPr>
        <w:t>e</w:t>
      </w:r>
      <w:r w:rsidR="00BD7061" w:rsidRPr="008655F8">
        <w:rPr>
          <w:color w:val="595959" w:themeColor="text1" w:themeTint="A6"/>
        </w:rPr>
        <w:t xml:space="preserve"> </w:t>
      </w:r>
      <w:r w:rsidR="004210DB" w:rsidRPr="008655F8">
        <w:rPr>
          <w:color w:val="595959" w:themeColor="text1" w:themeTint="A6"/>
        </w:rPr>
        <w:t>/</w:t>
      </w:r>
      <w:r w:rsidR="00BD7061" w:rsidRPr="008655F8">
        <w:rPr>
          <w:color w:val="595959" w:themeColor="text1" w:themeTint="A6"/>
        </w:rPr>
        <w:t xml:space="preserve"> </w:t>
      </w:r>
      <w:r w:rsidR="00C375BC" w:rsidRPr="008655F8">
        <w:rPr>
          <w:color w:val="595959" w:themeColor="text1" w:themeTint="A6"/>
        </w:rPr>
        <w:t>e</w:t>
      </w:r>
      <w:r w:rsidR="004210DB" w:rsidRPr="008655F8">
        <w:rPr>
          <w:color w:val="595959" w:themeColor="text1" w:themeTint="A6"/>
        </w:rPr>
        <w:t>thnicity</w:t>
      </w:r>
      <w:bookmarkEnd w:id="178"/>
      <w:bookmarkEnd w:id="179"/>
      <w:bookmarkEnd w:id="180"/>
      <w:bookmarkEnd w:id="181"/>
    </w:p>
    <w:p w14:paraId="6211222B" w14:textId="646F3F09" w:rsidR="0066167D" w:rsidRPr="009175DE" w:rsidRDefault="0066167D" w:rsidP="007B49DA">
      <w:pPr>
        <w:pStyle w:val="BodyText"/>
      </w:pPr>
      <w:r>
        <w:t xml:space="preserve">Overall, slight increases in participation in mock exams and slight decreases in study session participation were observed from SY2023 to SY2024. A description of student participation across any AP by school year and by race/ethnicity is provided below, and summaries of student participation in supports by subject (ELA, math, and science) and race/ethnicity are provided in Appendix </w:t>
      </w:r>
      <w:r w:rsidR="007E66E6">
        <w:t>K</w:t>
      </w:r>
      <w:r>
        <w:t xml:space="preserve">. </w:t>
      </w:r>
    </w:p>
    <w:p w14:paraId="4245706E" w14:textId="77777777" w:rsidR="0066167D" w:rsidRDefault="0066167D" w:rsidP="007B49DA">
      <w:pPr>
        <w:pStyle w:val="BodyText"/>
      </w:pPr>
    </w:p>
    <w:p w14:paraId="3D46D403" w14:textId="08911E56" w:rsidR="007B70E6" w:rsidRDefault="00952FBE" w:rsidP="007B49DA">
      <w:pPr>
        <w:pStyle w:val="BodyText"/>
      </w:pPr>
      <w:r w:rsidRPr="009175DE">
        <w:lastRenderedPageBreak/>
        <w:t>In general, when comparing participation in s</w:t>
      </w:r>
      <w:r w:rsidR="00DF3554" w:rsidRPr="009175DE">
        <w:t xml:space="preserve">tudent supports by race/ethnicity and year, </w:t>
      </w:r>
      <w:r w:rsidR="001C32EF">
        <w:t>participation rates were similar across years, wit</w:t>
      </w:r>
      <w:r w:rsidR="00FD4BA8">
        <w:t>h students who are</w:t>
      </w:r>
      <w:r w:rsidR="001C32EF">
        <w:t xml:space="preserve"> </w:t>
      </w:r>
      <w:r w:rsidR="00DF3554" w:rsidRPr="009175DE">
        <w:t xml:space="preserve">Asian </w:t>
      </w:r>
      <w:r w:rsidR="001C32EF">
        <w:t>having</w:t>
      </w:r>
      <w:r w:rsidR="00B64619">
        <w:t xml:space="preserve"> </w:t>
      </w:r>
      <w:r w:rsidR="000A646E">
        <w:t>the highest rates of participation in mock exams.</w:t>
      </w:r>
      <w:r w:rsidR="00DF3554" w:rsidRPr="009175DE">
        <w:t xml:space="preserve"> </w:t>
      </w:r>
      <w:r w:rsidR="00A7558E">
        <w:t xml:space="preserve">This was generally true as well for study sessions, although there were occasional instances within subject matters and years that </w:t>
      </w:r>
      <w:r w:rsidR="00FD4BA8">
        <w:t xml:space="preserve">students who are </w:t>
      </w:r>
      <w:r w:rsidR="00A7558E">
        <w:t>Multiracial or Black had higher rates of participation</w:t>
      </w:r>
      <w:r w:rsidR="007D4E3B">
        <w:t xml:space="preserve"> than other student groups</w:t>
      </w:r>
      <w:r w:rsidR="00A7558E">
        <w:t>.</w:t>
      </w:r>
      <w:r w:rsidR="007B70E6">
        <w:t xml:space="preserve"> </w:t>
      </w:r>
      <w:r w:rsidR="00FD4BA8">
        <w:t xml:space="preserve">Students who are </w:t>
      </w:r>
      <w:r w:rsidR="007B70E6">
        <w:t>Hispanic generally had the lowest rates of participation across support types and school years.</w:t>
      </w:r>
      <w:r w:rsidR="00A7558E">
        <w:t xml:space="preserve"> </w:t>
      </w:r>
    </w:p>
    <w:p w14:paraId="713D0A13" w14:textId="77777777" w:rsidR="007B70E6" w:rsidRDefault="007B70E6" w:rsidP="007B49DA">
      <w:pPr>
        <w:pStyle w:val="BodyText"/>
      </w:pPr>
    </w:p>
    <w:p w14:paraId="5057D2B0" w14:textId="095AB6D4" w:rsidR="00A0403C" w:rsidRPr="00FB54E7" w:rsidRDefault="00A0403C" w:rsidP="007B49DA">
      <w:pPr>
        <w:pStyle w:val="Heading7"/>
        <w:rPr>
          <w:color w:val="595959" w:themeColor="text1" w:themeTint="A6"/>
        </w:rPr>
      </w:pPr>
      <w:r w:rsidRPr="00FB54E7">
        <w:rPr>
          <w:color w:val="595959" w:themeColor="text1" w:themeTint="A6"/>
        </w:rPr>
        <w:t>Any AP</w:t>
      </w:r>
    </w:p>
    <w:p w14:paraId="50700964" w14:textId="2BEEC3C2" w:rsidR="00F97871" w:rsidRDefault="00F97871" w:rsidP="007B49DA">
      <w:pPr>
        <w:pStyle w:val="BodyText"/>
      </w:pPr>
      <w:r w:rsidRPr="00390CD1">
        <w:rPr>
          <w:rStyle w:val="Heading7Char"/>
          <w:color w:val="757575" w:themeColor="background2" w:themeShade="80"/>
        </w:rPr>
        <w:t>Mock exams.</w:t>
      </w:r>
      <w:r w:rsidRPr="00390CD1">
        <w:rPr>
          <w:color w:val="757575" w:themeColor="background2" w:themeShade="80"/>
        </w:rPr>
        <w:t xml:space="preserve"> </w:t>
      </w:r>
      <w:r w:rsidR="00490A50">
        <w:t>Concerning any AP</w:t>
      </w:r>
      <w:r w:rsidR="0053720C">
        <w:t xml:space="preserve"> in SY2023</w:t>
      </w:r>
      <w:r w:rsidR="003E1287">
        <w:t xml:space="preserve"> / SY202</w:t>
      </w:r>
      <w:r w:rsidR="009B3DD7">
        <w:t>4</w:t>
      </w:r>
      <w:r w:rsidR="00A0403C">
        <w:t xml:space="preserve"> (</w:t>
      </w:r>
      <w:r w:rsidR="00A0403C" w:rsidRPr="001D24C0">
        <w:t>Figure</w:t>
      </w:r>
      <w:r w:rsidR="003E1287">
        <w:t>s</w:t>
      </w:r>
      <w:r w:rsidR="00A0403C" w:rsidRPr="001D24C0">
        <w:t xml:space="preserve"> </w:t>
      </w:r>
      <w:r w:rsidR="003C1F61">
        <w:t xml:space="preserve">6 </w:t>
      </w:r>
      <w:r w:rsidR="003E1287">
        <w:t xml:space="preserve">and </w:t>
      </w:r>
      <w:r w:rsidR="003C1F61">
        <w:t>7</w:t>
      </w:r>
      <w:r w:rsidR="00A0403C">
        <w:t>)</w:t>
      </w:r>
      <w:r w:rsidR="00490A50">
        <w:t xml:space="preserve">, </w:t>
      </w:r>
      <w:r w:rsidR="00FD4BA8">
        <w:t xml:space="preserve">students who are </w:t>
      </w:r>
      <w:r w:rsidR="00490A50">
        <w:t>Asian (67.3%</w:t>
      </w:r>
      <w:r w:rsidR="003E1287">
        <w:t xml:space="preserve"> / 70.6%</w:t>
      </w:r>
      <w:r w:rsidR="00490A50">
        <w:t xml:space="preserve">) </w:t>
      </w:r>
      <w:r w:rsidR="00FD4BA8">
        <w:t>or</w:t>
      </w:r>
      <w:r w:rsidR="00490A50">
        <w:t xml:space="preserve"> White (64.3%</w:t>
      </w:r>
      <w:r w:rsidR="003E1287">
        <w:t xml:space="preserve"> / 66.9%</w:t>
      </w:r>
      <w:r w:rsidR="00490A50">
        <w:t>) ha</w:t>
      </w:r>
      <w:r w:rsidR="00F14C6F">
        <w:t>d</w:t>
      </w:r>
      <w:r w:rsidR="00490A50">
        <w:t xml:space="preserve"> the highest </w:t>
      </w:r>
      <w:r w:rsidR="00F14C6F">
        <w:t xml:space="preserve">rates </w:t>
      </w:r>
      <w:r w:rsidR="00490A50">
        <w:t xml:space="preserve">of participation in AP mock exams, followed by </w:t>
      </w:r>
      <w:r w:rsidR="00FD4BA8">
        <w:t xml:space="preserve">students who are </w:t>
      </w:r>
      <w:r w:rsidR="00490A50">
        <w:t>Multiracial (60.3%</w:t>
      </w:r>
      <w:r w:rsidR="003E1287">
        <w:t xml:space="preserve"> </w:t>
      </w:r>
      <w:r w:rsidR="00235636">
        <w:t>/ 65.4%</w:t>
      </w:r>
      <w:r w:rsidR="003E1287">
        <w:t>)</w:t>
      </w:r>
      <w:r w:rsidR="00490A50">
        <w:t xml:space="preserve">. </w:t>
      </w:r>
      <w:r w:rsidR="00FD4BA8">
        <w:t xml:space="preserve">Students who are </w:t>
      </w:r>
      <w:r w:rsidR="00490A50">
        <w:t>Black (57.1%</w:t>
      </w:r>
      <w:r w:rsidR="00235636">
        <w:t xml:space="preserve"> / 57</w:t>
      </w:r>
      <w:r w:rsidR="00C12E1E">
        <w:t>.0</w:t>
      </w:r>
      <w:r w:rsidR="00235636">
        <w:t>%</w:t>
      </w:r>
      <w:r w:rsidR="00490A50">
        <w:t xml:space="preserve">) </w:t>
      </w:r>
      <w:r w:rsidR="00FD4BA8">
        <w:t>or</w:t>
      </w:r>
      <w:r w:rsidR="00490A50">
        <w:t xml:space="preserve"> Hispanic/Latino (51.4%</w:t>
      </w:r>
      <w:r w:rsidR="00235636">
        <w:t xml:space="preserve"> / 55.1%</w:t>
      </w:r>
      <w:r w:rsidR="00490A50">
        <w:t xml:space="preserve">) </w:t>
      </w:r>
      <w:r w:rsidR="00F14C6F">
        <w:t>had</w:t>
      </w:r>
      <w:r w:rsidR="00490A50">
        <w:t xml:space="preserve"> the lowest rates of AP mock exam participation. </w:t>
      </w:r>
    </w:p>
    <w:p w14:paraId="70CAC042" w14:textId="77777777" w:rsidR="00F97871" w:rsidRDefault="00F97871" w:rsidP="007B49DA">
      <w:pPr>
        <w:pStyle w:val="BodyText"/>
      </w:pPr>
    </w:p>
    <w:p w14:paraId="1532C768" w14:textId="00DC1C23" w:rsidR="00954527" w:rsidRDefault="00F97871" w:rsidP="007B49DA">
      <w:pPr>
        <w:pStyle w:val="BodyText"/>
      </w:pPr>
      <w:r w:rsidRPr="00FB54E7">
        <w:rPr>
          <w:rStyle w:val="Heading7Char"/>
          <w:color w:val="757575" w:themeColor="background2" w:themeShade="80"/>
        </w:rPr>
        <w:t>Study sessions.</w:t>
      </w:r>
      <w:r>
        <w:t xml:space="preserve"> </w:t>
      </w:r>
      <w:r w:rsidR="00FD4BA8">
        <w:t xml:space="preserve">Students who are </w:t>
      </w:r>
      <w:r w:rsidR="00E7326C" w:rsidRPr="00E7326C">
        <w:t xml:space="preserve">Asian had the highest rates of participation in AP study sessions, with 41.2% in SY2023 and 43.3% in SY2024. </w:t>
      </w:r>
      <w:r w:rsidR="00FD4BA8">
        <w:t xml:space="preserve">Students who are </w:t>
      </w:r>
      <w:r w:rsidR="00E7326C" w:rsidRPr="00E7326C">
        <w:t>Black followed with a participation rate of 39.7%</w:t>
      </w:r>
      <w:r w:rsidR="00752FBE">
        <w:t xml:space="preserve"> </w:t>
      </w:r>
      <w:r w:rsidR="00752FBE" w:rsidRPr="00E7326C">
        <w:t>in SY2023</w:t>
      </w:r>
      <w:r w:rsidR="00E7326C" w:rsidRPr="00E7326C">
        <w:t xml:space="preserve">, though this declined to 32.2% in SY2024. </w:t>
      </w:r>
      <w:r w:rsidR="00FD4BA8">
        <w:t xml:space="preserve">Students who are </w:t>
      </w:r>
      <w:r w:rsidR="00E7326C" w:rsidRPr="00E7326C">
        <w:t xml:space="preserve">Multiracial also showed relatively high participation rates (35.4% in SY2023 and 35.7% in SY2024). In contrast, </w:t>
      </w:r>
      <w:r w:rsidR="00FD4BA8">
        <w:t xml:space="preserve">students who are </w:t>
      </w:r>
      <w:r w:rsidR="00E7326C" w:rsidRPr="00E7326C">
        <w:t xml:space="preserve">Hispanic/Latino </w:t>
      </w:r>
      <w:r w:rsidR="00FD4BA8" w:rsidRPr="00E7326C">
        <w:t xml:space="preserve">(28.7% / 27.0%) </w:t>
      </w:r>
      <w:r w:rsidR="00FD4BA8">
        <w:t>or</w:t>
      </w:r>
      <w:r w:rsidR="00FD4BA8" w:rsidRPr="00E7326C">
        <w:t xml:space="preserve"> White (28.5% / 31.2%)</w:t>
      </w:r>
      <w:r w:rsidR="00FD4BA8">
        <w:t xml:space="preserve"> had the </w:t>
      </w:r>
      <w:proofErr w:type="gramStart"/>
      <w:r w:rsidR="00FD4BA8">
        <w:t xml:space="preserve">lowest </w:t>
      </w:r>
      <w:r w:rsidR="0002230B">
        <w:t xml:space="preserve"> </w:t>
      </w:r>
      <w:r w:rsidR="00FD4BA8">
        <w:t>rates</w:t>
      </w:r>
      <w:proofErr w:type="gramEnd"/>
      <w:r w:rsidR="00FD4BA8">
        <w:t xml:space="preserve"> </w:t>
      </w:r>
      <w:r w:rsidR="00E7326C" w:rsidRPr="00E7326C">
        <w:t>of participation in AP study sessions across both years.</w:t>
      </w:r>
    </w:p>
    <w:p w14:paraId="6EDAA206" w14:textId="77777777" w:rsidR="0002230B" w:rsidRDefault="0002230B" w:rsidP="007B49DA">
      <w:pPr>
        <w:pStyle w:val="FigureCaption"/>
        <w:sectPr w:rsidR="0002230B" w:rsidSect="0002230B">
          <w:headerReference w:type="default" r:id="rId20"/>
          <w:footerReference w:type="default" r:id="rId21"/>
          <w:pgSz w:w="12240" w:h="15840"/>
          <w:pgMar w:top="1440" w:right="1440" w:bottom="1530" w:left="1440" w:header="720" w:footer="720" w:gutter="0"/>
          <w:cols w:space="720"/>
          <w:docGrid w:linePitch="299"/>
        </w:sectPr>
      </w:pPr>
      <w:bookmarkStart w:id="182" w:name="_Toc201928389"/>
    </w:p>
    <w:tbl>
      <w:tblPr>
        <w:tblStyle w:val="TableGrid"/>
        <w:tblW w:w="130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86"/>
        <w:gridCol w:w="6606"/>
      </w:tblGrid>
      <w:tr w:rsidR="004623C3" w14:paraId="19AA7FDB" w14:textId="77777777" w:rsidTr="00884622">
        <w:trPr>
          <w:trHeight w:val="720"/>
        </w:trPr>
        <w:tc>
          <w:tcPr>
            <w:tcW w:w="6486" w:type="dxa"/>
          </w:tcPr>
          <w:p w14:paraId="22E450B8" w14:textId="4D5EDF12" w:rsidR="00490A50" w:rsidRDefault="00490A50" w:rsidP="007B49DA">
            <w:pPr>
              <w:pStyle w:val="FigureCaption"/>
              <w:rPr>
                <w:noProof/>
              </w:rPr>
            </w:pPr>
            <w:bookmarkStart w:id="183" w:name="_Toc207348448"/>
            <w:r>
              <w:lastRenderedPageBreak/>
              <w:t xml:space="preserve">Figure </w:t>
            </w:r>
            <w:r w:rsidR="00A63304">
              <w:t>6</w:t>
            </w:r>
            <w:r>
              <w:t>. Percentage of students taking at least one of any AP (ELA, math, or science) support, by support type and</w:t>
            </w:r>
            <w:r w:rsidR="00CC5BD5">
              <w:t xml:space="preserve"> race/ethnicity</w:t>
            </w:r>
            <w:r>
              <w:t>, SY2023</w:t>
            </w:r>
            <w:bookmarkEnd w:id="182"/>
            <w:bookmarkEnd w:id="183"/>
          </w:p>
        </w:tc>
        <w:tc>
          <w:tcPr>
            <w:tcW w:w="6606" w:type="dxa"/>
          </w:tcPr>
          <w:p w14:paraId="2BF96528" w14:textId="25EEFA54" w:rsidR="00490A50" w:rsidRDefault="00490A50" w:rsidP="007B49DA">
            <w:pPr>
              <w:pStyle w:val="FigureCaption"/>
              <w:rPr>
                <w:noProof/>
              </w:rPr>
            </w:pPr>
            <w:bookmarkStart w:id="184" w:name="_Toc201928390"/>
            <w:bookmarkStart w:id="185" w:name="_Toc207348449"/>
            <w:r>
              <w:t xml:space="preserve">Figure </w:t>
            </w:r>
            <w:r w:rsidR="00A63304">
              <w:t>7</w:t>
            </w:r>
            <w:r>
              <w:t>. Percentage of students taking at least one of any AP (ELA, math, or science) support, by support type and</w:t>
            </w:r>
            <w:r w:rsidR="00CC5BD5">
              <w:t xml:space="preserve"> race/ethnicity</w:t>
            </w:r>
            <w:r>
              <w:t>, SY2024</w:t>
            </w:r>
            <w:bookmarkEnd w:id="184"/>
            <w:bookmarkEnd w:id="185"/>
          </w:p>
        </w:tc>
      </w:tr>
      <w:tr w:rsidR="00490A50" w14:paraId="1C4558B5" w14:textId="77777777" w:rsidTr="00884622">
        <w:trPr>
          <w:trHeight w:val="6146"/>
        </w:trPr>
        <w:tc>
          <w:tcPr>
            <w:tcW w:w="6486" w:type="dxa"/>
          </w:tcPr>
          <w:p w14:paraId="3CF7C39C" w14:textId="77777777" w:rsidR="00490A50" w:rsidRDefault="00490A50" w:rsidP="007B49DA">
            <w:pPr>
              <w:pStyle w:val="BodyText"/>
              <w:rPr>
                <w:noProof/>
              </w:rPr>
            </w:pPr>
            <w:r>
              <w:rPr>
                <w:noProof/>
              </w:rPr>
              <w:drawing>
                <wp:inline distT="0" distB="0" distL="0" distR="0" wp14:anchorId="0BB988A4" wp14:editId="43780258">
                  <wp:extent cx="3964940" cy="3739081"/>
                  <wp:effectExtent l="0" t="0" r="16510" b="13970"/>
                  <wp:docPr id="1506861818" name="Chart 1" descr="Horizontal bar chart showing the percentage of students taking at least one of any AP (ELA, math, or science) support, by support type (mock exams or study sessions) and race/ethnicity for SY2023.&#10;Any AP mock exam participation for students who are: Asian, 67.3%; Black, 57.1%; Latino, 51.4%; Multiracial, 60.3%; and White, 64.3%.&#10;Any AP study session participation for students who are: Asian, 41.2%; Black, 39.7%; Latino, 28.7%; Multiracial, 35.4%; and White, 28.5%.">
                    <a:extLst xmlns:a="http://schemas.openxmlformats.org/drawingml/2006/main">
                      <a:ext uri="{FF2B5EF4-FFF2-40B4-BE49-F238E27FC236}">
                        <a16:creationId xmlns:a16="http://schemas.microsoft.com/office/drawing/2014/main" id="{31809A6A-180A-4CF0-8B8E-8D3C6BF9621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tc>
        <w:tc>
          <w:tcPr>
            <w:tcW w:w="6606" w:type="dxa"/>
          </w:tcPr>
          <w:p w14:paraId="0818035A" w14:textId="77777777" w:rsidR="00490A50" w:rsidRDefault="00490A50" w:rsidP="007B49DA">
            <w:pPr>
              <w:pStyle w:val="BodyText"/>
              <w:rPr>
                <w:noProof/>
              </w:rPr>
            </w:pPr>
            <w:r>
              <w:rPr>
                <w:noProof/>
              </w:rPr>
              <w:drawing>
                <wp:inline distT="0" distB="0" distL="0" distR="0" wp14:anchorId="24F58C3F" wp14:editId="69341177">
                  <wp:extent cx="4046855" cy="3738880"/>
                  <wp:effectExtent l="0" t="0" r="10795" b="13970"/>
                  <wp:docPr id="374779756" name="Chart 1" descr=" Horizontal bar chart showing the percentage of students taking at least one of any AP (ELA, math, or science) support, by support type (mock exams or study sessions) and race/ethnicity for SY2024.&#10;Any AP mock exam participation for students who are: Asian, 70.6%; Black, 57.0%; Latino, 55.1%; Multiracial, 65.4%; and White, 66.9%.&#10;Any AP study session participation for students who are: Asian, 43.3%; Black, 32.2%; Latino, 27.0%; Multiracial, 35.7%; and White, 31.2%.">
                    <a:extLst xmlns:a="http://schemas.openxmlformats.org/drawingml/2006/main">
                      <a:ext uri="{FF2B5EF4-FFF2-40B4-BE49-F238E27FC236}">
                        <a16:creationId xmlns:a16="http://schemas.microsoft.com/office/drawing/2014/main" id="{AD50BDAF-1D61-43F2-80A1-B5647F552F8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tc>
      </w:tr>
    </w:tbl>
    <w:p w14:paraId="47D869FE" w14:textId="77777777" w:rsidR="007A758B" w:rsidRDefault="007A758B" w:rsidP="007B49DA">
      <w:pPr>
        <w:pStyle w:val="Heading4"/>
        <w:sectPr w:rsidR="007A758B" w:rsidSect="0002230B">
          <w:pgSz w:w="15840" w:h="12240" w:orient="landscape"/>
          <w:pgMar w:top="1440" w:right="1440" w:bottom="1440" w:left="1530" w:header="720" w:footer="720" w:gutter="0"/>
          <w:cols w:space="720"/>
          <w:docGrid w:linePitch="299"/>
        </w:sectPr>
      </w:pPr>
      <w:bookmarkStart w:id="186" w:name="_Toc200638443"/>
    </w:p>
    <w:p w14:paraId="3F0AFA1D" w14:textId="3DEFADFD" w:rsidR="00490A50" w:rsidRPr="008655F8" w:rsidRDefault="008D3A21" w:rsidP="007B49DA">
      <w:pPr>
        <w:pStyle w:val="Heading6"/>
        <w:rPr>
          <w:color w:val="595959" w:themeColor="text1" w:themeTint="A6"/>
        </w:rPr>
      </w:pPr>
      <w:bookmarkStart w:id="187" w:name="_Toc202784443"/>
      <w:bookmarkStart w:id="188" w:name="_Toc202784529"/>
      <w:bookmarkStart w:id="189" w:name="_Toc202788412"/>
      <w:r w:rsidRPr="008655F8">
        <w:rPr>
          <w:color w:val="595959" w:themeColor="text1" w:themeTint="A6"/>
        </w:rPr>
        <w:lastRenderedPageBreak/>
        <w:t xml:space="preserve">Additional </w:t>
      </w:r>
      <w:r w:rsidR="000774D8" w:rsidRPr="008655F8">
        <w:rPr>
          <w:color w:val="595959" w:themeColor="text1" w:themeTint="A6"/>
        </w:rPr>
        <w:t>s</w:t>
      </w:r>
      <w:r w:rsidRPr="008655F8">
        <w:rPr>
          <w:color w:val="595959" w:themeColor="text1" w:themeTint="A6"/>
        </w:rPr>
        <w:t xml:space="preserve">tudent </w:t>
      </w:r>
      <w:r w:rsidR="000774D8" w:rsidRPr="008655F8">
        <w:rPr>
          <w:color w:val="595959" w:themeColor="text1" w:themeTint="A6"/>
        </w:rPr>
        <w:t>g</w:t>
      </w:r>
      <w:r w:rsidR="00490A50" w:rsidRPr="008655F8">
        <w:rPr>
          <w:color w:val="595959" w:themeColor="text1" w:themeTint="A6"/>
        </w:rPr>
        <w:t>roups</w:t>
      </w:r>
      <w:bookmarkEnd w:id="186"/>
      <w:bookmarkEnd w:id="187"/>
      <w:bookmarkEnd w:id="188"/>
      <w:bookmarkEnd w:id="189"/>
      <w:r w:rsidRPr="008655F8">
        <w:rPr>
          <w:color w:val="595959" w:themeColor="text1" w:themeTint="A6"/>
        </w:rPr>
        <w:t xml:space="preserve"> of </w:t>
      </w:r>
      <w:r w:rsidR="000774D8" w:rsidRPr="008655F8">
        <w:rPr>
          <w:color w:val="595959" w:themeColor="text1" w:themeTint="A6"/>
        </w:rPr>
        <w:t>i</w:t>
      </w:r>
      <w:r w:rsidR="0052143A" w:rsidRPr="008655F8">
        <w:rPr>
          <w:color w:val="595959" w:themeColor="text1" w:themeTint="A6"/>
        </w:rPr>
        <w:t>nterest</w:t>
      </w:r>
    </w:p>
    <w:p w14:paraId="159EE1D0" w14:textId="41310321" w:rsidR="00BC3756" w:rsidRDefault="007310A9" w:rsidP="007B49DA">
      <w:pPr>
        <w:pStyle w:val="BodyText"/>
      </w:pPr>
      <w:r>
        <w:t xml:space="preserve">Although </w:t>
      </w:r>
      <w:r w:rsidR="00F66C5B">
        <w:t xml:space="preserve">analyses of </w:t>
      </w:r>
      <w:r w:rsidR="009E6B44">
        <w:t>specific</w:t>
      </w:r>
      <w:r w:rsidR="00E8100A">
        <w:t xml:space="preserve"> student groups were not subjected to significance testing,</w:t>
      </w:r>
      <w:r w:rsidR="0070301F">
        <w:t xml:space="preserve"> </w:t>
      </w:r>
      <w:r w:rsidR="00D90F12">
        <w:t xml:space="preserve">the descriptive statistics presented below </w:t>
      </w:r>
      <w:r w:rsidR="00D33B99">
        <w:t xml:space="preserve">provide important insight into </w:t>
      </w:r>
      <w:r w:rsidR="00FD786A">
        <w:t xml:space="preserve">differences in </w:t>
      </w:r>
      <w:r w:rsidR="00DD5305">
        <w:t xml:space="preserve">participation rates across various student groups. </w:t>
      </w:r>
      <w:r w:rsidR="00393B2D">
        <w:t xml:space="preserve">Students </w:t>
      </w:r>
      <w:r w:rsidR="00304924">
        <w:t xml:space="preserve">designated as </w:t>
      </w:r>
      <w:proofErr w:type="gramStart"/>
      <w:r w:rsidR="00304924">
        <w:t>high</w:t>
      </w:r>
      <w:proofErr w:type="gramEnd"/>
      <w:r w:rsidR="00FF1809">
        <w:t xml:space="preserve"> </w:t>
      </w:r>
      <w:proofErr w:type="gramStart"/>
      <w:r w:rsidR="00304924">
        <w:t>need</w:t>
      </w:r>
      <w:r w:rsidR="00B75FB9">
        <w:t>s</w:t>
      </w:r>
      <w:proofErr w:type="gramEnd"/>
      <w:r w:rsidR="00304924">
        <w:t xml:space="preserve"> by DESE</w:t>
      </w:r>
      <w:r w:rsidR="00393B2D">
        <w:t xml:space="preserve"> (i.e.</w:t>
      </w:r>
      <w:r w:rsidR="00F14C6F">
        <w:t>,</w:t>
      </w:r>
      <w:r w:rsidR="00393B2D">
        <w:t xml:space="preserve"> EL, SWD, and low-income) tended to have notably lower rates of participation in student </w:t>
      </w:r>
      <w:proofErr w:type="gramStart"/>
      <w:r w:rsidR="00393B2D">
        <w:t>supports</w:t>
      </w:r>
      <w:proofErr w:type="gramEnd"/>
      <w:r w:rsidR="00393B2D">
        <w:t xml:space="preserve"> when compared to their </w:t>
      </w:r>
      <w:r w:rsidR="00F51FC0">
        <w:t xml:space="preserve">peers. </w:t>
      </w:r>
      <w:r w:rsidR="00707B7F">
        <w:t>Additionally, d</w:t>
      </w:r>
      <w:r w:rsidR="00A0461B">
        <w:t>ifferences between female and male students in mock exam and study session participation were sometimes observed, with female students tending to have higher participation rates than male students.</w:t>
      </w:r>
      <w:r w:rsidR="00F51FC0">
        <w:t xml:space="preserve"> A description of student participation across any AP by school year and identity is provided below, and summaries of student participation in supports by subject (ELA, math, and science) and identity are provided in </w:t>
      </w:r>
      <w:r w:rsidR="00AB21C8">
        <w:t xml:space="preserve">Appendix </w:t>
      </w:r>
      <w:r w:rsidR="007E66E6">
        <w:t>L</w:t>
      </w:r>
      <w:r w:rsidR="00F51FC0">
        <w:t>.</w:t>
      </w:r>
    </w:p>
    <w:p w14:paraId="35C5E804" w14:textId="56C9C532" w:rsidR="00D13945" w:rsidRPr="00FB54E7" w:rsidRDefault="00D13945" w:rsidP="007B49DA">
      <w:pPr>
        <w:pStyle w:val="Heading7"/>
        <w:rPr>
          <w:color w:val="757575" w:themeColor="background2" w:themeShade="80"/>
        </w:rPr>
      </w:pPr>
      <w:r w:rsidRPr="00FB54E7">
        <w:rPr>
          <w:color w:val="757575" w:themeColor="background2" w:themeShade="80"/>
        </w:rPr>
        <w:t>Any AP</w:t>
      </w:r>
    </w:p>
    <w:p w14:paraId="1937D476" w14:textId="3BEECC85" w:rsidR="003068B1" w:rsidRDefault="00613415" w:rsidP="00047991">
      <w:pPr>
        <w:pStyle w:val="BodyText"/>
      </w:pPr>
      <w:r w:rsidRPr="00FB54E7">
        <w:rPr>
          <w:rStyle w:val="Heading7Char"/>
          <w:color w:val="757575" w:themeColor="background2" w:themeShade="80"/>
        </w:rPr>
        <w:t>M</w:t>
      </w:r>
      <w:r w:rsidR="00C038F7" w:rsidRPr="00FB54E7">
        <w:rPr>
          <w:rStyle w:val="Heading7Char"/>
          <w:color w:val="757575" w:themeColor="background2" w:themeShade="80"/>
        </w:rPr>
        <w:t>ock exams.</w:t>
      </w:r>
      <w:r w:rsidR="00C038F7" w:rsidRPr="00F6404C">
        <w:rPr>
          <w:rStyle w:val="Heading5Char"/>
          <w:color w:val="auto"/>
        </w:rPr>
        <w:t xml:space="preserve"> </w:t>
      </w:r>
      <w:r w:rsidR="00581648">
        <w:t xml:space="preserve">Among all students who participated in </w:t>
      </w:r>
      <w:r w:rsidR="00490A50">
        <w:t>any AP</w:t>
      </w:r>
      <w:r w:rsidR="003F66EB">
        <w:t xml:space="preserve"> </w:t>
      </w:r>
      <w:r w:rsidR="00B11F10">
        <w:t>ELA</w:t>
      </w:r>
      <w:r w:rsidR="003F66EB">
        <w:t xml:space="preserve">, math, or science </w:t>
      </w:r>
      <w:r w:rsidR="00581648">
        <w:t>course or courses</w:t>
      </w:r>
      <w:r w:rsidR="001F1E0A">
        <w:t xml:space="preserve"> in SY2023 / SY024</w:t>
      </w:r>
      <w:r w:rsidR="00E24CE7">
        <w:t xml:space="preserve"> (</w:t>
      </w:r>
      <w:r w:rsidR="00E24CE7" w:rsidRPr="00622EF4">
        <w:t>Figure</w:t>
      </w:r>
      <w:r w:rsidR="001F1E0A">
        <w:t xml:space="preserve">s </w:t>
      </w:r>
      <w:r w:rsidR="003C1F61">
        <w:t xml:space="preserve">8 </w:t>
      </w:r>
      <w:r w:rsidR="001F1E0A">
        <w:t xml:space="preserve">and </w:t>
      </w:r>
      <w:r w:rsidR="003C1F61">
        <w:t>9</w:t>
      </w:r>
      <w:r w:rsidR="00E24CE7">
        <w:t>)</w:t>
      </w:r>
      <w:r w:rsidR="00490A50">
        <w:t xml:space="preserve">, </w:t>
      </w:r>
      <w:r w:rsidR="008251CE">
        <w:t xml:space="preserve">students who </w:t>
      </w:r>
      <w:r w:rsidR="003A026F">
        <w:t>are</w:t>
      </w:r>
      <w:r w:rsidR="008251CE">
        <w:t xml:space="preserve"> not E</w:t>
      </w:r>
      <w:r w:rsidR="00A51895">
        <w:t>nglish learners</w:t>
      </w:r>
      <w:r w:rsidR="00490A50">
        <w:t xml:space="preserve"> (61.5%</w:t>
      </w:r>
      <w:r w:rsidR="001F1E0A">
        <w:t xml:space="preserve"> / </w:t>
      </w:r>
      <w:r w:rsidR="00C32FD6">
        <w:t>63.8%</w:t>
      </w:r>
      <w:r w:rsidR="00490A50">
        <w:t xml:space="preserve">) participated in mock exams at </w:t>
      </w:r>
      <w:r w:rsidR="00F133AA">
        <w:t>roughly twice the rate of</w:t>
      </w:r>
      <w:r w:rsidR="00490A50">
        <w:t xml:space="preserve"> </w:t>
      </w:r>
      <w:r w:rsidR="00CA57DA">
        <w:t xml:space="preserve">English learners </w:t>
      </w:r>
      <w:r w:rsidR="00490A50">
        <w:t>(25.3%</w:t>
      </w:r>
      <w:r w:rsidR="001F1E0A">
        <w:t xml:space="preserve"> / </w:t>
      </w:r>
      <w:r w:rsidR="0022522D">
        <w:t>33.3%</w:t>
      </w:r>
      <w:r w:rsidR="00490A50">
        <w:t>)</w:t>
      </w:r>
      <w:r w:rsidR="001F1E0A">
        <w:t xml:space="preserve">, </w:t>
      </w:r>
      <w:r w:rsidR="003A026F">
        <w:t xml:space="preserve">though </w:t>
      </w:r>
      <w:r w:rsidR="00CA57DA">
        <w:t>English learner</w:t>
      </w:r>
      <w:r w:rsidR="001F1E0A">
        <w:t xml:space="preserve"> participation </w:t>
      </w:r>
      <w:r w:rsidR="003A026F">
        <w:t xml:space="preserve">increased </w:t>
      </w:r>
      <w:r w:rsidR="001F1E0A">
        <w:t>from SY2023 to SY2024</w:t>
      </w:r>
      <w:r w:rsidR="00490A50">
        <w:t xml:space="preserve">. Similarly, </w:t>
      </w:r>
      <w:r w:rsidR="00A51895">
        <w:t xml:space="preserve">students who </w:t>
      </w:r>
      <w:r w:rsidR="00922B08">
        <w:t>do not have a disability</w:t>
      </w:r>
      <w:r w:rsidR="00490A50">
        <w:t xml:space="preserve"> (61.2%</w:t>
      </w:r>
      <w:r w:rsidR="001F1E0A">
        <w:t xml:space="preserve"> / </w:t>
      </w:r>
      <w:r w:rsidR="009F7DFE">
        <w:t>63.7%</w:t>
      </w:r>
      <w:r w:rsidR="00490A50">
        <w:t xml:space="preserve">) participated in mock exams at notably higher rates than students </w:t>
      </w:r>
      <w:r w:rsidR="00CA57DA">
        <w:t xml:space="preserve">with a documented disability </w:t>
      </w:r>
      <w:r w:rsidR="00490A50">
        <w:t>(37.5%</w:t>
      </w:r>
      <w:r w:rsidR="001F1E0A">
        <w:t xml:space="preserve"> / </w:t>
      </w:r>
      <w:r w:rsidR="009F7DFE">
        <w:t>44.1%</w:t>
      </w:r>
      <w:r w:rsidR="00490A50">
        <w:t>)</w:t>
      </w:r>
      <w:r w:rsidR="001F1E0A">
        <w:t xml:space="preserve">, although </w:t>
      </w:r>
      <w:r w:rsidR="003A026F">
        <w:t xml:space="preserve">participation rates among </w:t>
      </w:r>
      <w:r w:rsidR="00C7682C">
        <w:t>student</w:t>
      </w:r>
      <w:r w:rsidR="003A026F">
        <w:t>s</w:t>
      </w:r>
      <w:r w:rsidR="00C7682C">
        <w:t xml:space="preserve"> with a documented disability</w:t>
      </w:r>
      <w:r>
        <w:t xml:space="preserve"> did increase from SY2023 to SY2024</w:t>
      </w:r>
      <w:r w:rsidR="00F8675C">
        <w:t>.</w:t>
      </w:r>
      <w:r w:rsidR="00490A50">
        <w:t xml:space="preserve"> </w:t>
      </w:r>
      <w:r w:rsidR="00F8675C">
        <w:t xml:space="preserve">Similarly, </w:t>
      </w:r>
      <w:r w:rsidR="00922B08">
        <w:t>students who are not low-income</w:t>
      </w:r>
      <w:r w:rsidR="00490A50">
        <w:t xml:space="preserve"> (64.6%</w:t>
      </w:r>
      <w:r w:rsidR="001F1E0A">
        <w:t xml:space="preserve"> / </w:t>
      </w:r>
      <w:r w:rsidR="00A1075E">
        <w:t>67.0%</w:t>
      </w:r>
      <w:r w:rsidR="00490A50">
        <w:t>) participated in mock exams at higher rates than low-income students (54.1%</w:t>
      </w:r>
      <w:r w:rsidR="00A1075E">
        <w:t xml:space="preserve"> / </w:t>
      </w:r>
      <w:r w:rsidR="00695CA6">
        <w:t>56.9%</w:t>
      </w:r>
      <w:r w:rsidR="00490A50">
        <w:t>). Additionally, female students (64.0%</w:t>
      </w:r>
      <w:r w:rsidR="001F1E0A">
        <w:t xml:space="preserve"> / </w:t>
      </w:r>
      <w:r w:rsidR="00695CA6">
        <w:t>66.2%</w:t>
      </w:r>
      <w:r w:rsidR="00490A50">
        <w:t>) participated in mock exams at higher rates than male students (55.7%</w:t>
      </w:r>
      <w:r w:rsidR="001F1E0A">
        <w:t xml:space="preserve"> / </w:t>
      </w:r>
      <w:r w:rsidR="007D3628">
        <w:t>59.0%</w:t>
      </w:r>
      <w:r w:rsidR="00490A50">
        <w:t>).</w:t>
      </w:r>
    </w:p>
    <w:p w14:paraId="160E00DF" w14:textId="77777777" w:rsidR="003C6327" w:rsidRDefault="003C6327" w:rsidP="003C6327">
      <w:pPr>
        <w:pStyle w:val="BodyText"/>
      </w:pPr>
    </w:p>
    <w:p w14:paraId="0A50893D" w14:textId="5891D0B3" w:rsidR="00490A50" w:rsidRDefault="00613415" w:rsidP="00490A50">
      <w:pPr>
        <w:pStyle w:val="BodyText"/>
      </w:pPr>
      <w:r w:rsidRPr="00FB54E7">
        <w:rPr>
          <w:rStyle w:val="Heading7Char"/>
          <w:color w:val="757575" w:themeColor="background2" w:themeShade="80"/>
        </w:rPr>
        <w:t>Study</w:t>
      </w:r>
      <w:r w:rsidR="003068B1" w:rsidRPr="00FB54E7">
        <w:rPr>
          <w:rStyle w:val="Heading7Char"/>
          <w:color w:val="757575" w:themeColor="background2" w:themeShade="80"/>
        </w:rPr>
        <w:t xml:space="preserve"> sessions.</w:t>
      </w:r>
      <w:r w:rsidR="003068B1">
        <w:t xml:space="preserve"> </w:t>
      </w:r>
      <w:r w:rsidR="009F6ED7">
        <w:t xml:space="preserve">Students who are not </w:t>
      </w:r>
      <w:r w:rsidR="00C7682C">
        <w:t xml:space="preserve">English learners </w:t>
      </w:r>
      <w:r w:rsidR="00490A50">
        <w:t>(34.7%</w:t>
      </w:r>
      <w:r>
        <w:t xml:space="preserve"> / </w:t>
      </w:r>
      <w:r w:rsidR="003321BD">
        <w:t>31.8%</w:t>
      </w:r>
      <w:r w:rsidR="00490A50">
        <w:t xml:space="preserve">) participated in study sessions at </w:t>
      </w:r>
      <w:r w:rsidR="007E78EC">
        <w:t>roughly twice the rate of</w:t>
      </w:r>
      <w:r w:rsidR="00490A50">
        <w:t xml:space="preserve"> </w:t>
      </w:r>
      <w:r w:rsidR="00C7682C">
        <w:t>English learners</w:t>
      </w:r>
      <w:r w:rsidR="00490A50">
        <w:t xml:space="preserve"> (15.1%</w:t>
      </w:r>
      <w:r>
        <w:t xml:space="preserve"> / </w:t>
      </w:r>
      <w:r w:rsidR="00B1173D">
        <w:t>17.9%</w:t>
      </w:r>
      <w:r w:rsidR="00490A50">
        <w:t>)</w:t>
      </w:r>
      <w:r w:rsidR="0032418D">
        <w:t>. Similarly,</w:t>
      </w:r>
      <w:r w:rsidR="00490A50">
        <w:t xml:space="preserve"> </w:t>
      </w:r>
      <w:r w:rsidR="009F6ED7">
        <w:t>students who do not have a disability</w:t>
      </w:r>
      <w:r w:rsidR="00490A50">
        <w:t xml:space="preserve"> (34.5%</w:t>
      </w:r>
      <w:r>
        <w:t xml:space="preserve"> / </w:t>
      </w:r>
      <w:r w:rsidR="00D83790">
        <w:t>32.0%</w:t>
      </w:r>
      <w:r w:rsidR="00490A50">
        <w:t xml:space="preserve">) participated in study sessions at higher rates than </w:t>
      </w:r>
      <w:r w:rsidR="00C7682C">
        <w:t>students with a documented disability</w:t>
      </w:r>
      <w:r w:rsidR="00490A50">
        <w:t xml:space="preserve"> (20.8%</w:t>
      </w:r>
      <w:r>
        <w:t xml:space="preserve"> / </w:t>
      </w:r>
      <w:r w:rsidR="00E05DB5">
        <w:t>16.2%</w:t>
      </w:r>
      <w:r w:rsidR="00490A50">
        <w:t>). Female students (35.8%</w:t>
      </w:r>
      <w:r>
        <w:t xml:space="preserve"> / </w:t>
      </w:r>
      <w:r w:rsidR="000A0074">
        <w:t>32.8%</w:t>
      </w:r>
      <w:r w:rsidR="00490A50">
        <w:t xml:space="preserve">) participated in study sessions at </w:t>
      </w:r>
      <w:r w:rsidR="00942360">
        <w:t xml:space="preserve">slightly </w:t>
      </w:r>
      <w:r w:rsidR="00490A50">
        <w:t>higher rates than male students (31.9%</w:t>
      </w:r>
      <w:r>
        <w:t xml:space="preserve"> / </w:t>
      </w:r>
      <w:r w:rsidR="000A0074">
        <w:t>29.7%</w:t>
      </w:r>
      <w:r w:rsidR="00490A50">
        <w:t xml:space="preserve">). On the other hand, no notable differences in study session participation were observed between </w:t>
      </w:r>
      <w:r w:rsidR="00005508">
        <w:t>students who are not low-income</w:t>
      </w:r>
      <w:r w:rsidR="00490A50">
        <w:t xml:space="preserve"> (35.0%</w:t>
      </w:r>
      <w:r>
        <w:t xml:space="preserve"> / </w:t>
      </w:r>
      <w:r w:rsidR="00B81468">
        <w:t>32.4</w:t>
      </w:r>
      <w:r w:rsidR="00490A50">
        <w:t>) and low-income students (32.9%</w:t>
      </w:r>
      <w:r>
        <w:t xml:space="preserve"> / </w:t>
      </w:r>
      <w:r w:rsidR="00C824D6">
        <w:t>30.1%</w:t>
      </w:r>
      <w:r w:rsidR="00490A50">
        <w:t>).</w:t>
      </w:r>
      <w:r w:rsidR="00177FC7">
        <w:rPr>
          <w:rStyle w:val="FootnoteReference"/>
        </w:rPr>
        <w:footnoteReference w:id="19"/>
      </w:r>
      <w:r w:rsidR="00AE1576">
        <w:t xml:space="preserve"> </w:t>
      </w:r>
    </w:p>
    <w:p w14:paraId="289CF521" w14:textId="77777777" w:rsidR="003C6327" w:rsidRDefault="003C6327" w:rsidP="003C6327">
      <w:pPr>
        <w:pStyle w:val="BodyText"/>
      </w:pPr>
    </w:p>
    <w:p w14:paraId="31C0E80E" w14:textId="77777777" w:rsidR="008E0BD6" w:rsidRDefault="008E0BD6" w:rsidP="00490A50">
      <w:pPr>
        <w:pStyle w:val="BodyText"/>
        <w:rPr>
          <w:rStyle w:val="Heading5Char"/>
        </w:rPr>
        <w:sectPr w:rsidR="008E0BD6" w:rsidSect="004E15B7">
          <w:pgSz w:w="12240" w:h="15840"/>
          <w:pgMar w:top="1620" w:right="1440" w:bottom="1530" w:left="1440" w:header="720" w:footer="720" w:gutter="0"/>
          <w:cols w:space="720"/>
          <w:docGrid w:linePitch="299"/>
        </w:sectPr>
      </w:pPr>
    </w:p>
    <w:tbl>
      <w:tblPr>
        <w:tblStyle w:val="TableGrid"/>
        <w:tblW w:w="131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475"/>
        <w:gridCol w:w="6676"/>
      </w:tblGrid>
      <w:tr w:rsidR="008E0BD6" w14:paraId="68D5DF70" w14:textId="77777777" w:rsidTr="008E0BD6">
        <w:trPr>
          <w:trHeight w:val="545"/>
        </w:trPr>
        <w:tc>
          <w:tcPr>
            <w:tcW w:w="6475" w:type="dxa"/>
          </w:tcPr>
          <w:p w14:paraId="57BF863A" w14:textId="58695F26" w:rsidR="00490A50" w:rsidRDefault="00490A50">
            <w:pPr>
              <w:pStyle w:val="FigureCaption"/>
              <w:rPr>
                <w:noProof/>
              </w:rPr>
            </w:pPr>
            <w:bookmarkStart w:id="190" w:name="_Toc201928397"/>
            <w:bookmarkStart w:id="191" w:name="_Toc207348450"/>
            <w:r>
              <w:lastRenderedPageBreak/>
              <w:t xml:space="preserve">Figure </w:t>
            </w:r>
            <w:r w:rsidR="00A63304">
              <w:t>8</w:t>
            </w:r>
            <w:r>
              <w:t>. Percentage of students taking at least one of any AP (ELA, math, or science) support, by support type and demographic group, SY2023</w:t>
            </w:r>
            <w:bookmarkEnd w:id="190"/>
            <w:bookmarkEnd w:id="191"/>
          </w:p>
        </w:tc>
        <w:tc>
          <w:tcPr>
            <w:tcW w:w="6676" w:type="dxa"/>
          </w:tcPr>
          <w:p w14:paraId="698D3277" w14:textId="32AFEA24" w:rsidR="00490A50" w:rsidRDefault="00490A50">
            <w:pPr>
              <w:pStyle w:val="FigureCaption"/>
              <w:rPr>
                <w:noProof/>
              </w:rPr>
            </w:pPr>
            <w:bookmarkStart w:id="192" w:name="_Toc201928398"/>
            <w:bookmarkStart w:id="193" w:name="_Toc207348451"/>
            <w:r>
              <w:t xml:space="preserve">Figure </w:t>
            </w:r>
            <w:r w:rsidR="00A63304">
              <w:t>9</w:t>
            </w:r>
            <w:r>
              <w:t>. Percentage of students taking at least one of any AP (ELA, math, or science) support, by support type and demographic group SY2024</w:t>
            </w:r>
            <w:bookmarkEnd w:id="192"/>
            <w:bookmarkEnd w:id="193"/>
          </w:p>
        </w:tc>
      </w:tr>
      <w:tr w:rsidR="008E0BD6" w14:paraId="4E1D2A56" w14:textId="77777777" w:rsidTr="008E0BD6">
        <w:trPr>
          <w:trHeight w:val="5202"/>
        </w:trPr>
        <w:tc>
          <w:tcPr>
            <w:tcW w:w="6475" w:type="dxa"/>
          </w:tcPr>
          <w:p w14:paraId="6FE9AE37" w14:textId="777A5303" w:rsidR="00490A50" w:rsidRDefault="00DC1164">
            <w:pPr>
              <w:pStyle w:val="BodyText"/>
              <w:rPr>
                <w:noProof/>
              </w:rPr>
            </w:pPr>
            <w:r>
              <w:rPr>
                <w:noProof/>
              </w:rPr>
              <w:drawing>
                <wp:inline distT="0" distB="0" distL="0" distR="0" wp14:anchorId="59E4520E" wp14:editId="21C4158D">
                  <wp:extent cx="3920490" cy="3647440"/>
                  <wp:effectExtent l="0" t="0" r="3810" b="10160"/>
                  <wp:docPr id="653863258" name="Chart 1" descr="Horizontal bar chart showing the percentage of students taking at least one of any AP (ELA, math, or science) support, by support type (mock exams or study sessions) and demographic group for SY2023.&#10;Any AP mock exam participation for students who are: 64.0% female; 55.7% male; 25.3% EL; 61.5% non EL; 54.1% Low-income; 64.6% non low-income; 37.5% SWD; 61.2% non SWD.&#10;Any AP study session participation for students who are: 35.8% female; 31.9% male; 15.1% EL; 34.7% non EL; 32.9% Low-income; 35.0% non low-income; 20.8% SWD; 34.5% non SWD.">
                    <a:extLst xmlns:a="http://schemas.openxmlformats.org/drawingml/2006/main">
                      <a:ext uri="{FF2B5EF4-FFF2-40B4-BE49-F238E27FC236}">
                        <a16:creationId xmlns:a16="http://schemas.microsoft.com/office/drawing/2014/main" id="{CF6A69E6-E206-4FFE-A253-657E9CC576C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tc>
        <w:tc>
          <w:tcPr>
            <w:tcW w:w="6676" w:type="dxa"/>
          </w:tcPr>
          <w:p w14:paraId="72CD6EB6" w14:textId="447AFE6F" w:rsidR="00490A50" w:rsidRDefault="00DC22E9">
            <w:pPr>
              <w:pStyle w:val="BodyText"/>
              <w:rPr>
                <w:noProof/>
              </w:rPr>
            </w:pPr>
            <w:r>
              <w:rPr>
                <w:noProof/>
              </w:rPr>
              <w:drawing>
                <wp:inline distT="0" distB="0" distL="0" distR="0" wp14:anchorId="2F4422CC" wp14:editId="1BF43309">
                  <wp:extent cx="3942080" cy="3718560"/>
                  <wp:effectExtent l="0" t="0" r="1270" b="15240"/>
                  <wp:docPr id="115377392" name="Chart 1" descr="Horizontal bar chart showing the percentage of students taking at least one of any AP (ELA, math, or science) support, by support type (mock exams or study sessions) and demographic group for SY2024.&#10;Any AP mock exam participation for students who are: 66.2% female; 59.0% male; 33.3% EL; 63.8% non EL; 56.9% Low-income; 67.0% non low-income; 44.1% SWD; 63.7% non SWD.&#10;Any AP study session participation for students who are: 32.8% female; 29.7% male; 17.9% EL; 31.8% non EL; 30.1% Low-income; 32.4% non low-income; 16.2% SWD; 32.0% non SWD.">
                    <a:extLst xmlns:a="http://schemas.openxmlformats.org/drawingml/2006/main">
                      <a:ext uri="{FF2B5EF4-FFF2-40B4-BE49-F238E27FC236}">
                        <a16:creationId xmlns:a16="http://schemas.microsoft.com/office/drawing/2014/main" id="{A774996D-79CD-471A-9E12-76F2BB1513B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tc>
      </w:tr>
    </w:tbl>
    <w:p w14:paraId="4FEE0693" w14:textId="3B922C0E" w:rsidR="00490A50" w:rsidRDefault="00490A50" w:rsidP="00490A50">
      <w:pPr>
        <w:pStyle w:val="BodyText"/>
      </w:pPr>
    </w:p>
    <w:p w14:paraId="52B78E4A" w14:textId="77777777" w:rsidR="008E0BD6" w:rsidRDefault="008E0BD6" w:rsidP="00490A50">
      <w:pPr>
        <w:spacing w:after="160" w:line="259" w:lineRule="auto"/>
        <w:sectPr w:rsidR="008E0BD6" w:rsidSect="008E0BD6">
          <w:pgSz w:w="15840" w:h="12240" w:orient="landscape"/>
          <w:pgMar w:top="1440" w:right="1620" w:bottom="1440" w:left="1530" w:header="720" w:footer="720" w:gutter="0"/>
          <w:cols w:space="720"/>
          <w:docGrid w:linePitch="299"/>
        </w:sectPr>
      </w:pPr>
    </w:p>
    <w:p w14:paraId="068AC680" w14:textId="31174F05" w:rsidR="008E0BD6" w:rsidRPr="009175DE" w:rsidRDefault="008E0BD6" w:rsidP="009175DE">
      <w:pPr>
        <w:pStyle w:val="Heading3"/>
        <w:pBdr>
          <w:top w:val="single" w:sz="12" w:space="1" w:color="881C1C"/>
          <w:bottom w:val="single" w:sz="12" w:space="1" w:color="881C1C"/>
        </w:pBdr>
        <w:jc w:val="center"/>
        <w:rPr>
          <w:color w:val="auto"/>
        </w:rPr>
      </w:pPr>
      <w:bookmarkStart w:id="194" w:name="_Toc207348166"/>
      <w:bookmarkStart w:id="195" w:name="_Toc200638444"/>
      <w:bookmarkStart w:id="196" w:name="_Toc202784444"/>
      <w:bookmarkStart w:id="197" w:name="_Toc202784530"/>
      <w:bookmarkStart w:id="198" w:name="_Toc202788413"/>
      <w:r>
        <w:rPr>
          <w:color w:val="auto"/>
        </w:rPr>
        <w:lastRenderedPageBreak/>
        <w:t xml:space="preserve">Key Finding 2: </w:t>
      </w:r>
      <w:r w:rsidRPr="009175DE">
        <w:rPr>
          <w:color w:val="auto"/>
        </w:rPr>
        <w:t xml:space="preserve">Nearly all students who participated in a mock exam or study session passed at least one AP course and took an AP exam in </w:t>
      </w:r>
      <w:r w:rsidR="00E1311F">
        <w:rPr>
          <w:color w:val="auto"/>
        </w:rPr>
        <w:t>the</w:t>
      </w:r>
      <w:r w:rsidR="00C40FD6">
        <w:rPr>
          <w:color w:val="auto"/>
        </w:rPr>
        <w:t>ir</w:t>
      </w:r>
      <w:r w:rsidR="00E1311F">
        <w:rPr>
          <w:color w:val="auto"/>
        </w:rPr>
        <w:t xml:space="preserve"> corresponding</w:t>
      </w:r>
      <w:r w:rsidRPr="009175DE">
        <w:rPr>
          <w:color w:val="auto"/>
        </w:rPr>
        <w:t xml:space="preserve"> content area.</w:t>
      </w:r>
      <w:bookmarkEnd w:id="194"/>
    </w:p>
    <w:p w14:paraId="322964A0" w14:textId="3D552916" w:rsidR="005A0B68" w:rsidRDefault="00552343" w:rsidP="00AF4611">
      <w:pPr>
        <w:pStyle w:val="BodyText"/>
      </w:pPr>
      <w:r>
        <w:t xml:space="preserve">UMDI </w:t>
      </w:r>
      <w:r w:rsidR="00A1397E">
        <w:t xml:space="preserve">constructed a set </w:t>
      </w:r>
      <w:r>
        <w:t xml:space="preserve">of multi-level </w:t>
      </w:r>
      <w:r w:rsidR="00A1397E">
        <w:t xml:space="preserve">mixed-effect </w:t>
      </w:r>
      <w:r>
        <w:t xml:space="preserve">logistic regression models </w:t>
      </w:r>
      <w:r w:rsidR="00A1397E">
        <w:t>to</w:t>
      </w:r>
      <w:r w:rsidR="007364EA">
        <w:t xml:space="preserve"> </w:t>
      </w:r>
      <w:r w:rsidR="007A6234">
        <w:t>examine</w:t>
      </w:r>
      <w:r w:rsidR="007364EA">
        <w:t xml:space="preserve"> differences in key educational outcomes </w:t>
      </w:r>
      <w:r w:rsidR="007A6234">
        <w:t xml:space="preserve">between </w:t>
      </w:r>
      <w:r w:rsidR="007364EA">
        <w:t xml:space="preserve">students who participated in mock exams or study sessions </w:t>
      </w:r>
      <w:r w:rsidR="00F76FD8">
        <w:t xml:space="preserve">in SY2023 and SY2024, </w:t>
      </w:r>
      <w:r w:rsidR="007E4B34">
        <w:t xml:space="preserve">and </w:t>
      </w:r>
      <w:r w:rsidR="007364EA">
        <w:t xml:space="preserve">similar non-participating students. </w:t>
      </w:r>
      <w:r w:rsidR="00C25021">
        <w:t>SY2023 and SY2024 were analyzed separately</w:t>
      </w:r>
      <w:r w:rsidR="00F92E12">
        <w:t xml:space="preserve">. </w:t>
      </w:r>
      <w:r w:rsidR="007364EA">
        <w:t>Overall, students</w:t>
      </w:r>
      <w:r w:rsidR="00B2144F">
        <w:t xml:space="preserve"> who participated in these supports</w:t>
      </w:r>
      <w:r w:rsidR="007364EA">
        <w:t xml:space="preserve"> were significantly more likely to </w:t>
      </w:r>
      <w:r w:rsidR="001E0091">
        <w:t xml:space="preserve">pass an AP course </w:t>
      </w:r>
      <w:r w:rsidR="00ED4B60">
        <w:t>or take an AP exam. Interestingly, nearly all students who participated in a mock exam or study session passed at least one AP course or took</w:t>
      </w:r>
      <w:r w:rsidR="00DC2F0E">
        <w:t xml:space="preserve"> (but not nec</w:t>
      </w:r>
      <w:r w:rsidR="00E5411E">
        <w:t>essarily passed)</w:t>
      </w:r>
      <w:r w:rsidR="00ED4B60">
        <w:t xml:space="preserve"> </w:t>
      </w:r>
      <w:r w:rsidR="005A0B68">
        <w:t>at least one AP exam.</w:t>
      </w:r>
      <w:r w:rsidR="00747ACE">
        <w:rPr>
          <w:rStyle w:val="FootnoteReference"/>
        </w:rPr>
        <w:footnoteReference w:id="20"/>
      </w:r>
      <w:r w:rsidR="005A0B68">
        <w:t xml:space="preserve"> </w:t>
      </w:r>
    </w:p>
    <w:p w14:paraId="0E2F72A6" w14:textId="77777777" w:rsidR="005A0B68" w:rsidRDefault="005A0B68" w:rsidP="009175DE">
      <w:pPr>
        <w:pStyle w:val="BodyText"/>
      </w:pPr>
    </w:p>
    <w:p w14:paraId="6DDCC94C" w14:textId="79F31FF1" w:rsidR="00595208" w:rsidRDefault="005A0B68" w:rsidP="006C333A">
      <w:pPr>
        <w:pStyle w:val="BodyText"/>
      </w:pPr>
      <w:r>
        <w:t>Below, we d</w:t>
      </w:r>
      <w:r w:rsidR="00A428E9">
        <w:t xml:space="preserve">iscuss the models concerning AP course passing and AP exam taking and display the unweighted percentages </w:t>
      </w:r>
      <w:r w:rsidR="007D4938">
        <w:t>of students achieving these outcomes</w:t>
      </w:r>
      <w:r w:rsidR="00B67BD3">
        <w:t>, as shown</w:t>
      </w:r>
      <w:r w:rsidR="007D4938">
        <w:t xml:space="preserve"> in </w:t>
      </w:r>
      <w:r w:rsidR="007D4938" w:rsidRPr="00A93FDB">
        <w:t xml:space="preserve">Tables </w:t>
      </w:r>
      <w:r w:rsidR="005E0765" w:rsidRPr="00A93FDB">
        <w:t xml:space="preserve">3 </w:t>
      </w:r>
      <w:r w:rsidR="007D4938" w:rsidRPr="00A93FDB">
        <w:t xml:space="preserve">and </w:t>
      </w:r>
      <w:r w:rsidR="005E0765" w:rsidRPr="005E0765">
        <w:t>4</w:t>
      </w:r>
      <w:r w:rsidR="006C333A">
        <w:t>. These results are followed by</w:t>
      </w:r>
      <w:r w:rsidR="00595208">
        <w:t xml:space="preserve"> </w:t>
      </w:r>
      <w:r w:rsidR="00481EA7">
        <w:t>additional</w:t>
      </w:r>
      <w:r w:rsidR="00595208">
        <w:t xml:space="preserve"> descriptive analyses of </w:t>
      </w:r>
      <w:r w:rsidR="005715D0">
        <w:t>student course passing and exam taking</w:t>
      </w:r>
      <w:r w:rsidR="006534F4">
        <w:t xml:space="preserve"> (</w:t>
      </w:r>
      <w:r w:rsidR="00B67BD3">
        <w:t xml:space="preserve">for </w:t>
      </w:r>
      <w:r w:rsidR="006534F4">
        <w:t xml:space="preserve">all students and </w:t>
      </w:r>
      <w:r w:rsidR="00B67BD3">
        <w:t>for</w:t>
      </w:r>
      <w:r w:rsidR="009C4A98">
        <w:t xml:space="preserve"> student groups of interest</w:t>
      </w:r>
      <w:r w:rsidR="00BC21DF">
        <w:t>)</w:t>
      </w:r>
      <w:r w:rsidR="005715D0">
        <w:t>.</w:t>
      </w:r>
      <w:r w:rsidR="00BF18D0">
        <w:rPr>
          <w:rStyle w:val="FootnoteReference"/>
        </w:rPr>
        <w:footnoteReference w:id="21"/>
      </w:r>
      <w:r w:rsidR="00645ACA">
        <w:t xml:space="preserve"> </w:t>
      </w:r>
      <w:r w:rsidR="000C0013">
        <w:t>The body of the report only includes</w:t>
      </w:r>
      <w:r w:rsidR="009D47EE">
        <w:t xml:space="preserve"> findings </w:t>
      </w:r>
      <w:r w:rsidR="00BF2F8A">
        <w:t xml:space="preserve">related to any AP (ELA, math, </w:t>
      </w:r>
      <w:r w:rsidR="00334170">
        <w:t xml:space="preserve">and </w:t>
      </w:r>
      <w:r w:rsidR="00BF2F8A">
        <w:t>science</w:t>
      </w:r>
      <w:r w:rsidR="00334170">
        <w:t>)</w:t>
      </w:r>
      <w:r w:rsidR="001C1758">
        <w:t xml:space="preserve"> because findings are generally consistent across </w:t>
      </w:r>
      <w:r w:rsidR="00D40F6C">
        <w:t xml:space="preserve">all AP content areas examined. </w:t>
      </w:r>
      <w:r w:rsidR="000C0013">
        <w:t>Findings by subject area (</w:t>
      </w:r>
      <w:r w:rsidR="001B7733">
        <w:t>ELA, math, and science</w:t>
      </w:r>
      <w:r w:rsidR="000C0013">
        <w:t>) are provided</w:t>
      </w:r>
      <w:r w:rsidR="001B7733">
        <w:t xml:space="preserve"> in </w:t>
      </w:r>
      <w:r w:rsidR="008D47D4">
        <w:t>Appendices</w:t>
      </w:r>
      <w:r w:rsidR="008D47D4" w:rsidRPr="00A93FDB">
        <w:t xml:space="preserve"> </w:t>
      </w:r>
      <w:r w:rsidR="0032299E">
        <w:t xml:space="preserve">M </w:t>
      </w:r>
      <w:r w:rsidR="00AB21C8">
        <w:t xml:space="preserve">and </w:t>
      </w:r>
      <w:r w:rsidR="0032299E">
        <w:t>N</w:t>
      </w:r>
      <w:r w:rsidR="005C7445">
        <w:t>.</w:t>
      </w:r>
    </w:p>
    <w:p w14:paraId="5268A42E" w14:textId="77777777" w:rsidR="00754BAB" w:rsidRDefault="00754BAB" w:rsidP="00AF4611">
      <w:pPr>
        <w:pStyle w:val="BodyText"/>
      </w:pPr>
    </w:p>
    <w:p w14:paraId="58C27BA7" w14:textId="77777777" w:rsidR="00C34DA1" w:rsidRDefault="00C34DA1" w:rsidP="00C34DA1">
      <w:pPr>
        <w:pStyle w:val="BodyText"/>
        <w:rPr>
          <w:rStyle w:val="Strong"/>
          <w:b w:val="0"/>
          <w:bCs w:val="0"/>
        </w:rPr>
      </w:pPr>
      <w:r>
        <w:rPr>
          <w:rStyle w:val="Strong"/>
          <w:b w:val="0"/>
          <w:bCs w:val="0"/>
        </w:rPr>
        <w:t>Results presented for this key finding are organized as follows:</w:t>
      </w:r>
    </w:p>
    <w:p w14:paraId="380EA1F1" w14:textId="58ABE98D" w:rsidR="00C34DA1" w:rsidRPr="00C34DA1" w:rsidRDefault="00C34DA1" w:rsidP="00C34DA1">
      <w:pPr>
        <w:pStyle w:val="ListNumber"/>
        <w:numPr>
          <w:ilvl w:val="0"/>
          <w:numId w:val="32"/>
        </w:numPr>
        <w:spacing w:after="0"/>
        <w:rPr>
          <w:rStyle w:val="Strong"/>
          <w:b w:val="0"/>
          <w:bCs w:val="0"/>
          <w:color w:val="000000" w:themeColor="text1"/>
        </w:rPr>
      </w:pPr>
      <w:r w:rsidRPr="00C34DA1">
        <w:rPr>
          <w:rStyle w:val="Strong"/>
          <w:b w:val="0"/>
          <w:bCs w:val="0"/>
        </w:rPr>
        <w:t>Quasi-experimental results</w:t>
      </w:r>
      <w:r>
        <w:rPr>
          <w:rStyle w:val="Strong"/>
          <w:b w:val="0"/>
          <w:bCs w:val="0"/>
        </w:rPr>
        <w:t>, course passing and exam taking</w:t>
      </w:r>
    </w:p>
    <w:p w14:paraId="7FC3BA9A" w14:textId="39D3582F" w:rsidR="00C34DA1" w:rsidRDefault="00C34DA1" w:rsidP="00C34DA1">
      <w:pPr>
        <w:pStyle w:val="ListBullet2"/>
        <w:numPr>
          <w:ilvl w:val="0"/>
          <w:numId w:val="28"/>
        </w:numPr>
        <w:spacing w:after="0"/>
        <w:rPr>
          <w:rStyle w:val="Strong"/>
          <w:b w:val="0"/>
          <w:bCs w:val="0"/>
        </w:rPr>
      </w:pPr>
      <w:r>
        <w:rPr>
          <w:rStyle w:val="Strong"/>
          <w:b w:val="0"/>
          <w:bCs w:val="0"/>
        </w:rPr>
        <w:t xml:space="preserve">Course passing by student support </w:t>
      </w:r>
    </w:p>
    <w:p w14:paraId="720BF543" w14:textId="602B070B" w:rsidR="00C34DA1" w:rsidRDefault="00C34DA1" w:rsidP="00C34DA1">
      <w:pPr>
        <w:pStyle w:val="ListBullet2"/>
        <w:numPr>
          <w:ilvl w:val="0"/>
          <w:numId w:val="28"/>
        </w:numPr>
        <w:spacing w:after="0"/>
        <w:rPr>
          <w:rStyle w:val="Strong"/>
          <w:b w:val="0"/>
          <w:bCs w:val="0"/>
        </w:rPr>
      </w:pPr>
      <w:r>
        <w:rPr>
          <w:rStyle w:val="Strong"/>
          <w:b w:val="0"/>
          <w:bCs w:val="0"/>
        </w:rPr>
        <w:t>Exam taking by student support</w:t>
      </w:r>
    </w:p>
    <w:p w14:paraId="7778AE44" w14:textId="77777777" w:rsidR="00C34DA1" w:rsidRDefault="00C34DA1" w:rsidP="00AF4611">
      <w:pPr>
        <w:pStyle w:val="BodyText"/>
      </w:pPr>
    </w:p>
    <w:p w14:paraId="5596DC80" w14:textId="2689F374" w:rsidR="00595208" w:rsidRDefault="00595208" w:rsidP="007B49DA">
      <w:pPr>
        <w:pStyle w:val="Heading4"/>
      </w:pPr>
      <w:bookmarkStart w:id="199" w:name="_Toc203984434"/>
      <w:bookmarkStart w:id="200" w:name="_Toc204766668"/>
      <w:bookmarkStart w:id="201" w:name="_Toc207183735"/>
      <w:bookmarkStart w:id="202" w:name="_Toc207348167"/>
      <w:r>
        <w:t xml:space="preserve">Quasi-experimental </w:t>
      </w:r>
      <w:r w:rsidR="00030099">
        <w:t>R</w:t>
      </w:r>
      <w:r>
        <w:t>esults</w:t>
      </w:r>
      <w:bookmarkEnd w:id="199"/>
      <w:bookmarkEnd w:id="200"/>
      <w:bookmarkEnd w:id="201"/>
      <w:bookmarkEnd w:id="202"/>
    </w:p>
    <w:p w14:paraId="2DB191F2" w14:textId="633AEAC1" w:rsidR="00DF6D8B" w:rsidRDefault="008A4282" w:rsidP="00DF6D8B">
      <w:pPr>
        <w:pStyle w:val="BodyText"/>
      </w:pPr>
      <w:r w:rsidRPr="00A93FDB">
        <w:t>Table</w:t>
      </w:r>
      <w:r w:rsidR="00DF6D8B" w:rsidRPr="00A93FDB">
        <w:t xml:space="preserve">s </w:t>
      </w:r>
      <w:r w:rsidR="005E0765" w:rsidRPr="00A93FDB">
        <w:t xml:space="preserve">3 </w:t>
      </w:r>
      <w:r w:rsidR="00DF6D8B" w:rsidRPr="00A93FDB">
        <w:t xml:space="preserve">and </w:t>
      </w:r>
      <w:r w:rsidR="005E0765" w:rsidRPr="005E0765">
        <w:t>4</w:t>
      </w:r>
      <w:r w:rsidR="00707B7F">
        <w:t>,</w:t>
      </w:r>
      <w:r>
        <w:t xml:space="preserve"> below</w:t>
      </w:r>
      <w:r w:rsidR="00707B7F">
        <w:t>,</w:t>
      </w:r>
      <w:r>
        <w:t xml:space="preserve"> present the raw, unweighted, percentages of students </w:t>
      </w:r>
      <w:r w:rsidR="00683A7B">
        <w:t xml:space="preserve">that </w:t>
      </w:r>
      <w:r>
        <w:t>achiev</w:t>
      </w:r>
      <w:r w:rsidR="00683A7B">
        <w:t>ed</w:t>
      </w:r>
      <w:r>
        <w:t xml:space="preserve"> each of the key outcomes, and note differences that are statistically significant</w:t>
      </w:r>
      <w:r w:rsidR="00FA40D1">
        <w:t xml:space="preserve"> (***</w:t>
      </w:r>
      <w:r w:rsidR="001523BD">
        <w:t xml:space="preserve"> = </w:t>
      </w:r>
      <w:r w:rsidR="005549F6">
        <w:t>p &lt;.001</w:t>
      </w:r>
      <w:r w:rsidR="00FA40D1">
        <w:t>)</w:t>
      </w:r>
      <w:r>
        <w:t>.</w:t>
      </w:r>
      <w:r w:rsidR="00DF6D8B">
        <w:t xml:space="preserve"> In general, students who participated in </w:t>
      </w:r>
      <w:r w:rsidR="00B11F10">
        <w:t>mock exams or study sessions</w:t>
      </w:r>
      <w:r w:rsidR="00DF6D8B">
        <w:t xml:space="preserve"> achieved </w:t>
      </w:r>
      <w:r w:rsidR="0022188F">
        <w:t xml:space="preserve">AP course taking and AP exam passing </w:t>
      </w:r>
      <w:r w:rsidR="00DF6D8B">
        <w:t xml:space="preserve">at a rate roughly 20–30 percentage points higher than did similar, non-participating peers. </w:t>
      </w:r>
      <w:r w:rsidR="00DF6D8B">
        <w:lastRenderedPageBreak/>
        <w:t xml:space="preserve">These differences were consistent across type of student support, AP content area, and academic year. Interestingly, almost every student who participated in a student support also passed at least one AP course and took at least one AP exam. </w:t>
      </w:r>
    </w:p>
    <w:p w14:paraId="058AAED6" w14:textId="33A23C7A" w:rsidR="00DF6D8B" w:rsidRDefault="00DF6D8B" w:rsidP="008A4282">
      <w:pPr>
        <w:pStyle w:val="BodyText"/>
      </w:pPr>
    </w:p>
    <w:p w14:paraId="4992FF74" w14:textId="0630D936" w:rsidR="00595208" w:rsidRPr="00595208" w:rsidRDefault="008A4282" w:rsidP="00595208">
      <w:pPr>
        <w:pStyle w:val="BodyText"/>
      </w:pPr>
      <w:r>
        <w:t xml:space="preserve">Tables displaying odds ratios and 95% confidence intervals are provided in </w:t>
      </w:r>
      <w:r w:rsidRPr="00B11F10">
        <w:t xml:space="preserve">Appendix </w:t>
      </w:r>
      <w:r w:rsidR="007E66E6">
        <w:t>O</w:t>
      </w:r>
      <w:r w:rsidRPr="00B11F10">
        <w:t>.</w:t>
      </w:r>
      <w:r w:rsidR="004227E2" w:rsidRPr="00B11F10">
        <w:rPr>
          <w:rStyle w:val="FootnoteReference"/>
        </w:rPr>
        <w:footnoteReference w:id="22"/>
      </w:r>
      <w:r>
        <w:t xml:space="preserve"> Results indicate that students who participated in mock exams or study sessions were significantly more likely to pass an AP course</w:t>
      </w:r>
      <w:r w:rsidR="00D353ED">
        <w:t xml:space="preserve"> and</w:t>
      </w:r>
      <w:r>
        <w:t xml:space="preserve"> take an AP exam. These results were consistent for each of the three AP content areas examined (math, science, and ELA), as well as for any AP (math, science, or ELA) content area. </w:t>
      </w:r>
    </w:p>
    <w:p w14:paraId="439AB004" w14:textId="468BB4FD" w:rsidR="00922BEC" w:rsidRDefault="00922BEC" w:rsidP="00922BEC">
      <w:pPr>
        <w:pStyle w:val="TableCaption"/>
      </w:pPr>
      <w:bookmarkStart w:id="203" w:name="_Toc207183793"/>
      <w:r>
        <w:t xml:space="preserve">Table </w:t>
      </w:r>
      <w:r w:rsidR="00642954">
        <w:t>3</w:t>
      </w:r>
      <w:r>
        <w:t xml:space="preserve">. </w:t>
      </w:r>
      <w:r w:rsidR="00B11F10">
        <w:t>Unweighted percentages of students passing AP courses and taking AP exams, by subject, with modeling results, SY2023</w:t>
      </w:r>
      <w:bookmarkEnd w:id="203"/>
      <w:r w:rsidR="00363EBB">
        <w:rPr>
          <w:rStyle w:val="FootnoteReference"/>
        </w:rPr>
        <w:footnoteReference w:id="23"/>
      </w:r>
      <w:r w:rsidR="00B11F10">
        <w:t xml:space="preserve"> </w:t>
      </w:r>
    </w:p>
    <w:tbl>
      <w:tblPr>
        <w:tblpPr w:leftFromText="180" w:rightFromText="180" w:vertAnchor="text" w:horzAnchor="margin" w:tblpY="148"/>
        <w:tblW w:w="9170" w:type="dxa"/>
        <w:tblLayout w:type="fixed"/>
        <w:tblCellMar>
          <w:left w:w="0" w:type="dxa"/>
          <w:right w:w="0" w:type="dxa"/>
        </w:tblCellMar>
        <w:tblLook w:val="0600" w:firstRow="0" w:lastRow="0" w:firstColumn="0" w:lastColumn="0" w:noHBand="1" w:noVBand="1"/>
      </w:tblPr>
      <w:tblGrid>
        <w:gridCol w:w="2510"/>
        <w:gridCol w:w="1659"/>
        <w:gridCol w:w="6"/>
        <w:gridCol w:w="1646"/>
        <w:gridCol w:w="19"/>
        <w:gridCol w:w="1640"/>
        <w:gridCol w:w="25"/>
        <w:gridCol w:w="1665"/>
      </w:tblGrid>
      <w:tr w:rsidR="006C3413" w:rsidRPr="00E543B8" w14:paraId="55B829AD" w14:textId="77777777" w:rsidTr="00693332">
        <w:trPr>
          <w:trHeight w:val="576"/>
        </w:trPr>
        <w:tc>
          <w:tcPr>
            <w:tcW w:w="2510" w:type="dxa"/>
            <w:tcBorders>
              <w:top w:val="single" w:sz="4" w:space="0" w:color="auto"/>
              <w:left w:val="single" w:sz="4" w:space="0" w:color="auto"/>
              <w:bottom w:val="single" w:sz="4" w:space="0" w:color="auto"/>
              <w:right w:val="single" w:sz="4" w:space="0" w:color="auto"/>
            </w:tcBorders>
            <w:shd w:val="clear" w:color="auto" w:fill="A32638"/>
            <w:tcMar>
              <w:top w:w="9" w:type="dxa"/>
              <w:left w:w="9" w:type="dxa"/>
              <w:bottom w:w="0" w:type="dxa"/>
              <w:right w:w="9" w:type="dxa"/>
            </w:tcMar>
            <w:vAlign w:val="center"/>
            <w:hideMark/>
          </w:tcPr>
          <w:p w14:paraId="205F713B" w14:textId="559FD020" w:rsidR="006C3413" w:rsidRPr="006C3413" w:rsidRDefault="006C3413" w:rsidP="006C3413">
            <w:pPr>
              <w:spacing w:after="0" w:line="240" w:lineRule="auto"/>
              <w:jc w:val="center"/>
              <w:rPr>
                <w:rFonts w:eastAsia="Times New Roman" w:cstheme="minorHAnsi"/>
                <w:b/>
                <w:bCs/>
              </w:rPr>
            </w:pPr>
            <w:r w:rsidRPr="006C3413">
              <w:rPr>
                <w:rFonts w:eastAsia="Times New Roman" w:cstheme="minorHAnsi"/>
                <w:b/>
                <w:bCs/>
                <w:color w:val="FFFFFF" w:themeColor="background1"/>
              </w:rPr>
              <w:t>Student Group</w:t>
            </w:r>
          </w:p>
        </w:tc>
        <w:tc>
          <w:tcPr>
            <w:tcW w:w="1665" w:type="dxa"/>
            <w:gridSpan w:val="2"/>
            <w:tcBorders>
              <w:top w:val="single" w:sz="4" w:space="0" w:color="000000"/>
              <w:left w:val="single" w:sz="4" w:space="0" w:color="auto"/>
              <w:bottom w:val="single" w:sz="4" w:space="0" w:color="000000"/>
              <w:right w:val="single" w:sz="4" w:space="0" w:color="000000"/>
            </w:tcBorders>
            <w:shd w:val="clear" w:color="auto" w:fill="A32638"/>
            <w:tcMar>
              <w:top w:w="9" w:type="dxa"/>
              <w:left w:w="9" w:type="dxa"/>
              <w:bottom w:w="0" w:type="dxa"/>
              <w:right w:w="9" w:type="dxa"/>
            </w:tcMar>
            <w:vAlign w:val="center"/>
            <w:hideMark/>
          </w:tcPr>
          <w:p w14:paraId="357EA9E8" w14:textId="77777777" w:rsidR="006C3413" w:rsidRDefault="006C3413" w:rsidP="007C771B">
            <w:pPr>
              <w:spacing w:after="0" w:line="240" w:lineRule="auto"/>
              <w:jc w:val="center"/>
              <w:textAlignment w:val="center"/>
              <w:rPr>
                <w:rFonts w:eastAsia="Times New Roman" w:cstheme="minorHAnsi"/>
                <w:b/>
                <w:bCs/>
                <w:color w:val="FFFFFF"/>
                <w:kern w:val="24"/>
              </w:rPr>
            </w:pPr>
            <w:r>
              <w:rPr>
                <w:rFonts w:eastAsia="Times New Roman" w:cstheme="minorHAnsi"/>
                <w:b/>
                <w:bCs/>
                <w:color w:val="FFFFFF"/>
                <w:kern w:val="24"/>
              </w:rPr>
              <w:t>Participant</w:t>
            </w:r>
          </w:p>
          <w:p w14:paraId="24249733" w14:textId="1A4072BE" w:rsidR="006C3413" w:rsidRPr="008D0684" w:rsidRDefault="006C3413" w:rsidP="007C771B">
            <w:pPr>
              <w:spacing w:after="0" w:line="240" w:lineRule="auto"/>
              <w:jc w:val="center"/>
              <w:textAlignment w:val="center"/>
              <w:rPr>
                <w:rFonts w:eastAsia="Times New Roman" w:cstheme="minorHAnsi"/>
              </w:rPr>
            </w:pPr>
            <w:r w:rsidRPr="00E543B8">
              <w:rPr>
                <w:rFonts w:eastAsia="Times New Roman" w:cstheme="minorHAnsi"/>
                <w:b/>
                <w:bCs/>
                <w:color w:val="FFFFFF"/>
                <w:kern w:val="24"/>
              </w:rPr>
              <w:t xml:space="preserve">AP </w:t>
            </w:r>
            <w:r>
              <w:rPr>
                <w:rFonts w:eastAsia="Times New Roman" w:cstheme="minorHAnsi"/>
                <w:b/>
                <w:bCs/>
                <w:color w:val="FFFFFF"/>
                <w:kern w:val="24"/>
              </w:rPr>
              <w:t>Course Passing</w:t>
            </w:r>
          </w:p>
        </w:tc>
        <w:tc>
          <w:tcPr>
            <w:tcW w:w="1665" w:type="dxa"/>
            <w:gridSpan w:val="2"/>
            <w:tcBorders>
              <w:top w:val="single" w:sz="4" w:space="0" w:color="000000"/>
              <w:left w:val="single" w:sz="4" w:space="0" w:color="auto"/>
              <w:bottom w:val="single" w:sz="4" w:space="0" w:color="000000"/>
              <w:right w:val="single" w:sz="4" w:space="0" w:color="000000"/>
            </w:tcBorders>
            <w:shd w:val="clear" w:color="auto" w:fill="A32638"/>
            <w:vAlign w:val="center"/>
          </w:tcPr>
          <w:p w14:paraId="0887ADDE" w14:textId="79C88F38" w:rsidR="006C3413" w:rsidRPr="00FB725E" w:rsidRDefault="006C3413" w:rsidP="007C771B">
            <w:pPr>
              <w:spacing w:after="0" w:line="240" w:lineRule="auto"/>
              <w:jc w:val="center"/>
              <w:textAlignment w:val="center"/>
              <w:rPr>
                <w:rFonts w:eastAsia="Times New Roman" w:cstheme="minorHAnsi"/>
                <w:b/>
                <w:bCs/>
                <w:lang w:val="fr-FR"/>
              </w:rPr>
            </w:pPr>
            <w:r w:rsidRPr="00FB725E">
              <w:rPr>
                <w:rFonts w:eastAsia="Times New Roman" w:cstheme="minorHAnsi"/>
                <w:b/>
                <w:bCs/>
                <w:color w:val="FFFFFF" w:themeColor="background1"/>
                <w:lang w:val="fr-FR"/>
              </w:rPr>
              <w:t>Non-Participant AP Course Passing</w:t>
            </w:r>
          </w:p>
        </w:tc>
        <w:tc>
          <w:tcPr>
            <w:tcW w:w="1665" w:type="dxa"/>
            <w:gridSpan w:val="2"/>
            <w:tcBorders>
              <w:top w:val="single" w:sz="4" w:space="0" w:color="000000"/>
              <w:left w:val="single" w:sz="4" w:space="0" w:color="000000"/>
              <w:bottom w:val="single" w:sz="4" w:space="0" w:color="000000"/>
              <w:right w:val="single" w:sz="4" w:space="0" w:color="000000"/>
            </w:tcBorders>
            <w:shd w:val="clear" w:color="auto" w:fill="A32638"/>
            <w:tcMar>
              <w:top w:w="9" w:type="dxa"/>
              <w:left w:w="9" w:type="dxa"/>
              <w:bottom w:w="0" w:type="dxa"/>
              <w:right w:w="9" w:type="dxa"/>
            </w:tcMar>
            <w:vAlign w:val="center"/>
            <w:hideMark/>
          </w:tcPr>
          <w:p w14:paraId="306E0524" w14:textId="77777777" w:rsidR="006C3413" w:rsidRDefault="006C3413" w:rsidP="007C771B">
            <w:pPr>
              <w:spacing w:after="0" w:line="240" w:lineRule="auto"/>
              <w:jc w:val="center"/>
              <w:textAlignment w:val="center"/>
              <w:rPr>
                <w:rFonts w:eastAsia="Times New Roman" w:cstheme="minorHAnsi"/>
                <w:b/>
                <w:bCs/>
                <w:color w:val="FFFFFF"/>
                <w:kern w:val="24"/>
              </w:rPr>
            </w:pPr>
            <w:r>
              <w:rPr>
                <w:rFonts w:eastAsia="Times New Roman" w:cstheme="minorHAnsi"/>
                <w:b/>
                <w:bCs/>
                <w:color w:val="FFFFFF"/>
                <w:kern w:val="24"/>
              </w:rPr>
              <w:t>Participant</w:t>
            </w:r>
          </w:p>
          <w:p w14:paraId="472C3C53" w14:textId="2164BB31" w:rsidR="006C3413" w:rsidRPr="008D0684" w:rsidRDefault="006C3413" w:rsidP="007C771B">
            <w:pPr>
              <w:spacing w:after="0" w:line="240" w:lineRule="auto"/>
              <w:jc w:val="center"/>
              <w:textAlignment w:val="center"/>
              <w:rPr>
                <w:rFonts w:eastAsia="Times New Roman" w:cstheme="minorHAnsi"/>
              </w:rPr>
            </w:pPr>
            <w:r w:rsidRPr="00E543B8">
              <w:rPr>
                <w:rFonts w:eastAsia="Times New Roman" w:cstheme="minorHAnsi"/>
                <w:b/>
                <w:bCs/>
                <w:color w:val="FFFFFF"/>
                <w:kern w:val="24"/>
              </w:rPr>
              <w:t xml:space="preserve">AP Exam </w:t>
            </w:r>
            <w:r>
              <w:rPr>
                <w:rFonts w:eastAsia="Times New Roman" w:cstheme="minorHAnsi"/>
                <w:b/>
                <w:bCs/>
                <w:color w:val="FFFFFF"/>
                <w:kern w:val="24"/>
              </w:rPr>
              <w:t>Taking</w:t>
            </w:r>
          </w:p>
        </w:tc>
        <w:tc>
          <w:tcPr>
            <w:tcW w:w="1665" w:type="dxa"/>
            <w:tcBorders>
              <w:top w:val="single" w:sz="4" w:space="0" w:color="000000"/>
              <w:left w:val="single" w:sz="4" w:space="0" w:color="000000"/>
              <w:bottom w:val="single" w:sz="4" w:space="0" w:color="000000"/>
              <w:right w:val="single" w:sz="4" w:space="0" w:color="000000"/>
            </w:tcBorders>
            <w:shd w:val="clear" w:color="auto" w:fill="A32638"/>
            <w:vAlign w:val="center"/>
          </w:tcPr>
          <w:p w14:paraId="07B4B11C" w14:textId="77777777" w:rsidR="006C3413" w:rsidRPr="006C3413" w:rsidRDefault="006C3413" w:rsidP="007C771B">
            <w:pPr>
              <w:spacing w:after="0" w:line="240" w:lineRule="auto"/>
              <w:jc w:val="center"/>
              <w:textAlignment w:val="center"/>
              <w:rPr>
                <w:rFonts w:eastAsia="Times New Roman" w:cstheme="minorHAnsi"/>
                <w:b/>
                <w:bCs/>
                <w:color w:val="FFFFFF" w:themeColor="background1"/>
              </w:rPr>
            </w:pPr>
            <w:r w:rsidRPr="006C3413">
              <w:rPr>
                <w:rFonts w:eastAsia="Times New Roman" w:cstheme="minorHAnsi"/>
                <w:b/>
                <w:bCs/>
                <w:color w:val="FFFFFF" w:themeColor="background1"/>
              </w:rPr>
              <w:t>Non-Participant</w:t>
            </w:r>
          </w:p>
          <w:p w14:paraId="5825D16C" w14:textId="58E926F4" w:rsidR="006C3413" w:rsidRPr="008D0684" w:rsidRDefault="006C3413" w:rsidP="007C771B">
            <w:pPr>
              <w:spacing w:after="0" w:line="240" w:lineRule="auto"/>
              <w:jc w:val="center"/>
              <w:textAlignment w:val="center"/>
              <w:rPr>
                <w:rFonts w:eastAsia="Times New Roman" w:cstheme="minorHAnsi"/>
              </w:rPr>
            </w:pPr>
            <w:r w:rsidRPr="006C3413">
              <w:rPr>
                <w:rFonts w:eastAsia="Times New Roman" w:cstheme="minorHAnsi"/>
                <w:b/>
                <w:bCs/>
                <w:color w:val="FFFFFF" w:themeColor="background1"/>
              </w:rPr>
              <w:t>AP Exam Taking</w:t>
            </w:r>
          </w:p>
        </w:tc>
      </w:tr>
      <w:tr w:rsidR="00D9072B" w:rsidRPr="00E543B8" w14:paraId="1DA10E2C" w14:textId="77777777" w:rsidTr="008E5FE2">
        <w:trPr>
          <w:trHeight w:val="576"/>
        </w:trPr>
        <w:tc>
          <w:tcPr>
            <w:tcW w:w="2510" w:type="dxa"/>
            <w:tcBorders>
              <w:top w:val="single" w:sz="4" w:space="0" w:color="000000"/>
              <w:left w:val="single" w:sz="4" w:space="0" w:color="000000"/>
              <w:bottom w:val="single" w:sz="4" w:space="0" w:color="000000"/>
              <w:right w:val="single" w:sz="8" w:space="0" w:color="3B3838"/>
            </w:tcBorders>
            <w:tcMar>
              <w:top w:w="9" w:type="dxa"/>
              <w:left w:w="43" w:type="dxa"/>
              <w:bottom w:w="0" w:type="dxa"/>
              <w:right w:w="9" w:type="dxa"/>
            </w:tcMar>
            <w:vAlign w:val="center"/>
            <w:hideMark/>
          </w:tcPr>
          <w:p w14:paraId="4A1BB23F" w14:textId="77777777" w:rsidR="00922BEC" w:rsidRPr="008D0684" w:rsidRDefault="00922BEC" w:rsidP="007C771B">
            <w:pPr>
              <w:spacing w:after="0" w:line="240" w:lineRule="auto"/>
              <w:textAlignment w:val="bottom"/>
              <w:rPr>
                <w:rFonts w:eastAsia="Times New Roman" w:cstheme="minorHAnsi"/>
              </w:rPr>
            </w:pPr>
            <w:r w:rsidRPr="00E543B8">
              <w:rPr>
                <w:rFonts w:eastAsia="Times New Roman" w:cstheme="minorHAnsi"/>
                <w:color w:val="000000"/>
                <w:kern w:val="24"/>
              </w:rPr>
              <w:t xml:space="preserve">AP </w:t>
            </w:r>
            <w:r>
              <w:rPr>
                <w:rFonts w:eastAsia="Times New Roman" w:cstheme="minorHAnsi"/>
                <w:color w:val="000000"/>
                <w:kern w:val="24"/>
              </w:rPr>
              <w:t>ELA</w:t>
            </w:r>
            <w:r w:rsidRPr="00E543B8">
              <w:rPr>
                <w:rFonts w:eastAsia="Times New Roman" w:cstheme="minorHAnsi"/>
                <w:color w:val="000000"/>
                <w:kern w:val="24"/>
              </w:rPr>
              <w:t xml:space="preserve"> – Mock Exams</w:t>
            </w:r>
          </w:p>
        </w:tc>
        <w:tc>
          <w:tcPr>
            <w:tcW w:w="1659" w:type="dxa"/>
            <w:tcBorders>
              <w:top w:val="single" w:sz="4" w:space="0" w:color="000000"/>
              <w:left w:val="single" w:sz="8" w:space="0" w:color="3B3838"/>
              <w:bottom w:val="single" w:sz="4" w:space="0" w:color="000000"/>
              <w:right w:val="single" w:sz="4" w:space="0" w:color="000000"/>
            </w:tcBorders>
            <w:tcMar>
              <w:top w:w="10" w:type="dxa"/>
              <w:left w:w="10" w:type="dxa"/>
              <w:bottom w:w="0" w:type="dxa"/>
              <w:right w:w="10" w:type="dxa"/>
            </w:tcMar>
            <w:vAlign w:val="center"/>
          </w:tcPr>
          <w:p w14:paraId="2391E78A" w14:textId="515F563B" w:rsidR="00922BEC" w:rsidRPr="008D0684" w:rsidRDefault="00922BEC" w:rsidP="007C771B">
            <w:pPr>
              <w:spacing w:after="0" w:line="240" w:lineRule="auto"/>
              <w:jc w:val="center"/>
              <w:textAlignment w:val="bottom"/>
              <w:rPr>
                <w:rFonts w:eastAsia="Times New Roman" w:cstheme="minorHAnsi"/>
              </w:rPr>
            </w:pPr>
            <w:r>
              <w:rPr>
                <w:rFonts w:eastAsia="Times New Roman" w:cstheme="minorHAnsi"/>
              </w:rPr>
              <w:t>9</w:t>
            </w:r>
            <w:r w:rsidR="00867C48">
              <w:rPr>
                <w:rFonts w:eastAsia="Times New Roman" w:cstheme="minorHAnsi"/>
              </w:rPr>
              <w:t>7.9</w:t>
            </w:r>
            <w:r>
              <w:rPr>
                <w:rFonts w:eastAsia="Times New Roman" w:cstheme="minorHAnsi"/>
              </w:rPr>
              <w:t>%***</w:t>
            </w:r>
          </w:p>
        </w:tc>
        <w:tc>
          <w:tcPr>
            <w:tcW w:w="1652" w:type="dxa"/>
            <w:gridSpan w:val="2"/>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tcPr>
          <w:p w14:paraId="2F6C6C01" w14:textId="329C9B2B" w:rsidR="00922BEC" w:rsidRPr="008D0684" w:rsidRDefault="00922BEC" w:rsidP="007C771B">
            <w:pPr>
              <w:spacing w:after="0" w:line="240" w:lineRule="auto"/>
              <w:jc w:val="center"/>
              <w:textAlignment w:val="bottom"/>
              <w:rPr>
                <w:rFonts w:eastAsia="Times New Roman" w:cstheme="minorHAnsi"/>
              </w:rPr>
            </w:pPr>
            <w:r>
              <w:rPr>
                <w:rFonts w:eastAsia="Times New Roman" w:cstheme="minorHAnsi"/>
              </w:rPr>
              <w:t>72</w:t>
            </w:r>
            <w:r w:rsidR="00867C48">
              <w:rPr>
                <w:rFonts w:eastAsia="Times New Roman" w:cstheme="minorHAnsi"/>
              </w:rPr>
              <w:t>.0</w:t>
            </w:r>
            <w:r>
              <w:rPr>
                <w:rFonts w:eastAsia="Times New Roman" w:cstheme="minorHAnsi"/>
              </w:rPr>
              <w:t>%</w:t>
            </w:r>
          </w:p>
        </w:tc>
        <w:tc>
          <w:tcPr>
            <w:tcW w:w="1659" w:type="dxa"/>
            <w:gridSpan w:val="2"/>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tcPr>
          <w:p w14:paraId="6D783827" w14:textId="517BE96D" w:rsidR="00922BEC" w:rsidRPr="008D0684" w:rsidRDefault="00922BEC" w:rsidP="007C771B">
            <w:pPr>
              <w:spacing w:after="0" w:line="240" w:lineRule="auto"/>
              <w:jc w:val="center"/>
              <w:textAlignment w:val="bottom"/>
              <w:rPr>
                <w:rFonts w:eastAsia="Times New Roman" w:cstheme="minorHAnsi"/>
              </w:rPr>
            </w:pPr>
            <w:r>
              <w:rPr>
                <w:rFonts w:eastAsia="Times New Roman" w:cstheme="minorHAnsi"/>
              </w:rPr>
              <w:t>9</w:t>
            </w:r>
            <w:r w:rsidR="00870701">
              <w:rPr>
                <w:rFonts w:eastAsia="Times New Roman" w:cstheme="minorHAnsi"/>
              </w:rPr>
              <w:t>5.7</w:t>
            </w:r>
            <w:r>
              <w:rPr>
                <w:rFonts w:eastAsia="Times New Roman" w:cstheme="minorHAnsi"/>
              </w:rPr>
              <w:t>%***</w:t>
            </w:r>
          </w:p>
        </w:tc>
        <w:tc>
          <w:tcPr>
            <w:tcW w:w="1690" w:type="dxa"/>
            <w:gridSpan w:val="2"/>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tcPr>
          <w:p w14:paraId="380F2F8C" w14:textId="550877D0" w:rsidR="00922BEC" w:rsidRPr="008D0684" w:rsidRDefault="00922BEC" w:rsidP="007C771B">
            <w:pPr>
              <w:spacing w:after="0" w:line="240" w:lineRule="auto"/>
              <w:jc w:val="center"/>
              <w:textAlignment w:val="bottom"/>
              <w:rPr>
                <w:rFonts w:eastAsia="Times New Roman" w:cstheme="minorHAnsi"/>
              </w:rPr>
            </w:pPr>
            <w:r>
              <w:rPr>
                <w:rFonts w:eastAsia="Times New Roman" w:cstheme="minorHAnsi"/>
              </w:rPr>
              <w:t>61</w:t>
            </w:r>
            <w:r w:rsidR="0073564C">
              <w:rPr>
                <w:rFonts w:eastAsia="Times New Roman" w:cstheme="minorHAnsi"/>
              </w:rPr>
              <w:t>.4</w:t>
            </w:r>
            <w:r>
              <w:rPr>
                <w:rFonts w:eastAsia="Times New Roman" w:cstheme="minorHAnsi"/>
              </w:rPr>
              <w:t>%</w:t>
            </w:r>
          </w:p>
        </w:tc>
      </w:tr>
      <w:tr w:rsidR="00D9072B" w:rsidRPr="00E543B8" w14:paraId="26CA8BA8" w14:textId="77777777" w:rsidTr="008E5FE2">
        <w:trPr>
          <w:trHeight w:val="576"/>
        </w:trPr>
        <w:tc>
          <w:tcPr>
            <w:tcW w:w="2510" w:type="dxa"/>
            <w:tcBorders>
              <w:top w:val="single" w:sz="4" w:space="0" w:color="000000"/>
              <w:left w:val="single" w:sz="4" w:space="0" w:color="000000"/>
              <w:bottom w:val="single" w:sz="4" w:space="0" w:color="000000"/>
              <w:right w:val="single" w:sz="8" w:space="0" w:color="3B3838"/>
            </w:tcBorders>
            <w:tcMar>
              <w:top w:w="9" w:type="dxa"/>
              <w:left w:w="43" w:type="dxa"/>
              <w:bottom w:w="0" w:type="dxa"/>
              <w:right w:w="9" w:type="dxa"/>
            </w:tcMar>
            <w:vAlign w:val="center"/>
            <w:hideMark/>
          </w:tcPr>
          <w:p w14:paraId="5BA7C432" w14:textId="77777777" w:rsidR="00922BEC" w:rsidRPr="008D0684" w:rsidRDefault="00922BEC" w:rsidP="007C771B">
            <w:pPr>
              <w:spacing w:after="0" w:line="240" w:lineRule="auto"/>
              <w:textAlignment w:val="bottom"/>
              <w:rPr>
                <w:rFonts w:eastAsia="Times New Roman" w:cstheme="minorHAnsi"/>
              </w:rPr>
            </w:pPr>
            <w:r w:rsidRPr="00E543B8">
              <w:rPr>
                <w:rFonts w:eastAsia="Times New Roman" w:cstheme="minorHAnsi"/>
                <w:color w:val="000000"/>
                <w:kern w:val="24"/>
              </w:rPr>
              <w:t xml:space="preserve">AP </w:t>
            </w:r>
            <w:r>
              <w:rPr>
                <w:rFonts w:eastAsia="Times New Roman" w:cstheme="minorHAnsi"/>
                <w:color w:val="000000"/>
                <w:kern w:val="24"/>
              </w:rPr>
              <w:t>Math</w:t>
            </w:r>
            <w:r w:rsidRPr="00E543B8">
              <w:rPr>
                <w:rFonts w:eastAsia="Times New Roman" w:cstheme="minorHAnsi"/>
                <w:color w:val="000000"/>
                <w:kern w:val="24"/>
              </w:rPr>
              <w:t xml:space="preserve"> – Mock Exams</w:t>
            </w:r>
          </w:p>
        </w:tc>
        <w:tc>
          <w:tcPr>
            <w:tcW w:w="1659" w:type="dxa"/>
            <w:tcBorders>
              <w:top w:val="single" w:sz="4" w:space="0" w:color="000000"/>
              <w:left w:val="single" w:sz="8" w:space="0" w:color="3B3838"/>
              <w:bottom w:val="single" w:sz="4" w:space="0" w:color="000000"/>
              <w:right w:val="single" w:sz="4" w:space="0" w:color="000000"/>
            </w:tcBorders>
            <w:tcMar>
              <w:top w:w="10" w:type="dxa"/>
              <w:left w:w="10" w:type="dxa"/>
              <w:bottom w:w="0" w:type="dxa"/>
              <w:right w:w="10" w:type="dxa"/>
            </w:tcMar>
            <w:vAlign w:val="center"/>
          </w:tcPr>
          <w:p w14:paraId="4E1EA0FC" w14:textId="0274D187" w:rsidR="00922BEC" w:rsidRPr="008D0684" w:rsidRDefault="00922BEC" w:rsidP="007C771B">
            <w:pPr>
              <w:spacing w:after="0" w:line="240" w:lineRule="auto"/>
              <w:jc w:val="center"/>
              <w:textAlignment w:val="bottom"/>
              <w:rPr>
                <w:rFonts w:eastAsia="Times New Roman" w:cstheme="minorHAnsi"/>
              </w:rPr>
            </w:pPr>
            <w:r>
              <w:rPr>
                <w:rFonts w:eastAsia="Times New Roman" w:cstheme="minorHAnsi"/>
              </w:rPr>
              <w:t>98</w:t>
            </w:r>
            <w:r w:rsidR="00867C48">
              <w:rPr>
                <w:rFonts w:eastAsia="Times New Roman" w:cstheme="minorHAnsi"/>
              </w:rPr>
              <w:t>.2</w:t>
            </w:r>
            <w:r>
              <w:rPr>
                <w:rFonts w:eastAsia="Times New Roman" w:cstheme="minorHAnsi"/>
              </w:rPr>
              <w:t>%***</w:t>
            </w:r>
          </w:p>
        </w:tc>
        <w:tc>
          <w:tcPr>
            <w:tcW w:w="1652" w:type="dxa"/>
            <w:gridSpan w:val="2"/>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tcPr>
          <w:p w14:paraId="0812AFD4" w14:textId="12DA8CE9" w:rsidR="00922BEC" w:rsidRPr="008D0684" w:rsidRDefault="00922BEC" w:rsidP="007C771B">
            <w:pPr>
              <w:spacing w:after="0" w:line="240" w:lineRule="auto"/>
              <w:jc w:val="center"/>
              <w:textAlignment w:val="bottom"/>
              <w:rPr>
                <w:rFonts w:eastAsia="Times New Roman" w:cstheme="minorHAnsi"/>
              </w:rPr>
            </w:pPr>
            <w:r>
              <w:rPr>
                <w:rFonts w:eastAsia="Times New Roman" w:cstheme="minorHAnsi"/>
              </w:rPr>
              <w:t>78</w:t>
            </w:r>
            <w:r w:rsidR="00867C48">
              <w:rPr>
                <w:rFonts w:eastAsia="Times New Roman" w:cstheme="minorHAnsi"/>
              </w:rPr>
              <w:t>.1</w:t>
            </w:r>
            <w:r>
              <w:rPr>
                <w:rFonts w:eastAsia="Times New Roman" w:cstheme="minorHAnsi"/>
              </w:rPr>
              <w:t>%</w:t>
            </w:r>
          </w:p>
        </w:tc>
        <w:tc>
          <w:tcPr>
            <w:tcW w:w="1659" w:type="dxa"/>
            <w:gridSpan w:val="2"/>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tcPr>
          <w:p w14:paraId="4FF0080B" w14:textId="13D76564" w:rsidR="00922BEC" w:rsidRPr="008D0684" w:rsidRDefault="00922BEC" w:rsidP="007C771B">
            <w:pPr>
              <w:spacing w:after="0" w:line="240" w:lineRule="auto"/>
              <w:jc w:val="center"/>
              <w:textAlignment w:val="bottom"/>
              <w:rPr>
                <w:rFonts w:eastAsia="Times New Roman" w:cstheme="minorHAnsi"/>
              </w:rPr>
            </w:pPr>
            <w:r>
              <w:rPr>
                <w:rFonts w:eastAsia="Times New Roman" w:cstheme="minorHAnsi"/>
              </w:rPr>
              <w:t>97</w:t>
            </w:r>
            <w:r w:rsidR="002B60E5">
              <w:rPr>
                <w:rFonts w:eastAsia="Times New Roman" w:cstheme="minorHAnsi"/>
              </w:rPr>
              <w:t>.1</w:t>
            </w:r>
            <w:r>
              <w:rPr>
                <w:rFonts w:eastAsia="Times New Roman" w:cstheme="minorHAnsi"/>
              </w:rPr>
              <w:t>%***</w:t>
            </w:r>
          </w:p>
        </w:tc>
        <w:tc>
          <w:tcPr>
            <w:tcW w:w="1690" w:type="dxa"/>
            <w:gridSpan w:val="2"/>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tcPr>
          <w:p w14:paraId="46717865" w14:textId="61455AF7" w:rsidR="00922BEC" w:rsidRPr="008D0684" w:rsidRDefault="00922BEC" w:rsidP="007C771B">
            <w:pPr>
              <w:spacing w:after="0" w:line="240" w:lineRule="auto"/>
              <w:jc w:val="center"/>
              <w:textAlignment w:val="bottom"/>
              <w:rPr>
                <w:rFonts w:eastAsia="Times New Roman" w:cstheme="minorHAnsi"/>
              </w:rPr>
            </w:pPr>
            <w:r>
              <w:rPr>
                <w:rFonts w:eastAsia="Times New Roman" w:cstheme="minorHAnsi"/>
              </w:rPr>
              <w:t>71</w:t>
            </w:r>
            <w:r w:rsidR="0073564C">
              <w:rPr>
                <w:rFonts w:eastAsia="Times New Roman" w:cstheme="minorHAnsi"/>
              </w:rPr>
              <w:t>.0</w:t>
            </w:r>
            <w:r>
              <w:rPr>
                <w:rFonts w:eastAsia="Times New Roman" w:cstheme="minorHAnsi"/>
              </w:rPr>
              <w:t>%</w:t>
            </w:r>
          </w:p>
        </w:tc>
      </w:tr>
      <w:tr w:rsidR="00D9072B" w:rsidRPr="00E543B8" w14:paraId="27C0BD18" w14:textId="77777777" w:rsidTr="008E5FE2">
        <w:trPr>
          <w:trHeight w:val="576"/>
        </w:trPr>
        <w:tc>
          <w:tcPr>
            <w:tcW w:w="2510" w:type="dxa"/>
            <w:tcBorders>
              <w:top w:val="single" w:sz="4" w:space="0" w:color="000000"/>
              <w:left w:val="single" w:sz="4" w:space="0" w:color="000000"/>
              <w:bottom w:val="single" w:sz="4" w:space="0" w:color="000000"/>
              <w:right w:val="single" w:sz="8" w:space="0" w:color="3B3838"/>
            </w:tcBorders>
            <w:tcMar>
              <w:top w:w="9" w:type="dxa"/>
              <w:left w:w="43" w:type="dxa"/>
              <w:bottom w:w="0" w:type="dxa"/>
              <w:right w:w="9" w:type="dxa"/>
            </w:tcMar>
            <w:vAlign w:val="center"/>
            <w:hideMark/>
          </w:tcPr>
          <w:p w14:paraId="724B1AF4" w14:textId="77777777" w:rsidR="00922BEC" w:rsidRPr="008D0684" w:rsidRDefault="00922BEC" w:rsidP="007C771B">
            <w:pPr>
              <w:spacing w:after="0" w:line="240" w:lineRule="auto"/>
              <w:textAlignment w:val="bottom"/>
              <w:rPr>
                <w:rFonts w:eastAsia="Times New Roman" w:cstheme="minorHAnsi"/>
              </w:rPr>
            </w:pPr>
            <w:r w:rsidRPr="00E543B8">
              <w:rPr>
                <w:rFonts w:eastAsia="Times New Roman" w:cstheme="minorHAnsi"/>
                <w:color w:val="000000"/>
                <w:kern w:val="24"/>
              </w:rPr>
              <w:t xml:space="preserve">AP </w:t>
            </w:r>
            <w:r>
              <w:rPr>
                <w:rFonts w:eastAsia="Times New Roman" w:cstheme="minorHAnsi"/>
                <w:color w:val="000000"/>
                <w:kern w:val="24"/>
              </w:rPr>
              <w:t>Science</w:t>
            </w:r>
            <w:r w:rsidRPr="00E543B8">
              <w:rPr>
                <w:rFonts w:eastAsia="Times New Roman" w:cstheme="minorHAnsi"/>
                <w:color w:val="000000"/>
                <w:kern w:val="24"/>
              </w:rPr>
              <w:t xml:space="preserve"> – Mock Exams</w:t>
            </w:r>
          </w:p>
        </w:tc>
        <w:tc>
          <w:tcPr>
            <w:tcW w:w="1659" w:type="dxa"/>
            <w:tcBorders>
              <w:top w:val="single" w:sz="4" w:space="0" w:color="000000"/>
              <w:left w:val="single" w:sz="8" w:space="0" w:color="3B3838"/>
              <w:bottom w:val="single" w:sz="4" w:space="0" w:color="000000"/>
              <w:right w:val="single" w:sz="4" w:space="0" w:color="000000"/>
            </w:tcBorders>
            <w:tcMar>
              <w:top w:w="10" w:type="dxa"/>
              <w:left w:w="10" w:type="dxa"/>
              <w:bottom w:w="0" w:type="dxa"/>
              <w:right w:w="10" w:type="dxa"/>
            </w:tcMar>
            <w:vAlign w:val="center"/>
          </w:tcPr>
          <w:p w14:paraId="46560072" w14:textId="108E89B6" w:rsidR="00922BEC" w:rsidRPr="008D0684" w:rsidRDefault="00922BEC" w:rsidP="007C771B">
            <w:pPr>
              <w:spacing w:after="0" w:line="240" w:lineRule="auto"/>
              <w:jc w:val="center"/>
              <w:textAlignment w:val="bottom"/>
              <w:rPr>
                <w:rFonts w:eastAsia="Times New Roman" w:cstheme="minorHAnsi"/>
              </w:rPr>
            </w:pPr>
            <w:r>
              <w:rPr>
                <w:rFonts w:eastAsia="Times New Roman" w:cstheme="minorHAnsi"/>
              </w:rPr>
              <w:t>98</w:t>
            </w:r>
            <w:r w:rsidR="00867C48">
              <w:rPr>
                <w:rFonts w:eastAsia="Times New Roman" w:cstheme="minorHAnsi"/>
              </w:rPr>
              <w:t>.3</w:t>
            </w:r>
            <w:r>
              <w:rPr>
                <w:rFonts w:eastAsia="Times New Roman" w:cstheme="minorHAnsi"/>
              </w:rPr>
              <w:t>%***</w:t>
            </w:r>
          </w:p>
        </w:tc>
        <w:tc>
          <w:tcPr>
            <w:tcW w:w="1652" w:type="dxa"/>
            <w:gridSpan w:val="2"/>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tcPr>
          <w:p w14:paraId="6C5BEE5A" w14:textId="19B6EC31" w:rsidR="00922BEC" w:rsidRPr="008D0684" w:rsidRDefault="00922BEC" w:rsidP="007C771B">
            <w:pPr>
              <w:spacing w:after="0" w:line="240" w:lineRule="auto"/>
              <w:jc w:val="center"/>
              <w:textAlignment w:val="bottom"/>
              <w:rPr>
                <w:rFonts w:eastAsia="Times New Roman" w:cstheme="minorHAnsi"/>
              </w:rPr>
            </w:pPr>
            <w:r>
              <w:rPr>
                <w:rFonts w:eastAsia="Times New Roman" w:cstheme="minorHAnsi"/>
              </w:rPr>
              <w:t>7</w:t>
            </w:r>
            <w:r w:rsidR="004C7B6D">
              <w:rPr>
                <w:rFonts w:eastAsia="Times New Roman" w:cstheme="minorHAnsi"/>
              </w:rPr>
              <w:t>3.6</w:t>
            </w:r>
            <w:r>
              <w:rPr>
                <w:rFonts w:eastAsia="Times New Roman" w:cstheme="minorHAnsi"/>
              </w:rPr>
              <w:t>%</w:t>
            </w:r>
          </w:p>
        </w:tc>
        <w:tc>
          <w:tcPr>
            <w:tcW w:w="1659" w:type="dxa"/>
            <w:gridSpan w:val="2"/>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tcPr>
          <w:p w14:paraId="1DD3E3D7" w14:textId="198FD55E" w:rsidR="00922BEC" w:rsidRPr="008D0684" w:rsidRDefault="00922BEC" w:rsidP="007C771B">
            <w:pPr>
              <w:spacing w:after="0" w:line="240" w:lineRule="auto"/>
              <w:jc w:val="center"/>
              <w:textAlignment w:val="bottom"/>
              <w:rPr>
                <w:rFonts w:eastAsia="Times New Roman" w:cstheme="minorHAnsi"/>
              </w:rPr>
            </w:pPr>
            <w:r>
              <w:rPr>
                <w:rFonts w:eastAsia="Times New Roman" w:cstheme="minorHAnsi"/>
              </w:rPr>
              <w:t>9</w:t>
            </w:r>
            <w:r w:rsidR="002B60E5">
              <w:rPr>
                <w:rFonts w:eastAsia="Times New Roman" w:cstheme="minorHAnsi"/>
              </w:rPr>
              <w:t>7.6</w:t>
            </w:r>
            <w:r>
              <w:rPr>
                <w:rFonts w:eastAsia="Times New Roman" w:cstheme="minorHAnsi"/>
              </w:rPr>
              <w:t>%***</w:t>
            </w:r>
          </w:p>
        </w:tc>
        <w:tc>
          <w:tcPr>
            <w:tcW w:w="1690" w:type="dxa"/>
            <w:gridSpan w:val="2"/>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tcPr>
          <w:p w14:paraId="64D86D5E" w14:textId="23C86EE2" w:rsidR="00922BEC" w:rsidRPr="008D0684" w:rsidRDefault="00922BEC" w:rsidP="007C771B">
            <w:pPr>
              <w:spacing w:after="0" w:line="240" w:lineRule="auto"/>
              <w:jc w:val="center"/>
              <w:textAlignment w:val="bottom"/>
              <w:rPr>
                <w:rFonts w:eastAsia="Times New Roman" w:cstheme="minorHAnsi"/>
              </w:rPr>
            </w:pPr>
            <w:r>
              <w:rPr>
                <w:rFonts w:eastAsia="Times New Roman" w:cstheme="minorHAnsi"/>
              </w:rPr>
              <w:t>66</w:t>
            </w:r>
            <w:r w:rsidR="0073564C">
              <w:rPr>
                <w:rFonts w:eastAsia="Times New Roman" w:cstheme="minorHAnsi"/>
              </w:rPr>
              <w:t>.0</w:t>
            </w:r>
            <w:r>
              <w:rPr>
                <w:rFonts w:eastAsia="Times New Roman" w:cstheme="minorHAnsi"/>
              </w:rPr>
              <w:t>%</w:t>
            </w:r>
          </w:p>
        </w:tc>
      </w:tr>
      <w:tr w:rsidR="009175DE" w:rsidRPr="00E543B8" w14:paraId="3D3C2FAC" w14:textId="77777777" w:rsidTr="008E5FE2">
        <w:trPr>
          <w:trHeight w:val="576"/>
        </w:trPr>
        <w:tc>
          <w:tcPr>
            <w:tcW w:w="2510" w:type="dxa"/>
            <w:tcBorders>
              <w:top w:val="single" w:sz="4" w:space="0" w:color="000000"/>
              <w:left w:val="single" w:sz="4" w:space="0" w:color="000000"/>
              <w:bottom w:val="single" w:sz="4" w:space="0" w:color="000000"/>
              <w:right w:val="single" w:sz="8" w:space="0" w:color="3B3838"/>
            </w:tcBorders>
            <w:shd w:val="clear" w:color="auto" w:fill="D3D3D3" w:themeFill="background2" w:themeFillShade="E6"/>
            <w:tcMar>
              <w:top w:w="9" w:type="dxa"/>
              <w:left w:w="43" w:type="dxa"/>
              <w:bottom w:w="0" w:type="dxa"/>
              <w:right w:w="9" w:type="dxa"/>
            </w:tcMar>
            <w:vAlign w:val="center"/>
            <w:hideMark/>
          </w:tcPr>
          <w:p w14:paraId="543FE27A" w14:textId="77777777" w:rsidR="00922BEC" w:rsidRPr="008D0684" w:rsidRDefault="00922BEC" w:rsidP="007C771B">
            <w:pPr>
              <w:spacing w:after="0" w:line="240" w:lineRule="auto"/>
              <w:textAlignment w:val="bottom"/>
              <w:rPr>
                <w:rFonts w:eastAsia="Times New Roman" w:cstheme="minorHAnsi"/>
              </w:rPr>
            </w:pPr>
            <w:r w:rsidRPr="00E543B8">
              <w:rPr>
                <w:rFonts w:eastAsia="Times New Roman" w:cstheme="minorHAnsi"/>
                <w:color w:val="000000"/>
                <w:kern w:val="24"/>
              </w:rPr>
              <w:t>Any AP – Mock Exams</w:t>
            </w:r>
          </w:p>
        </w:tc>
        <w:tc>
          <w:tcPr>
            <w:tcW w:w="1659" w:type="dxa"/>
            <w:tcBorders>
              <w:top w:val="single" w:sz="4" w:space="0" w:color="000000"/>
              <w:left w:val="single" w:sz="8" w:space="0" w:color="3B3838"/>
              <w:bottom w:val="single" w:sz="4" w:space="0" w:color="000000"/>
              <w:right w:val="single" w:sz="4" w:space="0" w:color="000000"/>
            </w:tcBorders>
            <w:shd w:val="clear" w:color="auto" w:fill="D3D3D3" w:themeFill="background2" w:themeFillShade="E6"/>
            <w:tcMar>
              <w:top w:w="10" w:type="dxa"/>
              <w:left w:w="10" w:type="dxa"/>
              <w:bottom w:w="0" w:type="dxa"/>
              <w:right w:w="10" w:type="dxa"/>
            </w:tcMar>
            <w:vAlign w:val="center"/>
          </w:tcPr>
          <w:p w14:paraId="31E0478D" w14:textId="6158FDF6" w:rsidR="00922BEC" w:rsidRPr="008D0684" w:rsidRDefault="00922BEC" w:rsidP="007C771B">
            <w:pPr>
              <w:spacing w:after="0" w:line="240" w:lineRule="auto"/>
              <w:jc w:val="center"/>
              <w:textAlignment w:val="bottom"/>
              <w:rPr>
                <w:rFonts w:eastAsia="Times New Roman" w:cstheme="minorHAnsi"/>
              </w:rPr>
            </w:pPr>
            <w:r>
              <w:rPr>
                <w:rFonts w:eastAsia="Times New Roman" w:cstheme="minorHAnsi"/>
              </w:rPr>
              <w:t>98</w:t>
            </w:r>
            <w:r w:rsidR="00867C48">
              <w:rPr>
                <w:rFonts w:eastAsia="Times New Roman" w:cstheme="minorHAnsi"/>
              </w:rPr>
              <w:t>.2</w:t>
            </w:r>
            <w:r>
              <w:rPr>
                <w:rFonts w:eastAsia="Times New Roman" w:cstheme="minorHAnsi"/>
              </w:rPr>
              <w:t>%***</w:t>
            </w:r>
          </w:p>
        </w:tc>
        <w:tc>
          <w:tcPr>
            <w:tcW w:w="1652" w:type="dxa"/>
            <w:gridSpan w:val="2"/>
            <w:tcBorders>
              <w:top w:val="single" w:sz="4" w:space="0" w:color="000000"/>
              <w:left w:val="single" w:sz="4" w:space="0" w:color="000000"/>
              <w:bottom w:val="single" w:sz="4" w:space="0" w:color="000000"/>
              <w:right w:val="single" w:sz="4" w:space="0" w:color="000000"/>
            </w:tcBorders>
            <w:shd w:val="clear" w:color="auto" w:fill="D3D3D3" w:themeFill="background2" w:themeFillShade="E6"/>
            <w:tcMar>
              <w:top w:w="10" w:type="dxa"/>
              <w:left w:w="10" w:type="dxa"/>
              <w:bottom w:w="0" w:type="dxa"/>
              <w:right w:w="10" w:type="dxa"/>
            </w:tcMar>
            <w:vAlign w:val="center"/>
          </w:tcPr>
          <w:p w14:paraId="0425AEEA" w14:textId="3DF92827" w:rsidR="00922BEC" w:rsidRPr="008D0684" w:rsidRDefault="00922BEC" w:rsidP="007C771B">
            <w:pPr>
              <w:spacing w:after="0" w:line="240" w:lineRule="auto"/>
              <w:jc w:val="center"/>
              <w:textAlignment w:val="bottom"/>
              <w:rPr>
                <w:rFonts w:eastAsia="Times New Roman" w:cstheme="minorHAnsi"/>
              </w:rPr>
            </w:pPr>
            <w:r>
              <w:rPr>
                <w:rFonts w:eastAsia="Times New Roman" w:cstheme="minorHAnsi"/>
              </w:rPr>
              <w:t>7</w:t>
            </w:r>
            <w:r w:rsidR="004C7B6D">
              <w:rPr>
                <w:rFonts w:eastAsia="Times New Roman" w:cstheme="minorHAnsi"/>
              </w:rPr>
              <w:t>5.6</w:t>
            </w:r>
            <w:r>
              <w:rPr>
                <w:rFonts w:eastAsia="Times New Roman" w:cstheme="minorHAnsi"/>
              </w:rPr>
              <w:t>%</w:t>
            </w:r>
          </w:p>
        </w:tc>
        <w:tc>
          <w:tcPr>
            <w:tcW w:w="1659" w:type="dxa"/>
            <w:gridSpan w:val="2"/>
            <w:tcBorders>
              <w:top w:val="single" w:sz="4" w:space="0" w:color="000000"/>
              <w:left w:val="single" w:sz="4" w:space="0" w:color="000000"/>
              <w:bottom w:val="single" w:sz="4" w:space="0" w:color="000000"/>
              <w:right w:val="single" w:sz="4" w:space="0" w:color="000000"/>
            </w:tcBorders>
            <w:shd w:val="clear" w:color="auto" w:fill="D3D3D3" w:themeFill="background2" w:themeFillShade="E6"/>
            <w:tcMar>
              <w:top w:w="10" w:type="dxa"/>
              <w:left w:w="10" w:type="dxa"/>
              <w:bottom w:w="0" w:type="dxa"/>
              <w:right w:w="10" w:type="dxa"/>
            </w:tcMar>
            <w:vAlign w:val="center"/>
          </w:tcPr>
          <w:p w14:paraId="34B3ED72" w14:textId="1A863211" w:rsidR="00922BEC" w:rsidRPr="008D0684" w:rsidRDefault="00922BEC" w:rsidP="007C771B">
            <w:pPr>
              <w:spacing w:after="0" w:line="240" w:lineRule="auto"/>
              <w:jc w:val="center"/>
              <w:textAlignment w:val="bottom"/>
              <w:rPr>
                <w:rFonts w:eastAsia="Times New Roman" w:cstheme="minorHAnsi"/>
              </w:rPr>
            </w:pPr>
            <w:r>
              <w:rPr>
                <w:rFonts w:eastAsia="Times New Roman" w:cstheme="minorHAnsi"/>
              </w:rPr>
              <w:t>9</w:t>
            </w:r>
            <w:r w:rsidR="002B60E5">
              <w:rPr>
                <w:rFonts w:eastAsia="Times New Roman" w:cstheme="minorHAnsi"/>
              </w:rPr>
              <w:t>6.9</w:t>
            </w:r>
            <w:r>
              <w:rPr>
                <w:rFonts w:eastAsia="Times New Roman" w:cstheme="minorHAnsi"/>
              </w:rPr>
              <w:t>%***</w:t>
            </w:r>
          </w:p>
        </w:tc>
        <w:tc>
          <w:tcPr>
            <w:tcW w:w="1690" w:type="dxa"/>
            <w:gridSpan w:val="2"/>
            <w:tcBorders>
              <w:top w:val="single" w:sz="4" w:space="0" w:color="000000"/>
              <w:left w:val="single" w:sz="4" w:space="0" w:color="000000"/>
              <w:bottom w:val="single" w:sz="4" w:space="0" w:color="000000"/>
              <w:right w:val="single" w:sz="4" w:space="0" w:color="000000"/>
            </w:tcBorders>
            <w:shd w:val="clear" w:color="auto" w:fill="D3D3D3" w:themeFill="background2" w:themeFillShade="E6"/>
            <w:tcMar>
              <w:top w:w="10" w:type="dxa"/>
              <w:left w:w="10" w:type="dxa"/>
              <w:bottom w:w="0" w:type="dxa"/>
              <w:right w:w="10" w:type="dxa"/>
            </w:tcMar>
            <w:vAlign w:val="center"/>
          </w:tcPr>
          <w:p w14:paraId="75A90F38" w14:textId="2B13D15C" w:rsidR="00922BEC" w:rsidRPr="008D0684" w:rsidRDefault="00922BEC" w:rsidP="007C771B">
            <w:pPr>
              <w:spacing w:after="0" w:line="240" w:lineRule="auto"/>
              <w:jc w:val="center"/>
              <w:textAlignment w:val="bottom"/>
              <w:rPr>
                <w:rFonts w:eastAsia="Times New Roman" w:cstheme="minorHAnsi"/>
              </w:rPr>
            </w:pPr>
            <w:r>
              <w:rPr>
                <w:rFonts w:eastAsia="Times New Roman" w:cstheme="minorHAnsi"/>
              </w:rPr>
              <w:t>65</w:t>
            </w:r>
            <w:r w:rsidR="0073564C">
              <w:rPr>
                <w:rFonts w:eastAsia="Times New Roman" w:cstheme="minorHAnsi"/>
              </w:rPr>
              <w:t>.0</w:t>
            </w:r>
            <w:r>
              <w:rPr>
                <w:rFonts w:eastAsia="Times New Roman" w:cstheme="minorHAnsi"/>
              </w:rPr>
              <w:t>%</w:t>
            </w:r>
          </w:p>
        </w:tc>
      </w:tr>
      <w:tr w:rsidR="00D9072B" w:rsidRPr="00E543B8" w14:paraId="0EF1F48D" w14:textId="77777777" w:rsidTr="008E5FE2">
        <w:trPr>
          <w:trHeight w:val="576"/>
        </w:trPr>
        <w:tc>
          <w:tcPr>
            <w:tcW w:w="2510" w:type="dxa"/>
            <w:tcBorders>
              <w:top w:val="single" w:sz="4" w:space="0" w:color="000000"/>
              <w:left w:val="single" w:sz="4" w:space="0" w:color="000000"/>
              <w:bottom w:val="single" w:sz="4" w:space="0" w:color="000000"/>
              <w:right w:val="single" w:sz="8" w:space="0" w:color="3B3838"/>
            </w:tcBorders>
            <w:tcMar>
              <w:top w:w="9" w:type="dxa"/>
              <w:left w:w="43" w:type="dxa"/>
              <w:bottom w:w="0" w:type="dxa"/>
              <w:right w:w="9" w:type="dxa"/>
            </w:tcMar>
            <w:vAlign w:val="center"/>
            <w:hideMark/>
          </w:tcPr>
          <w:p w14:paraId="48FDB9EB" w14:textId="77777777" w:rsidR="00922BEC" w:rsidRPr="008D0684" w:rsidRDefault="00922BEC" w:rsidP="007C771B">
            <w:pPr>
              <w:spacing w:after="0" w:line="240" w:lineRule="auto"/>
              <w:textAlignment w:val="bottom"/>
              <w:rPr>
                <w:rFonts w:eastAsia="Times New Roman" w:cstheme="minorHAnsi"/>
              </w:rPr>
            </w:pPr>
            <w:r w:rsidRPr="00E543B8">
              <w:rPr>
                <w:rFonts w:eastAsia="Times New Roman" w:cstheme="minorHAnsi"/>
                <w:color w:val="000000"/>
                <w:kern w:val="24"/>
              </w:rPr>
              <w:t xml:space="preserve">AP </w:t>
            </w:r>
            <w:r>
              <w:rPr>
                <w:rFonts w:eastAsia="Times New Roman" w:cstheme="minorHAnsi"/>
                <w:color w:val="000000"/>
                <w:kern w:val="24"/>
              </w:rPr>
              <w:t>ELA</w:t>
            </w:r>
            <w:r w:rsidRPr="00E543B8">
              <w:rPr>
                <w:rFonts w:eastAsia="Times New Roman" w:cstheme="minorHAnsi"/>
                <w:color w:val="000000"/>
                <w:kern w:val="24"/>
              </w:rPr>
              <w:t xml:space="preserve"> – Study Sessions</w:t>
            </w:r>
          </w:p>
        </w:tc>
        <w:tc>
          <w:tcPr>
            <w:tcW w:w="1659" w:type="dxa"/>
            <w:tcBorders>
              <w:top w:val="single" w:sz="4" w:space="0" w:color="000000"/>
              <w:left w:val="single" w:sz="8" w:space="0" w:color="3B3838"/>
              <w:bottom w:val="single" w:sz="4" w:space="0" w:color="000000"/>
              <w:right w:val="single" w:sz="4" w:space="0" w:color="000000"/>
            </w:tcBorders>
            <w:tcMar>
              <w:top w:w="10" w:type="dxa"/>
              <w:left w:w="10" w:type="dxa"/>
              <w:bottom w:w="0" w:type="dxa"/>
              <w:right w:w="10" w:type="dxa"/>
            </w:tcMar>
            <w:vAlign w:val="center"/>
          </w:tcPr>
          <w:p w14:paraId="48D23D71" w14:textId="46AE0143" w:rsidR="00922BEC" w:rsidRPr="008D0684" w:rsidRDefault="00922BEC" w:rsidP="007C771B">
            <w:pPr>
              <w:spacing w:after="0" w:line="240" w:lineRule="auto"/>
              <w:jc w:val="center"/>
              <w:textAlignment w:val="bottom"/>
              <w:rPr>
                <w:rFonts w:eastAsia="Times New Roman" w:cstheme="minorHAnsi"/>
              </w:rPr>
            </w:pPr>
            <w:r>
              <w:rPr>
                <w:rFonts w:eastAsia="Times New Roman" w:cstheme="minorHAnsi"/>
              </w:rPr>
              <w:t>98</w:t>
            </w:r>
            <w:r w:rsidR="000A3408">
              <w:rPr>
                <w:rFonts w:eastAsia="Times New Roman" w:cstheme="minorHAnsi"/>
              </w:rPr>
              <w:t>.0</w:t>
            </w:r>
            <w:r>
              <w:rPr>
                <w:rFonts w:eastAsia="Times New Roman" w:cstheme="minorHAnsi"/>
              </w:rPr>
              <w:t>%***</w:t>
            </w:r>
          </w:p>
        </w:tc>
        <w:tc>
          <w:tcPr>
            <w:tcW w:w="1652" w:type="dxa"/>
            <w:gridSpan w:val="2"/>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tcPr>
          <w:p w14:paraId="448C066C" w14:textId="0A19D7FC" w:rsidR="00922BEC" w:rsidRPr="008D0684" w:rsidRDefault="00922BEC" w:rsidP="007C771B">
            <w:pPr>
              <w:spacing w:after="0" w:line="240" w:lineRule="auto"/>
              <w:jc w:val="center"/>
              <w:textAlignment w:val="bottom"/>
              <w:rPr>
                <w:rFonts w:eastAsia="Times New Roman" w:cstheme="minorHAnsi"/>
              </w:rPr>
            </w:pPr>
            <w:r>
              <w:rPr>
                <w:rFonts w:eastAsia="Times New Roman" w:cstheme="minorHAnsi"/>
              </w:rPr>
              <w:t>84</w:t>
            </w:r>
            <w:r w:rsidR="00486A5A">
              <w:rPr>
                <w:rFonts w:eastAsia="Times New Roman" w:cstheme="minorHAnsi"/>
              </w:rPr>
              <w:t>.2</w:t>
            </w:r>
            <w:r>
              <w:rPr>
                <w:rFonts w:eastAsia="Times New Roman" w:cstheme="minorHAnsi"/>
              </w:rPr>
              <w:t>%</w:t>
            </w:r>
          </w:p>
        </w:tc>
        <w:tc>
          <w:tcPr>
            <w:tcW w:w="1659" w:type="dxa"/>
            <w:gridSpan w:val="2"/>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tcPr>
          <w:p w14:paraId="4ADF2610" w14:textId="10A18F7E" w:rsidR="00922BEC" w:rsidRPr="008D0684" w:rsidRDefault="00922BEC" w:rsidP="007C771B">
            <w:pPr>
              <w:spacing w:after="0" w:line="240" w:lineRule="auto"/>
              <w:jc w:val="center"/>
              <w:textAlignment w:val="bottom"/>
              <w:rPr>
                <w:rFonts w:eastAsia="Times New Roman" w:cstheme="minorHAnsi"/>
              </w:rPr>
            </w:pPr>
            <w:r>
              <w:rPr>
                <w:rFonts w:eastAsia="Times New Roman" w:cstheme="minorHAnsi"/>
              </w:rPr>
              <w:t>95</w:t>
            </w:r>
            <w:r w:rsidR="0073564C">
              <w:rPr>
                <w:rFonts w:eastAsia="Times New Roman" w:cstheme="minorHAnsi"/>
              </w:rPr>
              <w:t>.1</w:t>
            </w:r>
            <w:r>
              <w:rPr>
                <w:rFonts w:eastAsia="Times New Roman" w:cstheme="minorHAnsi"/>
              </w:rPr>
              <w:t>%***</w:t>
            </w:r>
          </w:p>
        </w:tc>
        <w:tc>
          <w:tcPr>
            <w:tcW w:w="1690" w:type="dxa"/>
            <w:gridSpan w:val="2"/>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tcPr>
          <w:p w14:paraId="6DC422EE" w14:textId="76B2E324" w:rsidR="00922BEC" w:rsidRPr="008D0684" w:rsidRDefault="00922BEC" w:rsidP="007C771B">
            <w:pPr>
              <w:spacing w:after="0" w:line="240" w:lineRule="auto"/>
              <w:jc w:val="center"/>
              <w:textAlignment w:val="bottom"/>
              <w:rPr>
                <w:rFonts w:eastAsia="Times New Roman" w:cstheme="minorHAnsi"/>
              </w:rPr>
            </w:pPr>
            <w:r>
              <w:rPr>
                <w:rFonts w:eastAsia="Times New Roman" w:cstheme="minorHAnsi"/>
              </w:rPr>
              <w:t>77</w:t>
            </w:r>
            <w:r w:rsidR="009C1CCA">
              <w:rPr>
                <w:rFonts w:eastAsia="Times New Roman" w:cstheme="minorHAnsi"/>
              </w:rPr>
              <w:t>.2</w:t>
            </w:r>
            <w:r>
              <w:rPr>
                <w:rFonts w:eastAsia="Times New Roman" w:cstheme="minorHAnsi"/>
              </w:rPr>
              <w:t>%</w:t>
            </w:r>
          </w:p>
        </w:tc>
      </w:tr>
      <w:tr w:rsidR="00D9072B" w:rsidRPr="00E543B8" w14:paraId="03BF46C7" w14:textId="77777777" w:rsidTr="008E5FE2">
        <w:trPr>
          <w:trHeight w:val="576"/>
        </w:trPr>
        <w:tc>
          <w:tcPr>
            <w:tcW w:w="2510" w:type="dxa"/>
            <w:tcBorders>
              <w:top w:val="single" w:sz="4" w:space="0" w:color="000000"/>
              <w:left w:val="single" w:sz="4" w:space="0" w:color="000000"/>
              <w:bottom w:val="single" w:sz="4" w:space="0" w:color="000000"/>
              <w:right w:val="single" w:sz="8" w:space="0" w:color="3B3838"/>
            </w:tcBorders>
            <w:tcMar>
              <w:top w:w="9" w:type="dxa"/>
              <w:left w:w="43" w:type="dxa"/>
              <w:bottom w:w="0" w:type="dxa"/>
              <w:right w:w="9" w:type="dxa"/>
            </w:tcMar>
            <w:vAlign w:val="center"/>
            <w:hideMark/>
          </w:tcPr>
          <w:p w14:paraId="063D659E" w14:textId="77777777" w:rsidR="00922BEC" w:rsidRPr="008D0684" w:rsidRDefault="00922BEC" w:rsidP="007C771B">
            <w:pPr>
              <w:spacing w:after="0" w:line="240" w:lineRule="auto"/>
              <w:textAlignment w:val="bottom"/>
              <w:rPr>
                <w:rFonts w:eastAsia="Times New Roman" w:cstheme="minorHAnsi"/>
              </w:rPr>
            </w:pPr>
            <w:r w:rsidRPr="00E543B8">
              <w:rPr>
                <w:rFonts w:eastAsia="Times New Roman" w:cstheme="minorHAnsi"/>
                <w:color w:val="000000"/>
                <w:kern w:val="24"/>
              </w:rPr>
              <w:t xml:space="preserve">AP </w:t>
            </w:r>
            <w:r>
              <w:rPr>
                <w:rFonts w:eastAsia="Times New Roman" w:cstheme="minorHAnsi"/>
                <w:color w:val="000000"/>
                <w:kern w:val="24"/>
              </w:rPr>
              <w:t>Math</w:t>
            </w:r>
            <w:r w:rsidRPr="00E543B8">
              <w:rPr>
                <w:rFonts w:eastAsia="Times New Roman" w:cstheme="minorHAnsi"/>
                <w:color w:val="000000"/>
                <w:kern w:val="24"/>
              </w:rPr>
              <w:t xml:space="preserve"> – Study Sessions</w:t>
            </w:r>
          </w:p>
        </w:tc>
        <w:tc>
          <w:tcPr>
            <w:tcW w:w="1659" w:type="dxa"/>
            <w:tcBorders>
              <w:top w:val="single" w:sz="4" w:space="0" w:color="000000"/>
              <w:left w:val="single" w:sz="8" w:space="0" w:color="3B3838"/>
              <w:bottom w:val="single" w:sz="4" w:space="0" w:color="000000"/>
              <w:right w:val="single" w:sz="4" w:space="0" w:color="000000"/>
            </w:tcBorders>
            <w:tcMar>
              <w:top w:w="10" w:type="dxa"/>
              <w:left w:w="10" w:type="dxa"/>
              <w:bottom w:w="0" w:type="dxa"/>
              <w:right w:w="10" w:type="dxa"/>
            </w:tcMar>
            <w:vAlign w:val="center"/>
          </w:tcPr>
          <w:p w14:paraId="7C701671" w14:textId="293B7E1C" w:rsidR="00922BEC" w:rsidRPr="008D0684" w:rsidRDefault="00922BEC" w:rsidP="007C771B">
            <w:pPr>
              <w:spacing w:after="0" w:line="240" w:lineRule="auto"/>
              <w:jc w:val="center"/>
              <w:textAlignment w:val="bottom"/>
              <w:rPr>
                <w:rFonts w:eastAsia="Times New Roman" w:cstheme="minorHAnsi"/>
              </w:rPr>
            </w:pPr>
            <w:r>
              <w:rPr>
                <w:rFonts w:eastAsia="Times New Roman" w:cstheme="minorHAnsi"/>
              </w:rPr>
              <w:t>9</w:t>
            </w:r>
            <w:r w:rsidR="000A3408">
              <w:rPr>
                <w:rFonts w:eastAsia="Times New Roman" w:cstheme="minorHAnsi"/>
              </w:rPr>
              <w:t>7.6</w:t>
            </w:r>
            <w:r>
              <w:rPr>
                <w:rFonts w:eastAsia="Times New Roman" w:cstheme="minorHAnsi"/>
              </w:rPr>
              <w:t>%***</w:t>
            </w:r>
          </w:p>
        </w:tc>
        <w:tc>
          <w:tcPr>
            <w:tcW w:w="1652" w:type="dxa"/>
            <w:gridSpan w:val="2"/>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tcPr>
          <w:p w14:paraId="7319E828" w14:textId="6A61BA08" w:rsidR="00922BEC" w:rsidRPr="008D0684" w:rsidRDefault="00922BEC" w:rsidP="007C771B">
            <w:pPr>
              <w:spacing w:after="0" w:line="240" w:lineRule="auto"/>
              <w:jc w:val="center"/>
              <w:textAlignment w:val="bottom"/>
              <w:rPr>
                <w:rFonts w:eastAsia="Times New Roman" w:cstheme="minorHAnsi"/>
              </w:rPr>
            </w:pPr>
            <w:r>
              <w:rPr>
                <w:rFonts w:eastAsia="Times New Roman" w:cstheme="minorHAnsi"/>
              </w:rPr>
              <w:t>7</w:t>
            </w:r>
            <w:r w:rsidR="00486A5A">
              <w:rPr>
                <w:rFonts w:eastAsia="Times New Roman" w:cstheme="minorHAnsi"/>
              </w:rPr>
              <w:t>7.6</w:t>
            </w:r>
            <w:r>
              <w:rPr>
                <w:rFonts w:eastAsia="Times New Roman" w:cstheme="minorHAnsi"/>
              </w:rPr>
              <w:t>%</w:t>
            </w:r>
          </w:p>
        </w:tc>
        <w:tc>
          <w:tcPr>
            <w:tcW w:w="1659" w:type="dxa"/>
            <w:gridSpan w:val="2"/>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tcPr>
          <w:p w14:paraId="43EC3128" w14:textId="422AB825" w:rsidR="00922BEC" w:rsidRPr="008D0684" w:rsidRDefault="00922BEC" w:rsidP="007C771B">
            <w:pPr>
              <w:spacing w:after="0" w:line="240" w:lineRule="auto"/>
              <w:jc w:val="center"/>
              <w:textAlignment w:val="bottom"/>
              <w:rPr>
                <w:rFonts w:eastAsia="Times New Roman" w:cstheme="minorHAnsi"/>
              </w:rPr>
            </w:pPr>
            <w:r>
              <w:rPr>
                <w:rFonts w:eastAsia="Times New Roman" w:cstheme="minorHAnsi"/>
              </w:rPr>
              <w:t>9</w:t>
            </w:r>
            <w:r w:rsidR="0073564C">
              <w:rPr>
                <w:rFonts w:eastAsia="Times New Roman" w:cstheme="minorHAnsi"/>
              </w:rPr>
              <w:t>4.7</w:t>
            </w:r>
            <w:r>
              <w:rPr>
                <w:rFonts w:eastAsia="Times New Roman" w:cstheme="minorHAnsi"/>
              </w:rPr>
              <w:t>%***</w:t>
            </w:r>
          </w:p>
        </w:tc>
        <w:tc>
          <w:tcPr>
            <w:tcW w:w="1690" w:type="dxa"/>
            <w:gridSpan w:val="2"/>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tcPr>
          <w:p w14:paraId="5726914A" w14:textId="4CF8E9EF" w:rsidR="00922BEC" w:rsidRPr="008D0684" w:rsidRDefault="00922BEC" w:rsidP="007C771B">
            <w:pPr>
              <w:spacing w:after="0" w:line="240" w:lineRule="auto"/>
              <w:jc w:val="center"/>
              <w:textAlignment w:val="bottom"/>
              <w:rPr>
                <w:rFonts w:eastAsia="Times New Roman" w:cstheme="minorHAnsi"/>
              </w:rPr>
            </w:pPr>
            <w:r>
              <w:rPr>
                <w:rFonts w:eastAsia="Times New Roman" w:cstheme="minorHAnsi"/>
              </w:rPr>
              <w:t>72</w:t>
            </w:r>
            <w:r w:rsidR="009C1CCA">
              <w:rPr>
                <w:rFonts w:eastAsia="Times New Roman" w:cstheme="minorHAnsi"/>
              </w:rPr>
              <w:t>.4</w:t>
            </w:r>
            <w:r>
              <w:rPr>
                <w:rFonts w:eastAsia="Times New Roman" w:cstheme="minorHAnsi"/>
              </w:rPr>
              <w:t>%</w:t>
            </w:r>
          </w:p>
        </w:tc>
      </w:tr>
      <w:tr w:rsidR="00D9072B" w:rsidRPr="00E543B8" w14:paraId="4E7DE50D" w14:textId="77777777" w:rsidTr="008E5FE2">
        <w:trPr>
          <w:trHeight w:val="576"/>
        </w:trPr>
        <w:tc>
          <w:tcPr>
            <w:tcW w:w="2510" w:type="dxa"/>
            <w:tcBorders>
              <w:top w:val="single" w:sz="4" w:space="0" w:color="000000"/>
              <w:left w:val="single" w:sz="4" w:space="0" w:color="000000"/>
              <w:bottom w:val="single" w:sz="4" w:space="0" w:color="000000"/>
              <w:right w:val="single" w:sz="8" w:space="0" w:color="3B3838"/>
            </w:tcBorders>
            <w:tcMar>
              <w:top w:w="9" w:type="dxa"/>
              <w:left w:w="43" w:type="dxa"/>
              <w:bottom w:w="0" w:type="dxa"/>
              <w:right w:w="9" w:type="dxa"/>
            </w:tcMar>
            <w:vAlign w:val="center"/>
            <w:hideMark/>
          </w:tcPr>
          <w:p w14:paraId="266BF33D" w14:textId="77777777" w:rsidR="00922BEC" w:rsidRPr="008D0684" w:rsidRDefault="00922BEC" w:rsidP="007C771B">
            <w:pPr>
              <w:spacing w:after="0" w:line="240" w:lineRule="auto"/>
              <w:textAlignment w:val="bottom"/>
              <w:rPr>
                <w:rFonts w:eastAsia="Times New Roman" w:cstheme="minorHAnsi"/>
              </w:rPr>
            </w:pPr>
            <w:r w:rsidRPr="00E543B8">
              <w:rPr>
                <w:rFonts w:eastAsia="Times New Roman" w:cstheme="minorHAnsi"/>
                <w:color w:val="000000"/>
                <w:kern w:val="24"/>
              </w:rPr>
              <w:t xml:space="preserve">AP </w:t>
            </w:r>
            <w:r>
              <w:rPr>
                <w:rFonts w:eastAsia="Times New Roman" w:cstheme="minorHAnsi"/>
                <w:color w:val="000000"/>
                <w:kern w:val="24"/>
              </w:rPr>
              <w:t>Science</w:t>
            </w:r>
            <w:r w:rsidRPr="00E543B8">
              <w:rPr>
                <w:rFonts w:eastAsia="Times New Roman" w:cstheme="minorHAnsi"/>
                <w:color w:val="000000"/>
                <w:kern w:val="24"/>
              </w:rPr>
              <w:t xml:space="preserve"> – Study Sessions</w:t>
            </w:r>
          </w:p>
        </w:tc>
        <w:tc>
          <w:tcPr>
            <w:tcW w:w="1659" w:type="dxa"/>
            <w:tcBorders>
              <w:top w:val="single" w:sz="4" w:space="0" w:color="000000"/>
              <w:left w:val="single" w:sz="8" w:space="0" w:color="3B3838"/>
              <w:bottom w:val="single" w:sz="4" w:space="0" w:color="000000"/>
              <w:right w:val="single" w:sz="4" w:space="0" w:color="000000"/>
            </w:tcBorders>
            <w:tcMar>
              <w:top w:w="10" w:type="dxa"/>
              <w:left w:w="10" w:type="dxa"/>
              <w:bottom w:w="0" w:type="dxa"/>
              <w:right w:w="10" w:type="dxa"/>
            </w:tcMar>
            <w:vAlign w:val="center"/>
          </w:tcPr>
          <w:p w14:paraId="165F30EC" w14:textId="7BE74B37" w:rsidR="00922BEC" w:rsidRPr="008D0684" w:rsidRDefault="00922BEC" w:rsidP="007C771B">
            <w:pPr>
              <w:spacing w:after="0" w:line="240" w:lineRule="auto"/>
              <w:jc w:val="center"/>
              <w:textAlignment w:val="bottom"/>
              <w:rPr>
                <w:rFonts w:eastAsia="Times New Roman" w:cstheme="minorHAnsi"/>
              </w:rPr>
            </w:pPr>
            <w:r>
              <w:rPr>
                <w:rFonts w:eastAsia="Times New Roman" w:cstheme="minorHAnsi"/>
              </w:rPr>
              <w:t>9</w:t>
            </w:r>
            <w:r w:rsidR="000A3408">
              <w:rPr>
                <w:rFonts w:eastAsia="Times New Roman" w:cstheme="minorHAnsi"/>
              </w:rPr>
              <w:t>7.5</w:t>
            </w:r>
            <w:r>
              <w:rPr>
                <w:rFonts w:eastAsia="Times New Roman" w:cstheme="minorHAnsi"/>
              </w:rPr>
              <w:t>%***</w:t>
            </w:r>
          </w:p>
        </w:tc>
        <w:tc>
          <w:tcPr>
            <w:tcW w:w="1652" w:type="dxa"/>
            <w:gridSpan w:val="2"/>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tcPr>
          <w:p w14:paraId="5CE48554" w14:textId="52DCDC1E" w:rsidR="00922BEC" w:rsidRPr="008D0684" w:rsidRDefault="00922BEC" w:rsidP="007C771B">
            <w:pPr>
              <w:spacing w:after="0" w:line="240" w:lineRule="auto"/>
              <w:jc w:val="center"/>
              <w:textAlignment w:val="bottom"/>
              <w:rPr>
                <w:rFonts w:eastAsia="Times New Roman" w:cstheme="minorHAnsi"/>
              </w:rPr>
            </w:pPr>
            <w:r>
              <w:rPr>
                <w:rFonts w:eastAsia="Times New Roman" w:cstheme="minorHAnsi"/>
              </w:rPr>
              <w:t>76</w:t>
            </w:r>
            <w:r w:rsidR="00486A5A">
              <w:rPr>
                <w:rFonts w:eastAsia="Times New Roman" w:cstheme="minorHAnsi"/>
              </w:rPr>
              <w:t>.0</w:t>
            </w:r>
            <w:r>
              <w:rPr>
                <w:rFonts w:eastAsia="Times New Roman" w:cstheme="minorHAnsi"/>
              </w:rPr>
              <w:t>%</w:t>
            </w:r>
          </w:p>
        </w:tc>
        <w:tc>
          <w:tcPr>
            <w:tcW w:w="1659" w:type="dxa"/>
            <w:gridSpan w:val="2"/>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tcPr>
          <w:p w14:paraId="45DBDF2D" w14:textId="74466D46" w:rsidR="00922BEC" w:rsidRPr="008D0684" w:rsidRDefault="00922BEC" w:rsidP="007C771B">
            <w:pPr>
              <w:spacing w:after="0" w:line="240" w:lineRule="auto"/>
              <w:jc w:val="center"/>
              <w:textAlignment w:val="bottom"/>
              <w:rPr>
                <w:rFonts w:eastAsia="Times New Roman" w:cstheme="minorHAnsi"/>
              </w:rPr>
            </w:pPr>
            <w:r>
              <w:rPr>
                <w:rFonts w:eastAsia="Times New Roman" w:cstheme="minorHAnsi"/>
              </w:rPr>
              <w:t>96</w:t>
            </w:r>
            <w:r w:rsidR="009C1CCA">
              <w:rPr>
                <w:rFonts w:eastAsia="Times New Roman" w:cstheme="minorHAnsi"/>
              </w:rPr>
              <w:t>.0</w:t>
            </w:r>
            <w:r>
              <w:rPr>
                <w:rFonts w:eastAsia="Times New Roman" w:cstheme="minorHAnsi"/>
              </w:rPr>
              <w:t>%***</w:t>
            </w:r>
          </w:p>
        </w:tc>
        <w:tc>
          <w:tcPr>
            <w:tcW w:w="1690" w:type="dxa"/>
            <w:gridSpan w:val="2"/>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tcPr>
          <w:p w14:paraId="1F0D9E43" w14:textId="03E4B95B" w:rsidR="00922BEC" w:rsidRPr="008D0684" w:rsidRDefault="00922BEC" w:rsidP="007C771B">
            <w:pPr>
              <w:spacing w:after="0" w:line="240" w:lineRule="auto"/>
              <w:jc w:val="center"/>
              <w:textAlignment w:val="bottom"/>
              <w:rPr>
                <w:rFonts w:eastAsia="Times New Roman" w:cstheme="minorHAnsi"/>
              </w:rPr>
            </w:pPr>
            <w:r>
              <w:rPr>
                <w:rFonts w:eastAsia="Times New Roman" w:cstheme="minorHAnsi"/>
              </w:rPr>
              <w:t>70</w:t>
            </w:r>
            <w:r w:rsidR="009C1CCA">
              <w:rPr>
                <w:rFonts w:eastAsia="Times New Roman" w:cstheme="minorHAnsi"/>
              </w:rPr>
              <w:t>.4</w:t>
            </w:r>
            <w:r>
              <w:rPr>
                <w:rFonts w:eastAsia="Times New Roman" w:cstheme="minorHAnsi"/>
              </w:rPr>
              <w:t>%</w:t>
            </w:r>
          </w:p>
        </w:tc>
      </w:tr>
      <w:tr w:rsidR="0010783B" w:rsidRPr="00E543B8" w14:paraId="78C07B25" w14:textId="77777777" w:rsidTr="006C41DC">
        <w:trPr>
          <w:trHeight w:val="576"/>
        </w:trPr>
        <w:tc>
          <w:tcPr>
            <w:tcW w:w="2510" w:type="dxa"/>
            <w:tcBorders>
              <w:top w:val="single" w:sz="4" w:space="0" w:color="000000"/>
              <w:left w:val="single" w:sz="4" w:space="0" w:color="000000"/>
              <w:bottom w:val="single" w:sz="4" w:space="0" w:color="000000"/>
              <w:right w:val="single" w:sz="8" w:space="0" w:color="3B3838"/>
            </w:tcBorders>
            <w:shd w:val="clear" w:color="auto" w:fill="D3D3D3" w:themeFill="background2" w:themeFillShade="E6"/>
            <w:tcMar>
              <w:top w:w="9" w:type="dxa"/>
              <w:left w:w="43" w:type="dxa"/>
              <w:bottom w:w="0" w:type="dxa"/>
              <w:right w:w="9" w:type="dxa"/>
            </w:tcMar>
            <w:vAlign w:val="center"/>
            <w:hideMark/>
          </w:tcPr>
          <w:p w14:paraId="01A2CF05" w14:textId="77777777" w:rsidR="00922BEC" w:rsidRPr="008D0684" w:rsidRDefault="00922BEC" w:rsidP="006C41DC">
            <w:pPr>
              <w:spacing w:after="0" w:line="240" w:lineRule="auto"/>
              <w:jc w:val="center"/>
              <w:textAlignment w:val="bottom"/>
              <w:rPr>
                <w:rFonts w:eastAsia="Times New Roman" w:cstheme="minorHAnsi"/>
              </w:rPr>
            </w:pPr>
            <w:r w:rsidRPr="00E543B8">
              <w:rPr>
                <w:rFonts w:eastAsia="Times New Roman" w:cstheme="minorHAnsi"/>
                <w:color w:val="000000"/>
                <w:kern w:val="24"/>
              </w:rPr>
              <w:t>Any AP – Study Sessions</w:t>
            </w:r>
          </w:p>
        </w:tc>
        <w:tc>
          <w:tcPr>
            <w:tcW w:w="1659" w:type="dxa"/>
            <w:tcBorders>
              <w:top w:val="single" w:sz="4" w:space="0" w:color="000000"/>
              <w:left w:val="single" w:sz="8" w:space="0" w:color="3B3838"/>
              <w:bottom w:val="single" w:sz="4" w:space="0" w:color="000000"/>
              <w:right w:val="single" w:sz="4" w:space="0" w:color="000000"/>
            </w:tcBorders>
            <w:shd w:val="clear" w:color="auto" w:fill="D3D3D3" w:themeFill="background2" w:themeFillShade="E6"/>
            <w:tcMar>
              <w:top w:w="10" w:type="dxa"/>
              <w:left w:w="10" w:type="dxa"/>
              <w:bottom w:w="0" w:type="dxa"/>
              <w:right w:w="10" w:type="dxa"/>
            </w:tcMar>
            <w:vAlign w:val="center"/>
          </w:tcPr>
          <w:p w14:paraId="5DEC979B" w14:textId="733D6CC5" w:rsidR="00922BEC" w:rsidRPr="008D0684" w:rsidRDefault="00922BEC" w:rsidP="006C41DC">
            <w:pPr>
              <w:spacing w:after="0" w:line="240" w:lineRule="auto"/>
              <w:jc w:val="center"/>
              <w:textAlignment w:val="bottom"/>
              <w:rPr>
                <w:rFonts w:eastAsia="Times New Roman" w:cstheme="minorHAnsi"/>
              </w:rPr>
            </w:pPr>
            <w:r>
              <w:rPr>
                <w:rFonts w:eastAsia="Times New Roman" w:cstheme="minorHAnsi"/>
              </w:rPr>
              <w:t>9</w:t>
            </w:r>
            <w:r w:rsidR="000A3408">
              <w:rPr>
                <w:rFonts w:eastAsia="Times New Roman" w:cstheme="minorHAnsi"/>
              </w:rPr>
              <w:t>8.1</w:t>
            </w:r>
            <w:r>
              <w:rPr>
                <w:rFonts w:eastAsia="Times New Roman" w:cstheme="minorHAnsi"/>
              </w:rPr>
              <w:t>%***</w:t>
            </w:r>
          </w:p>
        </w:tc>
        <w:tc>
          <w:tcPr>
            <w:tcW w:w="1652" w:type="dxa"/>
            <w:gridSpan w:val="2"/>
            <w:tcBorders>
              <w:top w:val="single" w:sz="4" w:space="0" w:color="000000"/>
              <w:left w:val="single" w:sz="4" w:space="0" w:color="000000"/>
              <w:bottom w:val="single" w:sz="4" w:space="0" w:color="000000"/>
              <w:right w:val="single" w:sz="4" w:space="0" w:color="000000"/>
            </w:tcBorders>
            <w:shd w:val="clear" w:color="auto" w:fill="D3D3D3" w:themeFill="background2" w:themeFillShade="E6"/>
            <w:tcMar>
              <w:top w:w="10" w:type="dxa"/>
              <w:left w:w="10" w:type="dxa"/>
              <w:bottom w:w="0" w:type="dxa"/>
              <w:right w:w="10" w:type="dxa"/>
            </w:tcMar>
            <w:vAlign w:val="center"/>
          </w:tcPr>
          <w:p w14:paraId="5880F644" w14:textId="1682C212" w:rsidR="00922BEC" w:rsidRPr="008D0684" w:rsidRDefault="00922BEC" w:rsidP="006C41DC">
            <w:pPr>
              <w:spacing w:after="0" w:line="240" w:lineRule="auto"/>
              <w:jc w:val="center"/>
              <w:textAlignment w:val="bottom"/>
              <w:rPr>
                <w:rFonts w:eastAsia="Times New Roman" w:cstheme="minorHAnsi"/>
              </w:rPr>
            </w:pPr>
            <w:r>
              <w:rPr>
                <w:rFonts w:eastAsia="Times New Roman" w:cstheme="minorHAnsi"/>
              </w:rPr>
              <w:t>8</w:t>
            </w:r>
            <w:r w:rsidR="00486A5A">
              <w:rPr>
                <w:rFonts w:eastAsia="Times New Roman" w:cstheme="minorHAnsi"/>
              </w:rPr>
              <w:t>1.6</w:t>
            </w:r>
            <w:r>
              <w:rPr>
                <w:rFonts w:eastAsia="Times New Roman" w:cstheme="minorHAnsi"/>
              </w:rPr>
              <w:t>%</w:t>
            </w:r>
          </w:p>
        </w:tc>
        <w:tc>
          <w:tcPr>
            <w:tcW w:w="1659" w:type="dxa"/>
            <w:gridSpan w:val="2"/>
            <w:tcBorders>
              <w:top w:val="single" w:sz="4" w:space="0" w:color="000000"/>
              <w:left w:val="single" w:sz="4" w:space="0" w:color="000000"/>
              <w:bottom w:val="single" w:sz="4" w:space="0" w:color="000000"/>
              <w:right w:val="single" w:sz="4" w:space="0" w:color="000000"/>
            </w:tcBorders>
            <w:shd w:val="clear" w:color="auto" w:fill="D3D3D3" w:themeFill="background2" w:themeFillShade="E6"/>
            <w:tcMar>
              <w:top w:w="10" w:type="dxa"/>
              <w:left w:w="10" w:type="dxa"/>
              <w:bottom w:w="0" w:type="dxa"/>
              <w:right w:w="10" w:type="dxa"/>
            </w:tcMar>
            <w:vAlign w:val="center"/>
          </w:tcPr>
          <w:p w14:paraId="667475A7" w14:textId="315BF3CC" w:rsidR="00922BEC" w:rsidRPr="008D0684" w:rsidRDefault="00922BEC" w:rsidP="006C41DC">
            <w:pPr>
              <w:spacing w:after="0" w:line="240" w:lineRule="auto"/>
              <w:jc w:val="center"/>
              <w:textAlignment w:val="bottom"/>
              <w:rPr>
                <w:rFonts w:eastAsia="Times New Roman" w:cstheme="minorHAnsi"/>
              </w:rPr>
            </w:pPr>
            <w:r>
              <w:rPr>
                <w:rFonts w:eastAsia="Times New Roman" w:cstheme="minorHAnsi"/>
              </w:rPr>
              <w:t>9</w:t>
            </w:r>
            <w:r w:rsidR="009C1CCA">
              <w:rPr>
                <w:rFonts w:eastAsia="Times New Roman" w:cstheme="minorHAnsi"/>
              </w:rPr>
              <w:t>5.7</w:t>
            </w:r>
            <w:r>
              <w:rPr>
                <w:rFonts w:eastAsia="Times New Roman" w:cstheme="minorHAnsi"/>
              </w:rPr>
              <w:t>%***</w:t>
            </w:r>
          </w:p>
        </w:tc>
        <w:tc>
          <w:tcPr>
            <w:tcW w:w="1690" w:type="dxa"/>
            <w:gridSpan w:val="2"/>
            <w:tcBorders>
              <w:top w:val="single" w:sz="4" w:space="0" w:color="000000"/>
              <w:left w:val="single" w:sz="4" w:space="0" w:color="000000"/>
              <w:bottom w:val="single" w:sz="4" w:space="0" w:color="000000"/>
              <w:right w:val="single" w:sz="4" w:space="0" w:color="000000"/>
            </w:tcBorders>
            <w:shd w:val="clear" w:color="auto" w:fill="D3D3D3" w:themeFill="background2" w:themeFillShade="E6"/>
            <w:tcMar>
              <w:top w:w="10" w:type="dxa"/>
              <w:left w:w="10" w:type="dxa"/>
              <w:bottom w:w="0" w:type="dxa"/>
              <w:right w:w="10" w:type="dxa"/>
            </w:tcMar>
            <w:vAlign w:val="center"/>
          </w:tcPr>
          <w:p w14:paraId="1CD2778A" w14:textId="2FA4A8FC" w:rsidR="00922BEC" w:rsidRPr="008D0684" w:rsidRDefault="00922BEC" w:rsidP="006C41DC">
            <w:pPr>
              <w:spacing w:after="0" w:line="240" w:lineRule="auto"/>
              <w:jc w:val="center"/>
              <w:textAlignment w:val="bottom"/>
              <w:rPr>
                <w:rFonts w:eastAsia="Times New Roman" w:cstheme="minorHAnsi"/>
              </w:rPr>
            </w:pPr>
            <w:r>
              <w:rPr>
                <w:rFonts w:eastAsia="Times New Roman" w:cstheme="minorHAnsi"/>
              </w:rPr>
              <w:t>7</w:t>
            </w:r>
            <w:r w:rsidR="009C1CCA">
              <w:rPr>
                <w:rFonts w:eastAsia="Times New Roman" w:cstheme="minorHAnsi"/>
              </w:rPr>
              <w:t>4.7</w:t>
            </w:r>
            <w:r>
              <w:rPr>
                <w:rFonts w:eastAsia="Times New Roman" w:cstheme="minorHAnsi"/>
              </w:rPr>
              <w:t>%</w:t>
            </w:r>
          </w:p>
        </w:tc>
      </w:tr>
    </w:tbl>
    <w:p w14:paraId="798888D9" w14:textId="0FE30EFD" w:rsidR="00922BEC" w:rsidRDefault="00922BEC" w:rsidP="00922BEC">
      <w:pPr>
        <w:pStyle w:val="TableCaption"/>
      </w:pPr>
      <w:bookmarkStart w:id="204" w:name="_Toc207183794"/>
      <w:r>
        <w:lastRenderedPageBreak/>
        <w:t xml:space="preserve">Table </w:t>
      </w:r>
      <w:r w:rsidR="00642954">
        <w:t>4</w:t>
      </w:r>
      <w:r>
        <w:t xml:space="preserve">. </w:t>
      </w:r>
      <w:r w:rsidR="00B11F10">
        <w:t xml:space="preserve">Unweighted percentages of students passing AP courses and taking AP exams, by subject, with modeling </w:t>
      </w:r>
      <w:r w:rsidR="009562ED">
        <w:t>results,</w:t>
      </w:r>
      <w:r>
        <w:t xml:space="preserve"> SY2024</w:t>
      </w:r>
      <w:bookmarkEnd w:id="204"/>
      <w:r w:rsidR="006805AC">
        <w:rPr>
          <w:rStyle w:val="FootnoteReference"/>
        </w:rPr>
        <w:footnoteReference w:id="24"/>
      </w:r>
    </w:p>
    <w:tbl>
      <w:tblPr>
        <w:tblpPr w:leftFromText="180" w:rightFromText="180" w:vertAnchor="text" w:horzAnchor="margin" w:tblpY="148"/>
        <w:tblW w:w="9104" w:type="dxa"/>
        <w:tblCellMar>
          <w:left w:w="0" w:type="dxa"/>
          <w:right w:w="0" w:type="dxa"/>
        </w:tblCellMar>
        <w:tblLook w:val="0600" w:firstRow="0" w:lastRow="0" w:firstColumn="0" w:lastColumn="0" w:noHBand="1" w:noVBand="1"/>
      </w:tblPr>
      <w:tblGrid>
        <w:gridCol w:w="2715"/>
        <w:gridCol w:w="1593"/>
        <w:gridCol w:w="1594"/>
        <w:gridCol w:w="1594"/>
        <w:gridCol w:w="7"/>
        <w:gridCol w:w="1587"/>
        <w:gridCol w:w="14"/>
      </w:tblGrid>
      <w:tr w:rsidR="006C3413" w:rsidRPr="00E543B8" w14:paraId="2E226446" w14:textId="77777777" w:rsidTr="00712C28">
        <w:trPr>
          <w:trHeight w:val="576"/>
        </w:trPr>
        <w:tc>
          <w:tcPr>
            <w:tcW w:w="2715" w:type="dxa"/>
            <w:tcBorders>
              <w:top w:val="single" w:sz="4" w:space="0" w:color="auto"/>
              <w:left w:val="single" w:sz="4" w:space="0" w:color="auto"/>
              <w:bottom w:val="single" w:sz="4" w:space="0" w:color="auto"/>
              <w:right w:val="single" w:sz="4" w:space="0" w:color="auto"/>
            </w:tcBorders>
            <w:shd w:val="clear" w:color="auto" w:fill="A32638"/>
            <w:tcMar>
              <w:top w:w="9" w:type="dxa"/>
              <w:left w:w="9" w:type="dxa"/>
              <w:bottom w:w="0" w:type="dxa"/>
              <w:right w:w="9" w:type="dxa"/>
            </w:tcMar>
            <w:vAlign w:val="center"/>
            <w:hideMark/>
          </w:tcPr>
          <w:p w14:paraId="05F6F259" w14:textId="2F69F929" w:rsidR="006C3413" w:rsidRPr="006C3413" w:rsidRDefault="006C3413" w:rsidP="009175DE">
            <w:pPr>
              <w:spacing w:after="0" w:line="240" w:lineRule="auto"/>
              <w:jc w:val="center"/>
              <w:rPr>
                <w:rFonts w:eastAsia="Times New Roman" w:cstheme="minorHAnsi"/>
                <w:b/>
                <w:bCs/>
              </w:rPr>
            </w:pPr>
            <w:r w:rsidRPr="006C3413">
              <w:rPr>
                <w:rFonts w:eastAsia="Times New Roman" w:cstheme="minorHAnsi"/>
                <w:b/>
                <w:bCs/>
                <w:color w:val="FFFFFF" w:themeColor="background1"/>
              </w:rPr>
              <w:t>Student Groups</w:t>
            </w:r>
          </w:p>
        </w:tc>
        <w:tc>
          <w:tcPr>
            <w:tcW w:w="1593" w:type="dxa"/>
            <w:tcBorders>
              <w:top w:val="single" w:sz="4" w:space="0" w:color="000000"/>
              <w:left w:val="single" w:sz="4" w:space="0" w:color="auto"/>
              <w:bottom w:val="single" w:sz="4" w:space="0" w:color="000000"/>
              <w:right w:val="single" w:sz="4" w:space="0" w:color="000000"/>
            </w:tcBorders>
            <w:shd w:val="clear" w:color="auto" w:fill="A32638"/>
            <w:tcMar>
              <w:top w:w="9" w:type="dxa"/>
              <w:left w:w="9" w:type="dxa"/>
              <w:bottom w:w="0" w:type="dxa"/>
              <w:right w:w="9" w:type="dxa"/>
            </w:tcMar>
            <w:vAlign w:val="center"/>
            <w:hideMark/>
          </w:tcPr>
          <w:p w14:paraId="60C1FB03" w14:textId="69EA195C" w:rsidR="006C3413" w:rsidRDefault="006C3413" w:rsidP="007C771B">
            <w:pPr>
              <w:spacing w:after="0" w:line="240" w:lineRule="auto"/>
              <w:jc w:val="center"/>
              <w:textAlignment w:val="center"/>
              <w:rPr>
                <w:rFonts w:eastAsia="Times New Roman" w:cstheme="minorHAnsi"/>
                <w:b/>
                <w:bCs/>
                <w:color w:val="FFFFFF"/>
                <w:kern w:val="24"/>
              </w:rPr>
            </w:pPr>
            <w:r>
              <w:rPr>
                <w:rFonts w:eastAsia="Times New Roman" w:cstheme="minorHAnsi"/>
                <w:b/>
                <w:bCs/>
                <w:color w:val="FFFFFF"/>
                <w:kern w:val="24"/>
              </w:rPr>
              <w:t>Participant</w:t>
            </w:r>
          </w:p>
          <w:p w14:paraId="6E971CDC" w14:textId="2AF04153" w:rsidR="006C3413" w:rsidRPr="008D0684" w:rsidRDefault="006C3413" w:rsidP="007C771B">
            <w:pPr>
              <w:spacing w:after="0" w:line="240" w:lineRule="auto"/>
              <w:jc w:val="center"/>
              <w:textAlignment w:val="center"/>
              <w:rPr>
                <w:rFonts w:eastAsia="Times New Roman" w:cstheme="minorHAnsi"/>
              </w:rPr>
            </w:pPr>
            <w:r w:rsidRPr="00E543B8">
              <w:rPr>
                <w:rFonts w:eastAsia="Times New Roman" w:cstheme="minorHAnsi"/>
                <w:b/>
                <w:bCs/>
                <w:color w:val="FFFFFF"/>
                <w:kern w:val="24"/>
              </w:rPr>
              <w:t xml:space="preserve">AP </w:t>
            </w:r>
            <w:r>
              <w:rPr>
                <w:rFonts w:eastAsia="Times New Roman" w:cstheme="minorHAnsi"/>
                <w:b/>
                <w:bCs/>
                <w:color w:val="FFFFFF"/>
                <w:kern w:val="24"/>
              </w:rPr>
              <w:t>Course Passing</w:t>
            </w:r>
          </w:p>
        </w:tc>
        <w:tc>
          <w:tcPr>
            <w:tcW w:w="1594" w:type="dxa"/>
            <w:tcBorders>
              <w:top w:val="single" w:sz="4" w:space="0" w:color="000000"/>
              <w:left w:val="single" w:sz="4" w:space="0" w:color="auto"/>
              <w:bottom w:val="single" w:sz="4" w:space="0" w:color="000000"/>
              <w:right w:val="single" w:sz="4" w:space="0" w:color="000000"/>
            </w:tcBorders>
            <w:shd w:val="clear" w:color="auto" w:fill="A32638"/>
            <w:vAlign w:val="center"/>
          </w:tcPr>
          <w:p w14:paraId="6DBBFEE5" w14:textId="6CFC9137" w:rsidR="006C3413" w:rsidRPr="00FB725E" w:rsidRDefault="006C3413" w:rsidP="007C771B">
            <w:pPr>
              <w:spacing w:after="0" w:line="240" w:lineRule="auto"/>
              <w:jc w:val="center"/>
              <w:textAlignment w:val="center"/>
              <w:rPr>
                <w:rFonts w:eastAsia="Times New Roman" w:cstheme="minorHAnsi"/>
                <w:b/>
                <w:bCs/>
                <w:color w:val="FFFFFF" w:themeColor="background1"/>
                <w:lang w:val="fr-FR"/>
              </w:rPr>
            </w:pPr>
            <w:r w:rsidRPr="00FB725E">
              <w:rPr>
                <w:rFonts w:eastAsia="Times New Roman" w:cstheme="minorHAnsi"/>
                <w:b/>
                <w:bCs/>
                <w:color w:val="FFFFFF" w:themeColor="background1"/>
                <w:lang w:val="fr-FR"/>
              </w:rPr>
              <w:t>Non-Participant AP Course Passing</w:t>
            </w:r>
          </w:p>
        </w:tc>
        <w:tc>
          <w:tcPr>
            <w:tcW w:w="1601" w:type="dxa"/>
            <w:gridSpan w:val="2"/>
            <w:tcBorders>
              <w:top w:val="single" w:sz="4" w:space="0" w:color="000000"/>
              <w:left w:val="single" w:sz="4" w:space="0" w:color="000000"/>
              <w:bottom w:val="single" w:sz="4" w:space="0" w:color="000000"/>
              <w:right w:val="single" w:sz="4" w:space="0" w:color="000000"/>
            </w:tcBorders>
            <w:shd w:val="clear" w:color="auto" w:fill="A32638"/>
            <w:tcMar>
              <w:top w:w="9" w:type="dxa"/>
              <w:left w:w="9" w:type="dxa"/>
              <w:bottom w:w="0" w:type="dxa"/>
              <w:right w:w="9" w:type="dxa"/>
            </w:tcMar>
            <w:vAlign w:val="center"/>
            <w:hideMark/>
          </w:tcPr>
          <w:p w14:paraId="5E36DB65" w14:textId="77777777" w:rsidR="006C3413" w:rsidRPr="006C3413" w:rsidRDefault="006C3413" w:rsidP="007C771B">
            <w:pPr>
              <w:spacing w:after="0" w:line="240" w:lineRule="auto"/>
              <w:jc w:val="center"/>
              <w:textAlignment w:val="center"/>
              <w:rPr>
                <w:rFonts w:eastAsia="Times New Roman" w:cstheme="minorHAnsi"/>
                <w:b/>
                <w:bCs/>
                <w:color w:val="FFFFFF" w:themeColor="background1"/>
                <w:kern w:val="24"/>
              </w:rPr>
            </w:pPr>
            <w:r w:rsidRPr="006C3413">
              <w:rPr>
                <w:rFonts w:eastAsia="Times New Roman" w:cstheme="minorHAnsi"/>
                <w:b/>
                <w:bCs/>
                <w:color w:val="FFFFFF" w:themeColor="background1"/>
                <w:kern w:val="24"/>
              </w:rPr>
              <w:t xml:space="preserve">Participant </w:t>
            </w:r>
          </w:p>
          <w:p w14:paraId="2443B180" w14:textId="29207BB7" w:rsidR="006C3413" w:rsidRPr="006C3413" w:rsidRDefault="006C3413" w:rsidP="007C771B">
            <w:pPr>
              <w:spacing w:after="0" w:line="240" w:lineRule="auto"/>
              <w:jc w:val="center"/>
              <w:textAlignment w:val="center"/>
              <w:rPr>
                <w:rFonts w:eastAsia="Times New Roman" w:cstheme="minorHAnsi"/>
                <w:b/>
                <w:bCs/>
                <w:color w:val="FFFFFF" w:themeColor="background1"/>
              </w:rPr>
            </w:pPr>
            <w:r w:rsidRPr="006C3413">
              <w:rPr>
                <w:rFonts w:eastAsia="Times New Roman" w:cstheme="minorHAnsi"/>
                <w:b/>
                <w:bCs/>
                <w:color w:val="FFFFFF" w:themeColor="background1"/>
                <w:kern w:val="24"/>
              </w:rPr>
              <w:t>AP Exam Taking</w:t>
            </w:r>
          </w:p>
        </w:tc>
        <w:tc>
          <w:tcPr>
            <w:tcW w:w="1601" w:type="dxa"/>
            <w:gridSpan w:val="2"/>
            <w:tcBorders>
              <w:top w:val="single" w:sz="4" w:space="0" w:color="000000"/>
              <w:left w:val="single" w:sz="4" w:space="0" w:color="000000"/>
              <w:bottom w:val="single" w:sz="4" w:space="0" w:color="000000"/>
              <w:right w:val="single" w:sz="4" w:space="0" w:color="000000"/>
            </w:tcBorders>
            <w:shd w:val="clear" w:color="auto" w:fill="A32638"/>
            <w:vAlign w:val="center"/>
          </w:tcPr>
          <w:p w14:paraId="602E8ABB" w14:textId="64E895C6" w:rsidR="006C3413" w:rsidRPr="006C3413" w:rsidRDefault="006C3413" w:rsidP="007C771B">
            <w:pPr>
              <w:spacing w:after="0" w:line="240" w:lineRule="auto"/>
              <w:jc w:val="center"/>
              <w:textAlignment w:val="center"/>
              <w:rPr>
                <w:rFonts w:eastAsia="Times New Roman" w:cstheme="minorHAnsi"/>
                <w:b/>
                <w:bCs/>
                <w:color w:val="FFFFFF" w:themeColor="background1"/>
              </w:rPr>
            </w:pPr>
            <w:r w:rsidRPr="006C3413">
              <w:rPr>
                <w:rFonts w:eastAsia="Times New Roman" w:cstheme="minorHAnsi"/>
                <w:b/>
                <w:bCs/>
                <w:color w:val="FFFFFF" w:themeColor="background1"/>
              </w:rPr>
              <w:t>Non-Participant AP Exam Taking</w:t>
            </w:r>
          </w:p>
        </w:tc>
      </w:tr>
      <w:tr w:rsidR="0005225E" w:rsidRPr="00E543B8" w14:paraId="150F14D6" w14:textId="77777777" w:rsidTr="00D9072B">
        <w:trPr>
          <w:gridAfter w:val="1"/>
          <w:wAfter w:w="14" w:type="dxa"/>
          <w:trHeight w:val="576"/>
        </w:trPr>
        <w:tc>
          <w:tcPr>
            <w:tcW w:w="2715" w:type="dxa"/>
            <w:tcBorders>
              <w:top w:val="single" w:sz="4" w:space="0" w:color="000000"/>
              <w:left w:val="single" w:sz="4" w:space="0" w:color="000000"/>
              <w:bottom w:val="single" w:sz="4" w:space="0" w:color="000000"/>
              <w:right w:val="single" w:sz="8" w:space="0" w:color="3B3838"/>
            </w:tcBorders>
            <w:tcMar>
              <w:top w:w="9" w:type="dxa"/>
              <w:left w:w="43" w:type="dxa"/>
              <w:bottom w:w="0" w:type="dxa"/>
              <w:right w:w="9" w:type="dxa"/>
            </w:tcMar>
            <w:vAlign w:val="center"/>
            <w:hideMark/>
          </w:tcPr>
          <w:p w14:paraId="019F46B9" w14:textId="77777777" w:rsidR="00922BEC" w:rsidRPr="008D0684" w:rsidRDefault="00922BEC" w:rsidP="007C771B">
            <w:pPr>
              <w:spacing w:after="0" w:line="240" w:lineRule="auto"/>
              <w:textAlignment w:val="bottom"/>
              <w:rPr>
                <w:rFonts w:eastAsia="Times New Roman" w:cstheme="minorHAnsi"/>
              </w:rPr>
            </w:pPr>
            <w:r w:rsidRPr="00E543B8">
              <w:rPr>
                <w:rFonts w:eastAsia="Times New Roman" w:cstheme="minorHAnsi"/>
                <w:color w:val="000000"/>
                <w:kern w:val="24"/>
              </w:rPr>
              <w:t xml:space="preserve">AP </w:t>
            </w:r>
            <w:r>
              <w:rPr>
                <w:rFonts w:eastAsia="Times New Roman" w:cstheme="minorHAnsi"/>
                <w:color w:val="000000"/>
                <w:kern w:val="24"/>
              </w:rPr>
              <w:t>ELA</w:t>
            </w:r>
            <w:r w:rsidRPr="00E543B8">
              <w:rPr>
                <w:rFonts w:eastAsia="Times New Roman" w:cstheme="minorHAnsi"/>
                <w:color w:val="000000"/>
                <w:kern w:val="24"/>
              </w:rPr>
              <w:t xml:space="preserve"> – Mock Exams</w:t>
            </w:r>
          </w:p>
        </w:tc>
        <w:tc>
          <w:tcPr>
            <w:tcW w:w="1593" w:type="dxa"/>
            <w:tcBorders>
              <w:top w:val="single" w:sz="4" w:space="0" w:color="000000"/>
              <w:left w:val="single" w:sz="8" w:space="0" w:color="3B3838"/>
              <w:bottom w:val="single" w:sz="4" w:space="0" w:color="000000"/>
              <w:right w:val="single" w:sz="4" w:space="0" w:color="000000"/>
            </w:tcBorders>
            <w:tcMar>
              <w:top w:w="10" w:type="dxa"/>
              <w:left w:w="10" w:type="dxa"/>
              <w:bottom w:w="0" w:type="dxa"/>
              <w:right w:w="10" w:type="dxa"/>
            </w:tcMar>
            <w:vAlign w:val="center"/>
          </w:tcPr>
          <w:p w14:paraId="5668DF8D" w14:textId="20469662" w:rsidR="00922BEC" w:rsidRPr="008D0684" w:rsidRDefault="00922BEC" w:rsidP="007C771B">
            <w:pPr>
              <w:spacing w:after="0" w:line="240" w:lineRule="auto"/>
              <w:jc w:val="center"/>
              <w:textAlignment w:val="bottom"/>
              <w:rPr>
                <w:rFonts w:eastAsia="Times New Roman" w:cstheme="minorHAnsi"/>
              </w:rPr>
            </w:pPr>
            <w:r>
              <w:rPr>
                <w:rFonts w:eastAsia="Times New Roman" w:cstheme="minorHAnsi"/>
              </w:rPr>
              <w:t>97</w:t>
            </w:r>
            <w:r w:rsidR="00AB587E">
              <w:rPr>
                <w:rFonts w:eastAsia="Times New Roman" w:cstheme="minorHAnsi"/>
              </w:rPr>
              <w:t>.0</w:t>
            </w:r>
            <w:r>
              <w:rPr>
                <w:rFonts w:eastAsia="Times New Roman" w:cstheme="minorHAnsi"/>
              </w:rPr>
              <w:t>%***</w:t>
            </w:r>
          </w:p>
        </w:tc>
        <w:tc>
          <w:tcPr>
            <w:tcW w:w="1594"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tcPr>
          <w:p w14:paraId="105514D8" w14:textId="7741E7D3" w:rsidR="00922BEC" w:rsidRPr="008D0684" w:rsidRDefault="00922BEC" w:rsidP="007C771B">
            <w:pPr>
              <w:spacing w:after="0" w:line="240" w:lineRule="auto"/>
              <w:jc w:val="center"/>
              <w:textAlignment w:val="bottom"/>
              <w:rPr>
                <w:rFonts w:eastAsia="Times New Roman" w:cstheme="minorHAnsi"/>
              </w:rPr>
            </w:pPr>
            <w:r>
              <w:rPr>
                <w:rFonts w:eastAsia="Times New Roman" w:cstheme="minorHAnsi"/>
              </w:rPr>
              <w:t>7</w:t>
            </w:r>
            <w:r w:rsidR="007A5432">
              <w:rPr>
                <w:rFonts w:eastAsia="Times New Roman" w:cstheme="minorHAnsi"/>
              </w:rPr>
              <w:t>1.7</w:t>
            </w:r>
            <w:r>
              <w:rPr>
                <w:rFonts w:eastAsia="Times New Roman" w:cstheme="minorHAnsi"/>
              </w:rPr>
              <w:t>%</w:t>
            </w:r>
          </w:p>
        </w:tc>
        <w:tc>
          <w:tcPr>
            <w:tcW w:w="1594"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tcPr>
          <w:p w14:paraId="2B0D61A3" w14:textId="3DFE838D" w:rsidR="00922BEC" w:rsidRPr="008D0684" w:rsidRDefault="00922BEC" w:rsidP="007C771B">
            <w:pPr>
              <w:spacing w:after="0" w:line="240" w:lineRule="auto"/>
              <w:jc w:val="center"/>
              <w:textAlignment w:val="bottom"/>
              <w:rPr>
                <w:rFonts w:eastAsia="Times New Roman" w:cstheme="minorHAnsi"/>
              </w:rPr>
            </w:pPr>
            <w:r>
              <w:rPr>
                <w:rFonts w:eastAsia="Times New Roman" w:cstheme="minorHAnsi"/>
              </w:rPr>
              <w:t>96</w:t>
            </w:r>
            <w:r w:rsidR="00A03303">
              <w:rPr>
                <w:rFonts w:eastAsia="Times New Roman" w:cstheme="minorHAnsi"/>
              </w:rPr>
              <w:t>.4</w:t>
            </w:r>
            <w:r>
              <w:rPr>
                <w:rFonts w:eastAsia="Times New Roman" w:cstheme="minorHAnsi"/>
              </w:rPr>
              <w:t>%***</w:t>
            </w:r>
          </w:p>
        </w:tc>
        <w:tc>
          <w:tcPr>
            <w:tcW w:w="1594" w:type="dxa"/>
            <w:gridSpan w:val="2"/>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tcPr>
          <w:p w14:paraId="3B676269" w14:textId="25E6A35D" w:rsidR="00922BEC" w:rsidRPr="008D0684" w:rsidRDefault="00922BEC" w:rsidP="007C771B">
            <w:pPr>
              <w:spacing w:after="0" w:line="240" w:lineRule="auto"/>
              <w:jc w:val="center"/>
              <w:textAlignment w:val="bottom"/>
              <w:rPr>
                <w:rFonts w:eastAsia="Times New Roman" w:cstheme="minorHAnsi"/>
              </w:rPr>
            </w:pPr>
            <w:r>
              <w:rPr>
                <w:rFonts w:eastAsia="Times New Roman" w:cstheme="minorHAnsi"/>
              </w:rPr>
              <w:t>59</w:t>
            </w:r>
            <w:r w:rsidR="007E20CF">
              <w:rPr>
                <w:rFonts w:eastAsia="Times New Roman" w:cstheme="minorHAnsi"/>
              </w:rPr>
              <w:t>.0</w:t>
            </w:r>
            <w:r>
              <w:rPr>
                <w:rFonts w:eastAsia="Times New Roman" w:cstheme="minorHAnsi"/>
              </w:rPr>
              <w:t>%</w:t>
            </w:r>
          </w:p>
        </w:tc>
      </w:tr>
      <w:tr w:rsidR="0005225E" w:rsidRPr="00E543B8" w14:paraId="19893692" w14:textId="77777777" w:rsidTr="00D9072B">
        <w:trPr>
          <w:gridAfter w:val="1"/>
          <w:wAfter w:w="14" w:type="dxa"/>
          <w:trHeight w:val="576"/>
        </w:trPr>
        <w:tc>
          <w:tcPr>
            <w:tcW w:w="2715" w:type="dxa"/>
            <w:tcBorders>
              <w:top w:val="single" w:sz="4" w:space="0" w:color="000000"/>
              <w:left w:val="single" w:sz="4" w:space="0" w:color="000000"/>
              <w:bottom w:val="single" w:sz="4" w:space="0" w:color="000000"/>
              <w:right w:val="single" w:sz="8" w:space="0" w:color="3B3838"/>
            </w:tcBorders>
            <w:tcMar>
              <w:top w:w="9" w:type="dxa"/>
              <w:left w:w="43" w:type="dxa"/>
              <w:bottom w:w="0" w:type="dxa"/>
              <w:right w:w="9" w:type="dxa"/>
            </w:tcMar>
            <w:vAlign w:val="center"/>
            <w:hideMark/>
          </w:tcPr>
          <w:p w14:paraId="7E9F0372" w14:textId="77777777" w:rsidR="00922BEC" w:rsidRPr="008D0684" w:rsidRDefault="00922BEC" w:rsidP="007C771B">
            <w:pPr>
              <w:spacing w:after="0" w:line="240" w:lineRule="auto"/>
              <w:textAlignment w:val="bottom"/>
              <w:rPr>
                <w:rFonts w:eastAsia="Times New Roman" w:cstheme="minorHAnsi"/>
              </w:rPr>
            </w:pPr>
            <w:r w:rsidRPr="00E543B8">
              <w:rPr>
                <w:rFonts w:eastAsia="Times New Roman" w:cstheme="minorHAnsi"/>
                <w:color w:val="000000"/>
                <w:kern w:val="24"/>
              </w:rPr>
              <w:t xml:space="preserve">AP </w:t>
            </w:r>
            <w:r>
              <w:rPr>
                <w:rFonts w:eastAsia="Times New Roman" w:cstheme="minorHAnsi"/>
                <w:color w:val="000000"/>
                <w:kern w:val="24"/>
              </w:rPr>
              <w:t>Math</w:t>
            </w:r>
            <w:r w:rsidRPr="00E543B8">
              <w:rPr>
                <w:rFonts w:eastAsia="Times New Roman" w:cstheme="minorHAnsi"/>
                <w:color w:val="000000"/>
                <w:kern w:val="24"/>
              </w:rPr>
              <w:t xml:space="preserve"> – Mock Exams</w:t>
            </w:r>
          </w:p>
        </w:tc>
        <w:tc>
          <w:tcPr>
            <w:tcW w:w="1593" w:type="dxa"/>
            <w:tcBorders>
              <w:top w:val="single" w:sz="4" w:space="0" w:color="000000"/>
              <w:left w:val="single" w:sz="8" w:space="0" w:color="3B3838"/>
              <w:bottom w:val="single" w:sz="4" w:space="0" w:color="000000"/>
              <w:right w:val="single" w:sz="4" w:space="0" w:color="000000"/>
            </w:tcBorders>
            <w:tcMar>
              <w:top w:w="10" w:type="dxa"/>
              <w:left w:w="10" w:type="dxa"/>
              <w:bottom w:w="0" w:type="dxa"/>
              <w:right w:w="10" w:type="dxa"/>
            </w:tcMar>
            <w:vAlign w:val="center"/>
          </w:tcPr>
          <w:p w14:paraId="355424FA" w14:textId="712C8289" w:rsidR="00922BEC" w:rsidRPr="008D0684" w:rsidRDefault="00922BEC" w:rsidP="007C771B">
            <w:pPr>
              <w:spacing w:after="0" w:line="240" w:lineRule="auto"/>
              <w:jc w:val="center"/>
              <w:textAlignment w:val="bottom"/>
              <w:rPr>
                <w:rFonts w:eastAsia="Times New Roman" w:cstheme="minorHAnsi"/>
              </w:rPr>
            </w:pPr>
            <w:proofErr w:type="gramStart"/>
            <w:r>
              <w:rPr>
                <w:rFonts w:eastAsia="Times New Roman" w:cstheme="minorHAnsi"/>
              </w:rPr>
              <w:t>94</w:t>
            </w:r>
            <w:r w:rsidR="00816570">
              <w:rPr>
                <w:rFonts w:eastAsia="Times New Roman" w:cstheme="minorHAnsi"/>
              </w:rPr>
              <w:t>.3</w:t>
            </w:r>
            <w:r>
              <w:rPr>
                <w:rFonts w:eastAsia="Times New Roman" w:cstheme="minorHAnsi"/>
              </w:rPr>
              <w:t>%*</w:t>
            </w:r>
            <w:proofErr w:type="gramEnd"/>
            <w:r>
              <w:rPr>
                <w:rFonts w:eastAsia="Times New Roman" w:cstheme="minorHAnsi"/>
              </w:rPr>
              <w:t>**</w:t>
            </w:r>
          </w:p>
        </w:tc>
        <w:tc>
          <w:tcPr>
            <w:tcW w:w="1594"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tcPr>
          <w:p w14:paraId="781B4855" w14:textId="6FF57D98" w:rsidR="00922BEC" w:rsidRPr="008D0684" w:rsidRDefault="00922BEC" w:rsidP="007C771B">
            <w:pPr>
              <w:spacing w:after="0" w:line="240" w:lineRule="auto"/>
              <w:jc w:val="center"/>
              <w:textAlignment w:val="bottom"/>
              <w:rPr>
                <w:rFonts w:eastAsia="Times New Roman" w:cstheme="minorHAnsi"/>
              </w:rPr>
            </w:pPr>
            <w:r>
              <w:rPr>
                <w:rFonts w:eastAsia="Times New Roman" w:cstheme="minorHAnsi"/>
              </w:rPr>
              <w:t>79</w:t>
            </w:r>
            <w:r w:rsidR="00B36272">
              <w:rPr>
                <w:rFonts w:eastAsia="Times New Roman" w:cstheme="minorHAnsi"/>
              </w:rPr>
              <w:t>.2</w:t>
            </w:r>
            <w:r>
              <w:rPr>
                <w:rFonts w:eastAsia="Times New Roman" w:cstheme="minorHAnsi"/>
              </w:rPr>
              <w:t>%</w:t>
            </w:r>
          </w:p>
        </w:tc>
        <w:tc>
          <w:tcPr>
            <w:tcW w:w="1594"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tcPr>
          <w:p w14:paraId="49B2E9F4" w14:textId="1B2497EA" w:rsidR="00922BEC" w:rsidRPr="008D0684" w:rsidRDefault="00922BEC" w:rsidP="007C771B">
            <w:pPr>
              <w:spacing w:after="0" w:line="240" w:lineRule="auto"/>
              <w:jc w:val="center"/>
              <w:textAlignment w:val="bottom"/>
              <w:rPr>
                <w:rFonts w:eastAsia="Times New Roman" w:cstheme="minorHAnsi"/>
              </w:rPr>
            </w:pPr>
            <w:r>
              <w:rPr>
                <w:rFonts w:eastAsia="Times New Roman" w:cstheme="minorHAnsi"/>
              </w:rPr>
              <w:t>96</w:t>
            </w:r>
            <w:r w:rsidR="00F003E8">
              <w:rPr>
                <w:rFonts w:eastAsia="Times New Roman" w:cstheme="minorHAnsi"/>
              </w:rPr>
              <w:t>.1</w:t>
            </w:r>
            <w:r>
              <w:rPr>
                <w:rFonts w:eastAsia="Times New Roman" w:cstheme="minorHAnsi"/>
              </w:rPr>
              <w:t>%***</w:t>
            </w:r>
          </w:p>
        </w:tc>
        <w:tc>
          <w:tcPr>
            <w:tcW w:w="1594" w:type="dxa"/>
            <w:gridSpan w:val="2"/>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tcPr>
          <w:p w14:paraId="6FC5FFE4" w14:textId="36677B9F" w:rsidR="00922BEC" w:rsidRPr="008D0684" w:rsidRDefault="00AE2386" w:rsidP="007C771B">
            <w:pPr>
              <w:spacing w:after="0" w:line="240" w:lineRule="auto"/>
              <w:jc w:val="center"/>
              <w:textAlignment w:val="bottom"/>
              <w:rPr>
                <w:rFonts w:eastAsia="Times New Roman" w:cstheme="minorHAnsi"/>
              </w:rPr>
            </w:pPr>
            <w:r>
              <w:rPr>
                <w:rFonts w:eastAsia="Times New Roman" w:cstheme="minorHAnsi"/>
              </w:rPr>
              <w:t>59.5</w:t>
            </w:r>
            <w:r w:rsidR="00922BEC">
              <w:rPr>
                <w:rFonts w:eastAsia="Times New Roman" w:cstheme="minorHAnsi"/>
              </w:rPr>
              <w:t>%</w:t>
            </w:r>
          </w:p>
        </w:tc>
      </w:tr>
      <w:tr w:rsidR="0005225E" w:rsidRPr="00E543B8" w14:paraId="1281082A" w14:textId="77777777" w:rsidTr="00D9072B">
        <w:trPr>
          <w:gridAfter w:val="1"/>
          <w:wAfter w:w="14" w:type="dxa"/>
          <w:trHeight w:val="576"/>
        </w:trPr>
        <w:tc>
          <w:tcPr>
            <w:tcW w:w="2715" w:type="dxa"/>
            <w:tcBorders>
              <w:top w:val="single" w:sz="4" w:space="0" w:color="000000"/>
              <w:left w:val="single" w:sz="4" w:space="0" w:color="000000"/>
              <w:bottom w:val="single" w:sz="4" w:space="0" w:color="000000"/>
              <w:right w:val="single" w:sz="8" w:space="0" w:color="3B3838"/>
            </w:tcBorders>
            <w:tcMar>
              <w:top w:w="9" w:type="dxa"/>
              <w:left w:w="43" w:type="dxa"/>
              <w:bottom w:w="0" w:type="dxa"/>
              <w:right w:w="9" w:type="dxa"/>
            </w:tcMar>
            <w:vAlign w:val="center"/>
            <w:hideMark/>
          </w:tcPr>
          <w:p w14:paraId="3FFF4625" w14:textId="77777777" w:rsidR="00922BEC" w:rsidRPr="008D0684" w:rsidRDefault="00922BEC" w:rsidP="007C771B">
            <w:pPr>
              <w:spacing w:after="0" w:line="240" w:lineRule="auto"/>
              <w:textAlignment w:val="bottom"/>
              <w:rPr>
                <w:rFonts w:eastAsia="Times New Roman" w:cstheme="minorHAnsi"/>
              </w:rPr>
            </w:pPr>
            <w:r w:rsidRPr="00E543B8">
              <w:rPr>
                <w:rFonts w:eastAsia="Times New Roman" w:cstheme="minorHAnsi"/>
                <w:color w:val="000000"/>
                <w:kern w:val="24"/>
              </w:rPr>
              <w:t xml:space="preserve">AP </w:t>
            </w:r>
            <w:r>
              <w:rPr>
                <w:rFonts w:eastAsia="Times New Roman" w:cstheme="minorHAnsi"/>
                <w:color w:val="000000"/>
                <w:kern w:val="24"/>
              </w:rPr>
              <w:t>Science</w:t>
            </w:r>
            <w:r w:rsidRPr="00E543B8">
              <w:rPr>
                <w:rFonts w:eastAsia="Times New Roman" w:cstheme="minorHAnsi"/>
                <w:color w:val="000000"/>
                <w:kern w:val="24"/>
              </w:rPr>
              <w:t xml:space="preserve"> – Mock Exams</w:t>
            </w:r>
          </w:p>
        </w:tc>
        <w:tc>
          <w:tcPr>
            <w:tcW w:w="1593" w:type="dxa"/>
            <w:tcBorders>
              <w:top w:val="single" w:sz="4" w:space="0" w:color="000000"/>
              <w:left w:val="single" w:sz="8" w:space="0" w:color="3B3838"/>
              <w:bottom w:val="single" w:sz="4" w:space="0" w:color="000000"/>
              <w:right w:val="single" w:sz="4" w:space="0" w:color="000000"/>
            </w:tcBorders>
            <w:tcMar>
              <w:top w:w="10" w:type="dxa"/>
              <w:left w:w="10" w:type="dxa"/>
              <w:bottom w:w="0" w:type="dxa"/>
              <w:right w:w="10" w:type="dxa"/>
            </w:tcMar>
            <w:vAlign w:val="center"/>
          </w:tcPr>
          <w:p w14:paraId="3F32E1BE" w14:textId="3AFE40E1" w:rsidR="00922BEC" w:rsidRPr="008D0684" w:rsidRDefault="00922BEC" w:rsidP="007C771B">
            <w:pPr>
              <w:spacing w:after="0" w:line="240" w:lineRule="auto"/>
              <w:jc w:val="center"/>
              <w:textAlignment w:val="bottom"/>
              <w:rPr>
                <w:rFonts w:eastAsia="Times New Roman" w:cstheme="minorHAnsi"/>
              </w:rPr>
            </w:pPr>
            <w:r>
              <w:rPr>
                <w:rFonts w:eastAsia="Times New Roman" w:cstheme="minorHAnsi"/>
              </w:rPr>
              <w:t>9</w:t>
            </w:r>
            <w:r w:rsidR="00F72F6C">
              <w:rPr>
                <w:rFonts w:eastAsia="Times New Roman" w:cstheme="minorHAnsi"/>
              </w:rPr>
              <w:t>6.5</w:t>
            </w:r>
            <w:r>
              <w:rPr>
                <w:rFonts w:eastAsia="Times New Roman" w:cstheme="minorHAnsi"/>
              </w:rPr>
              <w:t>%***</w:t>
            </w:r>
          </w:p>
        </w:tc>
        <w:tc>
          <w:tcPr>
            <w:tcW w:w="1594"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tcPr>
          <w:p w14:paraId="1E0B09DF" w14:textId="470BC178" w:rsidR="00922BEC" w:rsidRPr="008D0684" w:rsidRDefault="00922BEC" w:rsidP="007C771B">
            <w:pPr>
              <w:spacing w:after="0" w:line="240" w:lineRule="auto"/>
              <w:jc w:val="center"/>
              <w:textAlignment w:val="bottom"/>
              <w:rPr>
                <w:rFonts w:eastAsia="Times New Roman" w:cstheme="minorHAnsi"/>
              </w:rPr>
            </w:pPr>
            <w:r>
              <w:rPr>
                <w:rFonts w:eastAsia="Times New Roman" w:cstheme="minorHAnsi"/>
              </w:rPr>
              <w:t>7</w:t>
            </w:r>
            <w:r w:rsidR="00B36272">
              <w:rPr>
                <w:rFonts w:eastAsia="Times New Roman" w:cstheme="minorHAnsi"/>
              </w:rPr>
              <w:t>2.6</w:t>
            </w:r>
            <w:r>
              <w:rPr>
                <w:rFonts w:eastAsia="Times New Roman" w:cstheme="minorHAnsi"/>
              </w:rPr>
              <w:t>%</w:t>
            </w:r>
          </w:p>
        </w:tc>
        <w:tc>
          <w:tcPr>
            <w:tcW w:w="1594"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tcPr>
          <w:p w14:paraId="28866D4E" w14:textId="2909E83F" w:rsidR="00922BEC" w:rsidRPr="008D0684" w:rsidRDefault="00922BEC" w:rsidP="007C771B">
            <w:pPr>
              <w:spacing w:after="0" w:line="240" w:lineRule="auto"/>
              <w:jc w:val="center"/>
              <w:textAlignment w:val="bottom"/>
              <w:rPr>
                <w:rFonts w:eastAsia="Times New Roman" w:cstheme="minorHAnsi"/>
              </w:rPr>
            </w:pPr>
            <w:r>
              <w:rPr>
                <w:rFonts w:eastAsia="Times New Roman" w:cstheme="minorHAnsi"/>
              </w:rPr>
              <w:t>9</w:t>
            </w:r>
            <w:r w:rsidR="00F003E8">
              <w:rPr>
                <w:rFonts w:eastAsia="Times New Roman" w:cstheme="minorHAnsi"/>
              </w:rPr>
              <w:t>7.6</w:t>
            </w:r>
            <w:r>
              <w:rPr>
                <w:rFonts w:eastAsia="Times New Roman" w:cstheme="minorHAnsi"/>
              </w:rPr>
              <w:t>%***</w:t>
            </w:r>
          </w:p>
        </w:tc>
        <w:tc>
          <w:tcPr>
            <w:tcW w:w="1594" w:type="dxa"/>
            <w:gridSpan w:val="2"/>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tcPr>
          <w:p w14:paraId="481C1324" w14:textId="7C1F6F95" w:rsidR="00922BEC" w:rsidRPr="008D0684" w:rsidRDefault="00922BEC" w:rsidP="007C771B">
            <w:pPr>
              <w:spacing w:after="0" w:line="240" w:lineRule="auto"/>
              <w:jc w:val="center"/>
              <w:textAlignment w:val="bottom"/>
              <w:rPr>
                <w:rFonts w:eastAsia="Times New Roman" w:cstheme="minorHAnsi"/>
              </w:rPr>
            </w:pPr>
            <w:r>
              <w:rPr>
                <w:rFonts w:eastAsia="Times New Roman" w:cstheme="minorHAnsi"/>
              </w:rPr>
              <w:t>6</w:t>
            </w:r>
            <w:r w:rsidR="009249E1">
              <w:rPr>
                <w:rFonts w:eastAsia="Times New Roman" w:cstheme="minorHAnsi"/>
              </w:rPr>
              <w:t>3.8</w:t>
            </w:r>
            <w:r>
              <w:rPr>
                <w:rFonts w:eastAsia="Times New Roman" w:cstheme="minorHAnsi"/>
              </w:rPr>
              <w:t>%</w:t>
            </w:r>
          </w:p>
        </w:tc>
      </w:tr>
      <w:tr w:rsidR="00D9072B" w:rsidRPr="00E543B8" w14:paraId="62CB1EA9" w14:textId="77777777" w:rsidTr="00D9072B">
        <w:trPr>
          <w:gridAfter w:val="1"/>
          <w:wAfter w:w="14" w:type="dxa"/>
          <w:trHeight w:val="576"/>
        </w:trPr>
        <w:tc>
          <w:tcPr>
            <w:tcW w:w="2715" w:type="dxa"/>
            <w:tcBorders>
              <w:top w:val="single" w:sz="4" w:space="0" w:color="000000"/>
              <w:left w:val="single" w:sz="4" w:space="0" w:color="000000"/>
              <w:bottom w:val="single" w:sz="4" w:space="0" w:color="000000"/>
              <w:right w:val="single" w:sz="8" w:space="0" w:color="3B3838"/>
            </w:tcBorders>
            <w:shd w:val="clear" w:color="auto" w:fill="D3D3D3" w:themeFill="background2" w:themeFillShade="E6"/>
            <w:tcMar>
              <w:top w:w="9" w:type="dxa"/>
              <w:left w:w="43" w:type="dxa"/>
              <w:bottom w:w="0" w:type="dxa"/>
              <w:right w:w="9" w:type="dxa"/>
            </w:tcMar>
            <w:vAlign w:val="center"/>
            <w:hideMark/>
          </w:tcPr>
          <w:p w14:paraId="7B22F857" w14:textId="77777777" w:rsidR="00922BEC" w:rsidRPr="008D0684" w:rsidRDefault="00922BEC" w:rsidP="007C771B">
            <w:pPr>
              <w:spacing w:after="0" w:line="240" w:lineRule="auto"/>
              <w:textAlignment w:val="bottom"/>
              <w:rPr>
                <w:rFonts w:eastAsia="Times New Roman" w:cstheme="minorHAnsi"/>
              </w:rPr>
            </w:pPr>
            <w:r w:rsidRPr="00E543B8">
              <w:rPr>
                <w:rFonts w:eastAsia="Times New Roman" w:cstheme="minorHAnsi"/>
                <w:color w:val="000000"/>
                <w:kern w:val="24"/>
              </w:rPr>
              <w:t>Any AP – Mock Exams</w:t>
            </w:r>
          </w:p>
        </w:tc>
        <w:tc>
          <w:tcPr>
            <w:tcW w:w="1593" w:type="dxa"/>
            <w:tcBorders>
              <w:top w:val="single" w:sz="4" w:space="0" w:color="000000"/>
              <w:left w:val="single" w:sz="8" w:space="0" w:color="3B3838"/>
              <w:bottom w:val="single" w:sz="4" w:space="0" w:color="000000"/>
              <w:right w:val="single" w:sz="4" w:space="0" w:color="000000"/>
            </w:tcBorders>
            <w:shd w:val="clear" w:color="auto" w:fill="D3D3D3" w:themeFill="background2" w:themeFillShade="E6"/>
            <w:tcMar>
              <w:top w:w="10" w:type="dxa"/>
              <w:left w:w="10" w:type="dxa"/>
              <w:bottom w:w="0" w:type="dxa"/>
              <w:right w:w="10" w:type="dxa"/>
            </w:tcMar>
            <w:vAlign w:val="center"/>
          </w:tcPr>
          <w:p w14:paraId="079E0D95" w14:textId="1D05DC73" w:rsidR="00922BEC" w:rsidRPr="008D0684" w:rsidRDefault="00922BEC" w:rsidP="007C771B">
            <w:pPr>
              <w:spacing w:after="0" w:line="240" w:lineRule="auto"/>
              <w:jc w:val="center"/>
              <w:textAlignment w:val="bottom"/>
              <w:rPr>
                <w:rFonts w:eastAsia="Times New Roman" w:cstheme="minorHAnsi"/>
              </w:rPr>
            </w:pPr>
            <w:r>
              <w:rPr>
                <w:rFonts w:eastAsia="Times New Roman" w:cstheme="minorHAnsi"/>
              </w:rPr>
              <w:t>96</w:t>
            </w:r>
            <w:r w:rsidR="005C7E4A">
              <w:rPr>
                <w:rFonts w:eastAsia="Times New Roman" w:cstheme="minorHAnsi"/>
              </w:rPr>
              <w:t>.0</w:t>
            </w:r>
            <w:r>
              <w:rPr>
                <w:rFonts w:eastAsia="Times New Roman" w:cstheme="minorHAnsi"/>
              </w:rPr>
              <w:t>%***</w:t>
            </w:r>
          </w:p>
        </w:tc>
        <w:tc>
          <w:tcPr>
            <w:tcW w:w="1594" w:type="dxa"/>
            <w:tcBorders>
              <w:top w:val="single" w:sz="4" w:space="0" w:color="000000"/>
              <w:left w:val="single" w:sz="4" w:space="0" w:color="000000"/>
              <w:bottom w:val="single" w:sz="4" w:space="0" w:color="000000"/>
              <w:right w:val="single" w:sz="4" w:space="0" w:color="000000"/>
            </w:tcBorders>
            <w:shd w:val="clear" w:color="auto" w:fill="D3D3D3" w:themeFill="background2" w:themeFillShade="E6"/>
            <w:tcMar>
              <w:top w:w="10" w:type="dxa"/>
              <w:left w:w="10" w:type="dxa"/>
              <w:bottom w:w="0" w:type="dxa"/>
              <w:right w:w="10" w:type="dxa"/>
            </w:tcMar>
            <w:vAlign w:val="center"/>
          </w:tcPr>
          <w:p w14:paraId="557BB6DD" w14:textId="6864D9A8" w:rsidR="00922BEC" w:rsidRPr="008D0684" w:rsidRDefault="00922BEC" w:rsidP="007C771B">
            <w:pPr>
              <w:spacing w:after="0" w:line="240" w:lineRule="auto"/>
              <w:jc w:val="center"/>
              <w:textAlignment w:val="bottom"/>
              <w:rPr>
                <w:rFonts w:eastAsia="Times New Roman" w:cstheme="minorHAnsi"/>
              </w:rPr>
            </w:pPr>
            <w:r>
              <w:rPr>
                <w:rFonts w:eastAsia="Times New Roman" w:cstheme="minorHAnsi"/>
              </w:rPr>
              <w:t>76</w:t>
            </w:r>
            <w:r w:rsidR="00DF7803">
              <w:rPr>
                <w:rFonts w:eastAsia="Times New Roman" w:cstheme="minorHAnsi"/>
              </w:rPr>
              <w:t>.2</w:t>
            </w:r>
            <w:r>
              <w:rPr>
                <w:rFonts w:eastAsia="Times New Roman" w:cstheme="minorHAnsi"/>
              </w:rPr>
              <w:t>%</w:t>
            </w:r>
          </w:p>
        </w:tc>
        <w:tc>
          <w:tcPr>
            <w:tcW w:w="1594" w:type="dxa"/>
            <w:tcBorders>
              <w:top w:val="single" w:sz="4" w:space="0" w:color="000000"/>
              <w:left w:val="single" w:sz="4" w:space="0" w:color="000000"/>
              <w:bottom w:val="single" w:sz="4" w:space="0" w:color="000000"/>
              <w:right w:val="single" w:sz="4" w:space="0" w:color="000000"/>
            </w:tcBorders>
            <w:shd w:val="clear" w:color="auto" w:fill="D3D3D3" w:themeFill="background2" w:themeFillShade="E6"/>
            <w:tcMar>
              <w:top w:w="10" w:type="dxa"/>
              <w:left w:w="10" w:type="dxa"/>
              <w:bottom w:w="0" w:type="dxa"/>
              <w:right w:w="10" w:type="dxa"/>
            </w:tcMar>
            <w:vAlign w:val="center"/>
          </w:tcPr>
          <w:p w14:paraId="06231CCC" w14:textId="5D0897E5" w:rsidR="00922BEC" w:rsidRPr="008D0684" w:rsidRDefault="00922BEC" w:rsidP="007C771B">
            <w:pPr>
              <w:spacing w:after="0" w:line="240" w:lineRule="auto"/>
              <w:jc w:val="center"/>
              <w:textAlignment w:val="bottom"/>
              <w:rPr>
                <w:rFonts w:eastAsia="Times New Roman" w:cstheme="minorHAnsi"/>
              </w:rPr>
            </w:pPr>
            <w:r>
              <w:rPr>
                <w:rFonts w:eastAsia="Times New Roman" w:cstheme="minorHAnsi"/>
              </w:rPr>
              <w:t>9</w:t>
            </w:r>
            <w:r w:rsidR="007E20CF">
              <w:rPr>
                <w:rFonts w:eastAsia="Times New Roman" w:cstheme="minorHAnsi"/>
              </w:rPr>
              <w:t>6.7</w:t>
            </w:r>
            <w:r>
              <w:rPr>
                <w:rFonts w:eastAsia="Times New Roman" w:cstheme="minorHAnsi"/>
              </w:rPr>
              <w:t>%***</w:t>
            </w:r>
          </w:p>
        </w:tc>
        <w:tc>
          <w:tcPr>
            <w:tcW w:w="1594" w:type="dxa"/>
            <w:gridSpan w:val="2"/>
            <w:tcBorders>
              <w:top w:val="single" w:sz="4" w:space="0" w:color="000000"/>
              <w:left w:val="single" w:sz="4" w:space="0" w:color="000000"/>
              <w:bottom w:val="single" w:sz="4" w:space="0" w:color="000000"/>
              <w:right w:val="single" w:sz="4" w:space="0" w:color="000000"/>
            </w:tcBorders>
            <w:shd w:val="clear" w:color="auto" w:fill="D3D3D3" w:themeFill="background2" w:themeFillShade="E6"/>
            <w:tcMar>
              <w:top w:w="10" w:type="dxa"/>
              <w:left w:w="10" w:type="dxa"/>
              <w:bottom w:w="0" w:type="dxa"/>
              <w:right w:w="10" w:type="dxa"/>
            </w:tcMar>
            <w:vAlign w:val="center"/>
          </w:tcPr>
          <w:p w14:paraId="0C146FCA" w14:textId="2DB81445" w:rsidR="00922BEC" w:rsidRPr="008D0684" w:rsidRDefault="00922BEC" w:rsidP="007C771B">
            <w:pPr>
              <w:spacing w:after="0" w:line="240" w:lineRule="auto"/>
              <w:jc w:val="center"/>
              <w:textAlignment w:val="bottom"/>
              <w:rPr>
                <w:rFonts w:eastAsia="Times New Roman" w:cstheme="minorHAnsi"/>
              </w:rPr>
            </w:pPr>
            <w:r>
              <w:rPr>
                <w:rFonts w:eastAsia="Times New Roman" w:cstheme="minorHAnsi"/>
              </w:rPr>
              <w:t>6</w:t>
            </w:r>
            <w:r w:rsidR="009249E1">
              <w:rPr>
                <w:rFonts w:eastAsia="Times New Roman" w:cstheme="minorHAnsi"/>
              </w:rPr>
              <w:t>4.6</w:t>
            </w:r>
            <w:r>
              <w:rPr>
                <w:rFonts w:eastAsia="Times New Roman" w:cstheme="minorHAnsi"/>
              </w:rPr>
              <w:t>%</w:t>
            </w:r>
          </w:p>
        </w:tc>
      </w:tr>
      <w:tr w:rsidR="0005225E" w:rsidRPr="00E543B8" w14:paraId="7390CA4E" w14:textId="77777777" w:rsidTr="00D9072B">
        <w:trPr>
          <w:gridAfter w:val="1"/>
          <w:wAfter w:w="14" w:type="dxa"/>
          <w:trHeight w:val="576"/>
        </w:trPr>
        <w:tc>
          <w:tcPr>
            <w:tcW w:w="2715" w:type="dxa"/>
            <w:tcBorders>
              <w:top w:val="single" w:sz="4" w:space="0" w:color="000000"/>
              <w:left w:val="single" w:sz="4" w:space="0" w:color="000000"/>
              <w:bottom w:val="single" w:sz="4" w:space="0" w:color="000000"/>
              <w:right w:val="single" w:sz="8" w:space="0" w:color="3B3838"/>
            </w:tcBorders>
            <w:tcMar>
              <w:top w:w="9" w:type="dxa"/>
              <w:left w:w="43" w:type="dxa"/>
              <w:bottom w:w="0" w:type="dxa"/>
              <w:right w:w="9" w:type="dxa"/>
            </w:tcMar>
            <w:vAlign w:val="center"/>
            <w:hideMark/>
          </w:tcPr>
          <w:p w14:paraId="2564334E" w14:textId="77777777" w:rsidR="00922BEC" w:rsidRPr="008D0684" w:rsidRDefault="00922BEC" w:rsidP="007C771B">
            <w:pPr>
              <w:spacing w:after="0" w:line="240" w:lineRule="auto"/>
              <w:textAlignment w:val="bottom"/>
              <w:rPr>
                <w:rFonts w:eastAsia="Times New Roman" w:cstheme="minorHAnsi"/>
              </w:rPr>
            </w:pPr>
            <w:r w:rsidRPr="00E543B8">
              <w:rPr>
                <w:rFonts w:eastAsia="Times New Roman" w:cstheme="minorHAnsi"/>
                <w:color w:val="000000"/>
                <w:kern w:val="24"/>
              </w:rPr>
              <w:t xml:space="preserve">AP </w:t>
            </w:r>
            <w:r>
              <w:rPr>
                <w:rFonts w:eastAsia="Times New Roman" w:cstheme="minorHAnsi"/>
                <w:color w:val="000000"/>
                <w:kern w:val="24"/>
              </w:rPr>
              <w:t>ELA</w:t>
            </w:r>
            <w:r w:rsidRPr="00E543B8">
              <w:rPr>
                <w:rFonts w:eastAsia="Times New Roman" w:cstheme="minorHAnsi"/>
                <w:color w:val="000000"/>
                <w:kern w:val="24"/>
              </w:rPr>
              <w:t xml:space="preserve"> – Study Sessions</w:t>
            </w:r>
          </w:p>
        </w:tc>
        <w:tc>
          <w:tcPr>
            <w:tcW w:w="1593" w:type="dxa"/>
            <w:tcBorders>
              <w:top w:val="single" w:sz="4" w:space="0" w:color="000000"/>
              <w:left w:val="single" w:sz="8" w:space="0" w:color="3B3838"/>
              <w:bottom w:val="single" w:sz="4" w:space="0" w:color="000000"/>
              <w:right w:val="single" w:sz="4" w:space="0" w:color="000000"/>
            </w:tcBorders>
            <w:tcMar>
              <w:top w:w="10" w:type="dxa"/>
              <w:left w:w="10" w:type="dxa"/>
              <w:bottom w:w="0" w:type="dxa"/>
              <w:right w:w="10" w:type="dxa"/>
            </w:tcMar>
            <w:vAlign w:val="center"/>
          </w:tcPr>
          <w:p w14:paraId="1010FF1F" w14:textId="09EE5A03" w:rsidR="00922BEC" w:rsidRPr="008D0684" w:rsidRDefault="00922BEC" w:rsidP="007C771B">
            <w:pPr>
              <w:spacing w:after="0" w:line="240" w:lineRule="auto"/>
              <w:jc w:val="center"/>
              <w:textAlignment w:val="bottom"/>
              <w:rPr>
                <w:rFonts w:eastAsia="Times New Roman" w:cstheme="minorHAnsi"/>
              </w:rPr>
            </w:pPr>
            <w:r>
              <w:rPr>
                <w:rFonts w:eastAsia="Times New Roman" w:cstheme="minorHAnsi"/>
              </w:rPr>
              <w:t>9</w:t>
            </w:r>
            <w:r w:rsidR="00860792">
              <w:rPr>
                <w:rFonts w:eastAsia="Times New Roman" w:cstheme="minorHAnsi"/>
              </w:rPr>
              <w:t>6.7</w:t>
            </w:r>
            <w:r>
              <w:rPr>
                <w:rFonts w:eastAsia="Times New Roman" w:cstheme="minorHAnsi"/>
              </w:rPr>
              <w:t>%***</w:t>
            </w:r>
          </w:p>
        </w:tc>
        <w:tc>
          <w:tcPr>
            <w:tcW w:w="1594"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tcPr>
          <w:p w14:paraId="7717FC2F" w14:textId="31929BE3" w:rsidR="00922BEC" w:rsidRPr="008D0684" w:rsidRDefault="00922BEC" w:rsidP="007C771B">
            <w:pPr>
              <w:spacing w:after="0" w:line="240" w:lineRule="auto"/>
              <w:jc w:val="center"/>
              <w:textAlignment w:val="bottom"/>
              <w:rPr>
                <w:rFonts w:eastAsia="Times New Roman" w:cstheme="minorHAnsi"/>
              </w:rPr>
            </w:pPr>
            <w:r>
              <w:rPr>
                <w:rFonts w:eastAsia="Times New Roman" w:cstheme="minorHAnsi"/>
              </w:rPr>
              <w:t>88</w:t>
            </w:r>
            <w:r w:rsidR="00CC0787">
              <w:rPr>
                <w:rFonts w:eastAsia="Times New Roman" w:cstheme="minorHAnsi"/>
              </w:rPr>
              <w:t>.2</w:t>
            </w:r>
            <w:r>
              <w:rPr>
                <w:rFonts w:eastAsia="Times New Roman" w:cstheme="minorHAnsi"/>
              </w:rPr>
              <w:t>%</w:t>
            </w:r>
          </w:p>
        </w:tc>
        <w:tc>
          <w:tcPr>
            <w:tcW w:w="1594"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tcPr>
          <w:p w14:paraId="6E32928E" w14:textId="186D2764" w:rsidR="00922BEC" w:rsidRPr="008D0684" w:rsidRDefault="00922BEC" w:rsidP="007C771B">
            <w:pPr>
              <w:spacing w:after="0" w:line="240" w:lineRule="auto"/>
              <w:jc w:val="center"/>
              <w:textAlignment w:val="bottom"/>
              <w:rPr>
                <w:rFonts w:eastAsia="Times New Roman" w:cstheme="minorHAnsi"/>
              </w:rPr>
            </w:pPr>
            <w:r>
              <w:rPr>
                <w:rFonts w:eastAsia="Times New Roman" w:cstheme="minorHAnsi"/>
              </w:rPr>
              <w:t>97</w:t>
            </w:r>
            <w:r w:rsidR="00D1764B">
              <w:rPr>
                <w:rFonts w:eastAsia="Times New Roman" w:cstheme="minorHAnsi"/>
              </w:rPr>
              <w:t>.3</w:t>
            </w:r>
            <w:r>
              <w:rPr>
                <w:rFonts w:eastAsia="Times New Roman" w:cstheme="minorHAnsi"/>
              </w:rPr>
              <w:t>%***</w:t>
            </w:r>
          </w:p>
        </w:tc>
        <w:tc>
          <w:tcPr>
            <w:tcW w:w="1594" w:type="dxa"/>
            <w:gridSpan w:val="2"/>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tcPr>
          <w:p w14:paraId="252D389D" w14:textId="17FFC862" w:rsidR="00922BEC" w:rsidRPr="008D0684" w:rsidRDefault="00487394" w:rsidP="007C771B">
            <w:pPr>
              <w:spacing w:after="0" w:line="240" w:lineRule="auto"/>
              <w:jc w:val="center"/>
              <w:textAlignment w:val="bottom"/>
              <w:rPr>
                <w:rFonts w:eastAsia="Times New Roman" w:cstheme="minorHAnsi"/>
              </w:rPr>
            </w:pPr>
            <w:r>
              <w:rPr>
                <w:rFonts w:eastAsia="Times New Roman" w:cstheme="minorHAnsi"/>
              </w:rPr>
              <w:t>79.7</w:t>
            </w:r>
            <w:r w:rsidR="00922BEC">
              <w:rPr>
                <w:rFonts w:eastAsia="Times New Roman" w:cstheme="minorHAnsi"/>
              </w:rPr>
              <w:t>%</w:t>
            </w:r>
          </w:p>
        </w:tc>
      </w:tr>
      <w:tr w:rsidR="0005225E" w:rsidRPr="00E543B8" w14:paraId="131750B1" w14:textId="77777777" w:rsidTr="00D9072B">
        <w:trPr>
          <w:gridAfter w:val="1"/>
          <w:wAfter w:w="14" w:type="dxa"/>
          <w:trHeight w:val="576"/>
        </w:trPr>
        <w:tc>
          <w:tcPr>
            <w:tcW w:w="2715" w:type="dxa"/>
            <w:tcBorders>
              <w:top w:val="single" w:sz="4" w:space="0" w:color="000000"/>
              <w:left w:val="single" w:sz="4" w:space="0" w:color="000000"/>
              <w:bottom w:val="single" w:sz="4" w:space="0" w:color="000000"/>
              <w:right w:val="single" w:sz="8" w:space="0" w:color="3B3838"/>
            </w:tcBorders>
            <w:tcMar>
              <w:top w:w="9" w:type="dxa"/>
              <w:left w:w="43" w:type="dxa"/>
              <w:bottom w:w="0" w:type="dxa"/>
              <w:right w:w="9" w:type="dxa"/>
            </w:tcMar>
            <w:vAlign w:val="center"/>
            <w:hideMark/>
          </w:tcPr>
          <w:p w14:paraId="14ADFED6" w14:textId="77777777" w:rsidR="00922BEC" w:rsidRPr="008D0684" w:rsidRDefault="00922BEC" w:rsidP="007C771B">
            <w:pPr>
              <w:spacing w:after="0" w:line="240" w:lineRule="auto"/>
              <w:textAlignment w:val="bottom"/>
              <w:rPr>
                <w:rFonts w:eastAsia="Times New Roman" w:cstheme="minorHAnsi"/>
              </w:rPr>
            </w:pPr>
            <w:r w:rsidRPr="00E543B8">
              <w:rPr>
                <w:rFonts w:eastAsia="Times New Roman" w:cstheme="minorHAnsi"/>
                <w:color w:val="000000"/>
                <w:kern w:val="24"/>
              </w:rPr>
              <w:t xml:space="preserve">AP </w:t>
            </w:r>
            <w:r>
              <w:rPr>
                <w:rFonts w:eastAsia="Times New Roman" w:cstheme="minorHAnsi"/>
                <w:color w:val="000000"/>
                <w:kern w:val="24"/>
              </w:rPr>
              <w:t>Math</w:t>
            </w:r>
            <w:r w:rsidRPr="00E543B8">
              <w:rPr>
                <w:rFonts w:eastAsia="Times New Roman" w:cstheme="minorHAnsi"/>
                <w:color w:val="000000"/>
                <w:kern w:val="24"/>
              </w:rPr>
              <w:t xml:space="preserve"> – Study Sessions</w:t>
            </w:r>
          </w:p>
        </w:tc>
        <w:tc>
          <w:tcPr>
            <w:tcW w:w="1593" w:type="dxa"/>
            <w:tcBorders>
              <w:top w:val="single" w:sz="4" w:space="0" w:color="000000"/>
              <w:left w:val="single" w:sz="8" w:space="0" w:color="3B3838"/>
              <w:bottom w:val="single" w:sz="4" w:space="0" w:color="000000"/>
              <w:right w:val="single" w:sz="4" w:space="0" w:color="000000"/>
            </w:tcBorders>
            <w:tcMar>
              <w:top w:w="10" w:type="dxa"/>
              <w:left w:w="10" w:type="dxa"/>
              <w:bottom w:w="0" w:type="dxa"/>
              <w:right w:w="10" w:type="dxa"/>
            </w:tcMar>
            <w:vAlign w:val="center"/>
          </w:tcPr>
          <w:p w14:paraId="72160BD1" w14:textId="4AB72048" w:rsidR="00922BEC" w:rsidRPr="008D0684" w:rsidRDefault="00922BEC" w:rsidP="007C771B">
            <w:pPr>
              <w:spacing w:after="0" w:line="240" w:lineRule="auto"/>
              <w:jc w:val="center"/>
              <w:textAlignment w:val="bottom"/>
              <w:rPr>
                <w:rFonts w:eastAsia="Times New Roman" w:cstheme="minorHAnsi"/>
              </w:rPr>
            </w:pPr>
            <w:r>
              <w:rPr>
                <w:rFonts w:eastAsia="Times New Roman" w:cstheme="minorHAnsi"/>
              </w:rPr>
              <w:t>9</w:t>
            </w:r>
            <w:r w:rsidR="00127073">
              <w:rPr>
                <w:rFonts w:eastAsia="Times New Roman" w:cstheme="minorHAnsi"/>
              </w:rPr>
              <w:t>3.5</w:t>
            </w:r>
            <w:r>
              <w:rPr>
                <w:rFonts w:eastAsia="Times New Roman" w:cstheme="minorHAnsi"/>
              </w:rPr>
              <w:t>%***</w:t>
            </w:r>
          </w:p>
        </w:tc>
        <w:tc>
          <w:tcPr>
            <w:tcW w:w="1594"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tcPr>
          <w:p w14:paraId="52D033FB" w14:textId="3C16B223" w:rsidR="00922BEC" w:rsidRPr="008D0684" w:rsidRDefault="00922BEC" w:rsidP="007C771B">
            <w:pPr>
              <w:spacing w:after="0" w:line="240" w:lineRule="auto"/>
              <w:jc w:val="center"/>
              <w:textAlignment w:val="bottom"/>
              <w:rPr>
                <w:rFonts w:eastAsia="Times New Roman" w:cstheme="minorHAnsi"/>
              </w:rPr>
            </w:pPr>
            <w:r>
              <w:rPr>
                <w:rFonts w:eastAsia="Times New Roman" w:cstheme="minorHAnsi"/>
              </w:rPr>
              <w:t>80</w:t>
            </w:r>
            <w:r w:rsidR="00CC0787">
              <w:rPr>
                <w:rFonts w:eastAsia="Times New Roman" w:cstheme="minorHAnsi"/>
              </w:rPr>
              <w:t>.2</w:t>
            </w:r>
            <w:r>
              <w:rPr>
                <w:rFonts w:eastAsia="Times New Roman" w:cstheme="minorHAnsi"/>
              </w:rPr>
              <w:t>%</w:t>
            </w:r>
          </w:p>
        </w:tc>
        <w:tc>
          <w:tcPr>
            <w:tcW w:w="1594"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tcPr>
          <w:p w14:paraId="1867031F" w14:textId="5CDDC91E" w:rsidR="00922BEC" w:rsidRPr="008D0684" w:rsidRDefault="00922BEC" w:rsidP="007C771B">
            <w:pPr>
              <w:spacing w:after="0" w:line="240" w:lineRule="auto"/>
              <w:jc w:val="center"/>
              <w:textAlignment w:val="bottom"/>
              <w:rPr>
                <w:rFonts w:eastAsia="Times New Roman" w:cstheme="minorHAnsi"/>
              </w:rPr>
            </w:pPr>
            <w:r>
              <w:rPr>
                <w:rFonts w:eastAsia="Times New Roman" w:cstheme="minorHAnsi"/>
              </w:rPr>
              <w:t>97</w:t>
            </w:r>
            <w:r w:rsidR="00D1764B">
              <w:rPr>
                <w:rFonts w:eastAsia="Times New Roman" w:cstheme="minorHAnsi"/>
              </w:rPr>
              <w:t>.3</w:t>
            </w:r>
            <w:r>
              <w:rPr>
                <w:rFonts w:eastAsia="Times New Roman" w:cstheme="minorHAnsi"/>
              </w:rPr>
              <w:t>%***</w:t>
            </w:r>
          </w:p>
        </w:tc>
        <w:tc>
          <w:tcPr>
            <w:tcW w:w="1594" w:type="dxa"/>
            <w:gridSpan w:val="2"/>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tcPr>
          <w:p w14:paraId="42EF750F" w14:textId="760B3EC8" w:rsidR="00922BEC" w:rsidRPr="008D0684" w:rsidRDefault="00922BEC" w:rsidP="007C771B">
            <w:pPr>
              <w:spacing w:after="0" w:line="240" w:lineRule="auto"/>
              <w:jc w:val="center"/>
              <w:textAlignment w:val="bottom"/>
              <w:rPr>
                <w:rFonts w:eastAsia="Times New Roman" w:cstheme="minorHAnsi"/>
              </w:rPr>
            </w:pPr>
            <w:r>
              <w:rPr>
                <w:rFonts w:eastAsia="Times New Roman" w:cstheme="minorHAnsi"/>
              </w:rPr>
              <w:t>66</w:t>
            </w:r>
            <w:r w:rsidR="008C1A68">
              <w:rPr>
                <w:rFonts w:eastAsia="Times New Roman" w:cstheme="minorHAnsi"/>
              </w:rPr>
              <w:t>.0</w:t>
            </w:r>
            <w:r>
              <w:rPr>
                <w:rFonts w:eastAsia="Times New Roman" w:cstheme="minorHAnsi"/>
              </w:rPr>
              <w:t>%</w:t>
            </w:r>
          </w:p>
        </w:tc>
      </w:tr>
      <w:tr w:rsidR="0005225E" w:rsidRPr="00E543B8" w14:paraId="34B3A14C" w14:textId="77777777" w:rsidTr="00D9072B">
        <w:trPr>
          <w:gridAfter w:val="1"/>
          <w:wAfter w:w="14" w:type="dxa"/>
          <w:trHeight w:val="576"/>
        </w:trPr>
        <w:tc>
          <w:tcPr>
            <w:tcW w:w="2715" w:type="dxa"/>
            <w:tcBorders>
              <w:top w:val="single" w:sz="4" w:space="0" w:color="000000"/>
              <w:left w:val="single" w:sz="4" w:space="0" w:color="000000"/>
              <w:bottom w:val="single" w:sz="4" w:space="0" w:color="000000"/>
              <w:right w:val="single" w:sz="8" w:space="0" w:color="3B3838"/>
            </w:tcBorders>
            <w:tcMar>
              <w:top w:w="9" w:type="dxa"/>
              <w:left w:w="43" w:type="dxa"/>
              <w:bottom w:w="0" w:type="dxa"/>
              <w:right w:w="9" w:type="dxa"/>
            </w:tcMar>
            <w:vAlign w:val="center"/>
            <w:hideMark/>
          </w:tcPr>
          <w:p w14:paraId="007F4E34" w14:textId="77777777" w:rsidR="00922BEC" w:rsidRPr="008D0684" w:rsidRDefault="00922BEC" w:rsidP="007C771B">
            <w:pPr>
              <w:spacing w:after="0" w:line="240" w:lineRule="auto"/>
              <w:textAlignment w:val="bottom"/>
              <w:rPr>
                <w:rFonts w:eastAsia="Times New Roman" w:cstheme="minorHAnsi"/>
              </w:rPr>
            </w:pPr>
            <w:r w:rsidRPr="00E543B8">
              <w:rPr>
                <w:rFonts w:eastAsia="Times New Roman" w:cstheme="minorHAnsi"/>
                <w:color w:val="000000"/>
                <w:kern w:val="24"/>
              </w:rPr>
              <w:t xml:space="preserve">AP </w:t>
            </w:r>
            <w:r>
              <w:rPr>
                <w:rFonts w:eastAsia="Times New Roman" w:cstheme="minorHAnsi"/>
                <w:color w:val="000000"/>
                <w:kern w:val="24"/>
              </w:rPr>
              <w:t>Science</w:t>
            </w:r>
            <w:r w:rsidRPr="00E543B8">
              <w:rPr>
                <w:rFonts w:eastAsia="Times New Roman" w:cstheme="minorHAnsi"/>
                <w:color w:val="000000"/>
                <w:kern w:val="24"/>
              </w:rPr>
              <w:t xml:space="preserve"> – Study Sessions</w:t>
            </w:r>
          </w:p>
        </w:tc>
        <w:tc>
          <w:tcPr>
            <w:tcW w:w="1593" w:type="dxa"/>
            <w:tcBorders>
              <w:top w:val="single" w:sz="4" w:space="0" w:color="000000"/>
              <w:left w:val="single" w:sz="8" w:space="0" w:color="3B3838"/>
              <w:bottom w:val="single" w:sz="4" w:space="0" w:color="000000"/>
              <w:right w:val="single" w:sz="4" w:space="0" w:color="000000"/>
            </w:tcBorders>
            <w:tcMar>
              <w:top w:w="10" w:type="dxa"/>
              <w:left w:w="10" w:type="dxa"/>
              <w:bottom w:w="0" w:type="dxa"/>
              <w:right w:w="10" w:type="dxa"/>
            </w:tcMar>
            <w:vAlign w:val="center"/>
          </w:tcPr>
          <w:p w14:paraId="2EE7C156" w14:textId="6E5E4B56" w:rsidR="00922BEC" w:rsidRPr="008D0684" w:rsidRDefault="00922BEC" w:rsidP="007C771B">
            <w:pPr>
              <w:spacing w:after="0" w:line="240" w:lineRule="auto"/>
              <w:jc w:val="center"/>
              <w:textAlignment w:val="bottom"/>
              <w:rPr>
                <w:rFonts w:eastAsia="Times New Roman" w:cstheme="minorHAnsi"/>
              </w:rPr>
            </w:pPr>
            <w:r>
              <w:rPr>
                <w:rFonts w:eastAsia="Times New Roman" w:cstheme="minorHAnsi"/>
              </w:rPr>
              <w:t>9</w:t>
            </w:r>
            <w:r w:rsidR="00127073">
              <w:rPr>
                <w:rFonts w:eastAsia="Times New Roman" w:cstheme="minorHAnsi"/>
              </w:rPr>
              <w:t>5.5</w:t>
            </w:r>
            <w:r>
              <w:rPr>
                <w:rFonts w:eastAsia="Times New Roman" w:cstheme="minorHAnsi"/>
              </w:rPr>
              <w:t>%***</w:t>
            </w:r>
          </w:p>
        </w:tc>
        <w:tc>
          <w:tcPr>
            <w:tcW w:w="1594"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tcPr>
          <w:p w14:paraId="0BF0CCAC" w14:textId="5CAF187B" w:rsidR="00922BEC" w:rsidRPr="008D0684" w:rsidRDefault="00922BEC" w:rsidP="007C771B">
            <w:pPr>
              <w:spacing w:after="0" w:line="240" w:lineRule="auto"/>
              <w:jc w:val="center"/>
              <w:textAlignment w:val="bottom"/>
              <w:rPr>
                <w:rFonts w:eastAsia="Times New Roman" w:cstheme="minorHAnsi"/>
              </w:rPr>
            </w:pPr>
            <w:r>
              <w:rPr>
                <w:rFonts w:eastAsia="Times New Roman" w:cstheme="minorHAnsi"/>
              </w:rPr>
              <w:t>77</w:t>
            </w:r>
            <w:r w:rsidR="000164AE">
              <w:rPr>
                <w:rFonts w:eastAsia="Times New Roman" w:cstheme="minorHAnsi"/>
              </w:rPr>
              <w:t>.3</w:t>
            </w:r>
            <w:r>
              <w:rPr>
                <w:rFonts w:eastAsia="Times New Roman" w:cstheme="minorHAnsi"/>
              </w:rPr>
              <w:t>%</w:t>
            </w:r>
          </w:p>
        </w:tc>
        <w:tc>
          <w:tcPr>
            <w:tcW w:w="1594"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tcPr>
          <w:p w14:paraId="2FE8ABF4" w14:textId="327D12A3" w:rsidR="00922BEC" w:rsidRPr="008D0684" w:rsidRDefault="00922BEC" w:rsidP="007C771B">
            <w:pPr>
              <w:spacing w:after="0" w:line="240" w:lineRule="auto"/>
              <w:jc w:val="center"/>
              <w:textAlignment w:val="bottom"/>
              <w:rPr>
                <w:rFonts w:eastAsia="Times New Roman" w:cstheme="minorHAnsi"/>
              </w:rPr>
            </w:pPr>
            <w:r>
              <w:rPr>
                <w:rFonts w:eastAsia="Times New Roman" w:cstheme="minorHAnsi"/>
              </w:rPr>
              <w:t>9</w:t>
            </w:r>
            <w:r w:rsidR="00020B8C">
              <w:rPr>
                <w:rFonts w:eastAsia="Times New Roman" w:cstheme="minorHAnsi"/>
              </w:rPr>
              <w:t>6.9</w:t>
            </w:r>
            <w:r>
              <w:rPr>
                <w:rFonts w:eastAsia="Times New Roman" w:cstheme="minorHAnsi"/>
              </w:rPr>
              <w:t>%***</w:t>
            </w:r>
          </w:p>
        </w:tc>
        <w:tc>
          <w:tcPr>
            <w:tcW w:w="1594" w:type="dxa"/>
            <w:gridSpan w:val="2"/>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tcPr>
          <w:p w14:paraId="0C197A16" w14:textId="0340BC61" w:rsidR="00922BEC" w:rsidRPr="008D0684" w:rsidRDefault="00922BEC" w:rsidP="007C771B">
            <w:pPr>
              <w:spacing w:after="0" w:line="240" w:lineRule="auto"/>
              <w:jc w:val="center"/>
              <w:textAlignment w:val="bottom"/>
              <w:rPr>
                <w:rFonts w:eastAsia="Times New Roman" w:cstheme="minorHAnsi"/>
              </w:rPr>
            </w:pPr>
            <w:r>
              <w:rPr>
                <w:rFonts w:eastAsia="Times New Roman" w:cstheme="minorHAnsi"/>
              </w:rPr>
              <w:t>7</w:t>
            </w:r>
            <w:r w:rsidR="008C1A68">
              <w:rPr>
                <w:rFonts w:eastAsia="Times New Roman" w:cstheme="minorHAnsi"/>
              </w:rPr>
              <w:t>1.7</w:t>
            </w:r>
            <w:r>
              <w:rPr>
                <w:rFonts w:eastAsia="Times New Roman" w:cstheme="minorHAnsi"/>
              </w:rPr>
              <w:t>%</w:t>
            </w:r>
          </w:p>
        </w:tc>
      </w:tr>
      <w:tr w:rsidR="00D9072B" w:rsidRPr="00E543B8" w14:paraId="4D438988" w14:textId="77777777" w:rsidTr="00D9072B">
        <w:trPr>
          <w:gridAfter w:val="1"/>
          <w:wAfter w:w="14" w:type="dxa"/>
          <w:trHeight w:val="576"/>
        </w:trPr>
        <w:tc>
          <w:tcPr>
            <w:tcW w:w="2715" w:type="dxa"/>
            <w:tcBorders>
              <w:top w:val="single" w:sz="4" w:space="0" w:color="000000"/>
              <w:left w:val="single" w:sz="4" w:space="0" w:color="000000"/>
              <w:bottom w:val="single" w:sz="4" w:space="0" w:color="000000"/>
              <w:right w:val="single" w:sz="8" w:space="0" w:color="3B3838"/>
            </w:tcBorders>
            <w:shd w:val="clear" w:color="auto" w:fill="D3D3D3" w:themeFill="background2" w:themeFillShade="E6"/>
            <w:tcMar>
              <w:top w:w="9" w:type="dxa"/>
              <w:left w:w="43" w:type="dxa"/>
              <w:bottom w:w="0" w:type="dxa"/>
              <w:right w:w="9" w:type="dxa"/>
            </w:tcMar>
            <w:vAlign w:val="center"/>
            <w:hideMark/>
          </w:tcPr>
          <w:p w14:paraId="6A3FB6D9" w14:textId="77777777" w:rsidR="00922BEC" w:rsidRPr="008D0684" w:rsidRDefault="00922BEC" w:rsidP="007C771B">
            <w:pPr>
              <w:spacing w:after="0" w:line="240" w:lineRule="auto"/>
              <w:textAlignment w:val="bottom"/>
              <w:rPr>
                <w:rFonts w:eastAsia="Times New Roman" w:cstheme="minorHAnsi"/>
              </w:rPr>
            </w:pPr>
            <w:r w:rsidRPr="00E543B8">
              <w:rPr>
                <w:rFonts w:eastAsia="Times New Roman" w:cstheme="minorHAnsi"/>
                <w:color w:val="000000"/>
                <w:kern w:val="24"/>
              </w:rPr>
              <w:t>Any AP – Study Sessions</w:t>
            </w:r>
          </w:p>
        </w:tc>
        <w:tc>
          <w:tcPr>
            <w:tcW w:w="1593" w:type="dxa"/>
            <w:tcBorders>
              <w:top w:val="single" w:sz="4" w:space="0" w:color="000000"/>
              <w:left w:val="single" w:sz="8" w:space="0" w:color="3B3838"/>
              <w:bottom w:val="single" w:sz="4" w:space="0" w:color="000000"/>
              <w:right w:val="single" w:sz="4" w:space="0" w:color="000000"/>
            </w:tcBorders>
            <w:shd w:val="clear" w:color="auto" w:fill="D3D3D3" w:themeFill="background2" w:themeFillShade="E6"/>
            <w:tcMar>
              <w:top w:w="10" w:type="dxa"/>
              <w:left w:w="10" w:type="dxa"/>
              <w:bottom w:w="0" w:type="dxa"/>
              <w:right w:w="10" w:type="dxa"/>
            </w:tcMar>
            <w:vAlign w:val="center"/>
          </w:tcPr>
          <w:p w14:paraId="2956A5A9" w14:textId="65877B73" w:rsidR="00922BEC" w:rsidRPr="008D0684" w:rsidRDefault="00922BEC" w:rsidP="007C771B">
            <w:pPr>
              <w:spacing w:after="0" w:line="240" w:lineRule="auto"/>
              <w:jc w:val="center"/>
              <w:textAlignment w:val="bottom"/>
              <w:rPr>
                <w:rFonts w:eastAsia="Times New Roman" w:cstheme="minorHAnsi"/>
              </w:rPr>
            </w:pPr>
            <w:r>
              <w:rPr>
                <w:rFonts w:eastAsia="Times New Roman" w:cstheme="minorHAnsi"/>
              </w:rPr>
              <w:t>9</w:t>
            </w:r>
            <w:r w:rsidR="00A039C3">
              <w:rPr>
                <w:rFonts w:eastAsia="Times New Roman" w:cstheme="minorHAnsi"/>
              </w:rPr>
              <w:t>5.5</w:t>
            </w:r>
            <w:r>
              <w:rPr>
                <w:rFonts w:eastAsia="Times New Roman" w:cstheme="minorHAnsi"/>
              </w:rPr>
              <w:t>%***</w:t>
            </w:r>
          </w:p>
        </w:tc>
        <w:tc>
          <w:tcPr>
            <w:tcW w:w="1594" w:type="dxa"/>
            <w:tcBorders>
              <w:top w:val="single" w:sz="4" w:space="0" w:color="000000"/>
              <w:left w:val="single" w:sz="4" w:space="0" w:color="000000"/>
              <w:bottom w:val="single" w:sz="4" w:space="0" w:color="000000"/>
              <w:right w:val="single" w:sz="4" w:space="0" w:color="000000"/>
            </w:tcBorders>
            <w:shd w:val="clear" w:color="auto" w:fill="D3D3D3" w:themeFill="background2" w:themeFillShade="E6"/>
            <w:tcMar>
              <w:top w:w="10" w:type="dxa"/>
              <w:left w:w="10" w:type="dxa"/>
              <w:bottom w:w="0" w:type="dxa"/>
              <w:right w:w="10" w:type="dxa"/>
            </w:tcMar>
            <w:vAlign w:val="center"/>
          </w:tcPr>
          <w:p w14:paraId="7C1DFD69" w14:textId="2727D9EA" w:rsidR="00922BEC" w:rsidRPr="008D0684" w:rsidRDefault="00922BEC" w:rsidP="007C771B">
            <w:pPr>
              <w:spacing w:after="0" w:line="240" w:lineRule="auto"/>
              <w:jc w:val="center"/>
              <w:textAlignment w:val="bottom"/>
              <w:rPr>
                <w:rFonts w:eastAsia="Times New Roman" w:cstheme="minorHAnsi"/>
              </w:rPr>
            </w:pPr>
            <w:r>
              <w:rPr>
                <w:rFonts w:eastAsia="Times New Roman" w:cstheme="minorHAnsi"/>
              </w:rPr>
              <w:t>83</w:t>
            </w:r>
            <w:r w:rsidR="002E19CF">
              <w:rPr>
                <w:rFonts w:eastAsia="Times New Roman" w:cstheme="minorHAnsi"/>
              </w:rPr>
              <w:t>.4</w:t>
            </w:r>
            <w:r>
              <w:rPr>
                <w:rFonts w:eastAsia="Times New Roman" w:cstheme="minorHAnsi"/>
              </w:rPr>
              <w:t>%</w:t>
            </w:r>
          </w:p>
        </w:tc>
        <w:tc>
          <w:tcPr>
            <w:tcW w:w="1594" w:type="dxa"/>
            <w:tcBorders>
              <w:top w:val="single" w:sz="4" w:space="0" w:color="000000"/>
              <w:left w:val="single" w:sz="4" w:space="0" w:color="000000"/>
              <w:bottom w:val="single" w:sz="4" w:space="0" w:color="000000"/>
              <w:right w:val="single" w:sz="4" w:space="0" w:color="000000"/>
            </w:tcBorders>
            <w:shd w:val="clear" w:color="auto" w:fill="D3D3D3" w:themeFill="background2" w:themeFillShade="E6"/>
            <w:tcMar>
              <w:top w:w="10" w:type="dxa"/>
              <w:left w:w="10" w:type="dxa"/>
              <w:bottom w:w="0" w:type="dxa"/>
              <w:right w:w="10" w:type="dxa"/>
            </w:tcMar>
            <w:vAlign w:val="center"/>
          </w:tcPr>
          <w:p w14:paraId="258FAE1E" w14:textId="0F064C79" w:rsidR="00922BEC" w:rsidRPr="008D0684" w:rsidRDefault="00922BEC" w:rsidP="007C771B">
            <w:pPr>
              <w:spacing w:after="0" w:line="240" w:lineRule="auto"/>
              <w:jc w:val="center"/>
              <w:textAlignment w:val="bottom"/>
              <w:rPr>
                <w:rFonts w:eastAsia="Times New Roman" w:cstheme="minorHAnsi"/>
              </w:rPr>
            </w:pPr>
            <w:r>
              <w:rPr>
                <w:rFonts w:eastAsia="Times New Roman" w:cstheme="minorHAnsi"/>
              </w:rPr>
              <w:t>97</w:t>
            </w:r>
            <w:r w:rsidR="00915BAD">
              <w:rPr>
                <w:rFonts w:eastAsia="Times New Roman" w:cstheme="minorHAnsi"/>
              </w:rPr>
              <w:t>.3</w:t>
            </w:r>
            <w:r>
              <w:rPr>
                <w:rFonts w:eastAsia="Times New Roman" w:cstheme="minorHAnsi"/>
              </w:rPr>
              <w:t>%***</w:t>
            </w:r>
          </w:p>
        </w:tc>
        <w:tc>
          <w:tcPr>
            <w:tcW w:w="1594" w:type="dxa"/>
            <w:gridSpan w:val="2"/>
            <w:tcBorders>
              <w:top w:val="single" w:sz="4" w:space="0" w:color="000000"/>
              <w:left w:val="single" w:sz="4" w:space="0" w:color="000000"/>
              <w:bottom w:val="single" w:sz="4" w:space="0" w:color="000000"/>
              <w:right w:val="single" w:sz="4" w:space="0" w:color="000000"/>
            </w:tcBorders>
            <w:shd w:val="clear" w:color="auto" w:fill="D3D3D3" w:themeFill="background2" w:themeFillShade="E6"/>
            <w:tcMar>
              <w:top w:w="10" w:type="dxa"/>
              <w:left w:w="10" w:type="dxa"/>
              <w:bottom w:w="0" w:type="dxa"/>
              <w:right w:w="10" w:type="dxa"/>
            </w:tcMar>
            <w:vAlign w:val="center"/>
          </w:tcPr>
          <w:p w14:paraId="141769E0" w14:textId="1997DD0C" w:rsidR="00922BEC" w:rsidRPr="008D0684" w:rsidRDefault="00922BEC" w:rsidP="007C771B">
            <w:pPr>
              <w:spacing w:after="0" w:line="240" w:lineRule="auto"/>
              <w:jc w:val="center"/>
              <w:textAlignment w:val="bottom"/>
              <w:rPr>
                <w:rFonts w:eastAsia="Times New Roman" w:cstheme="minorHAnsi"/>
              </w:rPr>
            </w:pPr>
            <w:r>
              <w:rPr>
                <w:rFonts w:eastAsia="Times New Roman" w:cstheme="minorHAnsi"/>
              </w:rPr>
              <w:t>7</w:t>
            </w:r>
            <w:r w:rsidR="008C1A68">
              <w:rPr>
                <w:rFonts w:eastAsia="Times New Roman" w:cstheme="minorHAnsi"/>
              </w:rPr>
              <w:t>6.5</w:t>
            </w:r>
            <w:r>
              <w:rPr>
                <w:rFonts w:eastAsia="Times New Roman" w:cstheme="minorHAnsi"/>
              </w:rPr>
              <w:t>%</w:t>
            </w:r>
          </w:p>
        </w:tc>
      </w:tr>
    </w:tbl>
    <w:p w14:paraId="2FF50206" w14:textId="77777777" w:rsidR="00922BEC" w:rsidRDefault="00922BEC" w:rsidP="00595208">
      <w:pPr>
        <w:pStyle w:val="BodyText"/>
      </w:pPr>
    </w:p>
    <w:p w14:paraId="32A260F2" w14:textId="64D48367" w:rsidR="00490A50" w:rsidRDefault="00490A50" w:rsidP="007B49DA">
      <w:pPr>
        <w:pStyle w:val="Heading4"/>
      </w:pPr>
      <w:bookmarkStart w:id="205" w:name="_Toc203984435"/>
      <w:bookmarkStart w:id="206" w:name="_Toc204766669"/>
      <w:bookmarkStart w:id="207" w:name="_Toc206742107"/>
      <w:bookmarkStart w:id="208" w:name="_Toc207183736"/>
      <w:bookmarkStart w:id="209" w:name="_Toc207348168"/>
      <w:r>
        <w:t>AP Course Passing Rates</w:t>
      </w:r>
      <w:bookmarkEnd w:id="195"/>
      <w:r>
        <w:t xml:space="preserve"> </w:t>
      </w:r>
      <w:r w:rsidR="00C86460">
        <w:t xml:space="preserve">by </w:t>
      </w:r>
      <w:r>
        <w:t>Student Support</w:t>
      </w:r>
      <w:bookmarkEnd w:id="196"/>
      <w:bookmarkEnd w:id="197"/>
      <w:bookmarkEnd w:id="198"/>
      <w:bookmarkEnd w:id="205"/>
      <w:bookmarkEnd w:id="206"/>
      <w:bookmarkEnd w:id="207"/>
      <w:bookmarkEnd w:id="208"/>
      <w:bookmarkEnd w:id="209"/>
    </w:p>
    <w:p w14:paraId="09F09423" w14:textId="08E75658" w:rsidR="00F40077" w:rsidRDefault="00490A50" w:rsidP="00F40077">
      <w:pPr>
        <w:pStyle w:val="BodyText"/>
      </w:pPr>
      <w:r>
        <w:t xml:space="preserve">There </w:t>
      </w:r>
      <w:r w:rsidR="00106253">
        <w:t>were</w:t>
      </w:r>
      <w:r>
        <w:t xml:space="preserve"> </w:t>
      </w:r>
      <w:r w:rsidR="00C51BB5">
        <w:t xml:space="preserve">consistent </w:t>
      </w:r>
      <w:r>
        <w:t>differences in</w:t>
      </w:r>
      <w:r w:rsidR="003F3612">
        <w:t xml:space="preserve"> AP course passing rates between students who participated in mock exams or study sessions and those who did not.</w:t>
      </w:r>
      <w:r>
        <w:t xml:space="preserve"> </w:t>
      </w:r>
      <w:r w:rsidR="003F3612">
        <w:t>T</w:t>
      </w:r>
      <w:r>
        <w:t xml:space="preserve">hese differences </w:t>
      </w:r>
      <w:r w:rsidR="00106253">
        <w:t>were</w:t>
      </w:r>
      <w:r>
        <w:t xml:space="preserve"> </w:t>
      </w:r>
      <w:r w:rsidR="003F3612">
        <w:t xml:space="preserve">evident </w:t>
      </w:r>
      <w:r>
        <w:t>across all AP content areas</w:t>
      </w:r>
      <w:r w:rsidR="001C4D85">
        <w:t xml:space="preserve"> </w:t>
      </w:r>
      <w:r w:rsidR="003F3612">
        <w:t xml:space="preserve">examined </w:t>
      </w:r>
      <w:r w:rsidR="001C4D85">
        <w:t xml:space="preserve">and </w:t>
      </w:r>
      <w:r w:rsidR="00106253">
        <w:t>were</w:t>
      </w:r>
      <w:r w:rsidR="001C4D85">
        <w:t xml:space="preserve"> similar across </w:t>
      </w:r>
      <w:r w:rsidR="00C403C1">
        <w:t>both SY</w:t>
      </w:r>
      <w:r w:rsidR="001C4D85">
        <w:t xml:space="preserve">2023 and </w:t>
      </w:r>
      <w:r w:rsidR="00C403C1">
        <w:t>SY</w:t>
      </w:r>
      <w:r w:rsidR="001C4D85">
        <w:t>2024.</w:t>
      </w:r>
      <w:r w:rsidR="00F40077">
        <w:t xml:space="preserve"> </w:t>
      </w:r>
    </w:p>
    <w:p w14:paraId="5F788198" w14:textId="77777777" w:rsidR="004F0741" w:rsidRDefault="004F0741" w:rsidP="00F40077">
      <w:pPr>
        <w:pStyle w:val="BodyText"/>
      </w:pPr>
    </w:p>
    <w:p w14:paraId="04AF40DF" w14:textId="3ABB5DB3" w:rsidR="004B24DD" w:rsidRDefault="004B24DD" w:rsidP="00F40077">
      <w:pPr>
        <w:pStyle w:val="BodyText"/>
      </w:pPr>
      <w:r>
        <w:t xml:space="preserve">A description of </w:t>
      </w:r>
      <w:proofErr w:type="gramStart"/>
      <w:r>
        <w:t>student course</w:t>
      </w:r>
      <w:proofErr w:type="gramEnd"/>
      <w:r>
        <w:t xml:space="preserve"> passing rates for any AP by school year and student support is provided below</w:t>
      </w:r>
      <w:r w:rsidR="00211119">
        <w:t>. S</w:t>
      </w:r>
      <w:r>
        <w:t xml:space="preserve">ummaries of course passing rates </w:t>
      </w:r>
      <w:r w:rsidR="004F0741">
        <w:t xml:space="preserve">by school year, student support, and </w:t>
      </w:r>
      <w:proofErr w:type="gramStart"/>
      <w:r>
        <w:t>subject</w:t>
      </w:r>
      <w:proofErr w:type="gramEnd"/>
      <w:r>
        <w:t xml:space="preserve"> (ELA, math, and science) are </w:t>
      </w:r>
      <w:r w:rsidRPr="008D47D4">
        <w:t xml:space="preserve">provided in </w:t>
      </w:r>
      <w:r w:rsidR="0002177F" w:rsidRPr="008D47D4">
        <w:t xml:space="preserve">Appendix </w:t>
      </w:r>
      <w:r w:rsidR="007E66E6">
        <w:t>M</w:t>
      </w:r>
      <w:r w:rsidRPr="008D47D4">
        <w:t>.</w:t>
      </w:r>
    </w:p>
    <w:p w14:paraId="7C260BFE" w14:textId="77777777" w:rsidR="00E1311F" w:rsidRDefault="00E1311F" w:rsidP="00F40077">
      <w:pPr>
        <w:pStyle w:val="BodyText"/>
      </w:pPr>
    </w:p>
    <w:p w14:paraId="58972DC1" w14:textId="77777777" w:rsidR="006C3413" w:rsidRDefault="006C3413" w:rsidP="00490A50">
      <w:pPr>
        <w:pStyle w:val="BodyText"/>
        <w:rPr>
          <w:rStyle w:val="Heading5Char"/>
          <w:color w:val="auto"/>
        </w:rPr>
      </w:pPr>
    </w:p>
    <w:p w14:paraId="6E3EBD81" w14:textId="77777777" w:rsidR="006C3413" w:rsidRDefault="006C3413" w:rsidP="00490A50">
      <w:pPr>
        <w:pStyle w:val="BodyText"/>
        <w:rPr>
          <w:rStyle w:val="Heading5Char"/>
          <w:color w:val="auto"/>
        </w:rPr>
      </w:pPr>
    </w:p>
    <w:p w14:paraId="5953B1DB" w14:textId="77777777" w:rsidR="007B49DA" w:rsidRDefault="007B49DA" w:rsidP="00490A50">
      <w:pPr>
        <w:pStyle w:val="BodyText"/>
        <w:rPr>
          <w:rStyle w:val="Heading4Char"/>
        </w:rPr>
      </w:pPr>
    </w:p>
    <w:p w14:paraId="6810C7DC" w14:textId="66D01F75" w:rsidR="007B49DA" w:rsidRDefault="00175720" w:rsidP="00490A50">
      <w:pPr>
        <w:pStyle w:val="BodyText"/>
      </w:pPr>
      <w:r w:rsidRPr="007B49DA">
        <w:rPr>
          <w:rStyle w:val="Heading4Char"/>
        </w:rPr>
        <w:lastRenderedPageBreak/>
        <w:t>Mock exams</w:t>
      </w:r>
      <w:r>
        <w:t xml:space="preserve"> </w:t>
      </w:r>
    </w:p>
    <w:p w14:paraId="07EEEF53" w14:textId="55639325" w:rsidR="00490A50" w:rsidRDefault="00D50EA5" w:rsidP="00490A50">
      <w:pPr>
        <w:pStyle w:val="BodyText"/>
      </w:pPr>
      <w:r>
        <w:t>In SY2023</w:t>
      </w:r>
      <w:r w:rsidR="00CC1672">
        <w:t xml:space="preserve"> (Figure 10), 6,827 students (98.2%) passed at least one AP course, whereas 3,515 students (77.5%) who did not participate in a mock exam passed at least one AP course. In SY2024, </w:t>
      </w:r>
      <w:r w:rsidR="001574A3">
        <w:t xml:space="preserve">7,285 students (96.0%) passed at least one AP course, whereas 3,424 students (77.3%) who did not participate in a mock exam passed at least one AP course. </w:t>
      </w:r>
    </w:p>
    <w:p w14:paraId="62EEEF67" w14:textId="77777777" w:rsidR="00E14921" w:rsidRDefault="00E14921" w:rsidP="00490A50">
      <w:pPr>
        <w:pStyle w:val="BodyText"/>
      </w:pPr>
    </w:p>
    <w:p w14:paraId="1F11322B" w14:textId="77777777" w:rsidR="007B49DA" w:rsidRPr="00FB54E7" w:rsidRDefault="00B275B2" w:rsidP="007B49DA">
      <w:pPr>
        <w:pStyle w:val="Heading5"/>
        <w:rPr>
          <w:rStyle w:val="Heading5Char"/>
          <w:b/>
          <w:color w:val="595959" w:themeColor="text1" w:themeTint="A6"/>
        </w:rPr>
      </w:pPr>
      <w:r w:rsidRPr="00FB54E7">
        <w:rPr>
          <w:rStyle w:val="Heading5Char"/>
          <w:b/>
          <w:color w:val="595959" w:themeColor="text1" w:themeTint="A6"/>
        </w:rPr>
        <w:t>Study sessions</w:t>
      </w:r>
    </w:p>
    <w:p w14:paraId="5F0CA714" w14:textId="7C4C882D" w:rsidR="00B275B2" w:rsidRDefault="006343AB" w:rsidP="00490A50">
      <w:pPr>
        <w:pStyle w:val="BodyText"/>
      </w:pPr>
      <w:r>
        <w:t>In SY2023</w:t>
      </w:r>
      <w:r w:rsidR="00C72E1B">
        <w:t xml:space="preserve"> (Figure 10), 3,847 students (98.0%) who participated in a study session passed at least one AP course, whereas 6,495 students </w:t>
      </w:r>
      <w:r w:rsidR="003B2F7A">
        <w:t xml:space="preserve">(85.8%) who did not participate in a study session passed at least one AP course. In SY2024, </w:t>
      </w:r>
      <w:r w:rsidR="0043427B">
        <w:t xml:space="preserve">3,618 students (95.5%) who participated in a study session passed at least one AP course, whereas 7,091 students (86.2%) who did not participate in a study session passed at least one AP course. </w:t>
      </w:r>
    </w:p>
    <w:tbl>
      <w:tblPr>
        <w:tblStyle w:val="TableGrid"/>
        <w:tblW w:w="94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421"/>
      </w:tblGrid>
      <w:tr w:rsidR="00A41CBE" w14:paraId="63B6DB57" w14:textId="77777777" w:rsidTr="006776E4">
        <w:trPr>
          <w:trHeight w:val="809"/>
        </w:trPr>
        <w:tc>
          <w:tcPr>
            <w:tcW w:w="9421" w:type="dxa"/>
          </w:tcPr>
          <w:p w14:paraId="3CC81ABF" w14:textId="4CB4EF35" w:rsidR="00E14921" w:rsidRDefault="00E14921">
            <w:pPr>
              <w:pStyle w:val="FigureCaption"/>
              <w:rPr>
                <w:noProof/>
              </w:rPr>
            </w:pPr>
            <w:bookmarkStart w:id="210" w:name="_Toc207348452"/>
            <w:r>
              <w:t xml:space="preserve">Figure </w:t>
            </w:r>
            <w:r w:rsidR="00A63304">
              <w:t>10</w:t>
            </w:r>
            <w:r>
              <w:t>.</w:t>
            </w:r>
            <w:r w:rsidR="00A0461B">
              <w:t xml:space="preserve"> </w:t>
            </w:r>
            <w:r>
              <w:t>Percentage of students passing at least one AP course</w:t>
            </w:r>
            <w:r w:rsidR="00026B65">
              <w:t xml:space="preserve"> (ELA, math, or science) </w:t>
            </w:r>
            <w:r>
              <w:t xml:space="preserve">by school year </w:t>
            </w:r>
            <w:r w:rsidR="00140296">
              <w:t>and</w:t>
            </w:r>
            <w:r>
              <w:t xml:space="preserve"> support type</w:t>
            </w:r>
            <w:bookmarkEnd w:id="210"/>
          </w:p>
        </w:tc>
      </w:tr>
      <w:tr w:rsidR="00E14921" w:rsidRPr="0043079F" w14:paraId="7C135E97" w14:textId="77777777" w:rsidTr="006776E4">
        <w:trPr>
          <w:trHeight w:val="4974"/>
        </w:trPr>
        <w:tc>
          <w:tcPr>
            <w:tcW w:w="9421" w:type="dxa"/>
          </w:tcPr>
          <w:p w14:paraId="79097D28" w14:textId="77777777" w:rsidR="00E14921" w:rsidRPr="0043079F" w:rsidRDefault="00E14921">
            <w:pPr>
              <w:pStyle w:val="BodyText"/>
              <w:rPr>
                <w:i/>
                <w:iCs/>
                <w:noProof/>
              </w:rPr>
            </w:pPr>
            <w:r>
              <w:rPr>
                <w:noProof/>
              </w:rPr>
              <w:drawing>
                <wp:inline distT="0" distB="0" distL="0" distR="0" wp14:anchorId="0E20B8D3" wp14:editId="3E3222CC">
                  <wp:extent cx="4638675" cy="2733675"/>
                  <wp:effectExtent l="0" t="0" r="9525" b="9525"/>
                  <wp:docPr id="5407448" name="Chart 1" descr="Horizontal bar chart showing the percentage of students passing at least one AP course (ELA, math, or science) by school year and support type for SY2023 and SY2024.&#10;SY2023: Students who took a mock exam, 98.2%; students who did not take a mock exam, 77.5%; students who took a study session: 98.0%; students who did not take a study session, 85.8%.&#10;SY2024: Students who took a mock exam, 96.0%; students who did not take a mock exam, 77.3%; students who took a study session: 95.5%; students who did not take a study session, 86.2%.">
                    <a:extLst xmlns:a="http://schemas.openxmlformats.org/drawingml/2006/main">
                      <a:ext uri="{FF2B5EF4-FFF2-40B4-BE49-F238E27FC236}">
                        <a16:creationId xmlns:a16="http://schemas.microsoft.com/office/drawing/2014/main" id="{5C20BED9-EEF5-4C59-8B22-158C4948E02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tc>
      </w:tr>
    </w:tbl>
    <w:p w14:paraId="164C4F86" w14:textId="24EE348D" w:rsidR="00490A50" w:rsidRDefault="00490A50" w:rsidP="007B49DA">
      <w:pPr>
        <w:pStyle w:val="Heading4"/>
      </w:pPr>
      <w:bookmarkStart w:id="211" w:name="_Toc200638445"/>
      <w:bookmarkStart w:id="212" w:name="_Toc202784445"/>
      <w:bookmarkStart w:id="213" w:name="_Toc202784531"/>
      <w:bookmarkStart w:id="214" w:name="_Toc202788414"/>
      <w:bookmarkStart w:id="215" w:name="_Toc203984436"/>
      <w:bookmarkStart w:id="216" w:name="_Toc204766670"/>
      <w:bookmarkStart w:id="217" w:name="_Toc206742108"/>
      <w:bookmarkStart w:id="218" w:name="_Toc207183737"/>
      <w:bookmarkStart w:id="219" w:name="_Toc207348169"/>
      <w:r>
        <w:t>AP Exam Taking Rates</w:t>
      </w:r>
      <w:bookmarkEnd w:id="211"/>
      <w:r>
        <w:t xml:space="preserve"> </w:t>
      </w:r>
      <w:r w:rsidR="006A0C33">
        <w:t xml:space="preserve">by </w:t>
      </w:r>
      <w:r>
        <w:t>Student Support</w:t>
      </w:r>
      <w:bookmarkEnd w:id="212"/>
      <w:bookmarkEnd w:id="213"/>
      <w:bookmarkEnd w:id="214"/>
      <w:bookmarkEnd w:id="215"/>
      <w:bookmarkEnd w:id="216"/>
      <w:bookmarkEnd w:id="217"/>
      <w:bookmarkEnd w:id="218"/>
      <w:bookmarkEnd w:id="219"/>
    </w:p>
    <w:p w14:paraId="6CA3CAB4" w14:textId="0C57AA2D" w:rsidR="00A32246" w:rsidRDefault="00490A50" w:rsidP="00490A50">
      <w:pPr>
        <w:pStyle w:val="BodyText"/>
      </w:pPr>
      <w:r>
        <w:t xml:space="preserve">There are observable differences in students taking AP exams between those who did and did not take a mock exam, and these differences are present across all examined AP content areas. </w:t>
      </w:r>
      <w:r w:rsidR="00B23690">
        <w:t xml:space="preserve">There </w:t>
      </w:r>
      <w:r w:rsidR="00B23690">
        <w:lastRenderedPageBreak/>
        <w:t>are also observable</w:t>
      </w:r>
      <w:r w:rsidR="008342D8">
        <w:t xml:space="preserve"> differences in AP exam taking between students who did and did not participate in study sessions.</w:t>
      </w:r>
    </w:p>
    <w:p w14:paraId="52839432" w14:textId="77777777" w:rsidR="00A32246" w:rsidRDefault="00A32246" w:rsidP="00490A50">
      <w:pPr>
        <w:pStyle w:val="BodyText"/>
      </w:pPr>
    </w:p>
    <w:p w14:paraId="69099F9C" w14:textId="41067B90" w:rsidR="00E1794A" w:rsidRDefault="00E1794A" w:rsidP="00E1794A">
      <w:pPr>
        <w:pStyle w:val="BodyText"/>
      </w:pPr>
      <w:r>
        <w:t xml:space="preserve">A description of student </w:t>
      </w:r>
      <w:r w:rsidR="008520FB">
        <w:t>exam taking</w:t>
      </w:r>
      <w:r>
        <w:t xml:space="preserve"> rates for any AP by school year and student support is provided below, and summaries of </w:t>
      </w:r>
      <w:r w:rsidR="008520FB">
        <w:t>exam taking</w:t>
      </w:r>
      <w:r>
        <w:t xml:space="preserve"> rates by school year, student support, and subject (ELA, math, and science) are provided in </w:t>
      </w:r>
      <w:r w:rsidR="0002177F">
        <w:t xml:space="preserve">Appendix </w:t>
      </w:r>
      <w:r w:rsidR="007E66E6">
        <w:t>N</w:t>
      </w:r>
      <w:r>
        <w:t>.</w:t>
      </w:r>
    </w:p>
    <w:p w14:paraId="2BE3640B" w14:textId="77777777" w:rsidR="00E1794A" w:rsidRDefault="00E1794A" w:rsidP="00490A50">
      <w:pPr>
        <w:pStyle w:val="BodyText"/>
      </w:pPr>
    </w:p>
    <w:p w14:paraId="1BE580DC" w14:textId="59C9F3B4" w:rsidR="004D2CB0" w:rsidRPr="00FB54E7" w:rsidRDefault="004D2CB0" w:rsidP="007B49DA">
      <w:pPr>
        <w:pStyle w:val="Heading5"/>
        <w:rPr>
          <w:color w:val="595959" w:themeColor="text1" w:themeTint="A6"/>
        </w:rPr>
      </w:pPr>
      <w:r w:rsidRPr="00FB54E7">
        <w:rPr>
          <w:color w:val="595959" w:themeColor="text1" w:themeTint="A6"/>
        </w:rPr>
        <w:t>Any AP</w:t>
      </w:r>
    </w:p>
    <w:p w14:paraId="08938354" w14:textId="198DC70C" w:rsidR="00490A50" w:rsidRDefault="009A590E" w:rsidP="00490A50">
      <w:pPr>
        <w:pStyle w:val="BodyText"/>
      </w:pPr>
      <w:r w:rsidRPr="00D27088">
        <w:rPr>
          <w:rStyle w:val="Heading5Char"/>
          <w:color w:val="auto"/>
        </w:rPr>
        <w:t>Mock exams.</w:t>
      </w:r>
      <w:r>
        <w:t xml:space="preserve"> </w:t>
      </w:r>
      <w:r w:rsidR="00C3436F">
        <w:t xml:space="preserve">In SY2023 (Figure 11), 6,723 students (96.7%) who participated in at least one AP mock exam for any </w:t>
      </w:r>
      <w:r w:rsidR="00575896">
        <w:t xml:space="preserve">subject took at least one any AP exam, whereas 3,041 students (67.0%) who did not participate in at least one </w:t>
      </w:r>
      <w:proofErr w:type="gramStart"/>
      <w:r w:rsidR="00575896">
        <w:t>any AP</w:t>
      </w:r>
      <w:proofErr w:type="gramEnd"/>
      <w:r w:rsidR="00575896">
        <w:t xml:space="preserve"> mock exam took at least one any AP exam. In SY2024, </w:t>
      </w:r>
      <w:r w:rsidR="009F0034">
        <w:t xml:space="preserve">7,332 students (96.7%) who participated in at least one AP mock exam for any subject </w:t>
      </w:r>
      <w:r w:rsidR="00DE3F97">
        <w:t xml:space="preserve">took at least one </w:t>
      </w:r>
      <w:proofErr w:type="gramStart"/>
      <w:r w:rsidR="00DE3F97">
        <w:t>any AP</w:t>
      </w:r>
      <w:proofErr w:type="gramEnd"/>
      <w:r w:rsidR="00DE3F97">
        <w:t xml:space="preserve"> exam, whereas 2,922 students (65.9%) who did not participate in at least one </w:t>
      </w:r>
      <w:proofErr w:type="gramStart"/>
      <w:r w:rsidR="00DE3F97">
        <w:t>any AP</w:t>
      </w:r>
      <w:proofErr w:type="gramEnd"/>
      <w:r w:rsidR="00DE3F97">
        <w:t xml:space="preserve"> mock exam took at least one </w:t>
      </w:r>
      <w:proofErr w:type="gramStart"/>
      <w:r w:rsidR="00DE3F97">
        <w:t>any AP</w:t>
      </w:r>
      <w:proofErr w:type="gramEnd"/>
      <w:r w:rsidR="00DE3F97">
        <w:t xml:space="preserve"> exam. </w:t>
      </w:r>
      <w:r w:rsidR="00A90E1A">
        <w:t xml:space="preserve">This represents </w:t>
      </w:r>
      <w:proofErr w:type="gramStart"/>
      <w:r w:rsidR="0033206F">
        <w:t>a roughly</w:t>
      </w:r>
      <w:proofErr w:type="gramEnd"/>
      <w:r w:rsidR="00A90E1A">
        <w:t xml:space="preserve"> 30 </w:t>
      </w:r>
      <w:proofErr w:type="gramStart"/>
      <w:r w:rsidR="00A90E1A">
        <w:t>percentage point</w:t>
      </w:r>
      <w:proofErr w:type="gramEnd"/>
      <w:r w:rsidR="00A90E1A">
        <w:t xml:space="preserve"> difference between </w:t>
      </w:r>
      <w:r w:rsidR="0035043B">
        <w:t>mock exam participants and non-participants.</w:t>
      </w:r>
      <w:r w:rsidR="00490A50">
        <w:t xml:space="preserve"> </w:t>
      </w:r>
    </w:p>
    <w:p w14:paraId="482892EF" w14:textId="77777777" w:rsidR="0079651B" w:rsidRDefault="0079651B" w:rsidP="00490A50">
      <w:pPr>
        <w:pStyle w:val="BodyText"/>
      </w:pPr>
    </w:p>
    <w:p w14:paraId="48AA28E0" w14:textId="77A0D752" w:rsidR="00CB6A45" w:rsidRDefault="009A590E" w:rsidP="00CB6A45">
      <w:pPr>
        <w:pStyle w:val="BodyText"/>
      </w:pPr>
      <w:r w:rsidRPr="00D27088">
        <w:rPr>
          <w:rStyle w:val="Heading5Char"/>
          <w:color w:val="auto"/>
        </w:rPr>
        <w:t>Study sessions.</w:t>
      </w:r>
      <w:r>
        <w:t xml:space="preserve"> </w:t>
      </w:r>
      <w:r w:rsidR="00B4621B">
        <w:t xml:space="preserve">In SY2023 (Figure 11), 3,755 students (95.7%) who participated in at least one of any AP study session took at least one of any AP </w:t>
      </w:r>
      <w:proofErr w:type="gramStart"/>
      <w:r w:rsidR="00B4621B">
        <w:t>exam</w:t>
      </w:r>
      <w:proofErr w:type="gramEnd"/>
      <w:r w:rsidR="00B4621B">
        <w:t>, whereas 6,009 students (</w:t>
      </w:r>
      <w:r w:rsidR="00FE4501">
        <w:t xml:space="preserve">79.4%) who did not participate in any AP study session took at least one of any AP </w:t>
      </w:r>
      <w:proofErr w:type="gramStart"/>
      <w:r w:rsidR="00FE4501">
        <w:t>exam</w:t>
      </w:r>
      <w:proofErr w:type="gramEnd"/>
      <w:r w:rsidR="00FE4501">
        <w:t xml:space="preserve">. In SY2024, 3,681 students (97.2%) who participated in at least one of any AP study session took at least one of any AP </w:t>
      </w:r>
      <w:proofErr w:type="gramStart"/>
      <w:r w:rsidR="00FE4501">
        <w:t>exam</w:t>
      </w:r>
      <w:proofErr w:type="gramEnd"/>
      <w:r w:rsidR="00FE4501">
        <w:t xml:space="preserve">, whereas 6,573 students (79.9%) who did not participate in any AP study session took at least one of any AP </w:t>
      </w:r>
      <w:proofErr w:type="gramStart"/>
      <w:r w:rsidR="00FE4501">
        <w:t>exam</w:t>
      </w:r>
      <w:proofErr w:type="gramEnd"/>
      <w:r w:rsidR="00FE4501">
        <w:t>.</w:t>
      </w:r>
      <w:r w:rsidR="00B203D9">
        <w:t xml:space="preserve"> </w:t>
      </w:r>
      <w:r w:rsidR="00B90669">
        <w:t xml:space="preserve">This represents a roughly </w:t>
      </w:r>
      <w:r w:rsidR="009E32D7">
        <w:t>16 percentage point difference between study session participants and non-participants.</w:t>
      </w:r>
    </w:p>
    <w:tbl>
      <w:tblPr>
        <w:tblStyle w:val="TableGrid"/>
        <w:tblW w:w="95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36"/>
      </w:tblGrid>
      <w:tr w:rsidR="00CB6A45" w14:paraId="417FF49A" w14:textId="77777777" w:rsidTr="00F71BA9">
        <w:trPr>
          <w:trHeight w:val="393"/>
        </w:trPr>
        <w:tc>
          <w:tcPr>
            <w:tcW w:w="9536" w:type="dxa"/>
          </w:tcPr>
          <w:p w14:paraId="567AD666" w14:textId="0F7BDDE0" w:rsidR="00CB6A45" w:rsidRDefault="00CB6A45">
            <w:pPr>
              <w:pStyle w:val="FigureCaption"/>
              <w:rPr>
                <w:noProof/>
              </w:rPr>
            </w:pPr>
            <w:bookmarkStart w:id="220" w:name="_Toc207348453"/>
            <w:r>
              <w:lastRenderedPageBreak/>
              <w:t xml:space="preserve">Figure </w:t>
            </w:r>
            <w:r w:rsidR="00A63304">
              <w:t>11</w:t>
            </w:r>
            <w:r>
              <w:t xml:space="preserve">. Percentage of students taking at least one AP exam by school year </w:t>
            </w:r>
            <w:r w:rsidR="00547F75">
              <w:t>and</w:t>
            </w:r>
            <w:r>
              <w:t xml:space="preserve"> support type</w:t>
            </w:r>
            <w:bookmarkEnd w:id="220"/>
          </w:p>
        </w:tc>
      </w:tr>
      <w:tr w:rsidR="00CB6A45" w14:paraId="3A76FAEB" w14:textId="77777777" w:rsidTr="00F71BA9">
        <w:trPr>
          <w:trHeight w:val="2938"/>
        </w:trPr>
        <w:tc>
          <w:tcPr>
            <w:tcW w:w="9536" w:type="dxa"/>
          </w:tcPr>
          <w:p w14:paraId="64D780D9" w14:textId="77777777" w:rsidR="00CB6A45" w:rsidRDefault="00CB6A45">
            <w:pPr>
              <w:pStyle w:val="BodyText"/>
              <w:rPr>
                <w:noProof/>
              </w:rPr>
            </w:pPr>
            <w:r>
              <w:rPr>
                <w:noProof/>
              </w:rPr>
              <w:drawing>
                <wp:inline distT="0" distB="0" distL="0" distR="0" wp14:anchorId="0184ED68" wp14:editId="7F5B178C">
                  <wp:extent cx="4610100" cy="2200275"/>
                  <wp:effectExtent l="0" t="0" r="0" b="9525"/>
                  <wp:docPr id="1442954360" name="Chart 1" descr="Horizontal bar chart showing the percentage of students taking at least one AP exam (ELA, math, or science) by school year and support type for SY2023 and SY2024.&#10;SY2023: Students who took a mock exam, 96.7%; students who did not take a mock exam, 67.0%; students who took a study session: 95.7%; students who did not take a study session, 79.4%.&#10;SY2024: Students who took a mock exam, 96.7%; students who did not take a mock exam, 65.9%; students who took a study session: 97.2%; students who did not take a study session, 79.9%.">
                    <a:extLst xmlns:a="http://schemas.openxmlformats.org/drawingml/2006/main">
                      <a:ext uri="{FF2B5EF4-FFF2-40B4-BE49-F238E27FC236}">
                        <a16:creationId xmlns:a16="http://schemas.microsoft.com/office/drawing/2014/main" id="{8088C2DD-5C2F-4E91-B4D8-6DA6984CC74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tc>
      </w:tr>
    </w:tbl>
    <w:p w14:paraId="5DF0A9AA" w14:textId="77777777" w:rsidR="009D7947" w:rsidRDefault="009D7947" w:rsidP="00DF21C1">
      <w:pPr>
        <w:pStyle w:val="Heading3"/>
        <w:pBdr>
          <w:top w:val="single" w:sz="12" w:space="1" w:color="881C1C"/>
          <w:bottom w:val="single" w:sz="12" w:space="1" w:color="881C1C"/>
        </w:pBdr>
        <w:sectPr w:rsidR="009D7947" w:rsidSect="00136388">
          <w:pgSz w:w="12240" w:h="15840" w:code="1"/>
          <w:pgMar w:top="1987" w:right="1440" w:bottom="1980" w:left="1440" w:header="1267" w:footer="1260" w:gutter="0"/>
          <w:cols w:space="720"/>
          <w:docGrid w:linePitch="360"/>
        </w:sectPr>
      </w:pPr>
    </w:p>
    <w:p w14:paraId="218DD4EF" w14:textId="43255BCD" w:rsidR="00EA3EA3" w:rsidRPr="009175DE" w:rsidRDefault="00EA3EA3" w:rsidP="008E5FE2">
      <w:pPr>
        <w:pStyle w:val="Heading3"/>
        <w:pBdr>
          <w:top w:val="single" w:sz="12" w:space="1" w:color="881C1C"/>
          <w:bottom w:val="single" w:sz="12" w:space="1" w:color="881C1C"/>
        </w:pBdr>
        <w:jc w:val="center"/>
        <w:rPr>
          <w:color w:val="auto"/>
        </w:rPr>
      </w:pPr>
      <w:bookmarkStart w:id="221" w:name="_Toc207348170"/>
      <w:bookmarkStart w:id="222" w:name="_Toc200638446"/>
      <w:bookmarkStart w:id="223" w:name="_Toc202784446"/>
      <w:bookmarkStart w:id="224" w:name="_Toc202784532"/>
      <w:bookmarkStart w:id="225" w:name="_Toc202788415"/>
      <w:r w:rsidRPr="009175DE">
        <w:rPr>
          <w:color w:val="auto"/>
        </w:rPr>
        <w:lastRenderedPageBreak/>
        <w:t>Key Finding 3: Student</w:t>
      </w:r>
      <w:r w:rsidR="00DA1680">
        <w:rPr>
          <w:color w:val="auto"/>
        </w:rPr>
        <w:t>s</w:t>
      </w:r>
      <w:r w:rsidRPr="009175DE">
        <w:rPr>
          <w:color w:val="auto"/>
        </w:rPr>
        <w:t xml:space="preserve"> who participated in a mock exam or study session were </w:t>
      </w:r>
      <w:r w:rsidR="00E1311F">
        <w:rPr>
          <w:color w:val="auto"/>
        </w:rPr>
        <w:t xml:space="preserve">significantly </w:t>
      </w:r>
      <w:r w:rsidRPr="009175DE">
        <w:rPr>
          <w:color w:val="auto"/>
        </w:rPr>
        <w:t>more likely to pass an AP exam in their respective AP content area</w:t>
      </w:r>
      <w:r w:rsidR="006F7256">
        <w:rPr>
          <w:color w:val="auto"/>
        </w:rPr>
        <w:t xml:space="preserve"> than similar students who did not participate</w:t>
      </w:r>
      <w:r w:rsidRPr="009175DE">
        <w:rPr>
          <w:color w:val="auto"/>
        </w:rPr>
        <w:t>.</w:t>
      </w:r>
      <w:bookmarkEnd w:id="221"/>
    </w:p>
    <w:p w14:paraId="01D6F1F9" w14:textId="494391A8" w:rsidR="00384774" w:rsidRDefault="00215E6E" w:rsidP="009175DE">
      <w:pPr>
        <w:pStyle w:val="BodyText"/>
      </w:pPr>
      <w:r>
        <w:t>Students who participated in a mock exam or study session were statistically more likely to pass an AP exam in their respective content area. Below is a summary of</w:t>
      </w:r>
      <w:r w:rsidR="009B6F06">
        <w:t xml:space="preserve"> the quasi-experimental modeling results</w:t>
      </w:r>
      <w:r w:rsidR="00F773F4">
        <w:t xml:space="preserve"> that </w:t>
      </w:r>
      <w:r w:rsidR="002E019C">
        <w:t>highlight</w:t>
      </w:r>
      <w:r w:rsidR="00F773F4">
        <w:t xml:space="preserve"> these differences</w:t>
      </w:r>
      <w:r>
        <w:t>, follow</w:t>
      </w:r>
      <w:r w:rsidR="002E019C">
        <w:t>ed</w:t>
      </w:r>
      <w:r>
        <w:t xml:space="preserve"> by </w:t>
      </w:r>
      <w:r w:rsidR="009E25D9">
        <w:t xml:space="preserve">descriptive analyses </w:t>
      </w:r>
      <w:r w:rsidR="002E019C">
        <w:t xml:space="preserve">of </w:t>
      </w:r>
      <w:r w:rsidR="009E25D9">
        <w:t>student participation</w:t>
      </w:r>
      <w:r w:rsidR="00795082">
        <w:t xml:space="preserve"> and</w:t>
      </w:r>
      <w:r w:rsidR="002E019C">
        <w:t xml:space="preserve"> success rates</w:t>
      </w:r>
      <w:r w:rsidR="00CC4334">
        <w:t>.</w:t>
      </w:r>
      <w:r w:rsidR="00CC4334">
        <w:rPr>
          <w:rStyle w:val="FootnoteReference"/>
        </w:rPr>
        <w:footnoteReference w:id="25"/>
      </w:r>
      <w:r w:rsidR="00CC4334">
        <w:t xml:space="preserve"> </w:t>
      </w:r>
    </w:p>
    <w:p w14:paraId="14594BFF" w14:textId="77777777" w:rsidR="009F4187" w:rsidRDefault="009F4187" w:rsidP="009175DE">
      <w:pPr>
        <w:pStyle w:val="BodyText"/>
      </w:pPr>
    </w:p>
    <w:p w14:paraId="62B3B1A0" w14:textId="77777777" w:rsidR="009F4187" w:rsidRDefault="009F4187" w:rsidP="009F4187">
      <w:pPr>
        <w:pStyle w:val="BodyText"/>
        <w:rPr>
          <w:rStyle w:val="Strong"/>
          <w:b w:val="0"/>
          <w:bCs w:val="0"/>
        </w:rPr>
      </w:pPr>
      <w:r>
        <w:rPr>
          <w:rStyle w:val="Strong"/>
          <w:b w:val="0"/>
          <w:bCs w:val="0"/>
        </w:rPr>
        <w:t>Results presented for this key finding are organized as follows:</w:t>
      </w:r>
    </w:p>
    <w:p w14:paraId="22B230C7" w14:textId="4D324F61" w:rsidR="009F4187" w:rsidRPr="009F4187" w:rsidRDefault="009F4187" w:rsidP="00B8419E">
      <w:pPr>
        <w:pStyle w:val="ListNumber"/>
        <w:numPr>
          <w:ilvl w:val="0"/>
          <w:numId w:val="35"/>
        </w:numPr>
        <w:spacing w:after="0"/>
        <w:rPr>
          <w:rStyle w:val="Strong"/>
          <w:b w:val="0"/>
          <w:bCs w:val="0"/>
          <w:color w:val="000000" w:themeColor="text1"/>
        </w:rPr>
      </w:pPr>
      <w:r w:rsidRPr="009F4187">
        <w:rPr>
          <w:rStyle w:val="Strong"/>
          <w:b w:val="0"/>
          <w:bCs w:val="0"/>
        </w:rPr>
        <w:t xml:space="preserve">Quasi-experimental results, </w:t>
      </w:r>
      <w:r>
        <w:rPr>
          <w:rStyle w:val="Strong"/>
          <w:b w:val="0"/>
          <w:bCs w:val="0"/>
        </w:rPr>
        <w:t>exam passing</w:t>
      </w:r>
    </w:p>
    <w:p w14:paraId="2905FA1E" w14:textId="4D05C4DC" w:rsidR="009F4187" w:rsidRDefault="009F4187" w:rsidP="00B8419E">
      <w:pPr>
        <w:pStyle w:val="ListBullet2"/>
        <w:numPr>
          <w:ilvl w:val="0"/>
          <w:numId w:val="36"/>
        </w:numPr>
        <w:spacing w:after="0"/>
        <w:rPr>
          <w:rStyle w:val="Strong"/>
          <w:b w:val="0"/>
          <w:bCs w:val="0"/>
        </w:rPr>
      </w:pPr>
      <w:r>
        <w:rPr>
          <w:rStyle w:val="Strong"/>
          <w:b w:val="0"/>
          <w:bCs w:val="0"/>
        </w:rPr>
        <w:t xml:space="preserve">Exam passing by student support </w:t>
      </w:r>
    </w:p>
    <w:p w14:paraId="785346C9" w14:textId="77777777" w:rsidR="00EA2B4F" w:rsidRDefault="00EA2B4F" w:rsidP="00FC5D90">
      <w:pPr>
        <w:pStyle w:val="BodyText"/>
      </w:pPr>
    </w:p>
    <w:p w14:paraId="39F6449A" w14:textId="25D69E00" w:rsidR="00FC5D90" w:rsidRDefault="00FC5D90" w:rsidP="00DF21C1">
      <w:pPr>
        <w:pStyle w:val="BodyText"/>
      </w:pPr>
      <w:bookmarkStart w:id="226" w:name="_Toc203984439"/>
      <w:bookmarkStart w:id="227" w:name="_Toc204766673"/>
      <w:bookmarkStart w:id="228" w:name="_Toc206742110"/>
      <w:bookmarkStart w:id="229" w:name="_Toc207183739"/>
      <w:bookmarkStart w:id="230" w:name="_Toc207348171"/>
      <w:r w:rsidRPr="009175DE">
        <w:rPr>
          <w:rStyle w:val="Heading3Char"/>
        </w:rPr>
        <w:t xml:space="preserve">Quasi-experimental </w:t>
      </w:r>
      <w:r w:rsidR="00BD7061">
        <w:rPr>
          <w:rStyle w:val="Heading3Char"/>
        </w:rPr>
        <w:t>R</w:t>
      </w:r>
      <w:r w:rsidR="00EA2B4F" w:rsidRPr="009175DE">
        <w:rPr>
          <w:rStyle w:val="Heading3Char"/>
        </w:rPr>
        <w:t>esults</w:t>
      </w:r>
      <w:bookmarkEnd w:id="226"/>
      <w:bookmarkEnd w:id="227"/>
      <w:bookmarkEnd w:id="228"/>
      <w:bookmarkEnd w:id="229"/>
      <w:bookmarkEnd w:id="230"/>
    </w:p>
    <w:p w14:paraId="2DCA01B0" w14:textId="3004C859" w:rsidR="00D843BE" w:rsidRDefault="00D843BE" w:rsidP="00D843BE">
      <w:pPr>
        <w:pStyle w:val="BodyText"/>
      </w:pPr>
      <w:r w:rsidRPr="001172C1">
        <w:t>Table</w:t>
      </w:r>
      <w:r w:rsidR="00305F6D">
        <w:t xml:space="preserve"> 5</w:t>
      </w:r>
      <w:r w:rsidR="00B6729A">
        <w:t xml:space="preserve">, </w:t>
      </w:r>
      <w:r>
        <w:t>below</w:t>
      </w:r>
      <w:r w:rsidR="00B6729A">
        <w:t>,</w:t>
      </w:r>
      <w:r>
        <w:t xml:space="preserve"> present</w:t>
      </w:r>
      <w:r w:rsidR="00B6729A">
        <w:t>s</w:t>
      </w:r>
      <w:r>
        <w:t xml:space="preserve"> the unweighted percentages of students passing at least one AP exam, and </w:t>
      </w:r>
      <w:r w:rsidR="003C7BD6">
        <w:t xml:space="preserve">identifies </w:t>
      </w:r>
      <w:r>
        <w:t>differences that are statistically significant</w:t>
      </w:r>
      <w:r w:rsidR="009670D9">
        <w:t xml:space="preserve"> (</w:t>
      </w:r>
      <w:r w:rsidR="006663B7">
        <w:t>* = p &lt; .05, *** = p &lt; .001)</w:t>
      </w:r>
      <w:r>
        <w:t xml:space="preserve">. Tables displaying odds ratios and 95% confidence intervals are provided in </w:t>
      </w:r>
      <w:r w:rsidRPr="00A54E8B">
        <w:t xml:space="preserve">Appendix </w:t>
      </w:r>
      <w:r w:rsidR="00C37C7B">
        <w:t>O</w:t>
      </w:r>
      <w:r>
        <w:t>.</w:t>
      </w:r>
      <w:r w:rsidR="002617D0">
        <w:rPr>
          <w:rStyle w:val="FootnoteReference"/>
        </w:rPr>
        <w:footnoteReference w:id="26"/>
      </w:r>
      <w:r>
        <w:t xml:space="preserve"> Results indicate that students who participated in mock exams or study sessions were significantly more likely to pass an AP exam. These results were consistent for each of the three AP content areas examined (math, science, and ELA), as well as for any AP (math, science, or ELA) content area. </w:t>
      </w:r>
    </w:p>
    <w:p w14:paraId="39AF8971" w14:textId="77777777" w:rsidR="00D843BE" w:rsidRDefault="00D843BE" w:rsidP="00D843BE">
      <w:pPr>
        <w:pStyle w:val="BodyText"/>
      </w:pPr>
    </w:p>
    <w:p w14:paraId="1E3878FD" w14:textId="109B5A53" w:rsidR="00D843BE" w:rsidRDefault="00D843BE" w:rsidP="00D843BE">
      <w:pPr>
        <w:pStyle w:val="BodyText"/>
      </w:pPr>
      <w:r>
        <w:t xml:space="preserve">In general, students who participated in study sessions or mock exams </w:t>
      </w:r>
      <w:r w:rsidR="00B14E16">
        <w:t>passed at least one AP exam</w:t>
      </w:r>
      <w:r>
        <w:t xml:space="preserve"> at a rate roughly 20–30 percentage points higher than did similar, non-participating peers. These differences were consistent across type</w:t>
      </w:r>
      <w:r w:rsidR="00BF2A72">
        <w:t>s</w:t>
      </w:r>
      <w:r>
        <w:t xml:space="preserve"> of student support, AP content area</w:t>
      </w:r>
      <w:r w:rsidR="00BF2A72">
        <w:t>s</w:t>
      </w:r>
      <w:r>
        <w:t>, and academic year</w:t>
      </w:r>
      <w:r w:rsidR="00BF2A72">
        <w:t>s</w:t>
      </w:r>
      <w:r>
        <w:t xml:space="preserve">. </w:t>
      </w:r>
    </w:p>
    <w:p w14:paraId="56F9F23A" w14:textId="77777777" w:rsidR="0048044F" w:rsidRDefault="0048044F" w:rsidP="00D843BE">
      <w:pPr>
        <w:pStyle w:val="BodyText"/>
      </w:pPr>
    </w:p>
    <w:p w14:paraId="09B57CB5" w14:textId="799B46AD" w:rsidR="0048044F" w:rsidRDefault="00073617" w:rsidP="00D843BE">
      <w:pPr>
        <w:pStyle w:val="BodyText"/>
      </w:pPr>
      <w:r>
        <w:rPr>
          <w:rStyle w:val="Strong"/>
          <w:b w:val="0"/>
          <w:bCs w:val="0"/>
        </w:rPr>
        <w:t>Although</w:t>
      </w:r>
      <w:r w:rsidR="00C52AB6">
        <w:rPr>
          <w:rStyle w:val="Strong"/>
          <w:b w:val="0"/>
          <w:bCs w:val="0"/>
        </w:rPr>
        <w:t xml:space="preserve"> </w:t>
      </w:r>
      <w:r w:rsidR="00805958">
        <w:rPr>
          <w:rStyle w:val="Strong"/>
          <w:b w:val="0"/>
          <w:bCs w:val="0"/>
        </w:rPr>
        <w:t xml:space="preserve">differences </w:t>
      </w:r>
      <w:r w:rsidR="00A62B07">
        <w:rPr>
          <w:rStyle w:val="Strong"/>
          <w:b w:val="0"/>
          <w:bCs w:val="0"/>
        </w:rPr>
        <w:t xml:space="preserve">between student groups </w:t>
      </w:r>
      <w:r w:rsidR="00805958">
        <w:rPr>
          <w:rStyle w:val="Strong"/>
          <w:b w:val="0"/>
          <w:bCs w:val="0"/>
        </w:rPr>
        <w:t>were not tested for statistical significance, d</w:t>
      </w:r>
      <w:r w:rsidR="0048044F">
        <w:rPr>
          <w:rStyle w:val="Strong"/>
          <w:b w:val="0"/>
          <w:bCs w:val="0"/>
        </w:rPr>
        <w:t>escriptively</w:t>
      </w:r>
      <w:r w:rsidR="0048044F" w:rsidRPr="00B92022">
        <w:rPr>
          <w:rStyle w:val="Strong"/>
          <w:b w:val="0"/>
          <w:bCs w:val="0"/>
        </w:rPr>
        <w:t xml:space="preserve">, </w:t>
      </w:r>
      <w:r w:rsidR="007D1E54">
        <w:rPr>
          <w:rStyle w:val="Strong"/>
          <w:b w:val="0"/>
          <w:bCs w:val="0"/>
        </w:rPr>
        <w:t xml:space="preserve">students who are </w:t>
      </w:r>
      <w:r w:rsidR="0048044F" w:rsidRPr="00B92022">
        <w:rPr>
          <w:rStyle w:val="Strong"/>
          <w:b w:val="0"/>
          <w:bCs w:val="0"/>
        </w:rPr>
        <w:t xml:space="preserve">Asian </w:t>
      </w:r>
      <w:r w:rsidR="007D1E54">
        <w:rPr>
          <w:rStyle w:val="Strong"/>
          <w:b w:val="0"/>
          <w:bCs w:val="0"/>
        </w:rPr>
        <w:t>or</w:t>
      </w:r>
      <w:r w:rsidR="0048044F" w:rsidRPr="00B92022">
        <w:rPr>
          <w:rStyle w:val="Strong"/>
          <w:b w:val="0"/>
          <w:bCs w:val="0"/>
        </w:rPr>
        <w:t xml:space="preserve"> White tended </w:t>
      </w:r>
      <w:r w:rsidR="005A609C">
        <w:rPr>
          <w:rStyle w:val="Strong"/>
          <w:b w:val="0"/>
          <w:bCs w:val="0"/>
        </w:rPr>
        <w:t xml:space="preserve">to </w:t>
      </w:r>
      <w:r w:rsidR="007F6AE3">
        <w:rPr>
          <w:rStyle w:val="Strong"/>
          <w:b w:val="0"/>
          <w:bCs w:val="0"/>
        </w:rPr>
        <w:t xml:space="preserve">pass </w:t>
      </w:r>
      <w:r w:rsidR="0048044F">
        <w:rPr>
          <w:rStyle w:val="Strong"/>
          <w:b w:val="0"/>
          <w:bCs w:val="0"/>
        </w:rPr>
        <w:t>AP exam</w:t>
      </w:r>
      <w:r w:rsidR="007F6AE3">
        <w:rPr>
          <w:rStyle w:val="Strong"/>
          <w:b w:val="0"/>
          <w:bCs w:val="0"/>
        </w:rPr>
        <w:t>s at higher rates than</w:t>
      </w:r>
      <w:r w:rsidR="0048044F" w:rsidRPr="00B92022">
        <w:rPr>
          <w:rStyle w:val="Strong"/>
          <w:b w:val="0"/>
          <w:bCs w:val="0"/>
        </w:rPr>
        <w:t xml:space="preserve"> </w:t>
      </w:r>
      <w:r w:rsidR="007D1E54">
        <w:rPr>
          <w:rStyle w:val="Strong"/>
          <w:b w:val="0"/>
          <w:bCs w:val="0"/>
        </w:rPr>
        <w:t xml:space="preserve">students who are </w:t>
      </w:r>
      <w:r w:rsidR="0048044F" w:rsidRPr="00B92022">
        <w:rPr>
          <w:rStyle w:val="Strong"/>
          <w:b w:val="0"/>
          <w:bCs w:val="0"/>
        </w:rPr>
        <w:t xml:space="preserve">Black </w:t>
      </w:r>
      <w:r w:rsidR="007D1E54">
        <w:rPr>
          <w:rStyle w:val="Strong"/>
          <w:b w:val="0"/>
          <w:bCs w:val="0"/>
        </w:rPr>
        <w:t>or</w:t>
      </w:r>
      <w:r w:rsidR="0048044F" w:rsidRPr="00B92022">
        <w:rPr>
          <w:rStyle w:val="Strong"/>
          <w:b w:val="0"/>
          <w:bCs w:val="0"/>
        </w:rPr>
        <w:t xml:space="preserve"> Hispanic/Latino. </w:t>
      </w:r>
      <w:r w:rsidR="0048044F">
        <w:rPr>
          <w:rStyle w:val="Strong"/>
          <w:b w:val="0"/>
          <w:bCs w:val="0"/>
        </w:rPr>
        <w:t>Those</w:t>
      </w:r>
      <w:r w:rsidR="0048044F" w:rsidRPr="00B92022">
        <w:rPr>
          <w:rStyle w:val="Strong"/>
          <w:b w:val="0"/>
          <w:bCs w:val="0"/>
        </w:rPr>
        <w:t xml:space="preserve"> from </w:t>
      </w:r>
      <w:r w:rsidR="005A609C">
        <w:rPr>
          <w:rStyle w:val="Strong"/>
          <w:b w:val="0"/>
          <w:bCs w:val="0"/>
        </w:rPr>
        <w:t>student groups designated as high needs by DESE</w:t>
      </w:r>
      <w:r w:rsidR="0048044F" w:rsidRPr="00B92022">
        <w:rPr>
          <w:rStyle w:val="Strong"/>
          <w:b w:val="0"/>
          <w:bCs w:val="0"/>
        </w:rPr>
        <w:t xml:space="preserve"> (</w:t>
      </w:r>
      <w:r w:rsidR="0048044F">
        <w:rPr>
          <w:rStyle w:val="Strong"/>
          <w:b w:val="0"/>
          <w:bCs w:val="0"/>
        </w:rPr>
        <w:t>i.</w:t>
      </w:r>
      <w:r w:rsidR="0048044F" w:rsidRPr="00B92022">
        <w:rPr>
          <w:rStyle w:val="Strong"/>
          <w:b w:val="0"/>
          <w:bCs w:val="0"/>
        </w:rPr>
        <w:t xml:space="preserve">e., EL, SWD, or low-income) tended to have notably lower rates of </w:t>
      </w:r>
      <w:r w:rsidR="0053794B">
        <w:rPr>
          <w:rStyle w:val="Strong"/>
          <w:b w:val="0"/>
          <w:bCs w:val="0"/>
        </w:rPr>
        <w:t>AP exam passing</w:t>
      </w:r>
      <w:r w:rsidR="0048044F" w:rsidRPr="00B92022">
        <w:rPr>
          <w:rStyle w:val="Strong"/>
          <w:b w:val="0"/>
          <w:bCs w:val="0"/>
        </w:rPr>
        <w:t xml:space="preserve"> than </w:t>
      </w:r>
      <w:r w:rsidR="0048044F">
        <w:rPr>
          <w:rStyle w:val="Strong"/>
          <w:b w:val="0"/>
          <w:bCs w:val="0"/>
        </w:rPr>
        <w:t>their</w:t>
      </w:r>
      <w:r w:rsidR="0048044F" w:rsidRPr="00B92022">
        <w:rPr>
          <w:rStyle w:val="Strong"/>
          <w:b w:val="0"/>
          <w:bCs w:val="0"/>
        </w:rPr>
        <w:t xml:space="preserve"> peers.</w:t>
      </w:r>
    </w:p>
    <w:p w14:paraId="62D1E9B4" w14:textId="323EDC9B" w:rsidR="00D843BE" w:rsidRDefault="00D843BE" w:rsidP="009F4187">
      <w:pPr>
        <w:pStyle w:val="TableCaption"/>
      </w:pPr>
      <w:bookmarkStart w:id="231" w:name="_Toc207183795"/>
      <w:r>
        <w:lastRenderedPageBreak/>
        <w:t xml:space="preserve">Table </w:t>
      </w:r>
      <w:r w:rsidR="00642954">
        <w:t>5</w:t>
      </w:r>
      <w:r>
        <w:t xml:space="preserve">. </w:t>
      </w:r>
      <w:r w:rsidR="008E5FE2">
        <w:t xml:space="preserve">Unweighted percentages of students passing AP exams, by subject, with modeling results, </w:t>
      </w:r>
      <w:r>
        <w:t>SY2023</w:t>
      </w:r>
      <w:r w:rsidR="008D0A80">
        <w:t xml:space="preserve"> and SY2024</w:t>
      </w:r>
      <w:bookmarkEnd w:id="231"/>
      <w:r w:rsidR="006805AC">
        <w:rPr>
          <w:rStyle w:val="FootnoteReference"/>
        </w:rPr>
        <w:footnoteReference w:id="27"/>
      </w:r>
    </w:p>
    <w:tbl>
      <w:tblPr>
        <w:tblpPr w:leftFromText="180" w:rightFromText="180" w:vertAnchor="text" w:horzAnchor="margin" w:tblpY="148"/>
        <w:tblW w:w="9316" w:type="dxa"/>
        <w:tblCellMar>
          <w:left w:w="0" w:type="dxa"/>
          <w:right w:w="0" w:type="dxa"/>
        </w:tblCellMar>
        <w:tblLook w:val="0600" w:firstRow="0" w:lastRow="0" w:firstColumn="0" w:lastColumn="0" w:noHBand="1" w:noVBand="1"/>
      </w:tblPr>
      <w:tblGrid>
        <w:gridCol w:w="2778"/>
        <w:gridCol w:w="1637"/>
        <w:gridCol w:w="1637"/>
        <w:gridCol w:w="1632"/>
        <w:gridCol w:w="1632"/>
      </w:tblGrid>
      <w:tr w:rsidR="006C3413" w:rsidRPr="00FB725E" w14:paraId="45E278E0" w14:textId="1CED6E15" w:rsidTr="006C3413">
        <w:trPr>
          <w:trHeight w:val="576"/>
        </w:trPr>
        <w:tc>
          <w:tcPr>
            <w:tcW w:w="2778" w:type="dxa"/>
            <w:tcBorders>
              <w:top w:val="single" w:sz="4" w:space="0" w:color="auto"/>
              <w:left w:val="single" w:sz="4" w:space="0" w:color="auto"/>
              <w:bottom w:val="single" w:sz="4" w:space="0" w:color="auto"/>
              <w:right w:val="single" w:sz="4" w:space="0" w:color="auto"/>
            </w:tcBorders>
            <w:shd w:val="clear" w:color="auto" w:fill="A32638"/>
            <w:tcMar>
              <w:top w:w="9" w:type="dxa"/>
              <w:left w:w="9" w:type="dxa"/>
              <w:bottom w:w="0" w:type="dxa"/>
              <w:right w:w="9" w:type="dxa"/>
            </w:tcMar>
            <w:vAlign w:val="center"/>
            <w:hideMark/>
          </w:tcPr>
          <w:p w14:paraId="29FF89D7" w14:textId="0D339F04" w:rsidR="006C3413" w:rsidRPr="006C3413" w:rsidRDefault="006C3413" w:rsidP="006C3413">
            <w:pPr>
              <w:spacing w:after="0" w:line="240" w:lineRule="auto"/>
              <w:jc w:val="center"/>
              <w:rPr>
                <w:rFonts w:eastAsia="Times New Roman" w:cstheme="minorHAnsi"/>
                <w:b/>
                <w:bCs/>
              </w:rPr>
            </w:pPr>
            <w:r w:rsidRPr="006C3413">
              <w:rPr>
                <w:rFonts w:eastAsia="Times New Roman" w:cstheme="minorHAnsi"/>
                <w:b/>
                <w:bCs/>
                <w:color w:val="FFFFFF" w:themeColor="background1"/>
              </w:rPr>
              <w:t>Student Groups</w:t>
            </w:r>
          </w:p>
        </w:tc>
        <w:tc>
          <w:tcPr>
            <w:tcW w:w="1637" w:type="dxa"/>
            <w:tcBorders>
              <w:top w:val="single" w:sz="4" w:space="0" w:color="000000"/>
              <w:left w:val="single" w:sz="4" w:space="0" w:color="auto"/>
              <w:bottom w:val="single" w:sz="4" w:space="0" w:color="000000"/>
              <w:right w:val="single" w:sz="4" w:space="0" w:color="000000"/>
            </w:tcBorders>
            <w:shd w:val="clear" w:color="auto" w:fill="A32638"/>
            <w:tcMar>
              <w:top w:w="9" w:type="dxa"/>
              <w:left w:w="9" w:type="dxa"/>
              <w:bottom w:w="0" w:type="dxa"/>
              <w:right w:w="9" w:type="dxa"/>
            </w:tcMar>
            <w:vAlign w:val="center"/>
            <w:hideMark/>
          </w:tcPr>
          <w:p w14:paraId="0CCF0B65" w14:textId="77777777" w:rsidR="006C3413" w:rsidRDefault="006C3413" w:rsidP="006C3413">
            <w:pPr>
              <w:spacing w:after="0" w:line="240" w:lineRule="auto"/>
              <w:jc w:val="center"/>
              <w:textAlignment w:val="center"/>
              <w:rPr>
                <w:rFonts w:eastAsia="Times New Roman" w:cstheme="minorHAnsi"/>
                <w:b/>
                <w:bCs/>
                <w:color w:val="FFFFFF"/>
                <w:kern w:val="24"/>
              </w:rPr>
            </w:pPr>
            <w:r>
              <w:rPr>
                <w:rFonts w:eastAsia="Times New Roman" w:cstheme="minorHAnsi"/>
                <w:b/>
                <w:bCs/>
                <w:color w:val="FFFFFF"/>
                <w:kern w:val="24"/>
              </w:rPr>
              <w:t>Participant</w:t>
            </w:r>
            <w:r w:rsidRPr="00E543B8">
              <w:rPr>
                <w:rFonts w:eastAsia="Times New Roman" w:cstheme="minorHAnsi"/>
                <w:b/>
                <w:bCs/>
                <w:color w:val="FFFFFF"/>
                <w:kern w:val="24"/>
              </w:rPr>
              <w:t xml:space="preserve"> </w:t>
            </w:r>
          </w:p>
          <w:p w14:paraId="67FF5A57" w14:textId="11C34F8A" w:rsidR="006C3413" w:rsidRDefault="006C3413" w:rsidP="006C3413">
            <w:pPr>
              <w:spacing w:after="0" w:line="240" w:lineRule="auto"/>
              <w:jc w:val="center"/>
              <w:textAlignment w:val="center"/>
              <w:rPr>
                <w:rFonts w:eastAsia="Times New Roman" w:cstheme="minorHAnsi"/>
                <w:b/>
                <w:bCs/>
                <w:color w:val="FFFFFF"/>
                <w:kern w:val="24"/>
              </w:rPr>
            </w:pPr>
            <w:r w:rsidRPr="00E543B8">
              <w:rPr>
                <w:rFonts w:eastAsia="Times New Roman" w:cstheme="minorHAnsi"/>
                <w:b/>
                <w:bCs/>
                <w:color w:val="FFFFFF"/>
                <w:kern w:val="24"/>
              </w:rPr>
              <w:t xml:space="preserve">AP </w:t>
            </w:r>
            <w:r>
              <w:rPr>
                <w:rFonts w:eastAsia="Times New Roman" w:cstheme="minorHAnsi"/>
                <w:b/>
                <w:bCs/>
                <w:color w:val="FFFFFF"/>
                <w:kern w:val="24"/>
              </w:rPr>
              <w:t>Exam Passing SY2023</w:t>
            </w:r>
          </w:p>
        </w:tc>
        <w:tc>
          <w:tcPr>
            <w:tcW w:w="1637" w:type="dxa"/>
            <w:tcBorders>
              <w:top w:val="single" w:sz="4" w:space="0" w:color="000000"/>
              <w:left w:val="single" w:sz="4" w:space="0" w:color="auto"/>
              <w:bottom w:val="single" w:sz="4" w:space="0" w:color="000000"/>
              <w:right w:val="single" w:sz="4" w:space="0" w:color="000000"/>
            </w:tcBorders>
            <w:shd w:val="clear" w:color="auto" w:fill="A32638"/>
            <w:vAlign w:val="center"/>
          </w:tcPr>
          <w:p w14:paraId="4B57C2B7" w14:textId="2251D338" w:rsidR="006C3413" w:rsidRPr="00FB725E" w:rsidRDefault="006C3413" w:rsidP="006C3413">
            <w:pPr>
              <w:spacing w:after="0" w:line="240" w:lineRule="auto"/>
              <w:jc w:val="center"/>
              <w:textAlignment w:val="center"/>
              <w:rPr>
                <w:rFonts w:eastAsia="Times New Roman" w:cstheme="minorHAnsi"/>
                <w:b/>
                <w:bCs/>
                <w:color w:val="FFFFFF"/>
                <w:kern w:val="24"/>
                <w:lang w:val="fr-FR"/>
              </w:rPr>
            </w:pPr>
            <w:r w:rsidRPr="00FB725E">
              <w:rPr>
                <w:rFonts w:eastAsia="Times New Roman" w:cstheme="minorHAnsi"/>
                <w:b/>
                <w:bCs/>
                <w:color w:val="FFFFFF"/>
                <w:kern w:val="24"/>
                <w:lang w:val="fr-FR"/>
              </w:rPr>
              <w:t>Non-Participant AP Exam Passing SY2023</w:t>
            </w:r>
          </w:p>
        </w:tc>
        <w:tc>
          <w:tcPr>
            <w:tcW w:w="1632" w:type="dxa"/>
            <w:tcBorders>
              <w:top w:val="single" w:sz="4" w:space="0" w:color="000000"/>
              <w:left w:val="single" w:sz="4" w:space="0" w:color="000000"/>
              <w:bottom w:val="single" w:sz="4" w:space="0" w:color="000000"/>
              <w:right w:val="single" w:sz="4" w:space="0" w:color="000000"/>
            </w:tcBorders>
            <w:shd w:val="clear" w:color="auto" w:fill="A32638"/>
            <w:vAlign w:val="center"/>
          </w:tcPr>
          <w:p w14:paraId="241E9645" w14:textId="77777777" w:rsidR="006C3413" w:rsidRDefault="006C3413" w:rsidP="00C03901">
            <w:pPr>
              <w:spacing w:after="0" w:line="240" w:lineRule="auto"/>
              <w:jc w:val="center"/>
              <w:textAlignment w:val="center"/>
              <w:rPr>
                <w:rFonts w:eastAsia="Times New Roman" w:cstheme="minorHAnsi"/>
                <w:b/>
                <w:bCs/>
                <w:color w:val="FFFFFF"/>
                <w:kern w:val="24"/>
              </w:rPr>
            </w:pPr>
            <w:r>
              <w:rPr>
                <w:rFonts w:eastAsia="Times New Roman" w:cstheme="minorHAnsi"/>
                <w:b/>
                <w:bCs/>
                <w:color w:val="FFFFFF"/>
                <w:kern w:val="24"/>
              </w:rPr>
              <w:t>Participant</w:t>
            </w:r>
          </w:p>
          <w:p w14:paraId="469504A2" w14:textId="28EABC9E" w:rsidR="006C3413" w:rsidRDefault="006C3413" w:rsidP="006C3413">
            <w:pPr>
              <w:spacing w:after="0" w:line="240" w:lineRule="auto"/>
              <w:jc w:val="center"/>
              <w:textAlignment w:val="center"/>
              <w:rPr>
                <w:rFonts w:eastAsia="Times New Roman" w:cstheme="minorHAnsi"/>
                <w:b/>
                <w:bCs/>
                <w:color w:val="FFFFFF"/>
                <w:kern w:val="24"/>
              </w:rPr>
            </w:pPr>
            <w:r>
              <w:rPr>
                <w:rFonts w:eastAsia="Times New Roman" w:cstheme="minorHAnsi"/>
                <w:b/>
                <w:bCs/>
                <w:color w:val="FFFFFF"/>
                <w:kern w:val="24"/>
              </w:rPr>
              <w:t>AP Exam Passing SY2024</w:t>
            </w:r>
          </w:p>
        </w:tc>
        <w:tc>
          <w:tcPr>
            <w:tcW w:w="1632" w:type="dxa"/>
            <w:tcBorders>
              <w:top w:val="single" w:sz="4" w:space="0" w:color="000000"/>
              <w:left w:val="single" w:sz="4" w:space="0" w:color="000000"/>
              <w:bottom w:val="single" w:sz="4" w:space="0" w:color="000000"/>
              <w:right w:val="single" w:sz="4" w:space="0" w:color="000000"/>
            </w:tcBorders>
            <w:shd w:val="clear" w:color="auto" w:fill="A32638"/>
            <w:vAlign w:val="center"/>
          </w:tcPr>
          <w:p w14:paraId="3FB73930" w14:textId="77777777" w:rsidR="006C3413" w:rsidRPr="00FB725E" w:rsidRDefault="006C3413" w:rsidP="00C03901">
            <w:pPr>
              <w:spacing w:after="0" w:line="240" w:lineRule="auto"/>
              <w:jc w:val="center"/>
              <w:textAlignment w:val="center"/>
              <w:rPr>
                <w:rFonts w:eastAsia="Times New Roman" w:cstheme="minorHAnsi"/>
                <w:b/>
                <w:bCs/>
                <w:color w:val="FFFFFF"/>
                <w:kern w:val="24"/>
                <w:lang w:val="fr-FR"/>
              </w:rPr>
            </w:pPr>
            <w:r w:rsidRPr="00FB725E">
              <w:rPr>
                <w:rFonts w:eastAsia="Times New Roman" w:cstheme="minorHAnsi"/>
                <w:b/>
                <w:bCs/>
                <w:color w:val="FFFFFF"/>
                <w:kern w:val="24"/>
                <w:lang w:val="fr-FR"/>
              </w:rPr>
              <w:t>Non-Participant</w:t>
            </w:r>
          </w:p>
          <w:p w14:paraId="5DACC4D7" w14:textId="3FBB40E7" w:rsidR="006C3413" w:rsidRPr="00FB725E" w:rsidRDefault="006C3413" w:rsidP="006C3413">
            <w:pPr>
              <w:spacing w:after="0" w:line="240" w:lineRule="auto"/>
              <w:jc w:val="center"/>
              <w:textAlignment w:val="center"/>
              <w:rPr>
                <w:rFonts w:eastAsia="Times New Roman" w:cstheme="minorHAnsi"/>
                <w:b/>
                <w:bCs/>
                <w:color w:val="FFFFFF"/>
                <w:kern w:val="24"/>
                <w:lang w:val="fr-FR"/>
              </w:rPr>
            </w:pPr>
            <w:r w:rsidRPr="00FB725E">
              <w:rPr>
                <w:rFonts w:eastAsia="Times New Roman" w:cstheme="minorHAnsi"/>
                <w:b/>
                <w:bCs/>
                <w:color w:val="FFFFFF"/>
                <w:kern w:val="24"/>
                <w:lang w:val="fr-FR"/>
              </w:rPr>
              <w:t>AP Exam Passing SY2024</w:t>
            </w:r>
          </w:p>
        </w:tc>
      </w:tr>
      <w:tr w:rsidR="00D9072B" w:rsidRPr="00E543B8" w14:paraId="03D2F253" w14:textId="77777777" w:rsidTr="006C3413">
        <w:trPr>
          <w:trHeight w:val="576"/>
        </w:trPr>
        <w:tc>
          <w:tcPr>
            <w:tcW w:w="2778" w:type="dxa"/>
            <w:tcBorders>
              <w:top w:val="single" w:sz="4" w:space="0" w:color="000000"/>
              <w:left w:val="single" w:sz="4" w:space="0" w:color="000000"/>
              <w:bottom w:val="single" w:sz="4" w:space="0" w:color="000000"/>
              <w:right w:val="single" w:sz="8" w:space="0" w:color="3B3838"/>
            </w:tcBorders>
            <w:tcMar>
              <w:top w:w="9" w:type="dxa"/>
              <w:left w:w="43" w:type="dxa"/>
              <w:bottom w:w="0" w:type="dxa"/>
              <w:right w:w="9" w:type="dxa"/>
            </w:tcMar>
            <w:vAlign w:val="center"/>
            <w:hideMark/>
          </w:tcPr>
          <w:p w14:paraId="14F8B1AD" w14:textId="77777777" w:rsidR="00F831EB" w:rsidRPr="008D0684" w:rsidRDefault="00F831EB" w:rsidP="00F831EB">
            <w:pPr>
              <w:spacing w:after="0" w:line="240" w:lineRule="auto"/>
              <w:textAlignment w:val="bottom"/>
              <w:rPr>
                <w:rFonts w:eastAsia="Times New Roman" w:cstheme="minorHAnsi"/>
              </w:rPr>
            </w:pPr>
            <w:r w:rsidRPr="00E543B8">
              <w:rPr>
                <w:rFonts w:eastAsia="Times New Roman" w:cstheme="minorHAnsi"/>
                <w:color w:val="000000"/>
                <w:kern w:val="24"/>
              </w:rPr>
              <w:t xml:space="preserve">AP </w:t>
            </w:r>
            <w:r>
              <w:rPr>
                <w:rFonts w:eastAsia="Times New Roman" w:cstheme="minorHAnsi"/>
                <w:color w:val="000000"/>
                <w:kern w:val="24"/>
              </w:rPr>
              <w:t>ELA</w:t>
            </w:r>
            <w:r w:rsidRPr="00E543B8">
              <w:rPr>
                <w:rFonts w:eastAsia="Times New Roman" w:cstheme="minorHAnsi"/>
                <w:color w:val="000000"/>
                <w:kern w:val="24"/>
              </w:rPr>
              <w:t xml:space="preserve"> – Mock Exams</w:t>
            </w:r>
          </w:p>
        </w:tc>
        <w:tc>
          <w:tcPr>
            <w:tcW w:w="1637" w:type="dxa"/>
            <w:tcBorders>
              <w:top w:val="single" w:sz="4" w:space="0" w:color="000000"/>
              <w:left w:val="single" w:sz="8" w:space="0" w:color="3B3838"/>
              <w:bottom w:val="single" w:sz="4" w:space="0" w:color="000000"/>
              <w:right w:val="single" w:sz="4" w:space="0" w:color="000000"/>
            </w:tcBorders>
            <w:tcMar>
              <w:top w:w="10" w:type="dxa"/>
              <w:left w:w="10" w:type="dxa"/>
              <w:bottom w:w="0" w:type="dxa"/>
              <w:right w:w="10" w:type="dxa"/>
            </w:tcMar>
            <w:vAlign w:val="center"/>
          </w:tcPr>
          <w:p w14:paraId="23C4E682" w14:textId="76C3D11E" w:rsidR="00F831EB" w:rsidRPr="008D0684" w:rsidRDefault="00F831EB" w:rsidP="00F831EB">
            <w:pPr>
              <w:spacing w:after="0" w:line="240" w:lineRule="auto"/>
              <w:jc w:val="center"/>
              <w:textAlignment w:val="bottom"/>
              <w:rPr>
                <w:rFonts w:eastAsia="Times New Roman" w:cstheme="minorHAnsi"/>
              </w:rPr>
            </w:pPr>
            <w:r>
              <w:rPr>
                <w:rFonts w:eastAsia="Times New Roman" w:cstheme="minorHAnsi"/>
              </w:rPr>
              <w:t>5</w:t>
            </w:r>
            <w:r w:rsidR="002F18B6">
              <w:rPr>
                <w:rFonts w:eastAsia="Times New Roman" w:cstheme="minorHAnsi"/>
              </w:rPr>
              <w:t>0.6</w:t>
            </w:r>
            <w:r>
              <w:rPr>
                <w:rFonts w:eastAsia="Times New Roman" w:cstheme="minorHAnsi"/>
              </w:rPr>
              <w:t>%***</w:t>
            </w:r>
          </w:p>
        </w:tc>
        <w:tc>
          <w:tcPr>
            <w:tcW w:w="1637"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tcPr>
          <w:p w14:paraId="53CBDD98" w14:textId="4142F4EE" w:rsidR="00F831EB" w:rsidRPr="008D0684" w:rsidRDefault="00F831EB" w:rsidP="00F831EB">
            <w:pPr>
              <w:spacing w:after="0" w:line="240" w:lineRule="auto"/>
              <w:jc w:val="center"/>
              <w:textAlignment w:val="bottom"/>
              <w:rPr>
                <w:rFonts w:eastAsia="Times New Roman" w:cstheme="minorHAnsi"/>
              </w:rPr>
            </w:pPr>
            <w:r>
              <w:rPr>
                <w:rFonts w:eastAsia="Times New Roman" w:cstheme="minorHAnsi"/>
              </w:rPr>
              <w:t>24</w:t>
            </w:r>
            <w:r w:rsidR="0089035C">
              <w:rPr>
                <w:rFonts w:eastAsia="Times New Roman" w:cstheme="minorHAnsi"/>
              </w:rPr>
              <w:t>.4</w:t>
            </w:r>
            <w:r>
              <w:rPr>
                <w:rFonts w:eastAsia="Times New Roman" w:cstheme="minorHAnsi"/>
              </w:rPr>
              <w:t>%</w:t>
            </w:r>
          </w:p>
        </w:tc>
        <w:tc>
          <w:tcPr>
            <w:tcW w:w="1632" w:type="dxa"/>
            <w:tcBorders>
              <w:top w:val="single" w:sz="4" w:space="0" w:color="000000"/>
              <w:left w:val="single" w:sz="4" w:space="0" w:color="000000"/>
              <w:bottom w:val="single" w:sz="4" w:space="0" w:color="000000"/>
              <w:right w:val="single" w:sz="4" w:space="0" w:color="000000"/>
            </w:tcBorders>
            <w:vAlign w:val="center"/>
          </w:tcPr>
          <w:p w14:paraId="63CA85BF" w14:textId="3C756FE1" w:rsidR="00F831EB" w:rsidRDefault="00F831EB" w:rsidP="00C03901">
            <w:pPr>
              <w:spacing w:after="0" w:line="240" w:lineRule="auto"/>
              <w:jc w:val="center"/>
              <w:textAlignment w:val="bottom"/>
              <w:rPr>
                <w:rFonts w:eastAsia="Times New Roman" w:cstheme="minorHAnsi"/>
              </w:rPr>
            </w:pPr>
            <w:r>
              <w:rPr>
                <w:rFonts w:eastAsia="Times New Roman" w:cstheme="minorHAnsi"/>
              </w:rPr>
              <w:t>49</w:t>
            </w:r>
            <w:r w:rsidR="007C42A4">
              <w:rPr>
                <w:rFonts w:eastAsia="Times New Roman" w:cstheme="minorHAnsi"/>
              </w:rPr>
              <w:t>.1</w:t>
            </w:r>
            <w:r>
              <w:rPr>
                <w:rFonts w:eastAsia="Times New Roman" w:cstheme="minorHAnsi"/>
              </w:rPr>
              <w:t>%***</w:t>
            </w:r>
          </w:p>
        </w:tc>
        <w:tc>
          <w:tcPr>
            <w:tcW w:w="1632" w:type="dxa"/>
            <w:tcBorders>
              <w:top w:val="single" w:sz="4" w:space="0" w:color="000000"/>
              <w:left w:val="single" w:sz="4" w:space="0" w:color="000000"/>
              <w:bottom w:val="single" w:sz="4" w:space="0" w:color="000000"/>
              <w:right w:val="single" w:sz="4" w:space="0" w:color="000000"/>
            </w:tcBorders>
            <w:vAlign w:val="center"/>
          </w:tcPr>
          <w:p w14:paraId="6B79DE61" w14:textId="320F9162" w:rsidR="00F831EB" w:rsidRDefault="00F831EB" w:rsidP="00C03901">
            <w:pPr>
              <w:spacing w:after="0" w:line="240" w:lineRule="auto"/>
              <w:jc w:val="center"/>
              <w:textAlignment w:val="bottom"/>
              <w:rPr>
                <w:rFonts w:eastAsia="Times New Roman" w:cstheme="minorHAnsi"/>
              </w:rPr>
            </w:pPr>
            <w:r>
              <w:rPr>
                <w:rFonts w:eastAsia="Times New Roman" w:cstheme="minorHAnsi"/>
              </w:rPr>
              <w:t>24</w:t>
            </w:r>
            <w:r w:rsidR="00195038">
              <w:rPr>
                <w:rFonts w:eastAsia="Times New Roman" w:cstheme="minorHAnsi"/>
              </w:rPr>
              <w:t>.2</w:t>
            </w:r>
            <w:r>
              <w:rPr>
                <w:rFonts w:eastAsia="Times New Roman" w:cstheme="minorHAnsi"/>
              </w:rPr>
              <w:t>%</w:t>
            </w:r>
          </w:p>
        </w:tc>
      </w:tr>
      <w:tr w:rsidR="00D9072B" w:rsidRPr="00E543B8" w14:paraId="292AFBF2" w14:textId="77777777" w:rsidTr="006C3413">
        <w:trPr>
          <w:trHeight w:val="576"/>
        </w:trPr>
        <w:tc>
          <w:tcPr>
            <w:tcW w:w="2778" w:type="dxa"/>
            <w:tcBorders>
              <w:top w:val="single" w:sz="4" w:space="0" w:color="000000"/>
              <w:left w:val="single" w:sz="4" w:space="0" w:color="000000"/>
              <w:bottom w:val="single" w:sz="4" w:space="0" w:color="000000"/>
              <w:right w:val="single" w:sz="8" w:space="0" w:color="3B3838"/>
            </w:tcBorders>
            <w:tcMar>
              <w:top w:w="9" w:type="dxa"/>
              <w:left w:w="43" w:type="dxa"/>
              <w:bottom w:w="0" w:type="dxa"/>
              <w:right w:w="9" w:type="dxa"/>
            </w:tcMar>
            <w:vAlign w:val="center"/>
            <w:hideMark/>
          </w:tcPr>
          <w:p w14:paraId="30E71CB7" w14:textId="77777777" w:rsidR="00F831EB" w:rsidRPr="008D0684" w:rsidRDefault="00F831EB" w:rsidP="00F831EB">
            <w:pPr>
              <w:spacing w:after="0" w:line="240" w:lineRule="auto"/>
              <w:textAlignment w:val="bottom"/>
              <w:rPr>
                <w:rFonts w:eastAsia="Times New Roman" w:cstheme="minorHAnsi"/>
              </w:rPr>
            </w:pPr>
            <w:r w:rsidRPr="00E543B8">
              <w:rPr>
                <w:rFonts w:eastAsia="Times New Roman" w:cstheme="minorHAnsi"/>
                <w:color w:val="000000"/>
                <w:kern w:val="24"/>
              </w:rPr>
              <w:t xml:space="preserve">AP </w:t>
            </w:r>
            <w:r>
              <w:rPr>
                <w:rFonts w:eastAsia="Times New Roman" w:cstheme="minorHAnsi"/>
                <w:color w:val="000000"/>
                <w:kern w:val="24"/>
              </w:rPr>
              <w:t>Math</w:t>
            </w:r>
            <w:r w:rsidRPr="00E543B8">
              <w:rPr>
                <w:rFonts w:eastAsia="Times New Roman" w:cstheme="minorHAnsi"/>
                <w:color w:val="000000"/>
                <w:kern w:val="24"/>
              </w:rPr>
              <w:t xml:space="preserve"> – Mock Exams</w:t>
            </w:r>
          </w:p>
        </w:tc>
        <w:tc>
          <w:tcPr>
            <w:tcW w:w="1637" w:type="dxa"/>
            <w:tcBorders>
              <w:top w:val="single" w:sz="4" w:space="0" w:color="000000"/>
              <w:left w:val="single" w:sz="8" w:space="0" w:color="3B3838"/>
              <w:bottom w:val="single" w:sz="4" w:space="0" w:color="000000"/>
              <w:right w:val="single" w:sz="4" w:space="0" w:color="000000"/>
            </w:tcBorders>
            <w:tcMar>
              <w:top w:w="10" w:type="dxa"/>
              <w:left w:w="10" w:type="dxa"/>
              <w:bottom w:w="0" w:type="dxa"/>
              <w:right w:w="10" w:type="dxa"/>
            </w:tcMar>
            <w:vAlign w:val="center"/>
          </w:tcPr>
          <w:p w14:paraId="2D457372" w14:textId="513A6249" w:rsidR="00F831EB" w:rsidRPr="008D0684" w:rsidRDefault="00F831EB" w:rsidP="00F831EB">
            <w:pPr>
              <w:spacing w:after="0" w:line="240" w:lineRule="auto"/>
              <w:jc w:val="center"/>
              <w:textAlignment w:val="bottom"/>
              <w:rPr>
                <w:rFonts w:eastAsia="Times New Roman" w:cstheme="minorHAnsi"/>
              </w:rPr>
            </w:pPr>
            <w:r>
              <w:rPr>
                <w:rFonts w:eastAsia="Times New Roman" w:cstheme="minorHAnsi"/>
              </w:rPr>
              <w:t>4</w:t>
            </w:r>
            <w:r w:rsidR="00FA16DE">
              <w:rPr>
                <w:rFonts w:eastAsia="Times New Roman" w:cstheme="minorHAnsi"/>
              </w:rPr>
              <w:t>2.9</w:t>
            </w:r>
            <w:r>
              <w:rPr>
                <w:rFonts w:eastAsia="Times New Roman" w:cstheme="minorHAnsi"/>
              </w:rPr>
              <w:t>%***</w:t>
            </w:r>
          </w:p>
        </w:tc>
        <w:tc>
          <w:tcPr>
            <w:tcW w:w="1637"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tcPr>
          <w:p w14:paraId="5C6AA385" w14:textId="47D9640F" w:rsidR="00F831EB" w:rsidRPr="008D0684" w:rsidRDefault="00F831EB" w:rsidP="00F831EB">
            <w:pPr>
              <w:spacing w:after="0" w:line="240" w:lineRule="auto"/>
              <w:jc w:val="center"/>
              <w:textAlignment w:val="bottom"/>
              <w:rPr>
                <w:rFonts w:eastAsia="Times New Roman" w:cstheme="minorHAnsi"/>
              </w:rPr>
            </w:pPr>
            <w:r>
              <w:rPr>
                <w:rFonts w:eastAsia="Times New Roman" w:cstheme="minorHAnsi"/>
              </w:rPr>
              <w:t>2</w:t>
            </w:r>
            <w:r w:rsidR="00386C71">
              <w:rPr>
                <w:rFonts w:eastAsia="Times New Roman" w:cstheme="minorHAnsi"/>
              </w:rPr>
              <w:t>3.9</w:t>
            </w:r>
            <w:r>
              <w:rPr>
                <w:rFonts w:eastAsia="Times New Roman" w:cstheme="minorHAnsi"/>
              </w:rPr>
              <w:t>%</w:t>
            </w:r>
          </w:p>
        </w:tc>
        <w:tc>
          <w:tcPr>
            <w:tcW w:w="1632" w:type="dxa"/>
            <w:tcBorders>
              <w:top w:val="single" w:sz="4" w:space="0" w:color="000000"/>
              <w:left w:val="single" w:sz="4" w:space="0" w:color="000000"/>
              <w:bottom w:val="single" w:sz="4" w:space="0" w:color="000000"/>
              <w:right w:val="single" w:sz="4" w:space="0" w:color="000000"/>
            </w:tcBorders>
            <w:vAlign w:val="center"/>
          </w:tcPr>
          <w:p w14:paraId="18A87634" w14:textId="05781EDA" w:rsidR="00F831EB" w:rsidRDefault="00F831EB" w:rsidP="00C03901">
            <w:pPr>
              <w:spacing w:after="0" w:line="240" w:lineRule="auto"/>
              <w:jc w:val="center"/>
              <w:textAlignment w:val="bottom"/>
              <w:rPr>
                <w:rFonts w:eastAsia="Times New Roman" w:cstheme="minorHAnsi"/>
              </w:rPr>
            </w:pPr>
            <w:r>
              <w:rPr>
                <w:rFonts w:eastAsia="Times New Roman" w:cstheme="minorHAnsi"/>
              </w:rPr>
              <w:t>45</w:t>
            </w:r>
            <w:r w:rsidR="007C42A4">
              <w:rPr>
                <w:rFonts w:eastAsia="Times New Roman" w:cstheme="minorHAnsi"/>
              </w:rPr>
              <w:t>.1</w:t>
            </w:r>
            <w:r>
              <w:rPr>
                <w:rFonts w:eastAsia="Times New Roman" w:cstheme="minorHAnsi"/>
              </w:rPr>
              <w:t>%***</w:t>
            </w:r>
          </w:p>
        </w:tc>
        <w:tc>
          <w:tcPr>
            <w:tcW w:w="1632" w:type="dxa"/>
            <w:tcBorders>
              <w:top w:val="single" w:sz="4" w:space="0" w:color="000000"/>
              <w:left w:val="single" w:sz="4" w:space="0" w:color="000000"/>
              <w:bottom w:val="single" w:sz="4" w:space="0" w:color="000000"/>
              <w:right w:val="single" w:sz="4" w:space="0" w:color="000000"/>
            </w:tcBorders>
            <w:vAlign w:val="center"/>
          </w:tcPr>
          <w:p w14:paraId="11CB62D0" w14:textId="162E92B4" w:rsidR="00F831EB" w:rsidRDefault="00F831EB" w:rsidP="00C03901">
            <w:pPr>
              <w:spacing w:after="0" w:line="240" w:lineRule="auto"/>
              <w:jc w:val="center"/>
              <w:textAlignment w:val="bottom"/>
              <w:rPr>
                <w:rFonts w:eastAsia="Times New Roman" w:cstheme="minorHAnsi"/>
              </w:rPr>
            </w:pPr>
            <w:r>
              <w:rPr>
                <w:rFonts w:eastAsia="Times New Roman" w:cstheme="minorHAnsi"/>
              </w:rPr>
              <w:t>21</w:t>
            </w:r>
            <w:r w:rsidR="00195038">
              <w:rPr>
                <w:rFonts w:eastAsia="Times New Roman" w:cstheme="minorHAnsi"/>
              </w:rPr>
              <w:t>.1</w:t>
            </w:r>
            <w:r>
              <w:rPr>
                <w:rFonts w:eastAsia="Times New Roman" w:cstheme="minorHAnsi"/>
              </w:rPr>
              <w:t>%</w:t>
            </w:r>
          </w:p>
        </w:tc>
      </w:tr>
      <w:tr w:rsidR="00D9072B" w:rsidRPr="00E543B8" w14:paraId="3DCBAA91" w14:textId="77777777" w:rsidTr="006C3413">
        <w:trPr>
          <w:trHeight w:val="576"/>
        </w:trPr>
        <w:tc>
          <w:tcPr>
            <w:tcW w:w="2778" w:type="dxa"/>
            <w:tcBorders>
              <w:top w:val="single" w:sz="4" w:space="0" w:color="000000"/>
              <w:left w:val="single" w:sz="4" w:space="0" w:color="000000"/>
              <w:bottom w:val="single" w:sz="4" w:space="0" w:color="000000"/>
              <w:right w:val="single" w:sz="8" w:space="0" w:color="3B3838"/>
            </w:tcBorders>
            <w:tcMar>
              <w:top w:w="9" w:type="dxa"/>
              <w:left w:w="43" w:type="dxa"/>
              <w:bottom w:w="0" w:type="dxa"/>
              <w:right w:w="9" w:type="dxa"/>
            </w:tcMar>
            <w:vAlign w:val="center"/>
            <w:hideMark/>
          </w:tcPr>
          <w:p w14:paraId="0A550586" w14:textId="77777777" w:rsidR="00F831EB" w:rsidRPr="008D0684" w:rsidRDefault="00F831EB" w:rsidP="00F831EB">
            <w:pPr>
              <w:spacing w:after="0" w:line="240" w:lineRule="auto"/>
              <w:textAlignment w:val="bottom"/>
              <w:rPr>
                <w:rFonts w:eastAsia="Times New Roman" w:cstheme="minorHAnsi"/>
              </w:rPr>
            </w:pPr>
            <w:r w:rsidRPr="00E543B8">
              <w:rPr>
                <w:rFonts w:eastAsia="Times New Roman" w:cstheme="minorHAnsi"/>
                <w:color w:val="000000"/>
                <w:kern w:val="24"/>
              </w:rPr>
              <w:t xml:space="preserve">AP </w:t>
            </w:r>
            <w:r>
              <w:rPr>
                <w:rFonts w:eastAsia="Times New Roman" w:cstheme="minorHAnsi"/>
                <w:color w:val="000000"/>
                <w:kern w:val="24"/>
              </w:rPr>
              <w:t>Science</w:t>
            </w:r>
            <w:r w:rsidRPr="00E543B8">
              <w:rPr>
                <w:rFonts w:eastAsia="Times New Roman" w:cstheme="minorHAnsi"/>
                <w:color w:val="000000"/>
                <w:kern w:val="24"/>
              </w:rPr>
              <w:t xml:space="preserve"> – Mock Exams</w:t>
            </w:r>
          </w:p>
        </w:tc>
        <w:tc>
          <w:tcPr>
            <w:tcW w:w="1637" w:type="dxa"/>
            <w:tcBorders>
              <w:top w:val="single" w:sz="4" w:space="0" w:color="000000"/>
              <w:left w:val="single" w:sz="8" w:space="0" w:color="3B3838"/>
              <w:bottom w:val="single" w:sz="4" w:space="0" w:color="000000"/>
              <w:right w:val="single" w:sz="4" w:space="0" w:color="000000"/>
            </w:tcBorders>
            <w:tcMar>
              <w:top w:w="10" w:type="dxa"/>
              <w:left w:w="10" w:type="dxa"/>
              <w:bottom w:w="0" w:type="dxa"/>
              <w:right w:w="10" w:type="dxa"/>
            </w:tcMar>
            <w:vAlign w:val="center"/>
          </w:tcPr>
          <w:p w14:paraId="7AC18CDD" w14:textId="3E941150" w:rsidR="00F831EB" w:rsidRPr="008D0684" w:rsidRDefault="00F831EB" w:rsidP="00F831EB">
            <w:pPr>
              <w:spacing w:after="0" w:line="240" w:lineRule="auto"/>
              <w:jc w:val="center"/>
              <w:textAlignment w:val="bottom"/>
              <w:rPr>
                <w:rFonts w:eastAsia="Times New Roman" w:cstheme="minorHAnsi"/>
              </w:rPr>
            </w:pPr>
            <w:r>
              <w:rPr>
                <w:rFonts w:eastAsia="Times New Roman" w:cstheme="minorHAnsi"/>
              </w:rPr>
              <w:t>50</w:t>
            </w:r>
            <w:r w:rsidR="00AF2CAB">
              <w:rPr>
                <w:rFonts w:eastAsia="Times New Roman" w:cstheme="minorHAnsi"/>
              </w:rPr>
              <w:t>.6</w:t>
            </w:r>
            <w:r>
              <w:rPr>
                <w:rFonts w:eastAsia="Times New Roman" w:cstheme="minorHAnsi"/>
              </w:rPr>
              <w:t>%***</w:t>
            </w:r>
          </w:p>
        </w:tc>
        <w:tc>
          <w:tcPr>
            <w:tcW w:w="1637"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tcPr>
          <w:p w14:paraId="6E45FA69" w14:textId="79E06F9C" w:rsidR="00F831EB" w:rsidRPr="008D0684" w:rsidRDefault="00F831EB" w:rsidP="00F831EB">
            <w:pPr>
              <w:spacing w:after="0" w:line="240" w:lineRule="auto"/>
              <w:jc w:val="center"/>
              <w:textAlignment w:val="bottom"/>
              <w:rPr>
                <w:rFonts w:eastAsia="Times New Roman" w:cstheme="minorHAnsi"/>
              </w:rPr>
            </w:pPr>
            <w:r>
              <w:rPr>
                <w:rFonts w:eastAsia="Times New Roman" w:cstheme="minorHAnsi"/>
              </w:rPr>
              <w:t>2</w:t>
            </w:r>
            <w:r w:rsidR="00395714">
              <w:rPr>
                <w:rFonts w:eastAsia="Times New Roman" w:cstheme="minorHAnsi"/>
              </w:rPr>
              <w:t>3.6</w:t>
            </w:r>
            <w:r>
              <w:rPr>
                <w:rFonts w:eastAsia="Times New Roman" w:cstheme="minorHAnsi"/>
              </w:rPr>
              <w:t>%</w:t>
            </w:r>
          </w:p>
        </w:tc>
        <w:tc>
          <w:tcPr>
            <w:tcW w:w="1632" w:type="dxa"/>
            <w:tcBorders>
              <w:top w:val="single" w:sz="4" w:space="0" w:color="000000"/>
              <w:left w:val="single" w:sz="4" w:space="0" w:color="000000"/>
              <w:bottom w:val="single" w:sz="4" w:space="0" w:color="000000"/>
              <w:right w:val="single" w:sz="4" w:space="0" w:color="000000"/>
            </w:tcBorders>
            <w:vAlign w:val="center"/>
          </w:tcPr>
          <w:p w14:paraId="3E4CE32D" w14:textId="3AE948CC" w:rsidR="00F831EB" w:rsidRDefault="00F831EB" w:rsidP="00C03901">
            <w:pPr>
              <w:spacing w:after="0" w:line="240" w:lineRule="auto"/>
              <w:jc w:val="center"/>
              <w:textAlignment w:val="bottom"/>
              <w:rPr>
                <w:rFonts w:eastAsia="Times New Roman" w:cstheme="minorHAnsi"/>
              </w:rPr>
            </w:pPr>
            <w:r>
              <w:rPr>
                <w:rFonts w:eastAsia="Times New Roman" w:cstheme="minorHAnsi"/>
              </w:rPr>
              <w:t>47</w:t>
            </w:r>
            <w:r w:rsidR="00295026">
              <w:rPr>
                <w:rFonts w:eastAsia="Times New Roman" w:cstheme="minorHAnsi"/>
              </w:rPr>
              <w:t>.1</w:t>
            </w:r>
            <w:r>
              <w:rPr>
                <w:rFonts w:eastAsia="Times New Roman" w:cstheme="minorHAnsi"/>
              </w:rPr>
              <w:t>%***</w:t>
            </w:r>
          </w:p>
        </w:tc>
        <w:tc>
          <w:tcPr>
            <w:tcW w:w="1632" w:type="dxa"/>
            <w:tcBorders>
              <w:top w:val="single" w:sz="4" w:space="0" w:color="000000"/>
              <w:left w:val="single" w:sz="4" w:space="0" w:color="000000"/>
              <w:bottom w:val="single" w:sz="4" w:space="0" w:color="000000"/>
              <w:right w:val="single" w:sz="4" w:space="0" w:color="000000"/>
            </w:tcBorders>
            <w:vAlign w:val="center"/>
          </w:tcPr>
          <w:p w14:paraId="26B3F9FC" w14:textId="32269D8C" w:rsidR="00F831EB" w:rsidRDefault="00F831EB" w:rsidP="00C03901">
            <w:pPr>
              <w:spacing w:after="0" w:line="240" w:lineRule="auto"/>
              <w:jc w:val="center"/>
              <w:textAlignment w:val="bottom"/>
              <w:rPr>
                <w:rFonts w:eastAsia="Times New Roman" w:cstheme="minorHAnsi"/>
              </w:rPr>
            </w:pPr>
            <w:r>
              <w:rPr>
                <w:rFonts w:eastAsia="Times New Roman" w:cstheme="minorHAnsi"/>
              </w:rPr>
              <w:t>2</w:t>
            </w:r>
            <w:r w:rsidR="00195038">
              <w:rPr>
                <w:rFonts w:eastAsia="Times New Roman" w:cstheme="minorHAnsi"/>
              </w:rPr>
              <w:t>3.8</w:t>
            </w:r>
            <w:r>
              <w:rPr>
                <w:rFonts w:eastAsia="Times New Roman" w:cstheme="minorHAnsi"/>
              </w:rPr>
              <w:t>%</w:t>
            </w:r>
          </w:p>
        </w:tc>
      </w:tr>
      <w:tr w:rsidR="00C03901" w:rsidRPr="00E543B8" w14:paraId="38E12675" w14:textId="77777777" w:rsidTr="006C3413">
        <w:trPr>
          <w:trHeight w:val="576"/>
        </w:trPr>
        <w:tc>
          <w:tcPr>
            <w:tcW w:w="2778" w:type="dxa"/>
            <w:tcBorders>
              <w:top w:val="single" w:sz="4" w:space="0" w:color="000000"/>
              <w:left w:val="single" w:sz="4" w:space="0" w:color="000000"/>
              <w:bottom w:val="single" w:sz="4" w:space="0" w:color="000000"/>
              <w:right w:val="single" w:sz="8" w:space="0" w:color="3B3838"/>
            </w:tcBorders>
            <w:shd w:val="clear" w:color="auto" w:fill="D3D3D3" w:themeFill="background2" w:themeFillShade="E6"/>
            <w:tcMar>
              <w:top w:w="9" w:type="dxa"/>
              <w:left w:w="43" w:type="dxa"/>
              <w:bottom w:w="0" w:type="dxa"/>
              <w:right w:w="9" w:type="dxa"/>
            </w:tcMar>
            <w:vAlign w:val="center"/>
            <w:hideMark/>
          </w:tcPr>
          <w:p w14:paraId="039C4CD4" w14:textId="77777777" w:rsidR="00F831EB" w:rsidRPr="008D0684" w:rsidRDefault="00F831EB" w:rsidP="00F831EB">
            <w:pPr>
              <w:spacing w:after="0" w:line="240" w:lineRule="auto"/>
              <w:textAlignment w:val="bottom"/>
              <w:rPr>
                <w:rFonts w:eastAsia="Times New Roman" w:cstheme="minorHAnsi"/>
              </w:rPr>
            </w:pPr>
            <w:r w:rsidRPr="00E543B8">
              <w:rPr>
                <w:rFonts w:eastAsia="Times New Roman" w:cstheme="minorHAnsi"/>
                <w:color w:val="000000"/>
                <w:kern w:val="24"/>
              </w:rPr>
              <w:t>Any AP – Mock Exams</w:t>
            </w:r>
          </w:p>
        </w:tc>
        <w:tc>
          <w:tcPr>
            <w:tcW w:w="1637" w:type="dxa"/>
            <w:tcBorders>
              <w:top w:val="single" w:sz="4" w:space="0" w:color="000000"/>
              <w:left w:val="single" w:sz="8" w:space="0" w:color="3B3838"/>
              <w:bottom w:val="single" w:sz="4" w:space="0" w:color="000000"/>
              <w:right w:val="single" w:sz="4" w:space="0" w:color="000000"/>
            </w:tcBorders>
            <w:shd w:val="clear" w:color="auto" w:fill="D3D3D3" w:themeFill="background2" w:themeFillShade="E6"/>
            <w:tcMar>
              <w:top w:w="10" w:type="dxa"/>
              <w:left w:w="10" w:type="dxa"/>
              <w:bottom w:w="0" w:type="dxa"/>
              <w:right w:w="10" w:type="dxa"/>
            </w:tcMar>
            <w:vAlign w:val="center"/>
          </w:tcPr>
          <w:p w14:paraId="1E3C2281" w14:textId="0E76D0AA" w:rsidR="00F831EB" w:rsidRPr="008D0684" w:rsidRDefault="00F831EB" w:rsidP="00F831EB">
            <w:pPr>
              <w:spacing w:after="0" w:line="240" w:lineRule="auto"/>
              <w:jc w:val="center"/>
              <w:textAlignment w:val="bottom"/>
              <w:rPr>
                <w:rFonts w:eastAsia="Times New Roman" w:cstheme="minorHAnsi"/>
              </w:rPr>
            </w:pPr>
            <w:r>
              <w:rPr>
                <w:rFonts w:eastAsia="Times New Roman" w:cstheme="minorHAnsi"/>
              </w:rPr>
              <w:t>5</w:t>
            </w:r>
            <w:r w:rsidR="00AF2CAB">
              <w:rPr>
                <w:rFonts w:eastAsia="Times New Roman" w:cstheme="minorHAnsi"/>
              </w:rPr>
              <w:t>1.6</w:t>
            </w:r>
            <w:r>
              <w:rPr>
                <w:rFonts w:eastAsia="Times New Roman" w:cstheme="minorHAnsi"/>
              </w:rPr>
              <w:t>%***</w:t>
            </w:r>
          </w:p>
        </w:tc>
        <w:tc>
          <w:tcPr>
            <w:tcW w:w="1637" w:type="dxa"/>
            <w:tcBorders>
              <w:top w:val="single" w:sz="4" w:space="0" w:color="000000"/>
              <w:left w:val="single" w:sz="4" w:space="0" w:color="000000"/>
              <w:bottom w:val="single" w:sz="4" w:space="0" w:color="000000"/>
              <w:right w:val="single" w:sz="4" w:space="0" w:color="000000"/>
            </w:tcBorders>
            <w:shd w:val="clear" w:color="auto" w:fill="D3D3D3" w:themeFill="background2" w:themeFillShade="E6"/>
            <w:tcMar>
              <w:top w:w="10" w:type="dxa"/>
              <w:left w:w="10" w:type="dxa"/>
              <w:bottom w:w="0" w:type="dxa"/>
              <w:right w:w="10" w:type="dxa"/>
            </w:tcMar>
            <w:vAlign w:val="center"/>
          </w:tcPr>
          <w:p w14:paraId="04047F44" w14:textId="35D9B890" w:rsidR="00F831EB" w:rsidRPr="008D0684" w:rsidRDefault="00F831EB" w:rsidP="00F831EB">
            <w:pPr>
              <w:spacing w:after="0" w:line="240" w:lineRule="auto"/>
              <w:jc w:val="center"/>
              <w:textAlignment w:val="bottom"/>
              <w:rPr>
                <w:rFonts w:eastAsia="Times New Roman" w:cstheme="minorHAnsi"/>
              </w:rPr>
            </w:pPr>
            <w:r>
              <w:rPr>
                <w:rFonts w:eastAsia="Times New Roman" w:cstheme="minorHAnsi"/>
              </w:rPr>
              <w:t>23</w:t>
            </w:r>
            <w:r w:rsidR="00395714">
              <w:rPr>
                <w:rFonts w:eastAsia="Times New Roman" w:cstheme="minorHAnsi"/>
              </w:rPr>
              <w:t>.0</w:t>
            </w:r>
            <w:r>
              <w:rPr>
                <w:rFonts w:eastAsia="Times New Roman" w:cstheme="minorHAnsi"/>
              </w:rPr>
              <w:t>%</w:t>
            </w:r>
          </w:p>
        </w:tc>
        <w:tc>
          <w:tcPr>
            <w:tcW w:w="1632" w:type="dxa"/>
            <w:tcBorders>
              <w:top w:val="single" w:sz="4" w:space="0" w:color="000000"/>
              <w:left w:val="single" w:sz="4" w:space="0" w:color="000000"/>
              <w:bottom w:val="single" w:sz="4" w:space="0" w:color="000000"/>
              <w:right w:val="single" w:sz="4" w:space="0" w:color="000000"/>
            </w:tcBorders>
            <w:shd w:val="clear" w:color="auto" w:fill="D3D3D3" w:themeFill="background2" w:themeFillShade="E6"/>
            <w:vAlign w:val="center"/>
          </w:tcPr>
          <w:p w14:paraId="55A2EF75" w14:textId="12B6F7D5" w:rsidR="00F831EB" w:rsidRDefault="00F831EB" w:rsidP="00C03901">
            <w:pPr>
              <w:spacing w:after="0" w:line="240" w:lineRule="auto"/>
              <w:jc w:val="center"/>
              <w:textAlignment w:val="bottom"/>
              <w:rPr>
                <w:rFonts w:eastAsia="Times New Roman" w:cstheme="minorHAnsi"/>
              </w:rPr>
            </w:pPr>
            <w:r>
              <w:rPr>
                <w:rFonts w:eastAsia="Times New Roman" w:cstheme="minorHAnsi"/>
              </w:rPr>
              <w:t>50</w:t>
            </w:r>
            <w:r w:rsidR="00295026">
              <w:rPr>
                <w:rFonts w:eastAsia="Times New Roman" w:cstheme="minorHAnsi"/>
              </w:rPr>
              <w:t>.1</w:t>
            </w:r>
            <w:r>
              <w:rPr>
                <w:rFonts w:eastAsia="Times New Roman" w:cstheme="minorHAnsi"/>
              </w:rPr>
              <w:t>%***</w:t>
            </w:r>
          </w:p>
        </w:tc>
        <w:tc>
          <w:tcPr>
            <w:tcW w:w="1632" w:type="dxa"/>
            <w:tcBorders>
              <w:top w:val="single" w:sz="4" w:space="0" w:color="000000"/>
              <w:left w:val="single" w:sz="4" w:space="0" w:color="000000"/>
              <w:bottom w:val="single" w:sz="4" w:space="0" w:color="000000"/>
              <w:right w:val="single" w:sz="4" w:space="0" w:color="000000"/>
            </w:tcBorders>
            <w:shd w:val="clear" w:color="auto" w:fill="D3D3D3" w:themeFill="background2" w:themeFillShade="E6"/>
            <w:vAlign w:val="center"/>
          </w:tcPr>
          <w:p w14:paraId="66C94DEB" w14:textId="7F2FC433" w:rsidR="00F831EB" w:rsidRDefault="00F831EB" w:rsidP="00C03901">
            <w:pPr>
              <w:spacing w:after="0" w:line="240" w:lineRule="auto"/>
              <w:jc w:val="center"/>
              <w:textAlignment w:val="bottom"/>
              <w:rPr>
                <w:rFonts w:eastAsia="Times New Roman" w:cstheme="minorHAnsi"/>
              </w:rPr>
            </w:pPr>
            <w:r>
              <w:rPr>
                <w:rFonts w:eastAsia="Times New Roman" w:cstheme="minorHAnsi"/>
              </w:rPr>
              <w:t>2</w:t>
            </w:r>
            <w:r w:rsidR="00770908">
              <w:rPr>
                <w:rFonts w:eastAsia="Times New Roman" w:cstheme="minorHAnsi"/>
              </w:rPr>
              <w:t>2.5</w:t>
            </w:r>
            <w:r>
              <w:rPr>
                <w:rFonts w:eastAsia="Times New Roman" w:cstheme="minorHAnsi"/>
              </w:rPr>
              <w:t>%</w:t>
            </w:r>
          </w:p>
        </w:tc>
      </w:tr>
      <w:tr w:rsidR="00D9072B" w:rsidRPr="00E543B8" w14:paraId="752A8E1C" w14:textId="77777777" w:rsidTr="006C3413">
        <w:trPr>
          <w:trHeight w:val="576"/>
        </w:trPr>
        <w:tc>
          <w:tcPr>
            <w:tcW w:w="2778" w:type="dxa"/>
            <w:tcBorders>
              <w:top w:val="single" w:sz="4" w:space="0" w:color="000000"/>
              <w:left w:val="single" w:sz="4" w:space="0" w:color="000000"/>
              <w:bottom w:val="single" w:sz="4" w:space="0" w:color="000000"/>
              <w:right w:val="single" w:sz="8" w:space="0" w:color="3B3838"/>
            </w:tcBorders>
            <w:tcMar>
              <w:top w:w="9" w:type="dxa"/>
              <w:left w:w="43" w:type="dxa"/>
              <w:bottom w:w="0" w:type="dxa"/>
              <w:right w:w="9" w:type="dxa"/>
            </w:tcMar>
            <w:vAlign w:val="center"/>
            <w:hideMark/>
          </w:tcPr>
          <w:p w14:paraId="485E5528" w14:textId="77777777" w:rsidR="00F831EB" w:rsidRPr="008D0684" w:rsidRDefault="00F831EB" w:rsidP="00F831EB">
            <w:pPr>
              <w:spacing w:after="0" w:line="240" w:lineRule="auto"/>
              <w:textAlignment w:val="bottom"/>
              <w:rPr>
                <w:rFonts w:eastAsia="Times New Roman" w:cstheme="minorHAnsi"/>
              </w:rPr>
            </w:pPr>
            <w:r w:rsidRPr="00E543B8">
              <w:rPr>
                <w:rFonts w:eastAsia="Times New Roman" w:cstheme="minorHAnsi"/>
                <w:color w:val="000000"/>
                <w:kern w:val="24"/>
              </w:rPr>
              <w:t xml:space="preserve">AP </w:t>
            </w:r>
            <w:r>
              <w:rPr>
                <w:rFonts w:eastAsia="Times New Roman" w:cstheme="minorHAnsi"/>
                <w:color w:val="000000"/>
                <w:kern w:val="24"/>
              </w:rPr>
              <w:t>ELA</w:t>
            </w:r>
            <w:r w:rsidRPr="00E543B8">
              <w:rPr>
                <w:rFonts w:eastAsia="Times New Roman" w:cstheme="minorHAnsi"/>
                <w:color w:val="000000"/>
                <w:kern w:val="24"/>
              </w:rPr>
              <w:t xml:space="preserve"> – Study Sessions</w:t>
            </w:r>
          </w:p>
        </w:tc>
        <w:tc>
          <w:tcPr>
            <w:tcW w:w="1637" w:type="dxa"/>
            <w:tcBorders>
              <w:top w:val="single" w:sz="4" w:space="0" w:color="000000"/>
              <w:left w:val="single" w:sz="8" w:space="0" w:color="3B3838"/>
              <w:bottom w:val="single" w:sz="4" w:space="0" w:color="000000"/>
              <w:right w:val="single" w:sz="4" w:space="0" w:color="000000"/>
            </w:tcBorders>
            <w:tcMar>
              <w:top w:w="10" w:type="dxa"/>
              <w:left w:w="10" w:type="dxa"/>
              <w:bottom w:w="0" w:type="dxa"/>
              <w:right w:w="10" w:type="dxa"/>
            </w:tcMar>
            <w:vAlign w:val="center"/>
          </w:tcPr>
          <w:p w14:paraId="65F5C582" w14:textId="10B07855" w:rsidR="00F831EB" w:rsidRPr="008D0684" w:rsidRDefault="00F831EB" w:rsidP="00F831EB">
            <w:pPr>
              <w:spacing w:after="0" w:line="240" w:lineRule="auto"/>
              <w:jc w:val="center"/>
              <w:textAlignment w:val="bottom"/>
              <w:rPr>
                <w:rFonts w:eastAsia="Times New Roman" w:cstheme="minorHAnsi"/>
              </w:rPr>
            </w:pPr>
            <w:r>
              <w:rPr>
                <w:rFonts w:eastAsia="Times New Roman" w:cstheme="minorHAnsi"/>
              </w:rPr>
              <w:t>50</w:t>
            </w:r>
            <w:r w:rsidR="006C6011">
              <w:rPr>
                <w:rFonts w:eastAsia="Times New Roman" w:cstheme="minorHAnsi"/>
              </w:rPr>
              <w:t>.3</w:t>
            </w:r>
            <w:r>
              <w:rPr>
                <w:rFonts w:eastAsia="Times New Roman" w:cstheme="minorHAnsi"/>
              </w:rPr>
              <w:t>%***</w:t>
            </w:r>
          </w:p>
        </w:tc>
        <w:tc>
          <w:tcPr>
            <w:tcW w:w="1637"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tcPr>
          <w:p w14:paraId="20A6EE3C" w14:textId="6686CC70" w:rsidR="00F831EB" w:rsidRPr="008D0684" w:rsidRDefault="00F831EB" w:rsidP="00F831EB">
            <w:pPr>
              <w:spacing w:after="0" w:line="240" w:lineRule="auto"/>
              <w:jc w:val="center"/>
              <w:textAlignment w:val="bottom"/>
              <w:rPr>
                <w:rFonts w:eastAsia="Times New Roman" w:cstheme="minorHAnsi"/>
              </w:rPr>
            </w:pPr>
            <w:r>
              <w:rPr>
                <w:rFonts w:eastAsia="Times New Roman" w:cstheme="minorHAnsi"/>
              </w:rPr>
              <w:t>3</w:t>
            </w:r>
            <w:r w:rsidR="007679DC">
              <w:rPr>
                <w:rFonts w:eastAsia="Times New Roman" w:cstheme="minorHAnsi"/>
              </w:rPr>
              <w:t>6.5</w:t>
            </w:r>
            <w:r>
              <w:rPr>
                <w:rFonts w:eastAsia="Times New Roman" w:cstheme="minorHAnsi"/>
              </w:rPr>
              <w:t>%</w:t>
            </w:r>
          </w:p>
        </w:tc>
        <w:tc>
          <w:tcPr>
            <w:tcW w:w="1632" w:type="dxa"/>
            <w:tcBorders>
              <w:top w:val="single" w:sz="4" w:space="0" w:color="000000"/>
              <w:left w:val="single" w:sz="4" w:space="0" w:color="000000"/>
              <w:bottom w:val="single" w:sz="4" w:space="0" w:color="000000"/>
              <w:right w:val="single" w:sz="4" w:space="0" w:color="000000"/>
            </w:tcBorders>
            <w:vAlign w:val="center"/>
          </w:tcPr>
          <w:p w14:paraId="14233493" w14:textId="5C5DE4E3" w:rsidR="00F831EB" w:rsidRDefault="00F831EB" w:rsidP="00C03901">
            <w:pPr>
              <w:spacing w:after="0" w:line="240" w:lineRule="auto"/>
              <w:jc w:val="center"/>
              <w:textAlignment w:val="bottom"/>
              <w:rPr>
                <w:rFonts w:eastAsia="Times New Roman" w:cstheme="minorHAnsi"/>
              </w:rPr>
            </w:pPr>
            <w:r>
              <w:rPr>
                <w:rFonts w:eastAsia="Times New Roman" w:cstheme="minorHAnsi"/>
              </w:rPr>
              <w:t>5</w:t>
            </w:r>
            <w:r w:rsidR="00CF34B5">
              <w:rPr>
                <w:rFonts w:eastAsia="Times New Roman" w:cstheme="minorHAnsi"/>
              </w:rPr>
              <w:t>0.5</w:t>
            </w:r>
            <w:r>
              <w:rPr>
                <w:rFonts w:eastAsia="Times New Roman" w:cstheme="minorHAnsi"/>
              </w:rPr>
              <w:t>%*</w:t>
            </w:r>
          </w:p>
        </w:tc>
        <w:tc>
          <w:tcPr>
            <w:tcW w:w="1632" w:type="dxa"/>
            <w:tcBorders>
              <w:top w:val="single" w:sz="4" w:space="0" w:color="000000"/>
              <w:left w:val="single" w:sz="4" w:space="0" w:color="000000"/>
              <w:bottom w:val="single" w:sz="4" w:space="0" w:color="000000"/>
              <w:right w:val="single" w:sz="4" w:space="0" w:color="000000"/>
            </w:tcBorders>
            <w:vAlign w:val="center"/>
          </w:tcPr>
          <w:p w14:paraId="25A4B0CA" w14:textId="1922D081" w:rsidR="00F831EB" w:rsidRDefault="00F831EB" w:rsidP="00C03901">
            <w:pPr>
              <w:spacing w:after="0" w:line="240" w:lineRule="auto"/>
              <w:jc w:val="center"/>
              <w:textAlignment w:val="bottom"/>
              <w:rPr>
                <w:rFonts w:eastAsia="Times New Roman" w:cstheme="minorHAnsi"/>
              </w:rPr>
            </w:pPr>
            <w:r>
              <w:rPr>
                <w:rFonts w:eastAsia="Times New Roman" w:cstheme="minorHAnsi"/>
              </w:rPr>
              <w:t>3</w:t>
            </w:r>
            <w:r w:rsidR="00BA26EE">
              <w:rPr>
                <w:rFonts w:eastAsia="Times New Roman" w:cstheme="minorHAnsi"/>
              </w:rPr>
              <w:t>7.9</w:t>
            </w:r>
            <w:r>
              <w:rPr>
                <w:rFonts w:eastAsia="Times New Roman" w:cstheme="minorHAnsi"/>
              </w:rPr>
              <w:t>%</w:t>
            </w:r>
          </w:p>
        </w:tc>
      </w:tr>
      <w:tr w:rsidR="00D9072B" w:rsidRPr="00E543B8" w14:paraId="156A9578" w14:textId="77777777" w:rsidTr="006C3413">
        <w:trPr>
          <w:trHeight w:val="576"/>
        </w:trPr>
        <w:tc>
          <w:tcPr>
            <w:tcW w:w="2778" w:type="dxa"/>
            <w:tcBorders>
              <w:top w:val="single" w:sz="4" w:space="0" w:color="000000"/>
              <w:left w:val="single" w:sz="4" w:space="0" w:color="000000"/>
              <w:bottom w:val="single" w:sz="4" w:space="0" w:color="000000"/>
              <w:right w:val="single" w:sz="8" w:space="0" w:color="3B3838"/>
            </w:tcBorders>
            <w:tcMar>
              <w:top w:w="9" w:type="dxa"/>
              <w:left w:w="43" w:type="dxa"/>
              <w:bottom w:w="0" w:type="dxa"/>
              <w:right w:w="9" w:type="dxa"/>
            </w:tcMar>
            <w:vAlign w:val="center"/>
            <w:hideMark/>
          </w:tcPr>
          <w:p w14:paraId="2442ACCD" w14:textId="77777777" w:rsidR="00F831EB" w:rsidRPr="008D0684" w:rsidRDefault="00F831EB" w:rsidP="00F831EB">
            <w:pPr>
              <w:spacing w:after="0" w:line="240" w:lineRule="auto"/>
              <w:textAlignment w:val="bottom"/>
              <w:rPr>
                <w:rFonts w:eastAsia="Times New Roman" w:cstheme="minorHAnsi"/>
              </w:rPr>
            </w:pPr>
            <w:r w:rsidRPr="00E543B8">
              <w:rPr>
                <w:rFonts w:eastAsia="Times New Roman" w:cstheme="minorHAnsi"/>
                <w:color w:val="000000"/>
                <w:kern w:val="24"/>
              </w:rPr>
              <w:t xml:space="preserve">AP </w:t>
            </w:r>
            <w:r>
              <w:rPr>
                <w:rFonts w:eastAsia="Times New Roman" w:cstheme="minorHAnsi"/>
                <w:color w:val="000000"/>
                <w:kern w:val="24"/>
              </w:rPr>
              <w:t>Math</w:t>
            </w:r>
            <w:r w:rsidRPr="00E543B8">
              <w:rPr>
                <w:rFonts w:eastAsia="Times New Roman" w:cstheme="minorHAnsi"/>
                <w:color w:val="000000"/>
                <w:kern w:val="24"/>
              </w:rPr>
              <w:t xml:space="preserve"> – Study Sessions</w:t>
            </w:r>
          </w:p>
        </w:tc>
        <w:tc>
          <w:tcPr>
            <w:tcW w:w="1637" w:type="dxa"/>
            <w:tcBorders>
              <w:top w:val="single" w:sz="4" w:space="0" w:color="000000"/>
              <w:left w:val="single" w:sz="8" w:space="0" w:color="3B3838"/>
              <w:bottom w:val="single" w:sz="4" w:space="0" w:color="000000"/>
              <w:right w:val="single" w:sz="4" w:space="0" w:color="000000"/>
            </w:tcBorders>
            <w:tcMar>
              <w:top w:w="10" w:type="dxa"/>
              <w:left w:w="10" w:type="dxa"/>
              <w:bottom w:w="0" w:type="dxa"/>
              <w:right w:w="10" w:type="dxa"/>
            </w:tcMar>
            <w:vAlign w:val="center"/>
          </w:tcPr>
          <w:p w14:paraId="2CEBEB8C" w14:textId="67A597E3" w:rsidR="00F831EB" w:rsidRPr="008D0684" w:rsidRDefault="00640575" w:rsidP="00F831EB">
            <w:pPr>
              <w:spacing w:after="0" w:line="240" w:lineRule="auto"/>
              <w:jc w:val="center"/>
              <w:textAlignment w:val="bottom"/>
              <w:rPr>
                <w:rFonts w:eastAsia="Times New Roman" w:cstheme="minorHAnsi"/>
              </w:rPr>
            </w:pPr>
            <w:r>
              <w:rPr>
                <w:rFonts w:eastAsia="Times New Roman" w:cstheme="minorHAnsi"/>
              </w:rPr>
              <w:t>39.9</w:t>
            </w:r>
            <w:r w:rsidR="00F831EB">
              <w:rPr>
                <w:rFonts w:eastAsia="Times New Roman" w:cstheme="minorHAnsi"/>
              </w:rPr>
              <w:t>%***</w:t>
            </w:r>
          </w:p>
        </w:tc>
        <w:tc>
          <w:tcPr>
            <w:tcW w:w="1637"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tcPr>
          <w:p w14:paraId="71B820BD" w14:textId="56C0D40D" w:rsidR="00F831EB" w:rsidRPr="008D0684" w:rsidRDefault="00F831EB" w:rsidP="00F831EB">
            <w:pPr>
              <w:spacing w:after="0" w:line="240" w:lineRule="auto"/>
              <w:jc w:val="center"/>
              <w:textAlignment w:val="bottom"/>
              <w:rPr>
                <w:rFonts w:eastAsia="Times New Roman" w:cstheme="minorHAnsi"/>
              </w:rPr>
            </w:pPr>
            <w:r>
              <w:rPr>
                <w:rFonts w:eastAsia="Times New Roman" w:cstheme="minorHAnsi"/>
              </w:rPr>
              <w:t>2</w:t>
            </w:r>
            <w:r w:rsidR="001A59B9">
              <w:rPr>
                <w:rFonts w:eastAsia="Times New Roman" w:cstheme="minorHAnsi"/>
              </w:rPr>
              <w:t>5.6</w:t>
            </w:r>
            <w:r>
              <w:rPr>
                <w:rFonts w:eastAsia="Times New Roman" w:cstheme="minorHAnsi"/>
              </w:rPr>
              <w:t>%</w:t>
            </w:r>
          </w:p>
        </w:tc>
        <w:tc>
          <w:tcPr>
            <w:tcW w:w="1632" w:type="dxa"/>
            <w:tcBorders>
              <w:top w:val="single" w:sz="4" w:space="0" w:color="000000"/>
              <w:left w:val="single" w:sz="4" w:space="0" w:color="000000"/>
              <w:bottom w:val="single" w:sz="4" w:space="0" w:color="000000"/>
              <w:right w:val="single" w:sz="4" w:space="0" w:color="000000"/>
            </w:tcBorders>
            <w:vAlign w:val="center"/>
          </w:tcPr>
          <w:p w14:paraId="2C6F9C95" w14:textId="1A6C7A97" w:rsidR="00F831EB" w:rsidRDefault="00F831EB" w:rsidP="00C03901">
            <w:pPr>
              <w:spacing w:after="0" w:line="240" w:lineRule="auto"/>
              <w:jc w:val="center"/>
              <w:textAlignment w:val="bottom"/>
              <w:rPr>
                <w:rFonts w:eastAsia="Times New Roman" w:cstheme="minorHAnsi"/>
              </w:rPr>
            </w:pPr>
            <w:r>
              <w:rPr>
                <w:rFonts w:eastAsia="Times New Roman" w:cstheme="minorHAnsi"/>
              </w:rPr>
              <w:t>46</w:t>
            </w:r>
            <w:r w:rsidR="00F73381">
              <w:rPr>
                <w:rFonts w:eastAsia="Times New Roman" w:cstheme="minorHAnsi"/>
              </w:rPr>
              <w:t>.0</w:t>
            </w:r>
            <w:r>
              <w:rPr>
                <w:rFonts w:eastAsia="Times New Roman" w:cstheme="minorHAnsi"/>
              </w:rPr>
              <w:t>%***</w:t>
            </w:r>
          </w:p>
        </w:tc>
        <w:tc>
          <w:tcPr>
            <w:tcW w:w="1632" w:type="dxa"/>
            <w:tcBorders>
              <w:top w:val="single" w:sz="4" w:space="0" w:color="000000"/>
              <w:left w:val="single" w:sz="4" w:space="0" w:color="000000"/>
              <w:bottom w:val="single" w:sz="4" w:space="0" w:color="000000"/>
              <w:right w:val="single" w:sz="4" w:space="0" w:color="000000"/>
            </w:tcBorders>
            <w:vAlign w:val="center"/>
          </w:tcPr>
          <w:p w14:paraId="50D6BDF2" w14:textId="3E93E8D7" w:rsidR="00F831EB" w:rsidRDefault="00F831EB" w:rsidP="00C03901">
            <w:pPr>
              <w:spacing w:after="0" w:line="240" w:lineRule="auto"/>
              <w:jc w:val="center"/>
              <w:textAlignment w:val="bottom"/>
              <w:rPr>
                <w:rFonts w:eastAsia="Times New Roman" w:cstheme="minorHAnsi"/>
              </w:rPr>
            </w:pPr>
            <w:r>
              <w:rPr>
                <w:rFonts w:eastAsia="Times New Roman" w:cstheme="minorHAnsi"/>
              </w:rPr>
              <w:t>2</w:t>
            </w:r>
            <w:r w:rsidR="00E04D25">
              <w:rPr>
                <w:rFonts w:eastAsia="Times New Roman" w:cstheme="minorHAnsi"/>
              </w:rPr>
              <w:t>1.6</w:t>
            </w:r>
            <w:r>
              <w:rPr>
                <w:rFonts w:eastAsia="Times New Roman" w:cstheme="minorHAnsi"/>
              </w:rPr>
              <w:t>%</w:t>
            </w:r>
          </w:p>
        </w:tc>
      </w:tr>
      <w:tr w:rsidR="00D9072B" w:rsidRPr="00E543B8" w14:paraId="4AFEB62F" w14:textId="77777777" w:rsidTr="006C3413">
        <w:trPr>
          <w:trHeight w:val="576"/>
        </w:trPr>
        <w:tc>
          <w:tcPr>
            <w:tcW w:w="2778" w:type="dxa"/>
            <w:tcBorders>
              <w:top w:val="single" w:sz="4" w:space="0" w:color="000000"/>
              <w:left w:val="single" w:sz="4" w:space="0" w:color="000000"/>
              <w:bottom w:val="single" w:sz="4" w:space="0" w:color="000000"/>
              <w:right w:val="single" w:sz="8" w:space="0" w:color="3B3838"/>
            </w:tcBorders>
            <w:tcMar>
              <w:top w:w="9" w:type="dxa"/>
              <w:left w:w="43" w:type="dxa"/>
              <w:bottom w:w="0" w:type="dxa"/>
              <w:right w:w="9" w:type="dxa"/>
            </w:tcMar>
            <w:vAlign w:val="center"/>
            <w:hideMark/>
          </w:tcPr>
          <w:p w14:paraId="0DB51A5F" w14:textId="77777777" w:rsidR="00F831EB" w:rsidRPr="008D0684" w:rsidRDefault="00F831EB" w:rsidP="00F831EB">
            <w:pPr>
              <w:spacing w:after="0" w:line="240" w:lineRule="auto"/>
              <w:textAlignment w:val="bottom"/>
              <w:rPr>
                <w:rFonts w:eastAsia="Times New Roman" w:cstheme="minorHAnsi"/>
              </w:rPr>
            </w:pPr>
            <w:r w:rsidRPr="00E543B8">
              <w:rPr>
                <w:rFonts w:eastAsia="Times New Roman" w:cstheme="minorHAnsi"/>
                <w:color w:val="000000"/>
                <w:kern w:val="24"/>
              </w:rPr>
              <w:t xml:space="preserve">AP </w:t>
            </w:r>
            <w:r>
              <w:rPr>
                <w:rFonts w:eastAsia="Times New Roman" w:cstheme="minorHAnsi"/>
                <w:color w:val="000000"/>
                <w:kern w:val="24"/>
              </w:rPr>
              <w:t>Science</w:t>
            </w:r>
            <w:r w:rsidRPr="00E543B8">
              <w:rPr>
                <w:rFonts w:eastAsia="Times New Roman" w:cstheme="minorHAnsi"/>
                <w:color w:val="000000"/>
                <w:kern w:val="24"/>
              </w:rPr>
              <w:t xml:space="preserve"> – Study Sessions</w:t>
            </w:r>
          </w:p>
        </w:tc>
        <w:tc>
          <w:tcPr>
            <w:tcW w:w="1637" w:type="dxa"/>
            <w:tcBorders>
              <w:top w:val="single" w:sz="4" w:space="0" w:color="000000"/>
              <w:left w:val="single" w:sz="8" w:space="0" w:color="3B3838"/>
              <w:bottom w:val="single" w:sz="4" w:space="0" w:color="000000"/>
              <w:right w:val="single" w:sz="4" w:space="0" w:color="000000"/>
            </w:tcBorders>
            <w:tcMar>
              <w:top w:w="10" w:type="dxa"/>
              <w:left w:w="10" w:type="dxa"/>
              <w:bottom w:w="0" w:type="dxa"/>
              <w:right w:w="10" w:type="dxa"/>
            </w:tcMar>
            <w:vAlign w:val="center"/>
          </w:tcPr>
          <w:p w14:paraId="77C17697" w14:textId="5F0EA31C" w:rsidR="00F831EB" w:rsidRPr="008D0684" w:rsidRDefault="00F831EB" w:rsidP="00F831EB">
            <w:pPr>
              <w:spacing w:after="0" w:line="240" w:lineRule="auto"/>
              <w:jc w:val="center"/>
              <w:textAlignment w:val="bottom"/>
              <w:rPr>
                <w:rFonts w:eastAsia="Times New Roman" w:cstheme="minorHAnsi"/>
              </w:rPr>
            </w:pPr>
            <w:r>
              <w:rPr>
                <w:rFonts w:eastAsia="Times New Roman" w:cstheme="minorHAnsi"/>
              </w:rPr>
              <w:t>46</w:t>
            </w:r>
            <w:r w:rsidR="00640575">
              <w:rPr>
                <w:rFonts w:eastAsia="Times New Roman" w:cstheme="minorHAnsi"/>
              </w:rPr>
              <w:t>.1</w:t>
            </w:r>
            <w:r>
              <w:rPr>
                <w:rFonts w:eastAsia="Times New Roman" w:cstheme="minorHAnsi"/>
              </w:rPr>
              <w:t>%***</w:t>
            </w:r>
          </w:p>
        </w:tc>
        <w:tc>
          <w:tcPr>
            <w:tcW w:w="1637"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tcPr>
          <w:p w14:paraId="53EF7504" w14:textId="4B584C15" w:rsidR="00F831EB" w:rsidRPr="008D0684" w:rsidRDefault="00F831EB" w:rsidP="00F831EB">
            <w:pPr>
              <w:spacing w:after="0" w:line="240" w:lineRule="auto"/>
              <w:jc w:val="center"/>
              <w:textAlignment w:val="bottom"/>
              <w:rPr>
                <w:rFonts w:eastAsia="Times New Roman" w:cstheme="minorHAnsi"/>
              </w:rPr>
            </w:pPr>
            <w:r>
              <w:rPr>
                <w:rFonts w:eastAsia="Times New Roman" w:cstheme="minorHAnsi"/>
              </w:rPr>
              <w:t>2</w:t>
            </w:r>
            <w:r w:rsidR="00276D76">
              <w:rPr>
                <w:rFonts w:eastAsia="Times New Roman" w:cstheme="minorHAnsi"/>
              </w:rPr>
              <w:t>5.6</w:t>
            </w:r>
            <w:r>
              <w:rPr>
                <w:rFonts w:eastAsia="Times New Roman" w:cstheme="minorHAnsi"/>
              </w:rPr>
              <w:t>%</w:t>
            </w:r>
          </w:p>
        </w:tc>
        <w:tc>
          <w:tcPr>
            <w:tcW w:w="1632" w:type="dxa"/>
            <w:tcBorders>
              <w:top w:val="single" w:sz="4" w:space="0" w:color="000000"/>
              <w:left w:val="single" w:sz="4" w:space="0" w:color="000000"/>
              <w:bottom w:val="single" w:sz="4" w:space="0" w:color="000000"/>
              <w:right w:val="single" w:sz="4" w:space="0" w:color="000000"/>
            </w:tcBorders>
            <w:vAlign w:val="center"/>
          </w:tcPr>
          <w:p w14:paraId="5D746629" w14:textId="516B263F" w:rsidR="00F831EB" w:rsidRDefault="00F831EB" w:rsidP="00C03901">
            <w:pPr>
              <w:spacing w:after="0" w:line="240" w:lineRule="auto"/>
              <w:jc w:val="center"/>
              <w:textAlignment w:val="bottom"/>
              <w:rPr>
                <w:rFonts w:eastAsia="Times New Roman" w:cstheme="minorHAnsi"/>
              </w:rPr>
            </w:pPr>
            <w:r>
              <w:rPr>
                <w:rFonts w:eastAsia="Times New Roman" w:cstheme="minorHAnsi"/>
              </w:rPr>
              <w:t>43</w:t>
            </w:r>
            <w:r w:rsidR="00F73381">
              <w:rPr>
                <w:rFonts w:eastAsia="Times New Roman" w:cstheme="minorHAnsi"/>
              </w:rPr>
              <w:t>.0</w:t>
            </w:r>
            <w:r>
              <w:rPr>
                <w:rFonts w:eastAsia="Times New Roman" w:cstheme="minorHAnsi"/>
              </w:rPr>
              <w:t>%***</w:t>
            </w:r>
          </w:p>
        </w:tc>
        <w:tc>
          <w:tcPr>
            <w:tcW w:w="1632" w:type="dxa"/>
            <w:tcBorders>
              <w:top w:val="single" w:sz="4" w:space="0" w:color="000000"/>
              <w:left w:val="single" w:sz="4" w:space="0" w:color="000000"/>
              <w:bottom w:val="single" w:sz="4" w:space="0" w:color="000000"/>
              <w:right w:val="single" w:sz="4" w:space="0" w:color="000000"/>
            </w:tcBorders>
            <w:vAlign w:val="center"/>
          </w:tcPr>
          <w:p w14:paraId="55802097" w14:textId="1177BEC6" w:rsidR="00F831EB" w:rsidRDefault="00F831EB" w:rsidP="00C03901">
            <w:pPr>
              <w:spacing w:after="0" w:line="240" w:lineRule="auto"/>
              <w:jc w:val="center"/>
              <w:textAlignment w:val="bottom"/>
              <w:rPr>
                <w:rFonts w:eastAsia="Times New Roman" w:cstheme="minorHAnsi"/>
              </w:rPr>
            </w:pPr>
            <w:r>
              <w:rPr>
                <w:rFonts w:eastAsia="Times New Roman" w:cstheme="minorHAnsi"/>
              </w:rPr>
              <w:t>26</w:t>
            </w:r>
            <w:r w:rsidR="00D31FF3">
              <w:rPr>
                <w:rFonts w:eastAsia="Times New Roman" w:cstheme="minorHAnsi"/>
              </w:rPr>
              <w:t>.4</w:t>
            </w:r>
            <w:r>
              <w:rPr>
                <w:rFonts w:eastAsia="Times New Roman" w:cstheme="minorHAnsi"/>
              </w:rPr>
              <w:t>%</w:t>
            </w:r>
          </w:p>
        </w:tc>
      </w:tr>
      <w:tr w:rsidR="00C03901" w:rsidRPr="00E543B8" w14:paraId="08242674" w14:textId="77777777" w:rsidTr="006C3413">
        <w:trPr>
          <w:trHeight w:val="576"/>
        </w:trPr>
        <w:tc>
          <w:tcPr>
            <w:tcW w:w="2778" w:type="dxa"/>
            <w:tcBorders>
              <w:top w:val="single" w:sz="4" w:space="0" w:color="000000"/>
              <w:left w:val="single" w:sz="4" w:space="0" w:color="000000"/>
              <w:bottom w:val="single" w:sz="4" w:space="0" w:color="000000"/>
              <w:right w:val="single" w:sz="8" w:space="0" w:color="3B3838"/>
            </w:tcBorders>
            <w:shd w:val="clear" w:color="auto" w:fill="D3D3D3" w:themeFill="background2" w:themeFillShade="E6"/>
            <w:tcMar>
              <w:top w:w="9" w:type="dxa"/>
              <w:left w:w="43" w:type="dxa"/>
              <w:bottom w:w="0" w:type="dxa"/>
              <w:right w:w="9" w:type="dxa"/>
            </w:tcMar>
            <w:vAlign w:val="center"/>
            <w:hideMark/>
          </w:tcPr>
          <w:p w14:paraId="5F75A7C6" w14:textId="77777777" w:rsidR="00F831EB" w:rsidRPr="008D0684" w:rsidRDefault="00F831EB" w:rsidP="00F831EB">
            <w:pPr>
              <w:spacing w:after="0" w:line="240" w:lineRule="auto"/>
              <w:textAlignment w:val="bottom"/>
              <w:rPr>
                <w:rFonts w:eastAsia="Times New Roman" w:cstheme="minorHAnsi"/>
              </w:rPr>
            </w:pPr>
            <w:r w:rsidRPr="00E543B8">
              <w:rPr>
                <w:rFonts w:eastAsia="Times New Roman" w:cstheme="minorHAnsi"/>
                <w:color w:val="000000"/>
                <w:kern w:val="24"/>
              </w:rPr>
              <w:t>Any AP – Study Sessions</w:t>
            </w:r>
          </w:p>
        </w:tc>
        <w:tc>
          <w:tcPr>
            <w:tcW w:w="1637" w:type="dxa"/>
            <w:tcBorders>
              <w:top w:val="single" w:sz="4" w:space="0" w:color="000000"/>
              <w:left w:val="single" w:sz="8" w:space="0" w:color="3B3838"/>
              <w:bottom w:val="single" w:sz="4" w:space="0" w:color="000000"/>
              <w:right w:val="single" w:sz="4" w:space="0" w:color="000000"/>
            </w:tcBorders>
            <w:shd w:val="clear" w:color="auto" w:fill="D3D3D3" w:themeFill="background2" w:themeFillShade="E6"/>
            <w:tcMar>
              <w:top w:w="10" w:type="dxa"/>
              <w:left w:w="10" w:type="dxa"/>
              <w:bottom w:w="0" w:type="dxa"/>
              <w:right w:w="10" w:type="dxa"/>
            </w:tcMar>
            <w:vAlign w:val="center"/>
          </w:tcPr>
          <w:p w14:paraId="3FB24BAB" w14:textId="156BA284" w:rsidR="00F831EB" w:rsidRPr="008D0684" w:rsidRDefault="00621AF6" w:rsidP="00F831EB">
            <w:pPr>
              <w:spacing w:after="0" w:line="240" w:lineRule="auto"/>
              <w:jc w:val="center"/>
              <w:textAlignment w:val="bottom"/>
              <w:rPr>
                <w:rFonts w:eastAsia="Times New Roman" w:cstheme="minorHAnsi"/>
              </w:rPr>
            </w:pPr>
            <w:r>
              <w:rPr>
                <w:rFonts w:eastAsia="Times New Roman" w:cstheme="minorHAnsi"/>
              </w:rPr>
              <w:t>49.7</w:t>
            </w:r>
            <w:r w:rsidR="00F831EB">
              <w:rPr>
                <w:rFonts w:eastAsia="Times New Roman" w:cstheme="minorHAnsi"/>
              </w:rPr>
              <w:t>%***</w:t>
            </w:r>
          </w:p>
        </w:tc>
        <w:tc>
          <w:tcPr>
            <w:tcW w:w="1637" w:type="dxa"/>
            <w:tcBorders>
              <w:top w:val="single" w:sz="4" w:space="0" w:color="000000"/>
              <w:left w:val="single" w:sz="4" w:space="0" w:color="000000"/>
              <w:bottom w:val="single" w:sz="4" w:space="0" w:color="000000"/>
              <w:right w:val="single" w:sz="4" w:space="0" w:color="000000"/>
            </w:tcBorders>
            <w:shd w:val="clear" w:color="auto" w:fill="D3D3D3" w:themeFill="background2" w:themeFillShade="E6"/>
            <w:tcMar>
              <w:top w:w="10" w:type="dxa"/>
              <w:left w:w="10" w:type="dxa"/>
              <w:bottom w:w="0" w:type="dxa"/>
              <w:right w:w="10" w:type="dxa"/>
            </w:tcMar>
            <w:vAlign w:val="center"/>
          </w:tcPr>
          <w:p w14:paraId="360DB8D0" w14:textId="5D46501C" w:rsidR="00F831EB" w:rsidRPr="008D0684" w:rsidRDefault="00AD6203" w:rsidP="00F831EB">
            <w:pPr>
              <w:spacing w:after="0" w:line="240" w:lineRule="auto"/>
              <w:jc w:val="center"/>
              <w:textAlignment w:val="bottom"/>
              <w:rPr>
                <w:rFonts w:eastAsia="Times New Roman" w:cstheme="minorHAnsi"/>
              </w:rPr>
            </w:pPr>
            <w:r>
              <w:rPr>
                <w:rFonts w:eastAsia="Times New Roman" w:cstheme="minorHAnsi"/>
              </w:rPr>
              <w:t>29.5</w:t>
            </w:r>
            <w:r w:rsidR="00F831EB">
              <w:rPr>
                <w:rFonts w:eastAsia="Times New Roman" w:cstheme="minorHAnsi"/>
              </w:rPr>
              <w:t>%</w:t>
            </w:r>
          </w:p>
        </w:tc>
        <w:tc>
          <w:tcPr>
            <w:tcW w:w="1632" w:type="dxa"/>
            <w:tcBorders>
              <w:top w:val="single" w:sz="4" w:space="0" w:color="000000"/>
              <w:left w:val="single" w:sz="4" w:space="0" w:color="000000"/>
              <w:bottom w:val="single" w:sz="4" w:space="0" w:color="000000"/>
              <w:right w:val="single" w:sz="4" w:space="0" w:color="000000"/>
            </w:tcBorders>
            <w:shd w:val="clear" w:color="auto" w:fill="D3D3D3" w:themeFill="background2" w:themeFillShade="E6"/>
            <w:vAlign w:val="center"/>
          </w:tcPr>
          <w:p w14:paraId="64FD48F7" w14:textId="6D7C17D0" w:rsidR="00F831EB" w:rsidRDefault="00F831EB" w:rsidP="00C03901">
            <w:pPr>
              <w:spacing w:after="0" w:line="240" w:lineRule="auto"/>
              <w:jc w:val="center"/>
              <w:textAlignment w:val="bottom"/>
              <w:rPr>
                <w:rFonts w:eastAsia="Times New Roman" w:cstheme="minorHAnsi"/>
              </w:rPr>
            </w:pPr>
            <w:r>
              <w:rPr>
                <w:rFonts w:eastAsia="Times New Roman" w:cstheme="minorHAnsi"/>
              </w:rPr>
              <w:t>5</w:t>
            </w:r>
            <w:r w:rsidR="00F73381">
              <w:rPr>
                <w:rFonts w:eastAsia="Times New Roman" w:cstheme="minorHAnsi"/>
              </w:rPr>
              <w:t>0</w:t>
            </w:r>
            <w:r w:rsidR="004B5BCE">
              <w:rPr>
                <w:rFonts w:eastAsia="Times New Roman" w:cstheme="minorHAnsi"/>
              </w:rPr>
              <w:t>.8</w:t>
            </w:r>
            <w:r>
              <w:rPr>
                <w:rFonts w:eastAsia="Times New Roman" w:cstheme="minorHAnsi"/>
              </w:rPr>
              <w:t>%***</w:t>
            </w:r>
          </w:p>
        </w:tc>
        <w:tc>
          <w:tcPr>
            <w:tcW w:w="1632" w:type="dxa"/>
            <w:tcBorders>
              <w:top w:val="single" w:sz="4" w:space="0" w:color="000000"/>
              <w:left w:val="single" w:sz="4" w:space="0" w:color="000000"/>
              <w:bottom w:val="single" w:sz="4" w:space="0" w:color="000000"/>
              <w:right w:val="single" w:sz="4" w:space="0" w:color="000000"/>
            </w:tcBorders>
            <w:shd w:val="clear" w:color="auto" w:fill="D3D3D3" w:themeFill="background2" w:themeFillShade="E6"/>
            <w:vAlign w:val="center"/>
          </w:tcPr>
          <w:p w14:paraId="63E51142" w14:textId="157C9EAE" w:rsidR="00F831EB" w:rsidRDefault="00F831EB" w:rsidP="00C03901">
            <w:pPr>
              <w:spacing w:after="0" w:line="240" w:lineRule="auto"/>
              <w:jc w:val="center"/>
              <w:textAlignment w:val="bottom"/>
              <w:rPr>
                <w:rFonts w:eastAsia="Times New Roman" w:cstheme="minorHAnsi"/>
              </w:rPr>
            </w:pPr>
            <w:r>
              <w:rPr>
                <w:rFonts w:eastAsia="Times New Roman" w:cstheme="minorHAnsi"/>
              </w:rPr>
              <w:t>29</w:t>
            </w:r>
            <w:r w:rsidR="00BA7AEF">
              <w:rPr>
                <w:rFonts w:eastAsia="Times New Roman" w:cstheme="minorHAnsi"/>
              </w:rPr>
              <w:t>.2</w:t>
            </w:r>
            <w:r>
              <w:rPr>
                <w:rFonts w:eastAsia="Times New Roman" w:cstheme="minorHAnsi"/>
              </w:rPr>
              <w:t>%</w:t>
            </w:r>
          </w:p>
        </w:tc>
      </w:tr>
    </w:tbl>
    <w:p w14:paraId="67F186C5" w14:textId="77777777" w:rsidR="00FC5D90" w:rsidRDefault="00FC5D90" w:rsidP="009175DE">
      <w:pPr>
        <w:pStyle w:val="BodyText"/>
      </w:pPr>
    </w:p>
    <w:p w14:paraId="79EC7D85" w14:textId="06212F36" w:rsidR="00490A50" w:rsidRDefault="00490A50" w:rsidP="007B49DA">
      <w:pPr>
        <w:pStyle w:val="Heading4"/>
      </w:pPr>
      <w:bookmarkStart w:id="232" w:name="_Toc203984440"/>
      <w:bookmarkStart w:id="233" w:name="_Toc204766674"/>
      <w:bookmarkStart w:id="234" w:name="_Toc206742111"/>
      <w:bookmarkStart w:id="235" w:name="_Toc207183740"/>
      <w:bookmarkStart w:id="236" w:name="_Toc207348172"/>
      <w:r>
        <w:t>AP Exam Passing Rates</w:t>
      </w:r>
      <w:bookmarkEnd w:id="222"/>
      <w:r>
        <w:t xml:space="preserve"> and Student Support Participation</w:t>
      </w:r>
      <w:bookmarkEnd w:id="223"/>
      <w:bookmarkEnd w:id="224"/>
      <w:bookmarkEnd w:id="225"/>
      <w:bookmarkEnd w:id="232"/>
      <w:bookmarkEnd w:id="233"/>
      <w:bookmarkEnd w:id="234"/>
      <w:bookmarkEnd w:id="235"/>
      <w:bookmarkEnd w:id="236"/>
    </w:p>
    <w:p w14:paraId="5ACA635D" w14:textId="47E36B87" w:rsidR="00F36557" w:rsidRDefault="00490A50" w:rsidP="00490A50">
      <w:pPr>
        <w:pStyle w:val="BodyText"/>
      </w:pPr>
      <w:r>
        <w:t>There are observable differences in AP exam</w:t>
      </w:r>
      <w:r w:rsidR="00E1311F">
        <w:t xml:space="preserve"> passing rates</w:t>
      </w:r>
      <w:r>
        <w:t xml:space="preserve"> between </w:t>
      </w:r>
      <w:r w:rsidR="00E1311F">
        <w:t xml:space="preserve">students </w:t>
      </w:r>
      <w:proofErr w:type="gramStart"/>
      <w:r w:rsidR="00E1311F">
        <w:t>participated</w:t>
      </w:r>
      <w:proofErr w:type="gramEnd"/>
      <w:r w:rsidR="00E1311F">
        <w:t xml:space="preserve"> in mock exams or study sessions and those who did not. These differences were evident across all AP content areas examined and were similar across both SY2023 and SY2024.</w:t>
      </w:r>
    </w:p>
    <w:p w14:paraId="0371953A" w14:textId="77777777" w:rsidR="00F36557" w:rsidRDefault="00F36557" w:rsidP="00490A50">
      <w:pPr>
        <w:pStyle w:val="BodyText"/>
      </w:pPr>
    </w:p>
    <w:p w14:paraId="37F41AF3" w14:textId="21D417A9" w:rsidR="00EA3EA3" w:rsidRDefault="00EA3EA3" w:rsidP="00EA3EA3">
      <w:pPr>
        <w:pStyle w:val="BodyText"/>
      </w:pPr>
      <w:r>
        <w:t xml:space="preserve">A description of student exam </w:t>
      </w:r>
      <w:r w:rsidR="00D25468">
        <w:t>passing</w:t>
      </w:r>
      <w:r>
        <w:t xml:space="preserve"> rates for any AP by school year and student support </w:t>
      </w:r>
      <w:proofErr w:type="gramStart"/>
      <w:r>
        <w:t>is</w:t>
      </w:r>
      <w:proofErr w:type="gramEnd"/>
      <w:r>
        <w:t xml:space="preserve"> provided below</w:t>
      </w:r>
      <w:r w:rsidR="00E1311F">
        <w:t>.</w:t>
      </w:r>
      <w:r>
        <w:t xml:space="preserve"> </w:t>
      </w:r>
      <w:r w:rsidR="00E1311F">
        <w:t>S</w:t>
      </w:r>
      <w:r>
        <w:t xml:space="preserve">ummaries of exam </w:t>
      </w:r>
      <w:r w:rsidR="00BC699A">
        <w:t>passing</w:t>
      </w:r>
      <w:r>
        <w:t xml:space="preserve"> rates by school year, student support, and subject (ELA, math, and science) are provided in </w:t>
      </w:r>
      <w:r w:rsidR="004A2536">
        <w:t xml:space="preserve">Appendix </w:t>
      </w:r>
      <w:r w:rsidR="00EE177E">
        <w:t>T</w:t>
      </w:r>
      <w:r w:rsidRPr="00104D41">
        <w:t>.</w:t>
      </w:r>
    </w:p>
    <w:p w14:paraId="5ED80AE1" w14:textId="77777777" w:rsidR="00EA3EA3" w:rsidRDefault="00EA3EA3" w:rsidP="00490A50">
      <w:pPr>
        <w:pStyle w:val="BodyText"/>
      </w:pPr>
    </w:p>
    <w:p w14:paraId="57CD77D5" w14:textId="77777777" w:rsidR="00B76AF7" w:rsidRPr="00DE5327" w:rsidRDefault="00B76AF7">
      <w:pPr>
        <w:spacing w:after="160" w:line="259" w:lineRule="auto"/>
        <w:rPr>
          <w:rStyle w:val="Heading5Char"/>
          <w:color w:val="auto"/>
        </w:rPr>
      </w:pPr>
      <w:r w:rsidRPr="00DE5327">
        <w:rPr>
          <w:rStyle w:val="Heading5Char"/>
          <w:color w:val="auto"/>
        </w:rPr>
        <w:br w:type="page"/>
      </w:r>
    </w:p>
    <w:p w14:paraId="624FC093" w14:textId="77777777" w:rsidR="007B49DA" w:rsidRDefault="00F36557" w:rsidP="00F36557">
      <w:pPr>
        <w:pStyle w:val="BodyText"/>
        <w:rPr>
          <w:rStyle w:val="Heading4Char"/>
        </w:rPr>
      </w:pPr>
      <w:r w:rsidRPr="007B49DA">
        <w:rPr>
          <w:rStyle w:val="Heading4Char"/>
        </w:rPr>
        <w:lastRenderedPageBreak/>
        <w:t>Mock exams</w:t>
      </w:r>
    </w:p>
    <w:p w14:paraId="64C5FD6A" w14:textId="4DC038CC" w:rsidR="00F36557" w:rsidRDefault="00CE6107" w:rsidP="00F36557">
      <w:pPr>
        <w:pStyle w:val="BodyText"/>
      </w:pPr>
      <w:r>
        <w:t>In SY2023</w:t>
      </w:r>
      <w:r w:rsidR="00256CF3">
        <w:t xml:space="preserve"> (Figure 12), 3,578 students (51.5%) who took at least one AP mock exam passed at least one AP exam, whereas 1,127</w:t>
      </w:r>
      <w:r w:rsidR="00FB35CB">
        <w:t xml:space="preserve"> (24.8%) students who did not participate in a mock exam passed at least one AP exam. In SY2024, 3,800 students (5</w:t>
      </w:r>
      <w:r w:rsidR="00B33EF6">
        <w:t>0.1</w:t>
      </w:r>
      <w:r w:rsidR="00FB35CB">
        <w:t>%) who took at least one AP mock exam passed at least one AP exam, whereas 1,</w:t>
      </w:r>
      <w:r w:rsidR="00B33EF6">
        <w:t>075</w:t>
      </w:r>
      <w:r w:rsidR="00FB35CB">
        <w:t xml:space="preserve"> (24.</w:t>
      </w:r>
      <w:r w:rsidR="00B33EF6">
        <w:t>3</w:t>
      </w:r>
      <w:r w:rsidR="00FB35CB">
        <w:t xml:space="preserve">%) students who did not participate in a mock exam passed at least one AP exam. </w:t>
      </w:r>
      <w:r w:rsidR="004F1048">
        <w:t xml:space="preserve">This represents </w:t>
      </w:r>
      <w:proofErr w:type="gramStart"/>
      <w:r w:rsidR="004F1048">
        <w:t>a roughly</w:t>
      </w:r>
      <w:proofErr w:type="gramEnd"/>
      <w:r w:rsidR="004F1048">
        <w:t xml:space="preserve"> </w:t>
      </w:r>
      <w:r w:rsidR="00372902">
        <w:t>25 percentage point difference between mock exam participants and non-participants.</w:t>
      </w:r>
    </w:p>
    <w:p w14:paraId="1748F72B" w14:textId="77777777" w:rsidR="00965660" w:rsidRDefault="00965660" w:rsidP="00F36557">
      <w:pPr>
        <w:pStyle w:val="BodyText"/>
      </w:pPr>
    </w:p>
    <w:p w14:paraId="63AE024E" w14:textId="50D5610B" w:rsidR="007B49DA" w:rsidRDefault="00965660" w:rsidP="007B49DA">
      <w:pPr>
        <w:pStyle w:val="Heading5"/>
      </w:pPr>
      <w:r w:rsidRPr="00DE5327">
        <w:rPr>
          <w:rStyle w:val="Heading5Char"/>
          <w:color w:val="auto"/>
        </w:rPr>
        <w:t>Study sessions</w:t>
      </w:r>
    </w:p>
    <w:p w14:paraId="39BA5EA6" w14:textId="51D5BC9E" w:rsidR="00965660" w:rsidRDefault="003927C4" w:rsidP="00F36557">
      <w:pPr>
        <w:pStyle w:val="BodyText"/>
      </w:pPr>
      <w:r>
        <w:t>In SY2023</w:t>
      </w:r>
      <w:r w:rsidR="00312107">
        <w:t xml:space="preserve"> (Figure 12)</w:t>
      </w:r>
      <w:r>
        <w:t xml:space="preserve">, </w:t>
      </w:r>
      <w:r w:rsidR="00D1566A">
        <w:t xml:space="preserve">1,950 students (49.7%) who participated in a study session passed at least one AP exam, whereas 2,755 students </w:t>
      </w:r>
      <w:r w:rsidR="001C69E5">
        <w:t xml:space="preserve">(36.4%) </w:t>
      </w:r>
      <w:r w:rsidR="00D1566A">
        <w:t>who did not participate in a study session passed at least one AP exam. In SY2024, 1,9</w:t>
      </w:r>
      <w:r w:rsidR="001C69E5">
        <w:t>25</w:t>
      </w:r>
      <w:r w:rsidR="00D1566A">
        <w:t xml:space="preserve"> students (</w:t>
      </w:r>
      <w:r w:rsidR="001C69E5">
        <w:t>50.8</w:t>
      </w:r>
      <w:r w:rsidR="00D1566A">
        <w:t>%) who participated in a study session passed at least one AP exam, whereas 2,</w:t>
      </w:r>
      <w:r w:rsidR="001C69E5">
        <w:t>950</w:t>
      </w:r>
      <w:r w:rsidR="00312107">
        <w:t xml:space="preserve"> </w:t>
      </w:r>
      <w:r w:rsidR="00D1566A">
        <w:t xml:space="preserve">students </w:t>
      </w:r>
      <w:r w:rsidR="00312107">
        <w:t xml:space="preserve">(25.8%) </w:t>
      </w:r>
      <w:r w:rsidR="00D1566A">
        <w:t xml:space="preserve">who did not participate in a study session passed at least one AP exam. </w:t>
      </w:r>
      <w:r w:rsidR="00E8377F">
        <w:t xml:space="preserve">This represents </w:t>
      </w:r>
      <w:proofErr w:type="gramStart"/>
      <w:r w:rsidR="00E8377F">
        <w:t>a roughly</w:t>
      </w:r>
      <w:proofErr w:type="gramEnd"/>
      <w:r w:rsidR="00E8377F">
        <w:t xml:space="preserve"> 15 percentage point difference between study session participants and non-participants.</w:t>
      </w:r>
    </w:p>
    <w:tbl>
      <w:tblPr>
        <w:tblStyle w:val="TableGrid"/>
        <w:tblW w:w="118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863"/>
      </w:tblGrid>
      <w:tr w:rsidR="00827450" w14:paraId="36A5BF81" w14:textId="77777777" w:rsidTr="00F71BA9">
        <w:trPr>
          <w:trHeight w:val="432"/>
        </w:trPr>
        <w:tc>
          <w:tcPr>
            <w:tcW w:w="11863" w:type="dxa"/>
          </w:tcPr>
          <w:p w14:paraId="2529260E" w14:textId="0CE60F15" w:rsidR="00827450" w:rsidRDefault="00827450" w:rsidP="00F71BA9">
            <w:pPr>
              <w:pStyle w:val="FigureCaption"/>
              <w:spacing w:after="0"/>
              <w:rPr>
                <w:noProof/>
              </w:rPr>
            </w:pPr>
            <w:bookmarkStart w:id="237" w:name="_Toc207348454"/>
            <w:r>
              <w:t xml:space="preserve">Figure </w:t>
            </w:r>
            <w:r w:rsidR="004C5DB9">
              <w:t>12</w:t>
            </w:r>
            <w:r>
              <w:t xml:space="preserve">. Percentage of students passing at least one </w:t>
            </w:r>
            <w:proofErr w:type="gramStart"/>
            <w:r>
              <w:t>any AP</w:t>
            </w:r>
            <w:proofErr w:type="gramEnd"/>
            <w:r>
              <w:t xml:space="preserve"> exam by school year by support type</w:t>
            </w:r>
            <w:bookmarkEnd w:id="237"/>
          </w:p>
        </w:tc>
      </w:tr>
      <w:tr w:rsidR="00827450" w14:paraId="0001240A" w14:textId="77777777" w:rsidTr="00F71BA9">
        <w:trPr>
          <w:trHeight w:val="5903"/>
        </w:trPr>
        <w:tc>
          <w:tcPr>
            <w:tcW w:w="11863" w:type="dxa"/>
          </w:tcPr>
          <w:p w14:paraId="0FB0783B" w14:textId="77777777" w:rsidR="00827450" w:rsidRDefault="00827450">
            <w:pPr>
              <w:pStyle w:val="BodyText"/>
              <w:rPr>
                <w:noProof/>
              </w:rPr>
            </w:pPr>
            <w:r>
              <w:rPr>
                <w:noProof/>
              </w:rPr>
              <w:drawing>
                <wp:inline distT="0" distB="0" distL="0" distR="0" wp14:anchorId="46D03460" wp14:editId="6E5E0165">
                  <wp:extent cx="3617595" cy="3466769"/>
                  <wp:effectExtent l="0" t="0" r="1905" b="635"/>
                  <wp:docPr id="385807891" name="Chart 1" descr="Horizontal bar chart showing the percentage of students passing at least one AP exam (ELA, math, or science) by school year and support type for SY2023 and SY2024.&#10;SY2023: Students who took a mock exam, 51.5%; students who did not take a mock exam, 24.8%; students who took a study session: 49.7%; students who did not take a study session, 36.4%.&#10;SY2024: Students who took a mock exam, 50.1%; students who did not take a mock exam, 24.3%; students who took a study session: 50.8%; students who did not take a study session, 35.8%.">
                    <a:extLst xmlns:a="http://schemas.openxmlformats.org/drawingml/2006/main">
                      <a:ext uri="{FF2B5EF4-FFF2-40B4-BE49-F238E27FC236}">
                        <a16:creationId xmlns:a16="http://schemas.microsoft.com/office/drawing/2014/main" id="{F467F0BD-9173-4500-8063-8F01B3A2635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tc>
      </w:tr>
    </w:tbl>
    <w:p w14:paraId="0FA93B87" w14:textId="5821D9EC" w:rsidR="007B49DA" w:rsidRPr="009175DE" w:rsidRDefault="007B49DA" w:rsidP="007B49DA">
      <w:pPr>
        <w:pStyle w:val="Heading3"/>
        <w:pBdr>
          <w:top w:val="single" w:sz="12" w:space="1" w:color="881C1C"/>
          <w:bottom w:val="single" w:sz="12" w:space="1" w:color="881C1C"/>
        </w:pBdr>
        <w:jc w:val="center"/>
        <w:rPr>
          <w:color w:val="auto"/>
        </w:rPr>
      </w:pPr>
      <w:bookmarkStart w:id="238" w:name="_Toc202784451"/>
      <w:bookmarkStart w:id="239" w:name="_Toc202784537"/>
      <w:bookmarkStart w:id="240" w:name="_Toc202788420"/>
      <w:r w:rsidRPr="009175DE">
        <w:rPr>
          <w:color w:val="auto"/>
        </w:rPr>
        <w:lastRenderedPageBreak/>
        <w:t xml:space="preserve">Key Finding </w:t>
      </w:r>
      <w:r>
        <w:rPr>
          <w:color w:val="auto"/>
        </w:rPr>
        <w:t>4</w:t>
      </w:r>
      <w:r w:rsidRPr="009175DE">
        <w:rPr>
          <w:color w:val="auto"/>
        </w:rPr>
        <w:t>: Student</w:t>
      </w:r>
      <w:r>
        <w:rPr>
          <w:color w:val="auto"/>
        </w:rPr>
        <w:t>s designated as high needs</w:t>
      </w:r>
      <w:r>
        <w:rPr>
          <w:rStyle w:val="FootnoteReference"/>
          <w:color w:val="auto"/>
        </w:rPr>
        <w:footnoteReference w:id="28"/>
      </w:r>
      <w:r>
        <w:rPr>
          <w:color w:val="auto"/>
        </w:rPr>
        <w:t xml:space="preserve"> (including English learners, students with disabilities, and students from low-income households) and students who are African American/Black or Hispanic/Latino passed AP STEM and English courses, participated in AP exams, and passed those exams at lower rates than students with other identities.</w:t>
      </w:r>
      <w:r w:rsidRPr="009175DE">
        <w:rPr>
          <w:color w:val="auto"/>
        </w:rPr>
        <w:t xml:space="preserve"> </w:t>
      </w:r>
    </w:p>
    <w:p w14:paraId="10B7FB91" w14:textId="4DD39246" w:rsidR="00A919B9" w:rsidRDefault="00A919B9" w:rsidP="000B15E9">
      <w:pPr>
        <w:spacing w:line="320" w:lineRule="atLeast"/>
        <w:contextualSpacing/>
      </w:pPr>
      <w:r>
        <w:t xml:space="preserve">While the AP STEM and English program </w:t>
      </w:r>
      <w:proofErr w:type="gramStart"/>
      <w:r>
        <w:t>strives</w:t>
      </w:r>
      <w:proofErr w:type="gramEnd"/>
      <w:r>
        <w:t xml:space="preserve"> to serve all students—especially those who have been historically marginalized—students with select identities had lower overall rates of AP course passing and exam taking. Specifically, students with disabilities had course passing and exam taking rates that were </w:t>
      </w:r>
      <w:r w:rsidR="004D4696">
        <w:t>approximately 12</w:t>
      </w:r>
      <w:r>
        <w:t xml:space="preserve"> percentage points lower than students without disabilities; students who are English learners (EL) had course passing and exam taking rates that were </w:t>
      </w:r>
      <w:r w:rsidR="004D4696">
        <w:t xml:space="preserve">approximately </w:t>
      </w:r>
      <w:r>
        <w:t>20 percentage points lower than students who are not English learners, and low-income students had course passing and exam taking rates that were</w:t>
      </w:r>
      <w:r w:rsidR="004D4696">
        <w:t xml:space="preserve"> approximately</w:t>
      </w:r>
      <w:r>
        <w:t xml:space="preserve"> 10 points lower than students who are not low-income. These gaps were more pronounced in AP exam passing rates, which were 35 points lower for English </w:t>
      </w:r>
      <w:proofErr w:type="gramStart"/>
      <w:r>
        <w:t>learners</w:t>
      </w:r>
      <w:proofErr w:type="gramEnd"/>
      <w:r>
        <w:t xml:space="preserve"> and 25 points lower for both students with disabilities and students from low-income households. Students who are African American/Black or Hispanic/Latino experienced the lowest course passing, exam taking, and exam passing rates when compared to students of other racial or ethnic identities. </w:t>
      </w:r>
    </w:p>
    <w:p w14:paraId="1C26DAF4" w14:textId="77777777" w:rsidR="00047991" w:rsidRDefault="00047991" w:rsidP="000B15E9">
      <w:pPr>
        <w:spacing w:line="320" w:lineRule="atLeast"/>
        <w:contextualSpacing/>
      </w:pPr>
    </w:p>
    <w:p w14:paraId="3626B25B" w14:textId="77777777" w:rsidR="00EF1536" w:rsidRDefault="00EF1536" w:rsidP="000B15E9">
      <w:pPr>
        <w:spacing w:line="320" w:lineRule="atLeast"/>
        <w:contextualSpacing/>
      </w:pPr>
      <w:r>
        <w:t>This key finding is organized as follows:</w:t>
      </w:r>
    </w:p>
    <w:p w14:paraId="05952687" w14:textId="77777777" w:rsidR="00EF1536" w:rsidRDefault="00EF1536" w:rsidP="000B15E9">
      <w:pPr>
        <w:pStyle w:val="ListParagraph"/>
        <w:numPr>
          <w:ilvl w:val="0"/>
          <w:numId w:val="43"/>
        </w:numPr>
        <w:spacing w:after="160" w:line="320" w:lineRule="atLeast"/>
      </w:pPr>
      <w:r>
        <w:t>AP course passing</w:t>
      </w:r>
    </w:p>
    <w:p w14:paraId="31E1D402" w14:textId="4602D713" w:rsidR="00EF1536" w:rsidRDefault="003A7EDF" w:rsidP="000B15E9">
      <w:pPr>
        <w:pStyle w:val="ListParagraph"/>
        <w:numPr>
          <w:ilvl w:val="1"/>
          <w:numId w:val="43"/>
        </w:numPr>
        <w:spacing w:after="160" w:line="320" w:lineRule="atLeast"/>
      </w:pPr>
      <w:r>
        <w:t>Race/ethnicity</w:t>
      </w:r>
    </w:p>
    <w:p w14:paraId="3E898055" w14:textId="1C1B4AC9" w:rsidR="003A7EDF" w:rsidRDefault="003A7EDF" w:rsidP="000B15E9">
      <w:pPr>
        <w:pStyle w:val="ListParagraph"/>
        <w:numPr>
          <w:ilvl w:val="1"/>
          <w:numId w:val="43"/>
        </w:numPr>
        <w:spacing w:after="160" w:line="320" w:lineRule="atLeast"/>
      </w:pPr>
      <w:r>
        <w:t>Additional student groups of interest</w:t>
      </w:r>
    </w:p>
    <w:p w14:paraId="3F8F1D14" w14:textId="77777777" w:rsidR="00EF1536" w:rsidRDefault="00EF1536" w:rsidP="000B15E9">
      <w:pPr>
        <w:pStyle w:val="ListParagraph"/>
        <w:numPr>
          <w:ilvl w:val="0"/>
          <w:numId w:val="43"/>
        </w:numPr>
        <w:spacing w:after="160" w:line="320" w:lineRule="atLeast"/>
      </w:pPr>
      <w:r>
        <w:t>AP exam taking</w:t>
      </w:r>
    </w:p>
    <w:p w14:paraId="4BDD89C4" w14:textId="77777777" w:rsidR="003A7EDF" w:rsidRDefault="003A7EDF" w:rsidP="000B15E9">
      <w:pPr>
        <w:pStyle w:val="ListParagraph"/>
        <w:numPr>
          <w:ilvl w:val="1"/>
          <w:numId w:val="43"/>
        </w:numPr>
        <w:spacing w:after="160" w:line="320" w:lineRule="atLeast"/>
      </w:pPr>
      <w:r>
        <w:t>Race/ethnicity</w:t>
      </w:r>
    </w:p>
    <w:p w14:paraId="7D569166" w14:textId="4AFFD429" w:rsidR="00EF1536" w:rsidRDefault="003A7EDF" w:rsidP="000B15E9">
      <w:pPr>
        <w:pStyle w:val="ListParagraph"/>
        <w:numPr>
          <w:ilvl w:val="1"/>
          <w:numId w:val="43"/>
        </w:numPr>
        <w:spacing w:after="160" w:line="320" w:lineRule="atLeast"/>
      </w:pPr>
      <w:r>
        <w:t>Additional student groups of interest</w:t>
      </w:r>
    </w:p>
    <w:p w14:paraId="7D14F401" w14:textId="77777777" w:rsidR="00EF1536" w:rsidRDefault="00EF1536" w:rsidP="000B15E9">
      <w:pPr>
        <w:pStyle w:val="ListParagraph"/>
        <w:numPr>
          <w:ilvl w:val="0"/>
          <w:numId w:val="43"/>
        </w:numPr>
        <w:spacing w:after="160" w:line="320" w:lineRule="atLeast"/>
      </w:pPr>
      <w:r>
        <w:t>AP exam passing</w:t>
      </w:r>
    </w:p>
    <w:p w14:paraId="6F054E96" w14:textId="77777777" w:rsidR="003A7EDF" w:rsidRDefault="003A7EDF" w:rsidP="000B15E9">
      <w:pPr>
        <w:pStyle w:val="ListParagraph"/>
        <w:numPr>
          <w:ilvl w:val="1"/>
          <w:numId w:val="43"/>
        </w:numPr>
        <w:spacing w:after="160" w:line="320" w:lineRule="atLeast"/>
      </w:pPr>
      <w:r>
        <w:t>Race/ethnicity</w:t>
      </w:r>
    </w:p>
    <w:p w14:paraId="39A4C17C" w14:textId="77777777" w:rsidR="003A7EDF" w:rsidRDefault="003A7EDF" w:rsidP="000B15E9">
      <w:pPr>
        <w:pStyle w:val="ListParagraph"/>
        <w:numPr>
          <w:ilvl w:val="1"/>
          <w:numId w:val="43"/>
        </w:numPr>
        <w:spacing w:after="160" w:line="320" w:lineRule="atLeast"/>
      </w:pPr>
      <w:r>
        <w:t>Additional student groups of interest</w:t>
      </w:r>
    </w:p>
    <w:p w14:paraId="3B953114" w14:textId="043B9D86" w:rsidR="00A929B5" w:rsidRDefault="00A929B5" w:rsidP="007B49DA">
      <w:pPr>
        <w:pStyle w:val="Heading4"/>
      </w:pPr>
      <w:bookmarkStart w:id="241" w:name="_Toc206742113"/>
      <w:bookmarkStart w:id="242" w:name="_Toc207183742"/>
      <w:bookmarkStart w:id="243" w:name="_Toc207348174"/>
      <w:r>
        <w:lastRenderedPageBreak/>
        <w:t>AP Student Course Passing</w:t>
      </w:r>
      <w:bookmarkEnd w:id="241"/>
      <w:bookmarkEnd w:id="242"/>
      <w:bookmarkEnd w:id="243"/>
      <w:r>
        <w:t xml:space="preserve"> </w:t>
      </w:r>
    </w:p>
    <w:p w14:paraId="6588A534" w14:textId="16D9C6B3" w:rsidR="00A929B5" w:rsidRDefault="00A929B5" w:rsidP="00047991">
      <w:pPr>
        <w:pStyle w:val="BodyText"/>
      </w:pPr>
      <w:r>
        <w:t>While not analyzed quasi-experimentally,</w:t>
      </w:r>
      <w:r>
        <w:rPr>
          <w:rStyle w:val="FootnoteReference"/>
        </w:rPr>
        <w:footnoteReference w:id="29"/>
      </w:r>
      <w:r>
        <w:t xml:space="preserve"> there were notable differences in AP course passing among student groups of interest.</w:t>
      </w:r>
    </w:p>
    <w:p w14:paraId="4636AD08" w14:textId="3A17E8DC" w:rsidR="00A929B5" w:rsidRPr="00FB54E7" w:rsidRDefault="00A929B5" w:rsidP="007B49DA">
      <w:pPr>
        <w:pStyle w:val="Heading5"/>
        <w:rPr>
          <w:rStyle w:val="Strong"/>
          <w:b/>
          <w:bCs w:val="0"/>
          <w:color w:val="595959" w:themeColor="text1" w:themeTint="A6"/>
        </w:rPr>
      </w:pPr>
      <w:r w:rsidRPr="00FB54E7">
        <w:rPr>
          <w:rStyle w:val="Strong"/>
          <w:b/>
          <w:bCs w:val="0"/>
          <w:color w:val="595959" w:themeColor="text1" w:themeTint="A6"/>
        </w:rPr>
        <w:t>Race/Ethnicity</w:t>
      </w:r>
    </w:p>
    <w:p w14:paraId="3A98F063" w14:textId="46BC3A56" w:rsidR="00A929B5" w:rsidRDefault="00A929B5" w:rsidP="00047991">
      <w:pPr>
        <w:pStyle w:val="BodyText"/>
        <w:spacing w:after="0"/>
        <w:rPr>
          <w:rStyle w:val="Strong"/>
          <w:b w:val="0"/>
          <w:bCs w:val="0"/>
        </w:rPr>
      </w:pPr>
      <w:r>
        <w:rPr>
          <w:rStyle w:val="Strong"/>
          <w:b w:val="0"/>
          <w:bCs w:val="0"/>
        </w:rPr>
        <w:t>I</w:t>
      </w:r>
      <w:r w:rsidRPr="00490A50">
        <w:rPr>
          <w:rStyle w:val="Strong"/>
          <w:b w:val="0"/>
          <w:bCs w:val="0"/>
        </w:rPr>
        <w:t>n SY2023</w:t>
      </w:r>
      <w:r w:rsidR="000B4A68">
        <w:rPr>
          <w:rStyle w:val="Strong"/>
          <w:b w:val="0"/>
          <w:bCs w:val="0"/>
        </w:rPr>
        <w:t xml:space="preserve"> (Figure 13), students who are Asian (</w:t>
      </w:r>
      <w:r w:rsidR="00431E3D">
        <w:rPr>
          <w:rStyle w:val="Strong"/>
          <w:b w:val="0"/>
          <w:bCs w:val="0"/>
        </w:rPr>
        <w:t>93.6%), White (92.7%), or Multiracial (91.8%) had notably higher rates of passing at least one AP course than did students who are Black (86.5%) or Hispanic/Latino (84.3%).</w:t>
      </w:r>
      <w:r w:rsidR="00EA4517">
        <w:rPr>
          <w:rStyle w:val="Strong"/>
          <w:b w:val="0"/>
          <w:bCs w:val="0"/>
        </w:rPr>
        <w:t xml:space="preserve"> I</w:t>
      </w:r>
      <w:r w:rsidR="003C097A">
        <w:rPr>
          <w:rStyle w:val="Strong"/>
          <w:b w:val="0"/>
          <w:bCs w:val="0"/>
        </w:rPr>
        <w:t>n SY2024</w:t>
      </w:r>
      <w:r>
        <w:rPr>
          <w:rStyle w:val="Strong"/>
          <w:b w:val="0"/>
          <w:bCs w:val="0"/>
        </w:rPr>
        <w:t xml:space="preserve"> (</w:t>
      </w:r>
      <w:r w:rsidRPr="004279CA">
        <w:rPr>
          <w:rStyle w:val="Strong"/>
          <w:b w:val="0"/>
        </w:rPr>
        <w:t xml:space="preserve">Figure </w:t>
      </w:r>
      <w:r w:rsidR="009D2340">
        <w:rPr>
          <w:rStyle w:val="Strong"/>
          <w:b w:val="0"/>
          <w:bCs w:val="0"/>
        </w:rPr>
        <w:t>14</w:t>
      </w:r>
      <w:r>
        <w:rPr>
          <w:rStyle w:val="Strong"/>
          <w:b w:val="0"/>
          <w:bCs w:val="0"/>
        </w:rPr>
        <w:t>)</w:t>
      </w:r>
      <w:r w:rsidRPr="00490A50">
        <w:rPr>
          <w:rStyle w:val="Strong"/>
          <w:b w:val="0"/>
          <w:bCs w:val="0"/>
        </w:rPr>
        <w:t>,</w:t>
      </w:r>
      <w:r>
        <w:rPr>
          <w:rStyle w:val="Strong"/>
          <w:b w:val="0"/>
          <w:bCs w:val="0"/>
        </w:rPr>
        <w:t xml:space="preserve"> students who are</w:t>
      </w:r>
      <w:r w:rsidRPr="00490A50">
        <w:rPr>
          <w:rStyle w:val="Strong"/>
          <w:b w:val="0"/>
          <w:bCs w:val="0"/>
        </w:rPr>
        <w:t xml:space="preserve"> </w:t>
      </w:r>
      <w:r>
        <w:rPr>
          <w:rStyle w:val="Strong"/>
          <w:b w:val="0"/>
          <w:bCs w:val="0"/>
        </w:rPr>
        <w:t xml:space="preserve">Asian (92.5%), </w:t>
      </w:r>
      <w:r w:rsidRPr="00490A50">
        <w:rPr>
          <w:rStyle w:val="Strong"/>
          <w:b w:val="0"/>
          <w:bCs w:val="0"/>
        </w:rPr>
        <w:t>White (</w:t>
      </w:r>
      <w:r>
        <w:rPr>
          <w:rStyle w:val="Strong"/>
          <w:b w:val="0"/>
          <w:bCs w:val="0"/>
        </w:rPr>
        <w:t>91.9%</w:t>
      </w:r>
      <w:r w:rsidRPr="00490A50">
        <w:rPr>
          <w:rStyle w:val="Strong"/>
          <w:b w:val="0"/>
          <w:bCs w:val="0"/>
        </w:rPr>
        <w:t xml:space="preserve">), </w:t>
      </w:r>
      <w:r>
        <w:rPr>
          <w:rStyle w:val="Strong"/>
          <w:b w:val="0"/>
          <w:bCs w:val="0"/>
        </w:rPr>
        <w:t>or</w:t>
      </w:r>
      <w:r w:rsidRPr="00490A50">
        <w:rPr>
          <w:rStyle w:val="Strong"/>
          <w:b w:val="0"/>
          <w:bCs w:val="0"/>
        </w:rPr>
        <w:t xml:space="preserve"> Multiracial (</w:t>
      </w:r>
      <w:r>
        <w:rPr>
          <w:rStyle w:val="Strong"/>
          <w:b w:val="0"/>
          <w:bCs w:val="0"/>
        </w:rPr>
        <w:t>87.8%</w:t>
      </w:r>
      <w:r w:rsidRPr="00490A50">
        <w:rPr>
          <w:rStyle w:val="Strong"/>
          <w:b w:val="0"/>
          <w:bCs w:val="0"/>
        </w:rPr>
        <w:t>)</w:t>
      </w:r>
      <w:r>
        <w:rPr>
          <w:rStyle w:val="Strong"/>
          <w:b w:val="0"/>
          <w:bCs w:val="0"/>
        </w:rPr>
        <w:t xml:space="preserve"> </w:t>
      </w:r>
      <w:r w:rsidRPr="00490A50">
        <w:rPr>
          <w:rStyle w:val="Strong"/>
          <w:b w:val="0"/>
          <w:bCs w:val="0"/>
        </w:rPr>
        <w:t xml:space="preserve">had </w:t>
      </w:r>
      <w:r w:rsidR="00EA4517">
        <w:rPr>
          <w:rStyle w:val="Strong"/>
          <w:b w:val="0"/>
          <w:bCs w:val="0"/>
        </w:rPr>
        <w:t xml:space="preserve">similarly </w:t>
      </w:r>
      <w:r w:rsidRPr="00490A50">
        <w:rPr>
          <w:rStyle w:val="Strong"/>
          <w:b w:val="0"/>
          <w:bCs w:val="0"/>
        </w:rPr>
        <w:t xml:space="preserve">higher rates of passing at least one AP </w:t>
      </w:r>
      <w:r>
        <w:rPr>
          <w:rStyle w:val="Strong"/>
          <w:b w:val="0"/>
          <w:bCs w:val="0"/>
        </w:rPr>
        <w:t>course</w:t>
      </w:r>
      <w:r w:rsidRPr="00490A50">
        <w:rPr>
          <w:rStyle w:val="Strong"/>
          <w:b w:val="0"/>
          <w:bCs w:val="0"/>
        </w:rPr>
        <w:t xml:space="preserve"> than did </w:t>
      </w:r>
      <w:r>
        <w:rPr>
          <w:rStyle w:val="Strong"/>
          <w:b w:val="0"/>
          <w:bCs w:val="0"/>
        </w:rPr>
        <w:t xml:space="preserve">students who are </w:t>
      </w:r>
      <w:r w:rsidRPr="00490A50">
        <w:rPr>
          <w:rStyle w:val="Strong"/>
          <w:b w:val="0"/>
          <w:bCs w:val="0"/>
        </w:rPr>
        <w:t>Black (</w:t>
      </w:r>
      <w:r>
        <w:rPr>
          <w:rStyle w:val="Strong"/>
          <w:b w:val="0"/>
          <w:bCs w:val="0"/>
        </w:rPr>
        <w:t>85.5</w:t>
      </w:r>
      <w:r w:rsidRPr="00490A50">
        <w:rPr>
          <w:rStyle w:val="Strong"/>
          <w:b w:val="0"/>
          <w:bCs w:val="0"/>
        </w:rPr>
        <w:t>%) or Hispanic/Latino (</w:t>
      </w:r>
      <w:r>
        <w:rPr>
          <w:rStyle w:val="Strong"/>
          <w:b w:val="0"/>
          <w:bCs w:val="0"/>
        </w:rPr>
        <w:t>83.9%</w:t>
      </w:r>
      <w:r w:rsidRPr="00490A50">
        <w:rPr>
          <w:rStyle w:val="Strong"/>
          <w:b w:val="0"/>
          <w:bCs w:val="0"/>
        </w:rPr>
        <w:t>).</w:t>
      </w:r>
      <w:r w:rsidR="00917059">
        <w:rPr>
          <w:rStyle w:val="FootnoteReference"/>
        </w:rPr>
        <w:footnoteReference w:id="30"/>
      </w:r>
    </w:p>
    <w:p w14:paraId="0D6573FC" w14:textId="77777777" w:rsidR="004E040E" w:rsidRDefault="004E040E" w:rsidP="00A929B5">
      <w:pPr>
        <w:pStyle w:val="BodyText"/>
        <w:spacing w:after="0"/>
      </w:pPr>
    </w:p>
    <w:tbl>
      <w:tblPr>
        <w:tblStyle w:val="TableGrid"/>
        <w:tblW w:w="96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66"/>
        <w:gridCol w:w="4776"/>
      </w:tblGrid>
      <w:tr w:rsidR="00A929B5" w14:paraId="282F2F08" w14:textId="77777777" w:rsidTr="004E040E">
        <w:trPr>
          <w:trHeight w:val="375"/>
        </w:trPr>
        <w:tc>
          <w:tcPr>
            <w:tcW w:w="4866" w:type="dxa"/>
          </w:tcPr>
          <w:p w14:paraId="090EAF51" w14:textId="28155C99" w:rsidR="00A929B5" w:rsidRDefault="00A929B5">
            <w:pPr>
              <w:pStyle w:val="FigureCaption"/>
              <w:spacing w:after="0"/>
            </w:pPr>
            <w:bookmarkStart w:id="244" w:name="_Toc207348455"/>
            <w:r>
              <w:t xml:space="preserve">Figure </w:t>
            </w:r>
            <w:r w:rsidR="004C5DB9">
              <w:t>13</w:t>
            </w:r>
            <w:r>
              <w:t>. Percentage of students passing at least one AP course by race/ethnicity, SY2023</w:t>
            </w:r>
            <w:bookmarkEnd w:id="244"/>
          </w:p>
        </w:tc>
        <w:tc>
          <w:tcPr>
            <w:tcW w:w="4776" w:type="dxa"/>
          </w:tcPr>
          <w:p w14:paraId="13686D20" w14:textId="26801D1E" w:rsidR="00A929B5" w:rsidRDefault="00A929B5">
            <w:pPr>
              <w:pStyle w:val="FigureCaption"/>
              <w:spacing w:after="0"/>
            </w:pPr>
            <w:bookmarkStart w:id="245" w:name="_Toc207348456"/>
            <w:r>
              <w:t>Figure 1</w:t>
            </w:r>
            <w:r w:rsidR="004C5DB9">
              <w:t>4</w:t>
            </w:r>
            <w:r>
              <w:t>. Percentage of students passing at least one AP course by race/ethnicity, SY2024</w:t>
            </w:r>
            <w:bookmarkEnd w:id="245"/>
          </w:p>
        </w:tc>
      </w:tr>
      <w:tr w:rsidR="00A929B5" w14:paraId="7092E227" w14:textId="77777777" w:rsidTr="004E040E">
        <w:trPr>
          <w:trHeight w:val="2312"/>
        </w:trPr>
        <w:tc>
          <w:tcPr>
            <w:tcW w:w="4866" w:type="dxa"/>
          </w:tcPr>
          <w:p w14:paraId="352C078B" w14:textId="77777777" w:rsidR="00A929B5" w:rsidRDefault="00A929B5">
            <w:pPr>
              <w:pStyle w:val="BodyText"/>
            </w:pPr>
            <w:r>
              <w:rPr>
                <w:noProof/>
              </w:rPr>
              <w:drawing>
                <wp:inline distT="0" distB="0" distL="0" distR="0" wp14:anchorId="4DFDB105" wp14:editId="46BAC815">
                  <wp:extent cx="2946400" cy="2144888"/>
                  <wp:effectExtent l="0" t="0" r="6350" b="8255"/>
                  <wp:docPr id="263111540" name="Chart 1" descr="Horizontal bar chart showing the percentage of students passing at least one AP course by race/ethnicity, SY2023.&#10;93.6% Asian; 86.5% Black; 84.3% Latino; 91.8% Multiracial; 92.7% White.">
                    <a:extLst xmlns:a="http://schemas.openxmlformats.org/drawingml/2006/main">
                      <a:ext uri="{FF2B5EF4-FFF2-40B4-BE49-F238E27FC236}">
                        <a16:creationId xmlns:a16="http://schemas.microsoft.com/office/drawing/2014/main" id="{40C71B7C-9F42-9A3A-6640-1E2FCB3E481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tc>
        <w:tc>
          <w:tcPr>
            <w:tcW w:w="4776" w:type="dxa"/>
          </w:tcPr>
          <w:p w14:paraId="752A3DD4" w14:textId="77777777" w:rsidR="00A929B5" w:rsidRDefault="00A929B5">
            <w:pPr>
              <w:pStyle w:val="BodyText"/>
              <w:ind w:left="30"/>
            </w:pPr>
            <w:r>
              <w:rPr>
                <w:noProof/>
              </w:rPr>
              <w:drawing>
                <wp:inline distT="0" distB="0" distL="0" distR="0" wp14:anchorId="0D4FEE30" wp14:editId="301812F2">
                  <wp:extent cx="2867025" cy="2144395"/>
                  <wp:effectExtent l="0" t="0" r="9525" b="8255"/>
                  <wp:docPr id="1112090133" name="Chart 1" descr="Horizontal bar chart showing the percentage of students passing at least one AP course by race/ethnicity, SY2024.&#10;92.5% Asian; 95.5% Black; 83.9% Latino; 87.8% Multiracial; 91.9% White.">
                    <a:extLst xmlns:a="http://schemas.openxmlformats.org/drawingml/2006/main">
                      <a:ext uri="{FF2B5EF4-FFF2-40B4-BE49-F238E27FC236}">
                        <a16:creationId xmlns:a16="http://schemas.microsoft.com/office/drawing/2014/main" id="{8BA2E2AD-CA64-4BC3-A87E-E511993CF37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tc>
      </w:tr>
    </w:tbl>
    <w:p w14:paraId="4DFAE0FD" w14:textId="596FE4F5" w:rsidR="00A929B5" w:rsidRPr="007B49DA" w:rsidRDefault="00A929B5" w:rsidP="007B49DA">
      <w:pPr>
        <w:pStyle w:val="Heading4"/>
        <w:rPr>
          <w:rStyle w:val="Strong"/>
          <w:b w:val="0"/>
          <w:bCs w:val="0"/>
        </w:rPr>
      </w:pPr>
      <w:r w:rsidRPr="007B49DA">
        <w:rPr>
          <w:rStyle w:val="Strong"/>
          <w:b w:val="0"/>
          <w:bCs w:val="0"/>
        </w:rPr>
        <w:t>Student Groups of Interest</w:t>
      </w:r>
    </w:p>
    <w:p w14:paraId="7D7B9EEC" w14:textId="5FA1C0A1" w:rsidR="008D429C" w:rsidRDefault="00A929B5" w:rsidP="000B15E9">
      <w:pPr>
        <w:spacing w:line="320" w:lineRule="atLeast"/>
        <w:contextualSpacing/>
        <w:sectPr w:rsidR="008D429C" w:rsidSect="008D429C">
          <w:pgSz w:w="12240" w:h="15840" w:code="1"/>
          <w:pgMar w:top="1987" w:right="1440" w:bottom="1980" w:left="1440" w:header="1267" w:footer="1260" w:gutter="0"/>
          <w:cols w:space="720"/>
          <w:docGrid w:linePitch="360"/>
        </w:sectPr>
      </w:pPr>
      <w:r>
        <w:rPr>
          <w:rStyle w:val="Strong"/>
          <w:b w:val="0"/>
          <w:bCs w:val="0"/>
        </w:rPr>
        <w:t xml:space="preserve">Additionally, in </w:t>
      </w:r>
      <w:r>
        <w:rPr>
          <w:rStyle w:val="Strong"/>
          <w:b w:val="0"/>
        </w:rPr>
        <w:t xml:space="preserve">Figures </w:t>
      </w:r>
      <w:r w:rsidR="009D2340">
        <w:rPr>
          <w:rStyle w:val="Strong"/>
          <w:b w:val="0"/>
          <w:bCs w:val="0"/>
        </w:rPr>
        <w:t xml:space="preserve">15 </w:t>
      </w:r>
      <w:r w:rsidR="00605B12">
        <w:rPr>
          <w:rStyle w:val="Strong"/>
          <w:b w:val="0"/>
          <w:bCs w:val="0"/>
        </w:rPr>
        <w:t xml:space="preserve">and </w:t>
      </w:r>
      <w:r w:rsidR="009D2340">
        <w:rPr>
          <w:rStyle w:val="Strong"/>
          <w:b w:val="0"/>
          <w:bCs w:val="0"/>
        </w:rPr>
        <w:t>16</w:t>
      </w:r>
      <w:r w:rsidRPr="00490A50">
        <w:rPr>
          <w:rStyle w:val="Strong"/>
          <w:b w:val="0"/>
          <w:bCs w:val="0"/>
        </w:rPr>
        <w:t xml:space="preserve"> </w:t>
      </w:r>
      <w:r w:rsidR="00605B12">
        <w:rPr>
          <w:rStyle w:val="Strong"/>
          <w:b w:val="0"/>
          <w:bCs w:val="0"/>
        </w:rPr>
        <w:t xml:space="preserve">(SY2023 / SY2024), </w:t>
      </w:r>
      <w:r w:rsidR="008D429C">
        <w:t xml:space="preserve">students who are English learners (68.3% / 73.7%) passed at least one AP course approximately 15–22 percentage points lower than students who are not English learners (90.6% / 89.5%). Students with a disability (78.5% / 77.0%) passed at </w:t>
      </w:r>
    </w:p>
    <w:p w14:paraId="2A274F9D" w14:textId="77777777" w:rsidR="008D429C" w:rsidRDefault="008D429C" w:rsidP="000B15E9">
      <w:pPr>
        <w:spacing w:line="320" w:lineRule="atLeast"/>
        <w:contextualSpacing/>
        <w:rPr>
          <w:rStyle w:val="Strong"/>
          <w:b w:val="0"/>
          <w:bCs w:val="0"/>
        </w:rPr>
      </w:pPr>
      <w:r>
        <w:lastRenderedPageBreak/>
        <w:t xml:space="preserve">least one AP course 11–12 percentage points lower than students without a disability (90.3% / 89.5%). And similarly, students who are low-income (85.2% / 83.7%) passed at least one AP course approximately 7–8 percentage points lower than students who are not low-income (93.1% / 92.5%). </w:t>
      </w:r>
      <w:r w:rsidRPr="000053C2">
        <w:rPr>
          <w:rStyle w:val="Strong"/>
          <w:b w:val="0"/>
          <w:bCs w:val="0"/>
        </w:rPr>
        <w:t>Notable differences in any AP course passing rates were not observed between female (90.7% / 89.6%) and male students (89.1% / 88.6%). These general findings were similar across the other three AP content areas examined (ELA, math, and science), and both school years. Figures and tables related to AP ELA, math, and science can be found in Appendix Q.</w:t>
      </w:r>
    </w:p>
    <w:tbl>
      <w:tblPr>
        <w:tblStyle w:val="TableGrid"/>
        <w:tblpPr w:leftFromText="180" w:rightFromText="180" w:vertAnchor="text" w:horzAnchor="margin" w:tblpXSpec="center" w:tblpY="31"/>
        <w:tblW w:w="128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32"/>
        <w:gridCol w:w="6669"/>
      </w:tblGrid>
      <w:tr w:rsidR="008D429C" w14:paraId="4CE6CE40" w14:textId="77777777" w:rsidTr="008D429C">
        <w:trPr>
          <w:trHeight w:val="627"/>
        </w:trPr>
        <w:tc>
          <w:tcPr>
            <w:tcW w:w="6132" w:type="dxa"/>
          </w:tcPr>
          <w:p w14:paraId="1A24095F" w14:textId="77777777" w:rsidR="008D429C" w:rsidRDefault="008D429C" w:rsidP="008D429C">
            <w:pPr>
              <w:pStyle w:val="FigureCaption"/>
              <w:rPr>
                <w:noProof/>
              </w:rPr>
            </w:pPr>
            <w:bookmarkStart w:id="246" w:name="_Toc207348457"/>
            <w:r>
              <w:t xml:space="preserve">Figure 15. Percentage of students passing at least one of any AP </w:t>
            </w:r>
            <w:proofErr w:type="gramStart"/>
            <w:r>
              <w:t>course</w:t>
            </w:r>
            <w:proofErr w:type="gramEnd"/>
            <w:r>
              <w:t xml:space="preserve"> by demographic group, SY2023</w:t>
            </w:r>
            <w:bookmarkEnd w:id="246"/>
          </w:p>
        </w:tc>
        <w:tc>
          <w:tcPr>
            <w:tcW w:w="6669" w:type="dxa"/>
          </w:tcPr>
          <w:p w14:paraId="73883F06" w14:textId="77777777" w:rsidR="008D429C" w:rsidRDefault="008D429C" w:rsidP="008D429C">
            <w:pPr>
              <w:pStyle w:val="FigureCaption"/>
              <w:rPr>
                <w:noProof/>
              </w:rPr>
            </w:pPr>
            <w:bookmarkStart w:id="247" w:name="_Toc207348458"/>
            <w:r>
              <w:t xml:space="preserve">Figure 16. Percentage of students passing at least one of any AP </w:t>
            </w:r>
            <w:proofErr w:type="gramStart"/>
            <w:r>
              <w:t>course</w:t>
            </w:r>
            <w:proofErr w:type="gramEnd"/>
            <w:r>
              <w:t xml:space="preserve"> by demographic group, SY2024</w:t>
            </w:r>
            <w:bookmarkEnd w:id="247"/>
          </w:p>
        </w:tc>
      </w:tr>
      <w:tr w:rsidR="008D429C" w14:paraId="0E2A17B3" w14:textId="77777777" w:rsidTr="008D429C">
        <w:trPr>
          <w:trHeight w:val="3858"/>
        </w:trPr>
        <w:tc>
          <w:tcPr>
            <w:tcW w:w="6132" w:type="dxa"/>
          </w:tcPr>
          <w:p w14:paraId="4D835DDE" w14:textId="77777777" w:rsidR="008D429C" w:rsidRDefault="008D429C" w:rsidP="008D429C">
            <w:pPr>
              <w:pStyle w:val="BodyText"/>
              <w:rPr>
                <w:noProof/>
              </w:rPr>
            </w:pPr>
            <w:r>
              <w:rPr>
                <w:noProof/>
              </w:rPr>
              <w:drawing>
                <wp:inline distT="0" distB="0" distL="0" distR="0" wp14:anchorId="7FDBD4B0" wp14:editId="2F7B59A7">
                  <wp:extent cx="3533140" cy="2663825"/>
                  <wp:effectExtent l="0" t="0" r="10160" b="3175"/>
                  <wp:docPr id="796147553" name="Chart 1" descr="Horizontal bar chart showing the percentage of students passing at least one of any AP (ELA, math, or science) course by demographic group for SY2023.&#10;90.7% female; 89.1% male; 68.3% EL; 90.6% non EL; 85.2% Low-income; 93.1% non low-income; 78.5% SWD; 90.3% non SWD.">
                    <a:extLst xmlns:a="http://schemas.openxmlformats.org/drawingml/2006/main">
                      <a:ext uri="{FF2B5EF4-FFF2-40B4-BE49-F238E27FC236}">
                        <a16:creationId xmlns:a16="http://schemas.microsoft.com/office/drawing/2014/main" id="{0D531709-BD12-4926-BB5F-151CDA2D3A6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tc>
        <w:tc>
          <w:tcPr>
            <w:tcW w:w="6669" w:type="dxa"/>
          </w:tcPr>
          <w:p w14:paraId="43B4E7B6" w14:textId="77777777" w:rsidR="008D429C" w:rsidRDefault="008D429C" w:rsidP="008D429C">
            <w:pPr>
              <w:pStyle w:val="BodyText"/>
              <w:ind w:left="120"/>
              <w:rPr>
                <w:noProof/>
              </w:rPr>
            </w:pPr>
            <w:r>
              <w:rPr>
                <w:noProof/>
              </w:rPr>
              <w:drawing>
                <wp:inline distT="0" distB="0" distL="0" distR="0" wp14:anchorId="2A2B1CEF" wp14:editId="5301B851">
                  <wp:extent cx="3747770" cy="2663825"/>
                  <wp:effectExtent l="0" t="0" r="5080" b="3175"/>
                  <wp:docPr id="168883911" name="Chart 1" descr="Horizontal bar chart showing the percentage of students passing at least one of any AP (ELA, math, or science) course by demographic group for SY2024.&#10;89.6% female; 88.6% male; 73.3% EL; 89.5% non EL; 83.7% Low-income; 92.5% non low-income; 77.0% SWD; 89.5% non SWD.">
                    <a:extLst xmlns:a="http://schemas.openxmlformats.org/drawingml/2006/main">
                      <a:ext uri="{FF2B5EF4-FFF2-40B4-BE49-F238E27FC236}">
                        <a16:creationId xmlns:a16="http://schemas.microsoft.com/office/drawing/2014/main" id="{ADB2540C-6F79-4DF6-A65E-8A29277B8E5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tc>
      </w:tr>
    </w:tbl>
    <w:p w14:paraId="5EB0181D" w14:textId="77777777" w:rsidR="008D429C" w:rsidRDefault="008D429C" w:rsidP="008D429C">
      <w:pPr>
        <w:rPr>
          <w:rStyle w:val="Strong"/>
          <w:b w:val="0"/>
          <w:bCs w:val="0"/>
        </w:rPr>
      </w:pPr>
    </w:p>
    <w:p w14:paraId="5A9B2B39" w14:textId="77777777" w:rsidR="008D429C" w:rsidRDefault="008D429C" w:rsidP="008D429C">
      <w:pPr>
        <w:rPr>
          <w:rStyle w:val="Strong"/>
          <w:b w:val="0"/>
          <w:bCs w:val="0"/>
        </w:rPr>
      </w:pPr>
    </w:p>
    <w:p w14:paraId="32286EBC" w14:textId="77777777" w:rsidR="008D429C" w:rsidRDefault="008D429C" w:rsidP="008D429C">
      <w:pPr>
        <w:rPr>
          <w:rStyle w:val="Strong"/>
          <w:b w:val="0"/>
          <w:bCs w:val="0"/>
        </w:rPr>
      </w:pPr>
    </w:p>
    <w:p w14:paraId="693D9295" w14:textId="77777777" w:rsidR="008D429C" w:rsidRDefault="008D429C" w:rsidP="008D429C">
      <w:pPr>
        <w:rPr>
          <w:rStyle w:val="Strong"/>
          <w:b w:val="0"/>
          <w:bCs w:val="0"/>
        </w:rPr>
      </w:pPr>
    </w:p>
    <w:p w14:paraId="7AE9375C" w14:textId="77777777" w:rsidR="008D429C" w:rsidRDefault="008D429C" w:rsidP="008D429C">
      <w:pPr>
        <w:rPr>
          <w:rStyle w:val="Strong"/>
          <w:b w:val="0"/>
          <w:bCs w:val="0"/>
        </w:rPr>
        <w:sectPr w:rsidR="008D429C" w:rsidSect="008D429C">
          <w:pgSz w:w="15840" w:h="12240" w:orient="landscape" w:code="1"/>
          <w:pgMar w:top="1440" w:right="1987" w:bottom="1440" w:left="1980" w:header="1267" w:footer="1260" w:gutter="0"/>
          <w:cols w:space="720"/>
          <w:docGrid w:linePitch="360"/>
        </w:sectPr>
      </w:pPr>
    </w:p>
    <w:p w14:paraId="6F4CA887" w14:textId="77777777" w:rsidR="006B208E" w:rsidRDefault="00A929B5" w:rsidP="007B49DA">
      <w:pPr>
        <w:pStyle w:val="Heading4"/>
        <w:rPr>
          <w:rStyle w:val="Strong"/>
          <w:rFonts w:ascii="Open Sans" w:eastAsiaTheme="minorHAnsi" w:hAnsi="Open Sans" w:cstheme="minorBidi"/>
          <w:b w:val="0"/>
          <w:color w:val="auto"/>
          <w:sz w:val="20"/>
        </w:rPr>
      </w:pPr>
      <w:bookmarkStart w:id="248" w:name="_Toc207183743"/>
      <w:bookmarkStart w:id="249" w:name="_Toc207348175"/>
      <w:r>
        <w:rPr>
          <w:rStyle w:val="Strong"/>
          <w:b w:val="0"/>
          <w:bCs w:val="0"/>
        </w:rPr>
        <w:lastRenderedPageBreak/>
        <w:t>AP Exam Taking</w:t>
      </w:r>
      <w:bookmarkEnd w:id="248"/>
      <w:bookmarkEnd w:id="249"/>
      <w:r>
        <w:rPr>
          <w:rStyle w:val="Strong"/>
          <w:b w:val="0"/>
          <w:bCs w:val="0"/>
        </w:rPr>
        <w:t xml:space="preserve"> </w:t>
      </w:r>
    </w:p>
    <w:p w14:paraId="330FAC91" w14:textId="7AB45C99" w:rsidR="00A929B5" w:rsidRPr="00FB54E7" w:rsidRDefault="00A929B5" w:rsidP="007B49DA">
      <w:pPr>
        <w:pStyle w:val="Heading5"/>
        <w:rPr>
          <w:rStyle w:val="Strong"/>
          <w:b/>
          <w:bCs w:val="0"/>
          <w:color w:val="595959" w:themeColor="text1" w:themeTint="A6"/>
        </w:rPr>
      </w:pPr>
      <w:r w:rsidRPr="00FB54E7">
        <w:rPr>
          <w:rStyle w:val="Strong"/>
          <w:b/>
          <w:bCs w:val="0"/>
          <w:color w:val="595959" w:themeColor="text1" w:themeTint="A6"/>
        </w:rPr>
        <w:t>Race/Ethnicity</w:t>
      </w:r>
    </w:p>
    <w:p w14:paraId="7B5C03D9" w14:textId="76BBC061" w:rsidR="00A929B5" w:rsidRDefault="00A929B5" w:rsidP="00047991">
      <w:pPr>
        <w:pStyle w:val="BodyText"/>
        <w:rPr>
          <w:rStyle w:val="Strong"/>
          <w:b w:val="0"/>
          <w:bCs w:val="0"/>
        </w:rPr>
      </w:pPr>
      <w:r>
        <w:rPr>
          <w:rStyle w:val="Strong"/>
          <w:b w:val="0"/>
          <w:bCs w:val="0"/>
        </w:rPr>
        <w:t>I</w:t>
      </w:r>
      <w:r w:rsidRPr="00490A50">
        <w:rPr>
          <w:rStyle w:val="Strong"/>
          <w:b w:val="0"/>
          <w:bCs w:val="0"/>
        </w:rPr>
        <w:t>n SY2023</w:t>
      </w:r>
      <w:r w:rsidR="000B661D">
        <w:rPr>
          <w:rStyle w:val="Strong"/>
          <w:b w:val="0"/>
          <w:bCs w:val="0"/>
        </w:rPr>
        <w:t xml:space="preserve"> (Figure 17), students who are Asian</w:t>
      </w:r>
      <w:r w:rsidR="001D35FF">
        <w:rPr>
          <w:rStyle w:val="Strong"/>
          <w:b w:val="0"/>
          <w:bCs w:val="0"/>
        </w:rPr>
        <w:t xml:space="preserve"> (90.0%)</w:t>
      </w:r>
      <w:r w:rsidR="000B661D">
        <w:rPr>
          <w:rStyle w:val="Strong"/>
          <w:b w:val="0"/>
          <w:bCs w:val="0"/>
        </w:rPr>
        <w:t>, White</w:t>
      </w:r>
      <w:r w:rsidR="001D35FF">
        <w:rPr>
          <w:rStyle w:val="Strong"/>
          <w:b w:val="0"/>
          <w:bCs w:val="0"/>
        </w:rPr>
        <w:t xml:space="preserve"> (87.7%)</w:t>
      </w:r>
      <w:r w:rsidR="000B661D">
        <w:rPr>
          <w:rStyle w:val="Strong"/>
          <w:b w:val="0"/>
          <w:bCs w:val="0"/>
        </w:rPr>
        <w:t>, or Multiracial</w:t>
      </w:r>
      <w:r w:rsidR="001D35FF">
        <w:rPr>
          <w:rStyle w:val="Strong"/>
          <w:b w:val="0"/>
          <w:bCs w:val="0"/>
        </w:rPr>
        <w:t xml:space="preserve"> (85.9%)</w:t>
      </w:r>
      <w:r w:rsidR="000B661D">
        <w:rPr>
          <w:rStyle w:val="Strong"/>
          <w:b w:val="0"/>
          <w:bCs w:val="0"/>
        </w:rPr>
        <w:t xml:space="preserve"> took at least one AP exam at higher rates than did students who are Black</w:t>
      </w:r>
      <w:r w:rsidR="003B7B4A">
        <w:rPr>
          <w:rStyle w:val="Strong"/>
          <w:b w:val="0"/>
          <w:bCs w:val="0"/>
        </w:rPr>
        <w:t xml:space="preserve"> (81.9%) </w:t>
      </w:r>
      <w:r w:rsidR="000B661D">
        <w:rPr>
          <w:rStyle w:val="Strong"/>
          <w:b w:val="0"/>
          <w:bCs w:val="0"/>
        </w:rPr>
        <w:t>or Hispanic/Latino</w:t>
      </w:r>
      <w:r w:rsidR="003B7B4A">
        <w:rPr>
          <w:rStyle w:val="Strong"/>
          <w:b w:val="0"/>
          <w:bCs w:val="0"/>
        </w:rPr>
        <w:t xml:space="preserve"> (78.6%)</w:t>
      </w:r>
      <w:r w:rsidR="000B661D">
        <w:rPr>
          <w:rStyle w:val="Strong"/>
          <w:b w:val="0"/>
          <w:bCs w:val="0"/>
        </w:rPr>
        <w:t xml:space="preserve">. </w:t>
      </w:r>
      <w:r w:rsidR="001D35FF">
        <w:rPr>
          <w:rStyle w:val="Strong"/>
          <w:b w:val="0"/>
          <w:bCs w:val="0"/>
        </w:rPr>
        <w:t>Similarly, i</w:t>
      </w:r>
      <w:r w:rsidR="000B661D">
        <w:rPr>
          <w:rStyle w:val="Strong"/>
          <w:b w:val="0"/>
          <w:bCs w:val="0"/>
        </w:rPr>
        <w:t xml:space="preserve">n SY2024 (Figure </w:t>
      </w:r>
      <w:r w:rsidR="009D2340">
        <w:rPr>
          <w:rStyle w:val="Strong"/>
          <w:b w:val="0"/>
          <w:bCs w:val="0"/>
        </w:rPr>
        <w:t>18</w:t>
      </w:r>
      <w:r>
        <w:rPr>
          <w:rStyle w:val="Strong"/>
          <w:b w:val="0"/>
          <w:bCs w:val="0"/>
        </w:rPr>
        <w:t>)</w:t>
      </w:r>
      <w:r w:rsidRPr="00490A50">
        <w:rPr>
          <w:rStyle w:val="Strong"/>
          <w:b w:val="0"/>
          <w:bCs w:val="0"/>
        </w:rPr>
        <w:t xml:space="preserve">, </w:t>
      </w:r>
      <w:r>
        <w:rPr>
          <w:rStyle w:val="Strong"/>
          <w:b w:val="0"/>
          <w:bCs w:val="0"/>
        </w:rPr>
        <w:t xml:space="preserve">students who are Asian (92.0%), </w:t>
      </w:r>
      <w:r w:rsidRPr="00490A50">
        <w:rPr>
          <w:rStyle w:val="Strong"/>
          <w:b w:val="0"/>
          <w:bCs w:val="0"/>
        </w:rPr>
        <w:t>White (</w:t>
      </w:r>
      <w:r>
        <w:rPr>
          <w:rStyle w:val="Strong"/>
          <w:b w:val="0"/>
          <w:bCs w:val="0"/>
        </w:rPr>
        <w:t>88.0</w:t>
      </w:r>
      <w:r w:rsidRPr="00490A50">
        <w:rPr>
          <w:rStyle w:val="Strong"/>
          <w:b w:val="0"/>
          <w:bCs w:val="0"/>
        </w:rPr>
        <w:t xml:space="preserve">%), </w:t>
      </w:r>
      <w:r>
        <w:rPr>
          <w:rStyle w:val="Strong"/>
          <w:b w:val="0"/>
          <w:bCs w:val="0"/>
        </w:rPr>
        <w:t xml:space="preserve">or </w:t>
      </w:r>
      <w:r w:rsidRPr="00490A50">
        <w:rPr>
          <w:rStyle w:val="Strong"/>
          <w:b w:val="0"/>
          <w:bCs w:val="0"/>
        </w:rPr>
        <w:t>Multiracial (</w:t>
      </w:r>
      <w:r>
        <w:rPr>
          <w:rStyle w:val="Strong"/>
          <w:b w:val="0"/>
          <w:bCs w:val="0"/>
        </w:rPr>
        <w:t>85.1%</w:t>
      </w:r>
      <w:r w:rsidRPr="00490A50">
        <w:rPr>
          <w:rStyle w:val="Strong"/>
          <w:b w:val="0"/>
          <w:bCs w:val="0"/>
        </w:rPr>
        <w:t>)</w:t>
      </w:r>
      <w:r>
        <w:rPr>
          <w:rStyle w:val="Strong"/>
          <w:b w:val="0"/>
          <w:bCs w:val="0"/>
        </w:rPr>
        <w:t xml:space="preserve"> took </w:t>
      </w:r>
      <w:r w:rsidRPr="00490A50">
        <w:rPr>
          <w:rStyle w:val="Strong"/>
          <w:b w:val="0"/>
          <w:bCs w:val="0"/>
        </w:rPr>
        <w:t xml:space="preserve">at least one AP </w:t>
      </w:r>
      <w:r>
        <w:rPr>
          <w:rStyle w:val="Strong"/>
          <w:b w:val="0"/>
          <w:bCs w:val="0"/>
        </w:rPr>
        <w:t>exam</w:t>
      </w:r>
      <w:r w:rsidRPr="00490A50">
        <w:rPr>
          <w:rStyle w:val="Strong"/>
          <w:b w:val="0"/>
          <w:bCs w:val="0"/>
        </w:rPr>
        <w:t xml:space="preserve"> </w:t>
      </w:r>
      <w:r>
        <w:rPr>
          <w:rStyle w:val="Strong"/>
          <w:b w:val="0"/>
          <w:bCs w:val="0"/>
        </w:rPr>
        <w:t xml:space="preserve">at higher rates </w:t>
      </w:r>
      <w:r w:rsidRPr="00490A50">
        <w:rPr>
          <w:rStyle w:val="Strong"/>
          <w:b w:val="0"/>
          <w:bCs w:val="0"/>
        </w:rPr>
        <w:t xml:space="preserve">than did </w:t>
      </w:r>
      <w:r>
        <w:rPr>
          <w:rStyle w:val="Strong"/>
          <w:b w:val="0"/>
          <w:bCs w:val="0"/>
        </w:rPr>
        <w:t xml:space="preserve">students who are </w:t>
      </w:r>
      <w:r w:rsidRPr="00490A50">
        <w:rPr>
          <w:rStyle w:val="Strong"/>
          <w:b w:val="0"/>
          <w:bCs w:val="0"/>
        </w:rPr>
        <w:t>Black (</w:t>
      </w:r>
      <w:r>
        <w:rPr>
          <w:rStyle w:val="Strong"/>
          <w:b w:val="0"/>
          <w:bCs w:val="0"/>
        </w:rPr>
        <w:t>82.7%</w:t>
      </w:r>
      <w:r w:rsidRPr="00490A50">
        <w:rPr>
          <w:rStyle w:val="Strong"/>
          <w:b w:val="0"/>
          <w:bCs w:val="0"/>
        </w:rPr>
        <w:t>) or Hispanic/Latino (</w:t>
      </w:r>
      <w:r>
        <w:rPr>
          <w:rStyle w:val="Strong"/>
          <w:b w:val="0"/>
          <w:bCs w:val="0"/>
        </w:rPr>
        <w:t>78.6%</w:t>
      </w:r>
      <w:r w:rsidRPr="00490A50">
        <w:rPr>
          <w:rStyle w:val="Strong"/>
          <w:b w:val="0"/>
          <w:bCs w:val="0"/>
        </w:rPr>
        <w:t>).</w:t>
      </w:r>
      <w:r w:rsidR="00E82EA7">
        <w:rPr>
          <w:rStyle w:val="FootnoteReference"/>
        </w:rPr>
        <w:footnoteReference w:id="31"/>
      </w:r>
    </w:p>
    <w:tbl>
      <w:tblPr>
        <w:tblStyle w:val="TableGrid"/>
        <w:tblpPr w:leftFromText="180" w:rightFromText="180" w:vertAnchor="text" w:horzAnchor="margin" w:tblpY="339"/>
        <w:tblW w:w="101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47"/>
        <w:gridCol w:w="5139"/>
      </w:tblGrid>
      <w:tr w:rsidR="006800B1" w14:paraId="4737D21B" w14:textId="77777777" w:rsidTr="006800B1">
        <w:trPr>
          <w:trHeight w:val="702"/>
        </w:trPr>
        <w:tc>
          <w:tcPr>
            <w:tcW w:w="5047" w:type="dxa"/>
          </w:tcPr>
          <w:p w14:paraId="00E6B797" w14:textId="408B69D0" w:rsidR="006800B1" w:rsidRDefault="006800B1" w:rsidP="006800B1">
            <w:pPr>
              <w:pStyle w:val="FigureCaption"/>
            </w:pPr>
            <w:bookmarkStart w:id="250" w:name="_Toc207348459"/>
            <w:r>
              <w:t>Figure 1</w:t>
            </w:r>
            <w:r w:rsidR="004C5DB9">
              <w:t>7</w:t>
            </w:r>
            <w:r>
              <w:t xml:space="preserve">. Percentage of students taking at least one </w:t>
            </w:r>
            <w:proofErr w:type="gramStart"/>
            <w:r>
              <w:t>any AP</w:t>
            </w:r>
            <w:proofErr w:type="gramEnd"/>
            <w:r>
              <w:t xml:space="preserve"> exam by race/ethnicity, SY2023</w:t>
            </w:r>
            <w:bookmarkEnd w:id="250"/>
          </w:p>
        </w:tc>
        <w:tc>
          <w:tcPr>
            <w:tcW w:w="5139" w:type="dxa"/>
          </w:tcPr>
          <w:p w14:paraId="2E1DC5BE" w14:textId="72DE2E14" w:rsidR="006800B1" w:rsidRDefault="006800B1" w:rsidP="006800B1">
            <w:pPr>
              <w:pStyle w:val="FigureCaption"/>
            </w:pPr>
            <w:bookmarkStart w:id="251" w:name="_Toc207348460"/>
            <w:r>
              <w:t>Figure 1</w:t>
            </w:r>
            <w:r w:rsidR="004C5DB9">
              <w:t>8</w:t>
            </w:r>
            <w:r>
              <w:t xml:space="preserve">. Percentage of students taking at least one </w:t>
            </w:r>
            <w:proofErr w:type="gramStart"/>
            <w:r>
              <w:t>any AP</w:t>
            </w:r>
            <w:proofErr w:type="gramEnd"/>
            <w:r>
              <w:t xml:space="preserve"> exam by race/ethnicity, SY2024</w:t>
            </w:r>
            <w:bookmarkEnd w:id="251"/>
          </w:p>
        </w:tc>
      </w:tr>
      <w:tr w:rsidR="006800B1" w14:paraId="21040504" w14:textId="77777777" w:rsidTr="006800B1">
        <w:trPr>
          <w:trHeight w:val="4951"/>
        </w:trPr>
        <w:tc>
          <w:tcPr>
            <w:tcW w:w="5047" w:type="dxa"/>
          </w:tcPr>
          <w:p w14:paraId="4384311C" w14:textId="77777777" w:rsidR="006800B1" w:rsidRDefault="006800B1" w:rsidP="006800B1">
            <w:pPr>
              <w:pStyle w:val="BodyText"/>
            </w:pPr>
            <w:r>
              <w:rPr>
                <w:noProof/>
              </w:rPr>
              <w:drawing>
                <wp:anchor distT="0" distB="0" distL="114300" distR="114300" simplePos="0" relativeHeight="251658243" behindDoc="0" locked="0" layoutInCell="1" allowOverlap="1" wp14:anchorId="32412ABE" wp14:editId="7D07F590">
                  <wp:simplePos x="0" y="0"/>
                  <wp:positionH relativeFrom="column">
                    <wp:posOffset>-846</wp:posOffset>
                  </wp:positionH>
                  <wp:positionV relativeFrom="paragraph">
                    <wp:posOffset>7973</wp:posOffset>
                  </wp:positionV>
                  <wp:extent cx="2889956" cy="2843530"/>
                  <wp:effectExtent l="0" t="0" r="5715" b="13970"/>
                  <wp:wrapNone/>
                  <wp:docPr id="938873208" name="Chart 1" descr="Horizontal bar chart showing the percentage of students taking at least one AP exam by race/ethnicity, SY2023.&#10;90.0% Asian; 81.9% Black; 78.6% Latino; 85.9% Multiracial; 87.7% White.">
                    <a:extLst xmlns:a="http://schemas.openxmlformats.org/drawingml/2006/main">
                      <a:ext uri="{FF2B5EF4-FFF2-40B4-BE49-F238E27FC236}">
                        <a16:creationId xmlns:a16="http://schemas.microsoft.com/office/drawing/2014/main" id="{F13283A4-7A4B-217A-E893-DA1345EA780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14:sizeRelH relativeFrom="margin">
                    <wp14:pctWidth>0</wp14:pctWidth>
                  </wp14:sizeRelH>
                </wp:anchor>
              </w:drawing>
            </w:r>
          </w:p>
        </w:tc>
        <w:tc>
          <w:tcPr>
            <w:tcW w:w="5139" w:type="dxa"/>
          </w:tcPr>
          <w:p w14:paraId="415CD27E" w14:textId="77777777" w:rsidR="006800B1" w:rsidRDefault="006800B1" w:rsidP="006800B1">
            <w:pPr>
              <w:pStyle w:val="BodyText"/>
              <w:ind w:left="30"/>
            </w:pPr>
            <w:r>
              <w:rPr>
                <w:noProof/>
              </w:rPr>
              <w:drawing>
                <wp:anchor distT="0" distB="0" distL="114300" distR="114300" simplePos="0" relativeHeight="251658244" behindDoc="0" locked="0" layoutInCell="1" allowOverlap="1" wp14:anchorId="01A87E0C" wp14:editId="5E77B107">
                  <wp:simplePos x="0" y="0"/>
                  <wp:positionH relativeFrom="column">
                    <wp:posOffset>16793</wp:posOffset>
                  </wp:positionH>
                  <wp:positionV relativeFrom="paragraph">
                    <wp:posOffset>-3316</wp:posOffset>
                  </wp:positionV>
                  <wp:extent cx="2765778" cy="2843530"/>
                  <wp:effectExtent l="0" t="0" r="15875" b="13970"/>
                  <wp:wrapNone/>
                  <wp:docPr id="1000612974" name="Chart 1" descr="Horizontal bar chart showing the percentage of students taking at least one AP exam by race/ethnicity, SY2024.&#10;92.0% Asian; 82.7% Black; 78.6% Latino; 85.1% Multiracial; 88.0% White.">
                    <a:extLst xmlns:a="http://schemas.openxmlformats.org/drawingml/2006/main">
                      <a:ext uri="{FF2B5EF4-FFF2-40B4-BE49-F238E27FC236}">
                        <a16:creationId xmlns:a16="http://schemas.microsoft.com/office/drawing/2014/main" id="{27429703-929E-425E-A608-7F7630370AB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14:sizeRelH relativeFrom="page">
                    <wp14:pctWidth>0</wp14:pctWidth>
                  </wp14:sizeRelH>
                  <wp14:sizeRelV relativeFrom="page">
                    <wp14:pctHeight>0</wp14:pctHeight>
                  </wp14:sizeRelV>
                </wp:anchor>
              </w:drawing>
            </w:r>
          </w:p>
        </w:tc>
      </w:tr>
    </w:tbl>
    <w:p w14:paraId="5A6C0E7A" w14:textId="77777777" w:rsidR="00A929B5" w:rsidRDefault="00A929B5" w:rsidP="00A929B5">
      <w:pPr>
        <w:pStyle w:val="FigureCaption"/>
      </w:pPr>
    </w:p>
    <w:p w14:paraId="613E138F" w14:textId="77777777" w:rsidR="005567E6" w:rsidRPr="00FB54E7" w:rsidRDefault="005567E6" w:rsidP="007B49DA">
      <w:pPr>
        <w:pStyle w:val="Heading5"/>
        <w:rPr>
          <w:rStyle w:val="Strong"/>
          <w:b/>
          <w:bCs w:val="0"/>
          <w:color w:val="595959" w:themeColor="text1" w:themeTint="A6"/>
        </w:rPr>
      </w:pPr>
      <w:r w:rsidRPr="00FB54E7">
        <w:rPr>
          <w:rStyle w:val="Strong"/>
          <w:b/>
          <w:bCs w:val="0"/>
          <w:color w:val="595959" w:themeColor="text1" w:themeTint="A6"/>
        </w:rPr>
        <w:t>Additional Student Groups of Interest</w:t>
      </w:r>
    </w:p>
    <w:p w14:paraId="68F866EA" w14:textId="2E00830D" w:rsidR="008177F6" w:rsidRDefault="005567E6" w:rsidP="005567E6">
      <w:pPr>
        <w:spacing w:after="160" w:line="259" w:lineRule="auto"/>
        <w:rPr>
          <w:rStyle w:val="Strong"/>
          <w:rFonts w:ascii="Open Sans SemiBold" w:eastAsiaTheme="majorEastAsia" w:hAnsi="Open Sans SemiBold" w:cs="Times New Roman (Headings CS)"/>
          <w:b w:val="0"/>
          <w:bCs w:val="0"/>
          <w:iCs/>
          <w:color w:val="000000" w:themeColor="text1"/>
          <w:sz w:val="24"/>
        </w:rPr>
      </w:pPr>
      <w:r w:rsidRPr="00D02E7C">
        <w:rPr>
          <w:rStyle w:val="Strong"/>
          <w:b w:val="0"/>
          <w:bCs w:val="0"/>
        </w:rPr>
        <w:t xml:space="preserve">As shown in Figures 19 / 20 (SY2023 and SY2024), students who are English learners (61.9% / 66.0%) had a roughly 20 percentage point lower rate of taking at least one AP exam than students who are not English learners (85.6% / 85.8%). Similarly, students with a documented disability (70.8% / 71.1%) </w:t>
      </w:r>
    </w:p>
    <w:p w14:paraId="0BDBA86D" w14:textId="77777777" w:rsidR="008177F6" w:rsidRDefault="008177F6" w:rsidP="007B49DA">
      <w:pPr>
        <w:pStyle w:val="Heading4"/>
        <w:rPr>
          <w:rStyle w:val="Strong"/>
          <w:b w:val="0"/>
          <w:bCs w:val="0"/>
        </w:rPr>
        <w:sectPr w:rsidR="008177F6" w:rsidSect="008D429C">
          <w:pgSz w:w="12240" w:h="15840" w:code="1"/>
          <w:pgMar w:top="1987" w:right="1440" w:bottom="1980" w:left="1440" w:header="1267" w:footer="1260" w:gutter="0"/>
          <w:cols w:space="720"/>
          <w:docGrid w:linePitch="360"/>
        </w:sectPr>
      </w:pPr>
    </w:p>
    <w:p w14:paraId="385F911B" w14:textId="55AE20D1" w:rsidR="008177F6" w:rsidRDefault="005567E6" w:rsidP="008177F6">
      <w:pPr>
        <w:pStyle w:val="BodyText"/>
        <w:rPr>
          <w:rStyle w:val="Strong"/>
          <w:b w:val="0"/>
          <w:bCs w:val="0"/>
        </w:rPr>
      </w:pPr>
      <w:r>
        <w:rPr>
          <w:rStyle w:val="Strong"/>
          <w:b w:val="0"/>
          <w:bCs w:val="0"/>
        </w:rPr>
        <w:lastRenderedPageBreak/>
        <w:t xml:space="preserve">had </w:t>
      </w:r>
      <w:r w:rsidR="00292B20" w:rsidRPr="00D02E7C">
        <w:rPr>
          <w:rStyle w:val="Strong"/>
          <w:b w:val="0"/>
          <w:bCs w:val="0"/>
        </w:rPr>
        <w:t xml:space="preserve">a roughly 15 </w:t>
      </w:r>
      <w:proofErr w:type="gramStart"/>
      <w:r w:rsidR="00292B20" w:rsidRPr="00D02E7C">
        <w:rPr>
          <w:rStyle w:val="Strong"/>
          <w:b w:val="0"/>
          <w:bCs w:val="0"/>
        </w:rPr>
        <w:t>percentage point</w:t>
      </w:r>
      <w:proofErr w:type="gramEnd"/>
      <w:r w:rsidR="00292B20" w:rsidRPr="00D02E7C">
        <w:rPr>
          <w:rStyle w:val="Strong"/>
          <w:b w:val="0"/>
          <w:bCs w:val="0"/>
        </w:rPr>
        <w:t xml:space="preserve"> lower rate of taking at least one AP exam than students without a documented disability (85.4% / 85.8%), and students who are low-income (79.8% / 80.4%) also took at least one AP exam at a little less than 10 percentage points lower rate than students who are not</w:t>
      </w:r>
      <w:r w:rsidR="008177F6">
        <w:rPr>
          <w:rStyle w:val="Strong"/>
          <w:b w:val="0"/>
          <w:bCs w:val="0"/>
        </w:rPr>
        <w:t xml:space="preserve"> </w:t>
      </w:r>
      <w:r w:rsidR="008177F6" w:rsidRPr="00D02E7C">
        <w:rPr>
          <w:rStyle w:val="Strong"/>
          <w:b w:val="0"/>
          <w:bCs w:val="0"/>
        </w:rPr>
        <w:t>low-income (88.3% / 88.4%). Notable differences in AP exam taking rates were not observed between female (85.4% / 86.5%) and male (84.6% / 84.0%) students. These general findings were similar across the other three AP content areas examined (ELA, math, and science</w:t>
      </w:r>
      <w:proofErr w:type="gramStart"/>
      <w:r w:rsidR="008177F6" w:rsidRPr="00D02E7C">
        <w:rPr>
          <w:rStyle w:val="Strong"/>
          <w:b w:val="0"/>
          <w:bCs w:val="0"/>
        </w:rPr>
        <w:t>), and</w:t>
      </w:r>
      <w:proofErr w:type="gramEnd"/>
      <w:r w:rsidR="008177F6" w:rsidRPr="00D02E7C">
        <w:rPr>
          <w:rStyle w:val="Strong"/>
          <w:b w:val="0"/>
          <w:bCs w:val="0"/>
        </w:rPr>
        <w:t xml:space="preserve"> were similar</w:t>
      </w:r>
      <w:r w:rsidR="008177F6" w:rsidRPr="00D02E7C" w:rsidDel="00305F6D">
        <w:rPr>
          <w:rStyle w:val="Strong"/>
          <w:b w:val="0"/>
          <w:bCs w:val="0"/>
        </w:rPr>
        <w:t xml:space="preserve"> </w:t>
      </w:r>
      <w:r w:rsidR="008177F6" w:rsidRPr="00D02E7C">
        <w:rPr>
          <w:rStyle w:val="Strong"/>
          <w:b w:val="0"/>
          <w:bCs w:val="0"/>
        </w:rPr>
        <w:t>across both school years. Figures and tables related to AP ELA, AP math, and science can be found in Appendix S.</w:t>
      </w:r>
    </w:p>
    <w:tbl>
      <w:tblPr>
        <w:tblStyle w:val="TableGrid"/>
        <w:tblpPr w:leftFromText="180" w:rightFromText="180" w:vertAnchor="text" w:horzAnchor="margin" w:tblpY="302"/>
        <w:tblW w:w="130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23"/>
        <w:gridCol w:w="6816"/>
      </w:tblGrid>
      <w:tr w:rsidR="005567E6" w14:paraId="13EC6283" w14:textId="77777777" w:rsidTr="005567E6">
        <w:trPr>
          <w:trHeight w:val="648"/>
        </w:trPr>
        <w:tc>
          <w:tcPr>
            <w:tcW w:w="6223" w:type="dxa"/>
          </w:tcPr>
          <w:p w14:paraId="328BC676" w14:textId="77777777" w:rsidR="005567E6" w:rsidRDefault="005567E6" w:rsidP="005567E6">
            <w:pPr>
              <w:pStyle w:val="FigureCaption"/>
              <w:spacing w:line="320" w:lineRule="atLeast"/>
              <w:ind w:left="-105"/>
              <w:contextualSpacing/>
              <w:rPr>
                <w:noProof/>
              </w:rPr>
            </w:pPr>
            <w:bookmarkStart w:id="252" w:name="_Toc207348461"/>
            <w:r>
              <w:t>Figure 19. Percentage of students taking at least one AP exam by demographic group, SY2023</w:t>
            </w:r>
            <w:bookmarkEnd w:id="252"/>
          </w:p>
        </w:tc>
        <w:tc>
          <w:tcPr>
            <w:tcW w:w="6816" w:type="dxa"/>
          </w:tcPr>
          <w:p w14:paraId="3749591C" w14:textId="77777777" w:rsidR="005567E6" w:rsidRDefault="005567E6" w:rsidP="005567E6">
            <w:pPr>
              <w:pStyle w:val="FigureCaption"/>
              <w:spacing w:line="320" w:lineRule="atLeast"/>
              <w:contextualSpacing/>
              <w:rPr>
                <w:noProof/>
              </w:rPr>
            </w:pPr>
            <w:bookmarkStart w:id="253" w:name="_Toc207348462"/>
            <w:r>
              <w:t>Figure 20. Percentage of students taking at least one AP exam by demographic group, SY2024</w:t>
            </w:r>
            <w:bookmarkEnd w:id="253"/>
          </w:p>
        </w:tc>
      </w:tr>
      <w:tr w:rsidR="005567E6" w14:paraId="4104BCCA" w14:textId="77777777" w:rsidTr="005567E6">
        <w:trPr>
          <w:trHeight w:val="3976"/>
        </w:trPr>
        <w:tc>
          <w:tcPr>
            <w:tcW w:w="6223" w:type="dxa"/>
          </w:tcPr>
          <w:p w14:paraId="6E8BFF2C" w14:textId="77777777" w:rsidR="005567E6" w:rsidRDefault="005567E6" w:rsidP="005567E6">
            <w:pPr>
              <w:pStyle w:val="BodyText"/>
              <w:ind w:left="-105"/>
              <w:rPr>
                <w:noProof/>
              </w:rPr>
            </w:pPr>
            <w:r>
              <w:rPr>
                <w:noProof/>
              </w:rPr>
              <w:drawing>
                <wp:inline distT="0" distB="0" distL="0" distR="0" wp14:anchorId="6DCB6A65" wp14:editId="2FBD9CCE">
                  <wp:extent cx="3838222" cy="3059289"/>
                  <wp:effectExtent l="0" t="0" r="10160" b="8255"/>
                  <wp:docPr id="651998562" name="Chart 1" descr="Horizontal bar chart showing the percentage of students taking at least one AP exam by demographic group for SY2023.&#10;85.4% female; 84.6% male; 61.9% EL; 85.6% non EL; 79.8% Low-income; 88.3% non low-income; 70.8% SWD; 85.4% non SWD.">
                    <a:extLst xmlns:a="http://schemas.openxmlformats.org/drawingml/2006/main">
                      <a:ext uri="{FF2B5EF4-FFF2-40B4-BE49-F238E27FC236}">
                        <a16:creationId xmlns:a16="http://schemas.microsoft.com/office/drawing/2014/main" id="{9611DF0F-D07F-4FC5-8F98-077C8DA0F92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tc>
        <w:tc>
          <w:tcPr>
            <w:tcW w:w="6816" w:type="dxa"/>
          </w:tcPr>
          <w:p w14:paraId="0BC9350C" w14:textId="77777777" w:rsidR="005567E6" w:rsidRDefault="005567E6" w:rsidP="005567E6">
            <w:pPr>
              <w:pStyle w:val="BodyText"/>
              <w:ind w:left="120"/>
              <w:rPr>
                <w:noProof/>
              </w:rPr>
            </w:pPr>
            <w:r>
              <w:rPr>
                <w:noProof/>
              </w:rPr>
              <w:drawing>
                <wp:inline distT="0" distB="0" distL="0" distR="0" wp14:anchorId="183544E8" wp14:editId="4EA1495A">
                  <wp:extent cx="4109156" cy="3058795"/>
                  <wp:effectExtent l="0" t="0" r="5715" b="8255"/>
                  <wp:docPr id="916312036" name="Chart 1" descr="Horizontal bar chart showing the percentage of students taking at least one AP exam by demographic group for SY2024.&#10;86.5% female; 84.0% male; 66.0% EL; 85.8% non EL; 80.4% Low-income; 88.4% non low-income; 71.1% SWD; 85.8% non SWD.">
                    <a:extLst xmlns:a="http://schemas.openxmlformats.org/drawingml/2006/main">
                      <a:ext uri="{FF2B5EF4-FFF2-40B4-BE49-F238E27FC236}">
                        <a16:creationId xmlns:a16="http://schemas.microsoft.com/office/drawing/2014/main" id="{F111DF15-4CD3-40E8-9BE7-784C2A42A17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tc>
      </w:tr>
    </w:tbl>
    <w:p w14:paraId="5A635264" w14:textId="77777777" w:rsidR="005567E6" w:rsidRDefault="005567E6" w:rsidP="008177F6">
      <w:pPr>
        <w:pStyle w:val="BodyText"/>
        <w:rPr>
          <w:rStyle w:val="Strong"/>
          <w:b w:val="0"/>
          <w:bCs w:val="0"/>
        </w:rPr>
      </w:pPr>
    </w:p>
    <w:p w14:paraId="1D60DD2C" w14:textId="77777777" w:rsidR="005567E6" w:rsidRDefault="005567E6" w:rsidP="008177F6">
      <w:pPr>
        <w:pStyle w:val="BodyText"/>
        <w:rPr>
          <w:rStyle w:val="Strong"/>
          <w:b w:val="0"/>
          <w:bCs w:val="0"/>
        </w:rPr>
      </w:pPr>
    </w:p>
    <w:p w14:paraId="64DD4BF3" w14:textId="77777777" w:rsidR="005567E6" w:rsidRDefault="005567E6" w:rsidP="008177F6">
      <w:pPr>
        <w:pStyle w:val="BodyText"/>
        <w:rPr>
          <w:rStyle w:val="Strong"/>
          <w:b w:val="0"/>
          <w:bCs w:val="0"/>
        </w:rPr>
      </w:pPr>
    </w:p>
    <w:p w14:paraId="0E77F1B9" w14:textId="5AE9DD2E" w:rsidR="005567E6" w:rsidRPr="000B15E9" w:rsidRDefault="005567E6" w:rsidP="008177F6">
      <w:pPr>
        <w:pStyle w:val="BodyText"/>
        <w:sectPr w:rsidR="005567E6" w:rsidRPr="000B15E9" w:rsidSect="008177F6">
          <w:pgSz w:w="15840" w:h="12240" w:orient="landscape" w:code="1"/>
          <w:pgMar w:top="1440" w:right="1987" w:bottom="1440" w:left="1980" w:header="1267" w:footer="1260" w:gutter="0"/>
          <w:cols w:space="720"/>
          <w:docGrid w:linePitch="360"/>
        </w:sectPr>
      </w:pPr>
    </w:p>
    <w:p w14:paraId="75B6D184" w14:textId="01A3B514" w:rsidR="00EF1536" w:rsidRDefault="00EF1536" w:rsidP="007B49DA">
      <w:pPr>
        <w:pStyle w:val="Heading4"/>
      </w:pPr>
      <w:bookmarkStart w:id="254" w:name="_Toc206742114"/>
      <w:bookmarkStart w:id="255" w:name="_Toc207183744"/>
      <w:bookmarkStart w:id="256" w:name="_Toc207348176"/>
      <w:r>
        <w:lastRenderedPageBreak/>
        <w:t>AP Exam Passing</w:t>
      </w:r>
      <w:bookmarkEnd w:id="254"/>
      <w:bookmarkEnd w:id="255"/>
      <w:bookmarkEnd w:id="256"/>
      <w:r>
        <w:t xml:space="preserve"> </w:t>
      </w:r>
    </w:p>
    <w:p w14:paraId="4D886976" w14:textId="449C85D6" w:rsidR="00EF1536" w:rsidRDefault="00EF1536" w:rsidP="000B15E9">
      <w:pPr>
        <w:spacing w:line="320" w:lineRule="atLeast"/>
        <w:contextualSpacing/>
      </w:pPr>
      <w:r>
        <w:t>Among these student groups, gaps widened when reviewing AP course passing data. Students with disabilities and students who are low-income passed AP exams approximately 25 points</w:t>
      </w:r>
      <w:r w:rsidR="00EB5C3A">
        <w:t xml:space="preserve"> lower than</w:t>
      </w:r>
      <w:r w:rsidR="005F125F">
        <w:t xml:space="preserve"> </w:t>
      </w:r>
      <w:r>
        <w:t xml:space="preserve">students who do not have a documented disability or are not low-income. Students who are English learners passed AP exams 35 points </w:t>
      </w:r>
      <w:r w:rsidR="00EB5C3A">
        <w:t>lower than</w:t>
      </w:r>
      <w:r>
        <w:t xml:space="preserve"> students who are not English learners, and approximately 23% of students who are Black or Latino passed AP exams in their respective content area, compared to approximately 50% of students who are Asian or White. </w:t>
      </w:r>
    </w:p>
    <w:p w14:paraId="359BF854" w14:textId="77777777" w:rsidR="006E05AC" w:rsidRPr="00FB54E7" w:rsidRDefault="006E05AC" w:rsidP="007B49DA">
      <w:pPr>
        <w:pStyle w:val="Heading5"/>
        <w:rPr>
          <w:rStyle w:val="Strong"/>
          <w:b/>
          <w:bCs w:val="0"/>
          <w:color w:val="595959" w:themeColor="text1" w:themeTint="A6"/>
        </w:rPr>
      </w:pPr>
      <w:r w:rsidRPr="00FB54E7">
        <w:rPr>
          <w:rStyle w:val="Strong"/>
          <w:b/>
          <w:bCs w:val="0"/>
          <w:color w:val="595959" w:themeColor="text1" w:themeTint="A6"/>
        </w:rPr>
        <w:t>Race/Ethnicity</w:t>
      </w:r>
    </w:p>
    <w:p w14:paraId="3B92868F" w14:textId="77777777" w:rsidR="006E05AC" w:rsidRDefault="006E05AC" w:rsidP="00047991">
      <w:pPr>
        <w:pStyle w:val="BodyText"/>
        <w:rPr>
          <w:rStyle w:val="Strong"/>
          <w:b w:val="0"/>
          <w:bCs w:val="0"/>
        </w:rPr>
      </w:pPr>
      <w:r>
        <w:rPr>
          <w:rStyle w:val="Strong"/>
          <w:b w:val="0"/>
          <w:bCs w:val="0"/>
        </w:rPr>
        <w:t>I</w:t>
      </w:r>
      <w:r w:rsidRPr="00490A50">
        <w:rPr>
          <w:rStyle w:val="Strong"/>
          <w:b w:val="0"/>
          <w:bCs w:val="0"/>
        </w:rPr>
        <w:t>n SY2023</w:t>
      </w:r>
      <w:r>
        <w:rPr>
          <w:rStyle w:val="Strong"/>
          <w:b w:val="0"/>
          <w:bCs w:val="0"/>
        </w:rPr>
        <w:t xml:space="preserve"> / SY2024 (</w:t>
      </w:r>
      <w:r w:rsidRPr="004279CA">
        <w:rPr>
          <w:rStyle w:val="Strong"/>
          <w:b w:val="0"/>
        </w:rPr>
        <w:t>Figure</w:t>
      </w:r>
      <w:r>
        <w:rPr>
          <w:rStyle w:val="Strong"/>
          <w:b w:val="0"/>
        </w:rPr>
        <w:t>s</w:t>
      </w:r>
      <w:r w:rsidRPr="004279CA">
        <w:rPr>
          <w:rStyle w:val="Strong"/>
          <w:b w:val="0"/>
        </w:rPr>
        <w:t xml:space="preserve"> </w:t>
      </w:r>
      <w:r>
        <w:rPr>
          <w:rStyle w:val="Strong"/>
          <w:b w:val="0"/>
        </w:rPr>
        <w:t>23 / 24</w:t>
      </w:r>
      <w:r>
        <w:rPr>
          <w:rStyle w:val="Strong"/>
          <w:b w:val="0"/>
          <w:bCs w:val="0"/>
        </w:rPr>
        <w:t>)</w:t>
      </w:r>
      <w:r w:rsidRPr="00490A50">
        <w:rPr>
          <w:rStyle w:val="Strong"/>
          <w:b w:val="0"/>
          <w:bCs w:val="0"/>
        </w:rPr>
        <w:t xml:space="preserve">, </w:t>
      </w:r>
      <w:r>
        <w:rPr>
          <w:rStyle w:val="Strong"/>
          <w:b w:val="0"/>
          <w:bCs w:val="0"/>
        </w:rPr>
        <w:t>students who are White (51.6% / 51.0%),</w:t>
      </w:r>
      <w:r w:rsidRPr="00490A50">
        <w:rPr>
          <w:rStyle w:val="Strong"/>
          <w:b w:val="0"/>
          <w:bCs w:val="0"/>
        </w:rPr>
        <w:t xml:space="preserve"> </w:t>
      </w:r>
      <w:r>
        <w:rPr>
          <w:rStyle w:val="Strong"/>
          <w:b w:val="0"/>
          <w:bCs w:val="0"/>
        </w:rPr>
        <w:t>Asian (48.8% / 49.0%)</w:t>
      </w:r>
      <w:r w:rsidRPr="00490A50">
        <w:rPr>
          <w:rStyle w:val="Strong"/>
          <w:b w:val="0"/>
          <w:bCs w:val="0"/>
        </w:rPr>
        <w:t xml:space="preserve">, </w:t>
      </w:r>
      <w:r>
        <w:rPr>
          <w:rStyle w:val="Strong"/>
          <w:b w:val="0"/>
          <w:bCs w:val="0"/>
        </w:rPr>
        <w:t>or</w:t>
      </w:r>
      <w:r w:rsidRPr="00490A50">
        <w:rPr>
          <w:rStyle w:val="Strong"/>
          <w:b w:val="0"/>
          <w:bCs w:val="0"/>
        </w:rPr>
        <w:t xml:space="preserve"> Multiracial (</w:t>
      </w:r>
      <w:r>
        <w:rPr>
          <w:rStyle w:val="Strong"/>
          <w:b w:val="0"/>
          <w:bCs w:val="0"/>
        </w:rPr>
        <w:t>46.4</w:t>
      </w:r>
      <w:r w:rsidRPr="00490A50">
        <w:rPr>
          <w:rStyle w:val="Strong"/>
          <w:b w:val="0"/>
          <w:bCs w:val="0"/>
        </w:rPr>
        <w:t>%</w:t>
      </w:r>
      <w:r>
        <w:rPr>
          <w:rStyle w:val="Strong"/>
          <w:b w:val="0"/>
          <w:bCs w:val="0"/>
        </w:rPr>
        <w:t xml:space="preserve"> / 4</w:t>
      </w:r>
      <w:r w:rsidRPr="009175DE">
        <w:rPr>
          <w:rStyle w:val="Strong"/>
          <w:b w:val="0"/>
          <w:bCs w:val="0"/>
        </w:rPr>
        <w:t>3.2%</w:t>
      </w:r>
      <w:r w:rsidRPr="00490A50">
        <w:rPr>
          <w:rStyle w:val="Strong"/>
          <w:b w:val="0"/>
          <w:bCs w:val="0"/>
        </w:rPr>
        <w:t>)</w:t>
      </w:r>
      <w:r>
        <w:rPr>
          <w:rStyle w:val="Strong"/>
          <w:b w:val="0"/>
          <w:bCs w:val="0"/>
        </w:rPr>
        <w:t xml:space="preserve"> </w:t>
      </w:r>
      <w:r w:rsidRPr="00490A50">
        <w:rPr>
          <w:rStyle w:val="Strong"/>
          <w:b w:val="0"/>
          <w:bCs w:val="0"/>
        </w:rPr>
        <w:t xml:space="preserve">had </w:t>
      </w:r>
      <w:r>
        <w:rPr>
          <w:rStyle w:val="Strong"/>
          <w:b w:val="0"/>
          <w:bCs w:val="0"/>
        </w:rPr>
        <w:t>rates of</w:t>
      </w:r>
      <w:r w:rsidRPr="00490A50">
        <w:rPr>
          <w:rStyle w:val="Strong"/>
          <w:b w:val="0"/>
          <w:bCs w:val="0"/>
        </w:rPr>
        <w:t xml:space="preserve"> passing </w:t>
      </w:r>
      <w:r>
        <w:rPr>
          <w:rStyle w:val="Strong"/>
          <w:b w:val="0"/>
          <w:bCs w:val="0"/>
        </w:rPr>
        <w:t xml:space="preserve">any </w:t>
      </w:r>
      <w:r w:rsidRPr="00490A50">
        <w:rPr>
          <w:rStyle w:val="Strong"/>
          <w:b w:val="0"/>
          <w:bCs w:val="0"/>
        </w:rPr>
        <w:t xml:space="preserve">AP </w:t>
      </w:r>
      <w:r>
        <w:rPr>
          <w:rStyle w:val="Strong"/>
          <w:b w:val="0"/>
          <w:bCs w:val="0"/>
        </w:rPr>
        <w:t>exam</w:t>
      </w:r>
      <w:r w:rsidRPr="00490A50">
        <w:rPr>
          <w:rStyle w:val="Strong"/>
          <w:b w:val="0"/>
          <w:bCs w:val="0"/>
        </w:rPr>
        <w:t xml:space="preserve"> </w:t>
      </w:r>
      <w:r>
        <w:rPr>
          <w:rStyle w:val="Strong"/>
          <w:b w:val="0"/>
          <w:bCs w:val="0"/>
        </w:rPr>
        <w:t xml:space="preserve">roughly 25 percentage points higher </w:t>
      </w:r>
      <w:r w:rsidRPr="00490A50">
        <w:rPr>
          <w:rStyle w:val="Strong"/>
          <w:b w:val="0"/>
          <w:bCs w:val="0"/>
        </w:rPr>
        <w:t xml:space="preserve">than did </w:t>
      </w:r>
      <w:r>
        <w:rPr>
          <w:rStyle w:val="Strong"/>
          <w:b w:val="0"/>
          <w:bCs w:val="0"/>
        </w:rPr>
        <w:t xml:space="preserve">students who are </w:t>
      </w:r>
      <w:r w:rsidRPr="00490A50">
        <w:rPr>
          <w:rStyle w:val="Strong"/>
          <w:b w:val="0"/>
          <w:bCs w:val="0"/>
        </w:rPr>
        <w:t>Black (</w:t>
      </w:r>
      <w:r>
        <w:rPr>
          <w:rStyle w:val="Strong"/>
          <w:b w:val="0"/>
          <w:bCs w:val="0"/>
        </w:rPr>
        <w:t>24.5</w:t>
      </w:r>
      <w:r w:rsidRPr="00490A50">
        <w:rPr>
          <w:rStyle w:val="Strong"/>
          <w:b w:val="0"/>
          <w:bCs w:val="0"/>
        </w:rPr>
        <w:t>%</w:t>
      </w:r>
      <w:r>
        <w:rPr>
          <w:rStyle w:val="Strong"/>
          <w:b w:val="0"/>
          <w:bCs w:val="0"/>
        </w:rPr>
        <w:t xml:space="preserve"> / 2</w:t>
      </w:r>
      <w:r w:rsidRPr="009175DE">
        <w:rPr>
          <w:rStyle w:val="Strong"/>
          <w:b w:val="0"/>
          <w:bCs w:val="0"/>
        </w:rPr>
        <w:t>2.5</w:t>
      </w:r>
      <w:r w:rsidRPr="00282165">
        <w:rPr>
          <w:rStyle w:val="Strong"/>
          <w:b w:val="0"/>
        </w:rPr>
        <w:t>%</w:t>
      </w:r>
      <w:r w:rsidRPr="00490A50">
        <w:rPr>
          <w:rStyle w:val="Strong"/>
          <w:b w:val="0"/>
          <w:bCs w:val="0"/>
        </w:rPr>
        <w:t>) or Hispanic/Latino (</w:t>
      </w:r>
      <w:r>
        <w:rPr>
          <w:rStyle w:val="Strong"/>
          <w:b w:val="0"/>
          <w:bCs w:val="0"/>
        </w:rPr>
        <w:t>22.6</w:t>
      </w:r>
      <w:r w:rsidRPr="00490A50">
        <w:rPr>
          <w:rStyle w:val="Strong"/>
          <w:b w:val="0"/>
          <w:bCs w:val="0"/>
        </w:rPr>
        <w:t>%</w:t>
      </w:r>
      <w:r>
        <w:rPr>
          <w:rStyle w:val="Strong"/>
          <w:b w:val="0"/>
          <w:bCs w:val="0"/>
        </w:rPr>
        <w:t xml:space="preserve"> / 23.8%</w:t>
      </w:r>
      <w:r w:rsidRPr="00490A50">
        <w:rPr>
          <w:rStyle w:val="Strong"/>
          <w:b w:val="0"/>
          <w:bCs w:val="0"/>
        </w:rPr>
        <w:t>).</w:t>
      </w:r>
      <w:r>
        <w:rPr>
          <w:rStyle w:val="FootnoteReference"/>
        </w:rPr>
        <w:footnoteReference w:id="32"/>
      </w:r>
      <w:r w:rsidRPr="00490A50">
        <w:rPr>
          <w:rStyle w:val="Strong"/>
          <w:b w:val="0"/>
          <w:bCs w:val="0"/>
        </w:rPr>
        <w:t xml:space="preserve"> </w:t>
      </w:r>
    </w:p>
    <w:tbl>
      <w:tblPr>
        <w:tblStyle w:val="TableGrid"/>
        <w:tblpPr w:leftFromText="180" w:rightFromText="180" w:vertAnchor="text" w:horzAnchor="margin" w:tblpY="249"/>
        <w:tblW w:w="100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4"/>
        <w:gridCol w:w="5081"/>
      </w:tblGrid>
      <w:tr w:rsidR="006E05AC" w14:paraId="526A7896" w14:textId="77777777" w:rsidTr="0053511D">
        <w:trPr>
          <w:trHeight w:val="909"/>
        </w:trPr>
        <w:tc>
          <w:tcPr>
            <w:tcW w:w="4964" w:type="dxa"/>
          </w:tcPr>
          <w:p w14:paraId="7F40DFD5" w14:textId="77777777" w:rsidR="006E05AC" w:rsidRDefault="006E05AC" w:rsidP="0053511D">
            <w:pPr>
              <w:pStyle w:val="FigureCaption"/>
            </w:pPr>
            <w:bookmarkStart w:id="257" w:name="_Toc207348463"/>
            <w:r>
              <w:t xml:space="preserve">Figure 23. Percentage of students passing at least one of any AP </w:t>
            </w:r>
            <w:proofErr w:type="gramStart"/>
            <w:r>
              <w:t>exam</w:t>
            </w:r>
            <w:proofErr w:type="gramEnd"/>
            <w:r>
              <w:t xml:space="preserve"> by race/ethnicity, SY2023</w:t>
            </w:r>
            <w:bookmarkEnd w:id="257"/>
          </w:p>
        </w:tc>
        <w:tc>
          <w:tcPr>
            <w:tcW w:w="5081" w:type="dxa"/>
          </w:tcPr>
          <w:p w14:paraId="76D7DDF2" w14:textId="77777777" w:rsidR="006E05AC" w:rsidRDefault="006E05AC" w:rsidP="0053511D">
            <w:pPr>
              <w:pStyle w:val="FigureCaption"/>
            </w:pPr>
            <w:bookmarkStart w:id="258" w:name="_Toc207348464"/>
            <w:r>
              <w:t xml:space="preserve">Figure 24. Percentage of students passing at least one of any AP </w:t>
            </w:r>
            <w:proofErr w:type="gramStart"/>
            <w:r>
              <w:t>exam</w:t>
            </w:r>
            <w:proofErr w:type="gramEnd"/>
            <w:r>
              <w:t xml:space="preserve"> by race/ethnicity, SY2024</w:t>
            </w:r>
            <w:bookmarkEnd w:id="258"/>
          </w:p>
        </w:tc>
      </w:tr>
      <w:tr w:rsidR="006E05AC" w14:paraId="4ED3FF85" w14:textId="77777777" w:rsidTr="0053511D">
        <w:trPr>
          <w:trHeight w:val="4508"/>
        </w:trPr>
        <w:tc>
          <w:tcPr>
            <w:tcW w:w="4964" w:type="dxa"/>
          </w:tcPr>
          <w:p w14:paraId="59A0ED14" w14:textId="77777777" w:rsidR="006E05AC" w:rsidRDefault="006E05AC" w:rsidP="0053511D">
            <w:pPr>
              <w:pStyle w:val="BodyText"/>
            </w:pPr>
            <w:r>
              <w:rPr>
                <w:noProof/>
              </w:rPr>
              <w:drawing>
                <wp:anchor distT="0" distB="0" distL="114300" distR="114300" simplePos="0" relativeHeight="251658247" behindDoc="0" locked="0" layoutInCell="1" allowOverlap="1" wp14:anchorId="35FE634A" wp14:editId="7B33DCC7">
                  <wp:simplePos x="0" y="0"/>
                  <wp:positionH relativeFrom="column">
                    <wp:posOffset>-1905</wp:posOffset>
                  </wp:positionH>
                  <wp:positionV relativeFrom="paragraph">
                    <wp:posOffset>0</wp:posOffset>
                  </wp:positionV>
                  <wp:extent cx="2833511" cy="2460625"/>
                  <wp:effectExtent l="0" t="0" r="5080" b="15875"/>
                  <wp:wrapTopAndBottom/>
                  <wp:docPr id="906500215" name="Chart 1" descr="Horizontal bar chart showing the percentage of students passing at least one AP exam by race/ethnicity, SY2023.&#10;48.8% Asian; 24.5% Black; 22.6% Latino; 46.4% Multiracial; 51.6% White.">
                    <a:extLst xmlns:a="http://schemas.openxmlformats.org/drawingml/2006/main">
                      <a:ext uri="{FF2B5EF4-FFF2-40B4-BE49-F238E27FC236}">
                        <a16:creationId xmlns:a16="http://schemas.microsoft.com/office/drawing/2014/main" id="{59596EE5-1803-462E-518A-4D26D267AFD2}"/>
                      </a:ext>
                      <a:ext uri="{C183D7F6-B498-43B3-948B-1728B52AA6E4}">
                        <adec:decorative xmlns:adec="http://schemas.microsoft.com/office/drawing/2017/decorative" val="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anchor>
              </w:drawing>
            </w:r>
          </w:p>
        </w:tc>
        <w:tc>
          <w:tcPr>
            <w:tcW w:w="5081" w:type="dxa"/>
          </w:tcPr>
          <w:p w14:paraId="0DB40943" w14:textId="77777777" w:rsidR="006E05AC" w:rsidRDefault="006E05AC" w:rsidP="0053511D">
            <w:pPr>
              <w:pStyle w:val="BodyText"/>
              <w:ind w:left="30"/>
            </w:pPr>
            <w:r>
              <w:rPr>
                <w:noProof/>
              </w:rPr>
              <w:drawing>
                <wp:inline distT="0" distB="0" distL="0" distR="0" wp14:anchorId="0FA9C8C4" wp14:editId="7F87AE16">
                  <wp:extent cx="2918460" cy="2460977"/>
                  <wp:effectExtent l="0" t="0" r="15240" b="15875"/>
                  <wp:docPr id="1432725518" name="Chart 1" descr="Horizontal bar chart showing the percentage of students passing at least one AP exam by race/ethnicity, SY2024.&#10;49.0% Asian; 22.5% Black; 23.8% Latino; 43.2% Multiracial; 51.0% White.">
                    <a:extLst xmlns:a="http://schemas.openxmlformats.org/drawingml/2006/main">
                      <a:ext uri="{FF2B5EF4-FFF2-40B4-BE49-F238E27FC236}">
                        <a16:creationId xmlns:a16="http://schemas.microsoft.com/office/drawing/2014/main" id="{2CEDE045-00EB-492E-A89A-B6E2509EB79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tc>
      </w:tr>
    </w:tbl>
    <w:p w14:paraId="4B835C77" w14:textId="77777777" w:rsidR="00EF1536" w:rsidRPr="00FB54E7" w:rsidRDefault="00EF1536" w:rsidP="007B49DA">
      <w:pPr>
        <w:pStyle w:val="Heading5"/>
        <w:rPr>
          <w:color w:val="595959" w:themeColor="text1" w:themeTint="A6"/>
        </w:rPr>
      </w:pPr>
      <w:r w:rsidRPr="00FB54E7">
        <w:rPr>
          <w:color w:val="595959" w:themeColor="text1" w:themeTint="A6"/>
        </w:rPr>
        <w:lastRenderedPageBreak/>
        <w:t>Additional Student Groups of Interest</w:t>
      </w:r>
    </w:p>
    <w:tbl>
      <w:tblPr>
        <w:tblStyle w:val="TableGrid"/>
        <w:tblpPr w:leftFromText="180" w:rightFromText="180" w:vertAnchor="text" w:horzAnchor="margin" w:tblpY="5906"/>
        <w:tblW w:w="102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36"/>
        <w:gridCol w:w="5424"/>
      </w:tblGrid>
      <w:tr w:rsidR="006800B1" w14:paraId="49B8BA69" w14:textId="77777777" w:rsidTr="00260D5F">
        <w:trPr>
          <w:trHeight w:val="444"/>
        </w:trPr>
        <w:tc>
          <w:tcPr>
            <w:tcW w:w="4836" w:type="dxa"/>
          </w:tcPr>
          <w:p w14:paraId="22210D19" w14:textId="79AA0A75" w:rsidR="006800B1" w:rsidRDefault="006800B1" w:rsidP="00260D5F">
            <w:pPr>
              <w:pStyle w:val="FigureCaption"/>
              <w:ind w:left="-105"/>
              <w:rPr>
                <w:noProof/>
              </w:rPr>
            </w:pPr>
            <w:bookmarkStart w:id="259" w:name="_Toc207348465"/>
            <w:r>
              <w:t>Figure 2</w:t>
            </w:r>
            <w:r w:rsidR="004C5DB9">
              <w:t>1</w:t>
            </w:r>
            <w:r>
              <w:t xml:space="preserve">. Percentage of students passing at least one of any AP </w:t>
            </w:r>
            <w:proofErr w:type="gramStart"/>
            <w:r>
              <w:t>exam</w:t>
            </w:r>
            <w:proofErr w:type="gramEnd"/>
            <w:r>
              <w:t xml:space="preserve"> by demographic group, SY2023</w:t>
            </w:r>
            <w:bookmarkEnd w:id="259"/>
          </w:p>
        </w:tc>
        <w:tc>
          <w:tcPr>
            <w:tcW w:w="5424" w:type="dxa"/>
          </w:tcPr>
          <w:p w14:paraId="69004089" w14:textId="0395509B" w:rsidR="006800B1" w:rsidRDefault="006800B1" w:rsidP="00260D5F">
            <w:pPr>
              <w:pStyle w:val="FigureCaption"/>
              <w:rPr>
                <w:noProof/>
              </w:rPr>
            </w:pPr>
            <w:bookmarkStart w:id="260" w:name="_Toc207348466"/>
            <w:r>
              <w:t>Figure 2</w:t>
            </w:r>
            <w:r w:rsidR="004C5DB9">
              <w:t>2</w:t>
            </w:r>
            <w:r>
              <w:t xml:space="preserve">. Percentage of students passing at least one of any AP </w:t>
            </w:r>
            <w:proofErr w:type="gramStart"/>
            <w:r>
              <w:t>exam</w:t>
            </w:r>
            <w:proofErr w:type="gramEnd"/>
            <w:r>
              <w:t xml:space="preserve"> by demographic group, SY2024</w:t>
            </w:r>
            <w:bookmarkEnd w:id="260"/>
          </w:p>
        </w:tc>
      </w:tr>
      <w:tr w:rsidR="006800B1" w14:paraId="4C49F6C3" w14:textId="77777777" w:rsidTr="00260D5F">
        <w:trPr>
          <w:trHeight w:val="3293"/>
        </w:trPr>
        <w:tc>
          <w:tcPr>
            <w:tcW w:w="4836" w:type="dxa"/>
          </w:tcPr>
          <w:p w14:paraId="4ED42489" w14:textId="77777777" w:rsidR="006800B1" w:rsidRDefault="006800B1" w:rsidP="00260D5F">
            <w:pPr>
              <w:pStyle w:val="BodyText"/>
              <w:rPr>
                <w:noProof/>
              </w:rPr>
            </w:pPr>
            <w:r>
              <w:rPr>
                <w:noProof/>
              </w:rPr>
              <w:drawing>
                <wp:anchor distT="0" distB="0" distL="114300" distR="114300" simplePos="0" relativeHeight="251658245" behindDoc="0" locked="0" layoutInCell="1" allowOverlap="1" wp14:anchorId="4C8C7A32" wp14:editId="00BD2AF2">
                  <wp:simplePos x="0" y="0"/>
                  <wp:positionH relativeFrom="column">
                    <wp:posOffset>-59055</wp:posOffset>
                  </wp:positionH>
                  <wp:positionV relativeFrom="paragraph">
                    <wp:posOffset>43180</wp:posOffset>
                  </wp:positionV>
                  <wp:extent cx="2924175" cy="2457450"/>
                  <wp:effectExtent l="0" t="0" r="9525" b="0"/>
                  <wp:wrapThrough wrapText="bothSides">
                    <wp:wrapPolygon edited="0">
                      <wp:start x="0" y="0"/>
                      <wp:lineTo x="0" y="21433"/>
                      <wp:lineTo x="21530" y="21433"/>
                      <wp:lineTo x="21530" y="0"/>
                      <wp:lineTo x="0" y="0"/>
                    </wp:wrapPolygon>
                  </wp:wrapThrough>
                  <wp:docPr id="1032714166" name="Chart 1" descr="Horizontal bar chart showing the percentage of students passing at least one AP exam by demographic group for SY2023.&#10;40.8% female; 41.2% male; 4.5% EL; 42.0% non EL; 26.5% Low-income; 50.1% non low-income; 17.6% SWD; 41.6% non SWD.">
                    <a:extLst xmlns:a="http://schemas.openxmlformats.org/drawingml/2006/main">
                      <a:ext uri="{FF2B5EF4-FFF2-40B4-BE49-F238E27FC236}">
                        <a16:creationId xmlns:a16="http://schemas.microsoft.com/office/drawing/2014/main" id="{B24C22F7-9CBA-4884-BDA6-AF650E2170D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14:sizeRelH relativeFrom="margin">
                    <wp14:pctWidth>0</wp14:pctWidth>
                  </wp14:sizeRelH>
                  <wp14:sizeRelV relativeFrom="margin">
                    <wp14:pctHeight>0</wp14:pctHeight>
                  </wp14:sizeRelV>
                </wp:anchor>
              </w:drawing>
            </w:r>
          </w:p>
        </w:tc>
        <w:tc>
          <w:tcPr>
            <w:tcW w:w="5424" w:type="dxa"/>
          </w:tcPr>
          <w:p w14:paraId="3B8A862B" w14:textId="77777777" w:rsidR="006800B1" w:rsidRDefault="006800B1" w:rsidP="00260D5F">
            <w:pPr>
              <w:pStyle w:val="BodyText"/>
              <w:ind w:left="120"/>
              <w:rPr>
                <w:noProof/>
              </w:rPr>
            </w:pPr>
            <w:r>
              <w:rPr>
                <w:noProof/>
              </w:rPr>
              <w:drawing>
                <wp:anchor distT="0" distB="0" distL="114300" distR="114300" simplePos="0" relativeHeight="251658246" behindDoc="0" locked="0" layoutInCell="1" allowOverlap="1" wp14:anchorId="4C0A039B" wp14:editId="4E91711A">
                  <wp:simplePos x="0" y="0"/>
                  <wp:positionH relativeFrom="column">
                    <wp:posOffset>7620</wp:posOffset>
                  </wp:positionH>
                  <wp:positionV relativeFrom="paragraph">
                    <wp:posOffset>43180</wp:posOffset>
                  </wp:positionV>
                  <wp:extent cx="2924175" cy="2457450"/>
                  <wp:effectExtent l="0" t="0" r="9525" b="0"/>
                  <wp:wrapThrough wrapText="bothSides">
                    <wp:wrapPolygon edited="0">
                      <wp:start x="0" y="0"/>
                      <wp:lineTo x="0" y="21433"/>
                      <wp:lineTo x="21530" y="21433"/>
                      <wp:lineTo x="21530" y="0"/>
                      <wp:lineTo x="0" y="0"/>
                    </wp:wrapPolygon>
                  </wp:wrapThrough>
                  <wp:docPr id="940594344" name="Chart 1" descr="Horizontal bar chart showing the percentage of students passing at least one AP exam by demographic group for SY2024.&#10;40.4% female; 40.9% male; 4.9% EL; 41.4% non EL; 26.2% Low-income; 49.5% non low-income; 14.9% SWD; 41.4% non SWD.">
                    <a:extLst xmlns:a="http://schemas.openxmlformats.org/drawingml/2006/main">
                      <a:ext uri="{FF2B5EF4-FFF2-40B4-BE49-F238E27FC236}">
                        <a16:creationId xmlns:a16="http://schemas.microsoft.com/office/drawing/2014/main" id="{5EFFCBA7-F375-4CCD-B16B-FF9CC8B1684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14:sizeRelH relativeFrom="margin">
                    <wp14:pctWidth>0</wp14:pctWidth>
                  </wp14:sizeRelH>
                  <wp14:sizeRelV relativeFrom="margin">
                    <wp14:pctHeight>0</wp14:pctHeight>
                  </wp14:sizeRelV>
                </wp:anchor>
              </w:drawing>
            </w:r>
          </w:p>
        </w:tc>
      </w:tr>
    </w:tbl>
    <w:p w14:paraId="097F136E" w14:textId="4D1B7E73" w:rsidR="00EF1536" w:rsidRPr="00B92022" w:rsidRDefault="00EF1536" w:rsidP="000B15E9">
      <w:pPr>
        <w:spacing w:line="320" w:lineRule="atLeast"/>
        <w:contextualSpacing/>
        <w:rPr>
          <w:rStyle w:val="Strong"/>
          <w:b w:val="0"/>
          <w:bCs w:val="0"/>
        </w:rPr>
      </w:pPr>
      <w:r>
        <w:rPr>
          <w:rStyle w:val="Strong"/>
          <w:b w:val="0"/>
          <w:bCs w:val="0"/>
        </w:rPr>
        <w:t xml:space="preserve">Although not tested for significance, there were notable differences in AP exam passing rates across student groups of interest. </w:t>
      </w:r>
      <w:r w:rsidR="00031241">
        <w:rPr>
          <w:rStyle w:val="Strong"/>
          <w:b w:val="0"/>
          <w:bCs w:val="0"/>
        </w:rPr>
        <w:t xml:space="preserve">In </w:t>
      </w:r>
      <w:r w:rsidR="00031241" w:rsidRPr="00031241">
        <w:rPr>
          <w:rStyle w:val="Strong"/>
          <w:b w:val="0"/>
        </w:rPr>
        <w:t>Figure</w:t>
      </w:r>
      <w:r w:rsidR="00396DF6">
        <w:rPr>
          <w:rStyle w:val="Strong"/>
          <w:b w:val="0"/>
        </w:rPr>
        <w:t xml:space="preserve"> (SY2023), </w:t>
      </w:r>
      <w:r w:rsidR="00031241" w:rsidRPr="00031241">
        <w:rPr>
          <w:rStyle w:val="Strong"/>
          <w:b w:val="0"/>
        </w:rPr>
        <w:t>students who are English learners (4.5%)</w:t>
      </w:r>
      <w:r w:rsidR="00260D5F">
        <w:rPr>
          <w:rStyle w:val="Strong"/>
          <w:b w:val="0"/>
        </w:rPr>
        <w:t xml:space="preserve"> </w:t>
      </w:r>
      <w:r w:rsidR="00031241" w:rsidRPr="00031241">
        <w:rPr>
          <w:rStyle w:val="Strong"/>
          <w:b w:val="0"/>
        </w:rPr>
        <w:t>had rates of passing AP exams over 35 percentage points lower than students who are not English learners (42.0%). Similarly, students with a documented disability (17.6%) had rates of AP exam passing roughly 25 percentage points lower than students without a documented disability (41.6%), and students who are low-income (26.5%) had rates of AP exam passing roughly 25 percentage points lower than students who are not low-income (50.1%</w:t>
      </w:r>
      <w:r w:rsidR="00420B3C">
        <w:rPr>
          <w:rStyle w:val="Strong"/>
          <w:b w:val="0"/>
          <w:bCs w:val="0"/>
        </w:rPr>
        <w:t xml:space="preserve">Similarly, in SY2024 (Figure 22), students who are English learners </w:t>
      </w:r>
      <w:r w:rsidR="00670ADC">
        <w:rPr>
          <w:rStyle w:val="Strong"/>
          <w:b w:val="0"/>
          <w:bCs w:val="0"/>
        </w:rPr>
        <w:t>(</w:t>
      </w:r>
      <w:r w:rsidR="00670ADC" w:rsidRPr="00031241">
        <w:rPr>
          <w:rStyle w:val="Strong"/>
          <w:b w:val="0"/>
        </w:rPr>
        <w:t>4.9%)</w:t>
      </w:r>
      <w:r w:rsidR="00670ADC">
        <w:rPr>
          <w:rStyle w:val="Strong"/>
          <w:b w:val="0"/>
        </w:rPr>
        <w:t xml:space="preserve"> </w:t>
      </w:r>
      <w:r w:rsidR="00420B3C">
        <w:rPr>
          <w:rStyle w:val="Strong"/>
          <w:b w:val="0"/>
          <w:bCs w:val="0"/>
        </w:rPr>
        <w:t>had rates</w:t>
      </w:r>
      <w:r w:rsidR="00670ADC">
        <w:rPr>
          <w:rStyle w:val="Strong"/>
          <w:b w:val="0"/>
          <w:bCs w:val="0"/>
        </w:rPr>
        <w:t xml:space="preserve"> </w:t>
      </w:r>
      <w:r w:rsidR="00420B3C">
        <w:rPr>
          <w:rStyle w:val="Strong"/>
          <w:b w:val="0"/>
          <w:bCs w:val="0"/>
        </w:rPr>
        <w:t>of passing AP exams over 35 percentage points lower than students who are not English learners</w:t>
      </w:r>
      <w:r w:rsidR="00670ADC">
        <w:rPr>
          <w:rStyle w:val="Strong"/>
          <w:b w:val="0"/>
          <w:bCs w:val="0"/>
        </w:rPr>
        <w:t xml:space="preserve"> (</w:t>
      </w:r>
      <w:r w:rsidR="00670ADC" w:rsidRPr="00031241">
        <w:rPr>
          <w:rStyle w:val="Strong"/>
          <w:b w:val="0"/>
        </w:rPr>
        <w:t>41.4%)</w:t>
      </w:r>
      <w:r w:rsidR="00420B3C">
        <w:rPr>
          <w:rStyle w:val="Strong"/>
          <w:b w:val="0"/>
          <w:bCs w:val="0"/>
        </w:rPr>
        <w:t xml:space="preserve">, students with a documented disability </w:t>
      </w:r>
      <w:r w:rsidR="00670ADC">
        <w:rPr>
          <w:rStyle w:val="Strong"/>
          <w:b w:val="0"/>
          <w:bCs w:val="0"/>
        </w:rPr>
        <w:t>(</w:t>
      </w:r>
      <w:r w:rsidR="00670ADC" w:rsidRPr="00031241">
        <w:rPr>
          <w:rStyle w:val="Strong"/>
          <w:b w:val="0"/>
        </w:rPr>
        <w:t xml:space="preserve">14.9%) </w:t>
      </w:r>
      <w:r w:rsidR="00372CE5">
        <w:rPr>
          <w:rStyle w:val="Strong"/>
          <w:b w:val="0"/>
          <w:bCs w:val="0"/>
        </w:rPr>
        <w:t>had rates of AP exam passing roughly 25 percentage points lower than students without a documented disability</w:t>
      </w:r>
      <w:r w:rsidR="00670ADC">
        <w:rPr>
          <w:rStyle w:val="Strong"/>
          <w:b w:val="0"/>
          <w:bCs w:val="0"/>
        </w:rPr>
        <w:t xml:space="preserve"> (</w:t>
      </w:r>
      <w:r w:rsidR="00670ADC" w:rsidRPr="00031241">
        <w:rPr>
          <w:rStyle w:val="Strong"/>
          <w:b w:val="0"/>
        </w:rPr>
        <w:t>41.4%)</w:t>
      </w:r>
      <w:r w:rsidR="00372CE5">
        <w:rPr>
          <w:rStyle w:val="Strong"/>
          <w:b w:val="0"/>
          <w:bCs w:val="0"/>
        </w:rPr>
        <w:t xml:space="preserve">, and students who are low-income </w:t>
      </w:r>
      <w:r w:rsidR="00382CB5">
        <w:rPr>
          <w:rStyle w:val="Strong"/>
          <w:b w:val="0"/>
          <w:bCs w:val="0"/>
        </w:rPr>
        <w:t>(</w:t>
      </w:r>
      <w:r w:rsidR="00382CB5" w:rsidRPr="00031241">
        <w:rPr>
          <w:rStyle w:val="Strong"/>
          <w:b w:val="0"/>
        </w:rPr>
        <w:t>26.5%</w:t>
      </w:r>
      <w:r w:rsidR="00382CB5">
        <w:rPr>
          <w:rStyle w:val="Strong"/>
          <w:b w:val="0"/>
        </w:rPr>
        <w:t xml:space="preserve">) </w:t>
      </w:r>
      <w:r w:rsidR="00372CE5">
        <w:rPr>
          <w:rStyle w:val="Strong"/>
          <w:b w:val="0"/>
          <w:bCs w:val="0"/>
        </w:rPr>
        <w:t>had rates of AP exam passing roughly 25 percentage points lower than students who are not low-income</w:t>
      </w:r>
      <w:r w:rsidR="00382CB5">
        <w:rPr>
          <w:rStyle w:val="Strong"/>
          <w:b w:val="0"/>
          <w:bCs w:val="0"/>
        </w:rPr>
        <w:t xml:space="preserve"> (</w:t>
      </w:r>
      <w:r w:rsidR="00382CB5" w:rsidRPr="00031241">
        <w:rPr>
          <w:rStyle w:val="Strong"/>
          <w:b w:val="0"/>
        </w:rPr>
        <w:t>49.5%</w:t>
      </w:r>
      <w:r w:rsidR="00382CB5">
        <w:rPr>
          <w:rStyle w:val="Strong"/>
          <w:b w:val="0"/>
        </w:rPr>
        <w:t>)</w:t>
      </w:r>
      <w:r w:rsidR="00372CE5">
        <w:rPr>
          <w:rStyle w:val="Strong"/>
          <w:b w:val="0"/>
          <w:bCs w:val="0"/>
        </w:rPr>
        <w:t xml:space="preserve">. </w:t>
      </w:r>
      <w:r w:rsidR="00260D5F" w:rsidRPr="00031241">
        <w:rPr>
          <w:rStyle w:val="Strong"/>
          <w:b w:val="0"/>
        </w:rPr>
        <w:t>No notable differences in AP exam passing rates between female (40.8% / 40.4%) and male (41.2% / 40.9%) students</w:t>
      </w:r>
      <w:r w:rsidR="00260D5F">
        <w:rPr>
          <w:rStyle w:val="Strong"/>
          <w:b w:val="0"/>
          <w:bCs w:val="0"/>
        </w:rPr>
        <w:t xml:space="preserve"> were observed for either SY2023 or SY2024. </w:t>
      </w:r>
      <w:r w:rsidRPr="00490A50">
        <w:rPr>
          <w:rStyle w:val="Strong"/>
          <w:b w:val="0"/>
          <w:bCs w:val="0"/>
        </w:rPr>
        <w:t>These general findings were similar across the three AP content areas examined (ELA, math, and any AP), and they were similar for</w:t>
      </w:r>
      <w:r w:rsidRPr="00490A50" w:rsidDel="00892737">
        <w:rPr>
          <w:rStyle w:val="Strong"/>
          <w:b w:val="0"/>
          <w:bCs w:val="0"/>
        </w:rPr>
        <w:t xml:space="preserve"> </w:t>
      </w:r>
      <w:r>
        <w:rPr>
          <w:rStyle w:val="Strong"/>
          <w:b w:val="0"/>
          <w:bCs w:val="0"/>
        </w:rPr>
        <w:t>both school years</w:t>
      </w:r>
      <w:r w:rsidR="00730705">
        <w:rPr>
          <w:rStyle w:val="Strong"/>
          <w:b w:val="0"/>
          <w:bCs w:val="0"/>
        </w:rPr>
        <w:t xml:space="preserve"> (SY2023 / SY2024)</w:t>
      </w:r>
      <w:r w:rsidRPr="00490A50">
        <w:rPr>
          <w:rStyle w:val="Strong"/>
          <w:b w:val="0"/>
          <w:bCs w:val="0"/>
        </w:rPr>
        <w:t xml:space="preserve">. Figures and tables related to AP ELA, math, and </w:t>
      </w:r>
      <w:r>
        <w:rPr>
          <w:rStyle w:val="Strong"/>
          <w:b w:val="0"/>
          <w:bCs w:val="0"/>
        </w:rPr>
        <w:t>science</w:t>
      </w:r>
      <w:r w:rsidRPr="00490A50">
        <w:rPr>
          <w:rStyle w:val="Strong"/>
          <w:b w:val="0"/>
          <w:bCs w:val="0"/>
        </w:rPr>
        <w:t xml:space="preserve"> can be found in </w:t>
      </w:r>
      <w:r w:rsidRPr="00A93FDB">
        <w:rPr>
          <w:rStyle w:val="Strong"/>
          <w:b w:val="0"/>
        </w:rPr>
        <w:t xml:space="preserve">Appendix </w:t>
      </w:r>
      <w:r>
        <w:rPr>
          <w:rStyle w:val="Strong"/>
          <w:b w:val="0"/>
        </w:rPr>
        <w:t>V</w:t>
      </w:r>
      <w:r w:rsidRPr="00A93FDB">
        <w:rPr>
          <w:rStyle w:val="Strong"/>
          <w:b w:val="0"/>
        </w:rPr>
        <w:t>.</w:t>
      </w:r>
    </w:p>
    <w:p w14:paraId="5DE04394" w14:textId="77777777" w:rsidR="00EF1536" w:rsidRDefault="00EF1536" w:rsidP="007B49DA">
      <w:pPr>
        <w:pStyle w:val="Heading4"/>
        <w:sectPr w:rsidR="00EF1536" w:rsidSect="00EF1536">
          <w:pgSz w:w="12240" w:h="15840" w:code="1"/>
          <w:pgMar w:top="1987" w:right="1440" w:bottom="1980" w:left="1440" w:header="1267" w:footer="1260" w:gutter="0"/>
          <w:cols w:space="720"/>
          <w:docGrid w:linePitch="360"/>
        </w:sectPr>
      </w:pPr>
    </w:p>
    <w:p w14:paraId="7265DFF1" w14:textId="701BD0E5" w:rsidR="00C56A3C" w:rsidRPr="00D6271A" w:rsidRDefault="00C56A3C" w:rsidP="008E5FE2">
      <w:pPr>
        <w:pStyle w:val="Heading3"/>
        <w:pBdr>
          <w:top w:val="single" w:sz="12" w:space="1" w:color="881C1C"/>
          <w:bottom w:val="single" w:sz="12" w:space="1" w:color="881C1C"/>
        </w:pBdr>
        <w:jc w:val="center"/>
        <w:rPr>
          <w:color w:val="auto"/>
        </w:rPr>
      </w:pPr>
      <w:bookmarkStart w:id="261" w:name="_Toc206742115"/>
      <w:bookmarkStart w:id="262" w:name="_Toc207348177"/>
      <w:r w:rsidRPr="00235624">
        <w:rPr>
          <w:color w:val="auto"/>
        </w:rPr>
        <w:lastRenderedPageBreak/>
        <w:t xml:space="preserve">Key Finding </w:t>
      </w:r>
      <w:r w:rsidR="009E6EAF">
        <w:rPr>
          <w:color w:val="auto"/>
        </w:rPr>
        <w:t>5</w:t>
      </w:r>
      <w:r w:rsidRPr="00235624">
        <w:rPr>
          <w:color w:val="auto"/>
        </w:rPr>
        <w:t xml:space="preserve">: </w:t>
      </w:r>
      <w:r w:rsidR="00E1311F">
        <w:rPr>
          <w:color w:val="auto"/>
        </w:rPr>
        <w:t>Teachers who participated in the AP Summer Institute (APSI) generally reported increased preparedness to teach AP STEM and English courses and students.</w:t>
      </w:r>
      <w:bookmarkEnd w:id="261"/>
      <w:bookmarkEnd w:id="262"/>
      <w:r w:rsidR="00E1311F">
        <w:rPr>
          <w:color w:val="auto"/>
        </w:rPr>
        <w:t xml:space="preserve"> </w:t>
      </w:r>
    </w:p>
    <w:bookmarkEnd w:id="238"/>
    <w:bookmarkEnd w:id="239"/>
    <w:bookmarkEnd w:id="240"/>
    <w:p w14:paraId="51707920" w14:textId="523D38F5" w:rsidR="00C240B9" w:rsidRPr="00A60963" w:rsidRDefault="00AE1C50" w:rsidP="00047991">
      <w:pPr>
        <w:pStyle w:val="BodyText"/>
      </w:pPr>
      <w:r>
        <w:t xml:space="preserve">UMDI administered two surveys to AP Summer Institute </w:t>
      </w:r>
      <w:r w:rsidR="00141B2A">
        <w:t xml:space="preserve">(APSI) </w:t>
      </w:r>
      <w:r>
        <w:t>participants</w:t>
      </w:r>
      <w:r w:rsidR="001A2816">
        <w:t xml:space="preserve">—teachers who receive </w:t>
      </w:r>
      <w:r w:rsidR="002B1845">
        <w:t xml:space="preserve">AP teacher </w:t>
      </w:r>
      <w:r w:rsidR="001A2816">
        <w:t>training from Mi</w:t>
      </w:r>
      <w:r w:rsidR="009F2290">
        <w:t xml:space="preserve">. </w:t>
      </w:r>
      <w:r w:rsidR="00C47122">
        <w:t xml:space="preserve">Surveys were distributed </w:t>
      </w:r>
      <w:r>
        <w:t xml:space="preserve">on the final day of the APSI </w:t>
      </w:r>
      <w:r w:rsidR="004A143A">
        <w:t xml:space="preserve">training </w:t>
      </w:r>
      <w:r>
        <w:t>in July 2024, and a follow-up survey</w:t>
      </w:r>
      <w:r w:rsidR="00C47122">
        <w:t xml:space="preserve"> was emailed to participants</w:t>
      </w:r>
      <w:r>
        <w:t xml:space="preserve"> in November 2024. Both surveys were developed in collaboration with DESE</w:t>
      </w:r>
      <w:r w:rsidR="00434FD0">
        <w:t xml:space="preserve">, and were designed to </w:t>
      </w:r>
      <w:r w:rsidR="00867C60">
        <w:t>provide insight into</w:t>
      </w:r>
      <w:r w:rsidR="006B5DF6">
        <w:t xml:space="preserve"> the </w:t>
      </w:r>
      <w:r w:rsidR="00867C60">
        <w:t xml:space="preserve">technical assistance and </w:t>
      </w:r>
      <w:proofErr w:type="gramStart"/>
      <w:r w:rsidR="00867C60">
        <w:t>supports</w:t>
      </w:r>
      <w:proofErr w:type="gramEnd"/>
      <w:r w:rsidR="00867C60">
        <w:t xml:space="preserve"> provided to teachers by Mi. The first survey</w:t>
      </w:r>
      <w:r w:rsidR="00C47122">
        <w:t xml:space="preserve"> </w:t>
      </w:r>
      <w:r w:rsidR="000E1C68">
        <w:t>focused on gathering feedback on teachers’ initial experience with the training and their intentions for implementing the training in their classroom. The November follow-up survey</w:t>
      </w:r>
      <w:r w:rsidR="006B5DF6">
        <w:t xml:space="preserve"> was </w:t>
      </w:r>
      <w:r w:rsidR="000E1C68">
        <w:t xml:space="preserve">administered to the </w:t>
      </w:r>
      <w:r w:rsidR="00C47122">
        <w:t>same group of APSI participants</w:t>
      </w:r>
      <w:r w:rsidR="00EC35B5">
        <w:t>,</w:t>
      </w:r>
      <w:r w:rsidR="000E1C68">
        <w:t xml:space="preserve"> </w:t>
      </w:r>
      <w:r w:rsidR="000172D9">
        <w:t xml:space="preserve">to assess the extent to which teachers were able to apply their training </w:t>
      </w:r>
      <w:r w:rsidR="00791982">
        <w:t xml:space="preserve">and provide insights regarding the results of applying lessons learned from the APSI training in their classroom. </w:t>
      </w:r>
    </w:p>
    <w:p w14:paraId="50E68F48" w14:textId="77777777" w:rsidR="00867C60" w:rsidRPr="00A60963" w:rsidRDefault="00867C60" w:rsidP="00047991">
      <w:pPr>
        <w:pStyle w:val="BodyText"/>
      </w:pPr>
    </w:p>
    <w:p w14:paraId="19EF33A6" w14:textId="24D94714" w:rsidR="00FE7D2C" w:rsidRDefault="00FE7D2C" w:rsidP="00047991">
      <w:pPr>
        <w:pStyle w:val="BodyText"/>
      </w:pPr>
      <w:r>
        <w:t xml:space="preserve">Of the </w:t>
      </w:r>
      <w:r w:rsidR="00C15AC8">
        <w:t>11</w:t>
      </w:r>
      <w:r w:rsidR="00892285">
        <w:t>5</w:t>
      </w:r>
      <w:r w:rsidR="00C15AC8">
        <w:t xml:space="preserve"> </w:t>
      </w:r>
      <w:r w:rsidR="00A77396">
        <w:t xml:space="preserve">AP teachers who were sent </w:t>
      </w:r>
      <w:r w:rsidR="00CA336A">
        <w:t>both</w:t>
      </w:r>
      <w:r w:rsidR="00A77396">
        <w:t xml:space="preserve"> survey</w:t>
      </w:r>
      <w:r w:rsidR="00CA336A">
        <w:t>s</w:t>
      </w:r>
      <w:r w:rsidR="00A77396">
        <w:t>,</w:t>
      </w:r>
      <w:r w:rsidR="00C51974">
        <w:t xml:space="preserve"> 34 (</w:t>
      </w:r>
      <w:r w:rsidR="009203EF">
        <w:t>30</w:t>
      </w:r>
      <w:r w:rsidR="004A48D6">
        <w:t xml:space="preserve">%) </w:t>
      </w:r>
      <w:r w:rsidR="00722BFB">
        <w:t>partially</w:t>
      </w:r>
      <w:r w:rsidR="00A92FFE">
        <w:rPr>
          <w:rStyle w:val="FootnoteReference"/>
        </w:rPr>
        <w:footnoteReference w:id="33"/>
      </w:r>
      <w:r w:rsidR="00722BFB">
        <w:t xml:space="preserve"> or fully </w:t>
      </w:r>
      <w:r w:rsidR="004A48D6">
        <w:t xml:space="preserve">completed the </w:t>
      </w:r>
      <w:r w:rsidR="00CA336A">
        <w:t>July survey</w:t>
      </w:r>
      <w:r w:rsidR="00380C05">
        <w:t xml:space="preserve"> </w:t>
      </w:r>
      <w:r w:rsidR="004A48D6">
        <w:t xml:space="preserve">and </w:t>
      </w:r>
      <w:r w:rsidR="0050616C">
        <w:t>2</w:t>
      </w:r>
      <w:r w:rsidR="00EC35B5">
        <w:t>3</w:t>
      </w:r>
      <w:r w:rsidR="0050616C">
        <w:t xml:space="preserve"> (2</w:t>
      </w:r>
      <w:r w:rsidR="00EC35B5">
        <w:t>0</w:t>
      </w:r>
      <w:r w:rsidR="0050616C">
        <w:t xml:space="preserve">%) </w:t>
      </w:r>
      <w:r w:rsidR="00722BFB">
        <w:t xml:space="preserve">partially or fully </w:t>
      </w:r>
      <w:r w:rsidR="0050616C">
        <w:t xml:space="preserve">completed the </w:t>
      </w:r>
      <w:r w:rsidR="00CA336A">
        <w:t>November f</w:t>
      </w:r>
      <w:r w:rsidR="003354F5">
        <w:t xml:space="preserve">ollow-up </w:t>
      </w:r>
      <w:r w:rsidR="00CA336A">
        <w:t>s</w:t>
      </w:r>
      <w:r w:rsidR="003354F5">
        <w:t>urvey.</w:t>
      </w:r>
      <w:r w:rsidR="001E3724">
        <w:rPr>
          <w:rStyle w:val="FootnoteReference"/>
        </w:rPr>
        <w:footnoteReference w:id="34"/>
      </w:r>
      <w:r w:rsidR="00A75F5D">
        <w:t xml:space="preserve"> </w:t>
      </w:r>
      <w:r w:rsidR="00375CB5">
        <w:t>W</w:t>
      </w:r>
      <w:r w:rsidR="00535914">
        <w:t xml:space="preserve">hile there was some variation in responses, </w:t>
      </w:r>
      <w:r w:rsidR="00375CB5">
        <w:t xml:space="preserve">most </w:t>
      </w:r>
      <w:r w:rsidR="00EC35B5">
        <w:t>participants</w:t>
      </w:r>
      <w:r w:rsidR="00B11BD0">
        <w:t xml:space="preserve"> </w:t>
      </w:r>
      <w:r w:rsidR="00375CB5">
        <w:t xml:space="preserve">indicated that participating in the APSI had increased their </w:t>
      </w:r>
      <w:r w:rsidR="00B11BD0">
        <w:t xml:space="preserve">preparedness to teach AP </w:t>
      </w:r>
      <w:r w:rsidR="002E5164">
        <w:t>STEM and English courses</w:t>
      </w:r>
      <w:r w:rsidR="00B11BD0">
        <w:t xml:space="preserve">. </w:t>
      </w:r>
      <w:r w:rsidR="000C5746">
        <w:t xml:space="preserve">A summary of survey insights is provided below, </w:t>
      </w:r>
      <w:r w:rsidR="00ED234E">
        <w:t xml:space="preserve">organized first by results from the July survey followed by results from the November survey. </w:t>
      </w:r>
      <w:r w:rsidR="00984523">
        <w:t xml:space="preserve">Please see </w:t>
      </w:r>
      <w:r w:rsidR="003B7E39">
        <w:t xml:space="preserve">Appendices </w:t>
      </w:r>
      <w:r w:rsidR="0032299E">
        <w:t xml:space="preserve">E </w:t>
      </w:r>
      <w:r w:rsidR="003B7E39">
        <w:t xml:space="preserve">and </w:t>
      </w:r>
      <w:r w:rsidR="0032299E">
        <w:t xml:space="preserve">G </w:t>
      </w:r>
      <w:r w:rsidR="00A9393E">
        <w:t xml:space="preserve">for </w:t>
      </w:r>
      <w:r w:rsidR="00CA336A">
        <w:t xml:space="preserve">a </w:t>
      </w:r>
      <w:r w:rsidR="003D3918">
        <w:t xml:space="preserve">comprehensive </w:t>
      </w:r>
      <w:r w:rsidR="00CA336A">
        <w:t xml:space="preserve">summary of survey responses. </w:t>
      </w:r>
    </w:p>
    <w:p w14:paraId="1E0BCE4D" w14:textId="77777777" w:rsidR="009F4187" w:rsidRDefault="009F4187" w:rsidP="00047991">
      <w:pPr>
        <w:pStyle w:val="BodyText"/>
        <w:rPr>
          <w:rStyle w:val="Strong"/>
          <w:b w:val="0"/>
          <w:bCs w:val="0"/>
        </w:rPr>
      </w:pPr>
    </w:p>
    <w:p w14:paraId="0798336B" w14:textId="4EB20237" w:rsidR="009F4187" w:rsidRDefault="009F4187" w:rsidP="009F4187">
      <w:pPr>
        <w:pStyle w:val="BodyText"/>
        <w:rPr>
          <w:rStyle w:val="Strong"/>
          <w:b w:val="0"/>
          <w:bCs w:val="0"/>
        </w:rPr>
      </w:pPr>
      <w:r>
        <w:rPr>
          <w:rStyle w:val="Strong"/>
          <w:b w:val="0"/>
          <w:bCs w:val="0"/>
        </w:rPr>
        <w:t>Results presented for this key finding are organized as follows:</w:t>
      </w:r>
    </w:p>
    <w:p w14:paraId="74F94298" w14:textId="4417EBB6" w:rsidR="009F4187" w:rsidRPr="00B8419E" w:rsidRDefault="009F4187" w:rsidP="009F4187">
      <w:pPr>
        <w:pStyle w:val="ListNumber"/>
        <w:numPr>
          <w:ilvl w:val="0"/>
          <w:numId w:val="38"/>
        </w:numPr>
        <w:spacing w:after="0"/>
        <w:rPr>
          <w:rStyle w:val="Strong"/>
          <w:b w:val="0"/>
          <w:bCs w:val="0"/>
          <w:color w:val="000000" w:themeColor="text1"/>
        </w:rPr>
      </w:pPr>
      <w:r>
        <w:rPr>
          <w:rStyle w:val="Strong"/>
          <w:b w:val="0"/>
          <w:bCs w:val="0"/>
        </w:rPr>
        <w:t>Initial survey</w:t>
      </w:r>
    </w:p>
    <w:p w14:paraId="1ECA7401" w14:textId="77777777" w:rsidR="009F4187" w:rsidRDefault="009F4187" w:rsidP="009F4187">
      <w:pPr>
        <w:pStyle w:val="ListNumber"/>
        <w:numPr>
          <w:ilvl w:val="0"/>
          <w:numId w:val="41"/>
        </w:numPr>
        <w:spacing w:after="0"/>
        <w:ind w:left="720"/>
        <w:rPr>
          <w:rStyle w:val="Strong"/>
          <w:b w:val="0"/>
          <w:bCs w:val="0"/>
        </w:rPr>
      </w:pPr>
      <w:r>
        <w:rPr>
          <w:rStyle w:val="Strong"/>
          <w:b w:val="0"/>
          <w:bCs w:val="0"/>
        </w:rPr>
        <w:t>Student identities and teacher preparedness</w:t>
      </w:r>
    </w:p>
    <w:p w14:paraId="2CC69A00" w14:textId="77777777" w:rsidR="009F4187" w:rsidRDefault="009F4187" w:rsidP="009F4187">
      <w:pPr>
        <w:pStyle w:val="ListNumber"/>
        <w:numPr>
          <w:ilvl w:val="0"/>
          <w:numId w:val="41"/>
        </w:numPr>
        <w:spacing w:after="0"/>
        <w:ind w:left="720"/>
        <w:rPr>
          <w:rStyle w:val="Strong"/>
          <w:b w:val="0"/>
          <w:bCs w:val="0"/>
        </w:rPr>
      </w:pPr>
      <w:r>
        <w:rPr>
          <w:rStyle w:val="Strong"/>
          <w:b w:val="0"/>
          <w:bCs w:val="0"/>
        </w:rPr>
        <w:t>APSI resources and activities</w:t>
      </w:r>
    </w:p>
    <w:p w14:paraId="468DE9F8" w14:textId="15403DE8" w:rsidR="009F4187" w:rsidRPr="00B8419E" w:rsidRDefault="009F4187" w:rsidP="00B8419E">
      <w:pPr>
        <w:pStyle w:val="ListNumber"/>
        <w:numPr>
          <w:ilvl w:val="0"/>
          <w:numId w:val="41"/>
        </w:numPr>
        <w:spacing w:after="0"/>
        <w:ind w:left="720"/>
        <w:rPr>
          <w:rStyle w:val="Strong"/>
          <w:b w:val="0"/>
          <w:bCs w:val="0"/>
        </w:rPr>
      </w:pPr>
      <w:r>
        <w:rPr>
          <w:rStyle w:val="Strong"/>
          <w:b w:val="0"/>
          <w:bCs w:val="0"/>
        </w:rPr>
        <w:t>College-going culture</w:t>
      </w:r>
    </w:p>
    <w:p w14:paraId="197CC04D" w14:textId="58FF17D0" w:rsidR="009F4187" w:rsidRDefault="009F4187" w:rsidP="009F4187">
      <w:pPr>
        <w:pStyle w:val="ListBullet2"/>
        <w:numPr>
          <w:ilvl w:val="0"/>
          <w:numId w:val="39"/>
        </w:numPr>
        <w:spacing w:after="0"/>
        <w:rPr>
          <w:rStyle w:val="Strong"/>
          <w:b w:val="0"/>
          <w:bCs w:val="0"/>
        </w:rPr>
      </w:pPr>
      <w:r>
        <w:rPr>
          <w:rStyle w:val="Strong"/>
          <w:b w:val="0"/>
          <w:bCs w:val="0"/>
        </w:rPr>
        <w:t xml:space="preserve">Follow-up survey </w:t>
      </w:r>
    </w:p>
    <w:p w14:paraId="63AB5817" w14:textId="046DE7C8" w:rsidR="009F4187" w:rsidRDefault="009F4187" w:rsidP="009F4187">
      <w:pPr>
        <w:pStyle w:val="ListBullet2"/>
        <w:numPr>
          <w:ilvl w:val="1"/>
          <w:numId w:val="39"/>
        </w:numPr>
        <w:tabs>
          <w:tab w:val="clear" w:pos="576"/>
        </w:tabs>
        <w:spacing w:after="0"/>
        <w:rPr>
          <w:rStyle w:val="Strong"/>
          <w:b w:val="0"/>
          <w:bCs w:val="0"/>
        </w:rPr>
      </w:pPr>
      <w:r>
        <w:rPr>
          <w:rStyle w:val="Strong"/>
          <w:b w:val="0"/>
          <w:bCs w:val="0"/>
        </w:rPr>
        <w:t>Student identities and teacher preparedness</w:t>
      </w:r>
    </w:p>
    <w:p w14:paraId="63B7319C" w14:textId="544A7D77" w:rsidR="009F4187" w:rsidRDefault="009F4187" w:rsidP="009F4187">
      <w:pPr>
        <w:pStyle w:val="ListBullet2"/>
        <w:numPr>
          <w:ilvl w:val="1"/>
          <w:numId w:val="39"/>
        </w:numPr>
        <w:tabs>
          <w:tab w:val="clear" w:pos="576"/>
        </w:tabs>
        <w:spacing w:after="0"/>
        <w:rPr>
          <w:rStyle w:val="Strong"/>
          <w:b w:val="0"/>
          <w:bCs w:val="0"/>
        </w:rPr>
      </w:pPr>
      <w:r>
        <w:rPr>
          <w:rStyle w:val="Strong"/>
          <w:b w:val="0"/>
          <w:bCs w:val="0"/>
        </w:rPr>
        <w:t>Resources and activities</w:t>
      </w:r>
    </w:p>
    <w:p w14:paraId="0E2370D2" w14:textId="2FEC573D" w:rsidR="009F4187" w:rsidRPr="007D01C2" w:rsidRDefault="009F4187" w:rsidP="007D01C2">
      <w:pPr>
        <w:pStyle w:val="ListBullet2"/>
        <w:numPr>
          <w:ilvl w:val="1"/>
          <w:numId w:val="39"/>
        </w:numPr>
        <w:tabs>
          <w:tab w:val="clear" w:pos="576"/>
        </w:tabs>
        <w:spacing w:after="0"/>
        <w:rPr>
          <w:rStyle w:val="Strong"/>
          <w:b w:val="0"/>
          <w:bCs w:val="0"/>
        </w:rPr>
      </w:pPr>
      <w:r>
        <w:rPr>
          <w:rStyle w:val="Strong"/>
          <w:b w:val="0"/>
          <w:bCs w:val="0"/>
        </w:rPr>
        <w:t>College-going culture</w:t>
      </w:r>
    </w:p>
    <w:p w14:paraId="4E068AE1" w14:textId="6FE957F8" w:rsidR="00C46A53" w:rsidRDefault="00C46A53" w:rsidP="007B49DA">
      <w:pPr>
        <w:pStyle w:val="Heading4"/>
      </w:pPr>
      <w:bookmarkStart w:id="263" w:name="_Toc204766677"/>
      <w:bookmarkStart w:id="264" w:name="_Toc206742116"/>
      <w:bookmarkStart w:id="265" w:name="_Toc207183746"/>
      <w:bookmarkStart w:id="266" w:name="_Toc207348178"/>
      <w:r w:rsidRPr="00631F67">
        <w:lastRenderedPageBreak/>
        <w:t>Initial Survey</w:t>
      </w:r>
      <w:bookmarkEnd w:id="263"/>
      <w:bookmarkEnd w:id="264"/>
      <w:bookmarkEnd w:id="265"/>
      <w:bookmarkEnd w:id="266"/>
    </w:p>
    <w:p w14:paraId="1561D316" w14:textId="77777777" w:rsidR="00143053" w:rsidRPr="00FB54E7" w:rsidRDefault="00143053" w:rsidP="007B49DA">
      <w:pPr>
        <w:pStyle w:val="Heading5"/>
        <w:rPr>
          <w:color w:val="595959" w:themeColor="text1" w:themeTint="A6"/>
        </w:rPr>
      </w:pPr>
      <w:r w:rsidRPr="00FB54E7">
        <w:rPr>
          <w:color w:val="595959" w:themeColor="text1" w:themeTint="A6"/>
        </w:rPr>
        <w:t>Student identities and teacher preparedness</w:t>
      </w:r>
    </w:p>
    <w:p w14:paraId="22542F78" w14:textId="2D39CE7F" w:rsidR="00134546" w:rsidRDefault="004261F4" w:rsidP="00047991">
      <w:pPr>
        <w:pStyle w:val="BodyText"/>
      </w:pPr>
      <w:r>
        <w:t xml:space="preserve">One of the goals of the </w:t>
      </w:r>
      <w:r w:rsidR="00730CC8">
        <w:t xml:space="preserve">APSI training is to increase </w:t>
      </w:r>
      <w:r w:rsidR="008D59FC">
        <w:t>teachers’</w:t>
      </w:r>
      <w:r w:rsidR="00730CC8">
        <w:t xml:space="preserve"> </w:t>
      </w:r>
      <w:r w:rsidR="00EB0025">
        <w:t xml:space="preserve">preparedness </w:t>
      </w:r>
      <w:r w:rsidR="00730CC8">
        <w:t xml:space="preserve">to teach students </w:t>
      </w:r>
      <w:r w:rsidR="00A75F5D">
        <w:t xml:space="preserve">who have been </w:t>
      </w:r>
      <w:r w:rsidR="003A7004">
        <w:t>historically marginalized</w:t>
      </w:r>
      <w:r w:rsidR="00730CC8">
        <w:t>.</w:t>
      </w:r>
      <w:r w:rsidR="008964B9">
        <w:t xml:space="preserve"> </w:t>
      </w:r>
      <w:r w:rsidR="00EC6AA3">
        <w:t>Three survey</w:t>
      </w:r>
      <w:r w:rsidR="008964B9">
        <w:t xml:space="preserve"> question</w:t>
      </w:r>
      <w:r w:rsidR="00EC6AA3">
        <w:t>s</w:t>
      </w:r>
      <w:r w:rsidR="008964B9">
        <w:t xml:space="preserve"> asked teachers to gauge their </w:t>
      </w:r>
      <w:proofErr w:type="gramStart"/>
      <w:r w:rsidR="008964B9" w:rsidRPr="00577FAA">
        <w:rPr>
          <w:rStyle w:val="BodyTextChar"/>
        </w:rPr>
        <w:t>preparednes</w:t>
      </w:r>
      <w:r w:rsidR="00AD4326" w:rsidRPr="00577FAA">
        <w:rPr>
          <w:rStyle w:val="BodyTextChar"/>
        </w:rPr>
        <w:t>s</w:t>
      </w:r>
      <w:proofErr w:type="gramEnd"/>
      <w:r w:rsidR="00AD4326" w:rsidRPr="00577FAA">
        <w:rPr>
          <w:rStyle w:val="BodyTextChar"/>
        </w:rPr>
        <w:t xml:space="preserve"> </w:t>
      </w:r>
      <w:r w:rsidR="004E1AD6">
        <w:rPr>
          <w:rStyle w:val="BodyTextChar"/>
        </w:rPr>
        <w:t xml:space="preserve">to teach students </w:t>
      </w:r>
      <w:r w:rsidR="00A75F5D">
        <w:rPr>
          <w:rStyle w:val="BodyTextChar"/>
        </w:rPr>
        <w:t xml:space="preserve">who have been historically </w:t>
      </w:r>
      <w:r w:rsidR="004E1AD6" w:rsidRPr="004D1898">
        <w:rPr>
          <w:rStyle w:val="BodyTextChar"/>
        </w:rPr>
        <w:t xml:space="preserve">marginalized </w:t>
      </w:r>
      <w:r w:rsidR="00D741BA" w:rsidRPr="00BA706B">
        <w:rPr>
          <w:rStyle w:val="BodyTextChar"/>
        </w:rPr>
        <w:t>before</w:t>
      </w:r>
      <w:r w:rsidR="004C49C5">
        <w:rPr>
          <w:rStyle w:val="BodyTextChar"/>
        </w:rPr>
        <w:t xml:space="preserve"> attending the APSI</w:t>
      </w:r>
      <w:r w:rsidR="00917FAE" w:rsidRPr="00577FAA">
        <w:rPr>
          <w:rStyle w:val="BodyTextChar"/>
        </w:rPr>
        <w:t xml:space="preserve">, </w:t>
      </w:r>
      <w:proofErr w:type="gramStart"/>
      <w:r w:rsidR="00A17EE8">
        <w:rPr>
          <w:rStyle w:val="BodyTextChar"/>
        </w:rPr>
        <w:t>as a result of</w:t>
      </w:r>
      <w:proofErr w:type="gramEnd"/>
      <w:r w:rsidR="00A17EE8">
        <w:rPr>
          <w:rStyle w:val="BodyTextChar"/>
        </w:rPr>
        <w:t xml:space="preserve"> </w:t>
      </w:r>
      <w:r w:rsidR="004C49C5">
        <w:rPr>
          <w:rStyle w:val="BodyTextChar"/>
        </w:rPr>
        <w:t>attending the APSI</w:t>
      </w:r>
      <w:r w:rsidR="00917FAE" w:rsidRPr="00577FAA">
        <w:rPr>
          <w:rStyle w:val="BodyTextChar"/>
        </w:rPr>
        <w:t>,</w:t>
      </w:r>
      <w:r w:rsidR="00D741BA" w:rsidRPr="00577FAA">
        <w:rPr>
          <w:rStyle w:val="BodyTextChar"/>
        </w:rPr>
        <w:t xml:space="preserve"> </w:t>
      </w:r>
      <w:r w:rsidR="00917FAE" w:rsidRPr="00577FAA">
        <w:rPr>
          <w:rStyle w:val="BodyTextChar"/>
        </w:rPr>
        <w:t>and nearing completion of</w:t>
      </w:r>
      <w:r w:rsidR="00D741BA" w:rsidRPr="00577FAA">
        <w:rPr>
          <w:rStyle w:val="BodyTextChar"/>
        </w:rPr>
        <w:t xml:space="preserve"> the APSI </w:t>
      </w:r>
      <w:r w:rsidR="00134546">
        <w:t xml:space="preserve">by </w:t>
      </w:r>
      <w:r w:rsidR="005F45D9">
        <w:t>indicating their level of agreement with the following statements</w:t>
      </w:r>
      <w:r w:rsidR="00134546">
        <w:t>:</w:t>
      </w:r>
    </w:p>
    <w:p w14:paraId="53C5BD0F" w14:textId="63F2DD09" w:rsidR="00102191" w:rsidRDefault="00102191" w:rsidP="00483AA1">
      <w:pPr>
        <w:pStyle w:val="ListBullet"/>
      </w:pPr>
      <w:r w:rsidRPr="001728F1">
        <w:t>Before attending this APSI, I was well prepared to teach students who are African American /Black, Asian, Hispanic/Latino, White, English Language Learners, Students with Disabilities, Students from Low-Income Households</w:t>
      </w:r>
      <w:r>
        <w:t>.</w:t>
      </w:r>
    </w:p>
    <w:p w14:paraId="6BAA2016" w14:textId="43A95F9C" w:rsidR="00102191" w:rsidRDefault="00102191" w:rsidP="00483AA1">
      <w:pPr>
        <w:pStyle w:val="ListBullet"/>
      </w:pPr>
      <w:r w:rsidRPr="00E01172">
        <w:t>Attending this APSI has increased my level of preparedness to teach students who are African American /Black, Asian, Hispanic/Latino, White, English Language Learners, Students with Disabilities, Students from Low-Income Households</w:t>
      </w:r>
    </w:p>
    <w:p w14:paraId="058C286B" w14:textId="586D1421" w:rsidR="00102191" w:rsidRDefault="00102191" w:rsidP="00483AA1">
      <w:pPr>
        <w:pStyle w:val="ListBullet"/>
      </w:pPr>
      <w:r w:rsidRPr="004F5A28">
        <w:t>Now that I am near the completion of this APSI, I am well prepared to teach students who are African American /Black, Asian, Hispanic/Latino, White, English Language Learners, Students with Disabilities, Students from Low-Income Households</w:t>
      </w:r>
      <w:r>
        <w:t xml:space="preserve"> </w:t>
      </w:r>
    </w:p>
    <w:p w14:paraId="6EDDB639" w14:textId="3B096E4A" w:rsidR="00F36AFE" w:rsidRDefault="001C7A38" w:rsidP="00047991">
      <w:pPr>
        <w:pStyle w:val="BodyText"/>
      </w:pPr>
      <w:r w:rsidRPr="007B49DA">
        <w:t>Of the 115 APSI participants, a small group (30%, or 3</w:t>
      </w:r>
      <w:r w:rsidR="00A75F5D" w:rsidRPr="007B49DA">
        <w:t>4</w:t>
      </w:r>
      <w:r w:rsidRPr="007B49DA">
        <w:t xml:space="preserve">) partially or fully completed the survey. Please see Appendix </w:t>
      </w:r>
      <w:r w:rsidR="00EE177E" w:rsidRPr="007B49DA">
        <w:t xml:space="preserve">E </w:t>
      </w:r>
      <w:r w:rsidRPr="007B49DA">
        <w:t xml:space="preserve">for a comprehensive summary of survey results. </w:t>
      </w:r>
      <w:r w:rsidR="000B69A4" w:rsidRPr="007B49DA">
        <w:t>These results are therefore descriptive, and not generalizable.</w:t>
      </w:r>
      <w:r w:rsidR="000B69A4">
        <w:rPr>
          <w:rStyle w:val="Heading4Char"/>
          <w:rFonts w:ascii="Open Sans" w:eastAsiaTheme="minorHAnsi" w:hAnsi="Open Sans" w:cstheme="minorBidi"/>
          <w:sz w:val="20"/>
        </w:rPr>
        <w:t xml:space="preserve"> </w:t>
      </w:r>
      <w:r w:rsidR="006E24EB" w:rsidRPr="00577FAA">
        <w:t xml:space="preserve">Survey responses were compiled </w:t>
      </w:r>
      <w:r w:rsidR="00B8457F" w:rsidRPr="00577FAA">
        <w:t xml:space="preserve">to assess whether progress had been made in their preparedness </w:t>
      </w:r>
      <w:proofErr w:type="gramStart"/>
      <w:r w:rsidR="00B8457F" w:rsidRPr="00577FAA">
        <w:t>as a result of</w:t>
      </w:r>
      <w:proofErr w:type="gramEnd"/>
      <w:r w:rsidR="00B8457F" w:rsidRPr="00577FAA">
        <w:t xml:space="preserve"> participating in the APSI</w:t>
      </w:r>
      <w:r w:rsidR="00577FAA" w:rsidRPr="00577FAA">
        <w:t xml:space="preserve"> (Figure </w:t>
      </w:r>
      <w:r w:rsidR="00E17782">
        <w:t>25</w:t>
      </w:r>
      <w:r w:rsidR="00577FAA" w:rsidRPr="00577FAA">
        <w:t>)</w:t>
      </w:r>
      <w:r w:rsidR="00B8457F" w:rsidRPr="00577FAA">
        <w:t xml:space="preserve">. </w:t>
      </w:r>
      <w:r w:rsidR="00F57CC1" w:rsidRPr="00577FAA">
        <w:t xml:space="preserve">Overall, </w:t>
      </w:r>
      <w:r w:rsidR="00A332BA" w:rsidRPr="00577FAA">
        <w:t xml:space="preserve">the majority of </w:t>
      </w:r>
      <w:r w:rsidR="00F57CC1" w:rsidRPr="00577FAA">
        <w:t>AP</w:t>
      </w:r>
      <w:r w:rsidR="00B7269B" w:rsidRPr="00577FAA">
        <w:t>SI respondents</w:t>
      </w:r>
      <w:r w:rsidR="00F57CC1" w:rsidRPr="00577FAA">
        <w:t xml:space="preserve"> </w:t>
      </w:r>
      <w:r w:rsidR="00CF43E8" w:rsidRPr="00577FAA">
        <w:t xml:space="preserve">(67%–73%) </w:t>
      </w:r>
      <w:r w:rsidR="00A332BA" w:rsidRPr="00577FAA">
        <w:t>indicated that</w:t>
      </w:r>
      <w:r w:rsidR="001C7232">
        <w:t xml:space="preserve"> they felt more prepared to teach students </w:t>
      </w:r>
      <w:r w:rsidR="00C77339">
        <w:t xml:space="preserve">who have been historically marginalized </w:t>
      </w:r>
      <w:r w:rsidR="001C7232">
        <w:t>after the APSI</w:t>
      </w:r>
      <w:r w:rsidR="006127A5" w:rsidRPr="00577FAA">
        <w:t>. Several respondents (</w:t>
      </w:r>
      <w:r w:rsidR="00716C46" w:rsidRPr="00577FAA">
        <w:t>18%</w:t>
      </w:r>
      <w:r w:rsidR="00F969D0" w:rsidRPr="00577FAA">
        <w:t>–</w:t>
      </w:r>
      <w:r w:rsidR="00716C46" w:rsidRPr="00577FAA">
        <w:t>21%)</w:t>
      </w:r>
      <w:r w:rsidR="00CF43E8" w:rsidRPr="00577FAA">
        <w:t xml:space="preserve"> </w:t>
      </w:r>
      <w:r w:rsidR="00716C46" w:rsidRPr="00577FAA">
        <w:t xml:space="preserve">indicated they felt well-prepared to teach </w:t>
      </w:r>
      <w:r w:rsidR="00EF2EEB">
        <w:t>t</w:t>
      </w:r>
      <w:r w:rsidR="00C76166">
        <w:t xml:space="preserve">hese </w:t>
      </w:r>
      <w:r w:rsidR="00716C46" w:rsidRPr="00577FAA">
        <w:t>students</w:t>
      </w:r>
      <w:r w:rsidR="00E51F5A">
        <w:t xml:space="preserve"> prior to the APSI</w:t>
      </w:r>
      <w:r w:rsidR="00716C46" w:rsidRPr="00577FAA">
        <w:t>, and that participation in the APSI did not increase their</w:t>
      </w:r>
      <w:r w:rsidR="000D792D">
        <w:t xml:space="preserve"> level </w:t>
      </w:r>
      <w:r w:rsidR="004D0A8B">
        <w:t xml:space="preserve">of </w:t>
      </w:r>
      <w:r w:rsidR="004D0A8B" w:rsidRPr="00577FAA">
        <w:t>preparedness</w:t>
      </w:r>
      <w:r w:rsidR="00716C46" w:rsidRPr="00577FAA">
        <w:t>. A slightly smaller percentage of participants (</w:t>
      </w:r>
      <w:r w:rsidR="00A826CF" w:rsidRPr="00577FAA">
        <w:t>9</w:t>
      </w:r>
      <w:r w:rsidR="00F969D0" w:rsidRPr="00577FAA">
        <w:t>%–</w:t>
      </w:r>
      <w:r w:rsidR="00A826CF" w:rsidRPr="00577FAA">
        <w:t xml:space="preserve">21%) indicated </w:t>
      </w:r>
      <w:r w:rsidR="007147F0">
        <w:t>that participating in the</w:t>
      </w:r>
      <w:r w:rsidR="00A826CF" w:rsidRPr="00577FAA">
        <w:t xml:space="preserve"> APSI did</w:t>
      </w:r>
      <w:r w:rsidR="007147F0">
        <w:t xml:space="preserve"> change their level of</w:t>
      </w:r>
      <w:r w:rsidR="00A826CF" w:rsidRPr="00577FAA">
        <w:t xml:space="preserve"> preparedness to </w:t>
      </w:r>
      <w:r w:rsidR="00B50078" w:rsidRPr="00577FAA">
        <w:t xml:space="preserve">teach AP STEM or English courses to students with </w:t>
      </w:r>
      <w:r w:rsidR="004A74BF" w:rsidRPr="00577FAA">
        <w:t>select</w:t>
      </w:r>
      <w:r w:rsidR="00B50078" w:rsidRPr="00577FAA">
        <w:t xml:space="preserve"> identities. </w:t>
      </w:r>
      <w:r w:rsidR="004A74BF" w:rsidRPr="00577FAA">
        <w:t xml:space="preserve">Of note is that the </w:t>
      </w:r>
      <w:r w:rsidR="00A46C42">
        <w:t>among respondents, teachers most frequently indicated progress in teaching students who are White</w:t>
      </w:r>
      <w:r w:rsidR="0005126F" w:rsidRPr="00577FAA">
        <w:t xml:space="preserve"> </w:t>
      </w:r>
      <w:r w:rsidR="00854D3C" w:rsidRPr="00577FAA">
        <w:t>(</w:t>
      </w:r>
      <w:r w:rsidR="009B0AAD">
        <w:t xml:space="preserve">24, or </w:t>
      </w:r>
      <w:r w:rsidR="00854D3C" w:rsidRPr="00577FAA">
        <w:t>73%)</w:t>
      </w:r>
      <w:r w:rsidR="009B0AAD">
        <w:t xml:space="preserve">, whereas only </w:t>
      </w:r>
      <w:r w:rsidR="00BA706B">
        <w:t xml:space="preserve">20 </w:t>
      </w:r>
      <w:r w:rsidR="009B0AAD">
        <w:t>respondents</w:t>
      </w:r>
      <w:r w:rsidR="002B787B">
        <w:t xml:space="preserve"> indicated progress in teaching students who are English learners (61%). </w:t>
      </w:r>
    </w:p>
    <w:p w14:paraId="02F6C1DB" w14:textId="6D77E6D6" w:rsidR="00F36AFE" w:rsidRDefault="00F36AFE" w:rsidP="00F36AFE">
      <w:pPr>
        <w:pStyle w:val="FigureCaption"/>
      </w:pPr>
      <w:bookmarkStart w:id="267" w:name="_Toc207348467"/>
      <w:r w:rsidRPr="00CD7270">
        <w:lastRenderedPageBreak/>
        <w:t xml:space="preserve">Figure </w:t>
      </w:r>
      <w:r w:rsidR="00A63304">
        <w:t>25</w:t>
      </w:r>
      <w:r w:rsidRPr="00CD7270">
        <w:t xml:space="preserve">. APSI teacher </w:t>
      </w:r>
      <w:r w:rsidR="004A6084" w:rsidRPr="00CD7270">
        <w:t>progression of preparedness</w:t>
      </w:r>
      <w:r>
        <w:rPr>
          <w:rStyle w:val="FootnoteReference"/>
        </w:rPr>
        <w:footnoteReference w:id="35"/>
      </w:r>
      <w:bookmarkEnd w:id="267"/>
    </w:p>
    <w:p w14:paraId="3EF24163" w14:textId="77777777" w:rsidR="001C4510" w:rsidRDefault="006A6F4A" w:rsidP="007101C0">
      <w:pPr>
        <w:pStyle w:val="BodyText"/>
      </w:pPr>
      <w:r>
        <w:rPr>
          <w:noProof/>
        </w:rPr>
        <w:drawing>
          <wp:inline distT="0" distB="0" distL="0" distR="0" wp14:anchorId="1741F3EF" wp14:editId="6407C3A4">
            <wp:extent cx="6230679" cy="3232297"/>
            <wp:effectExtent l="0" t="0" r="17780" b="6350"/>
            <wp:docPr id="2103990410" name="Chart 1" descr="Figure 25: Horizontal stacked bar chart showing the percentage of APSI teacher progression of preparedness to teach all students and those who have been historically marginalized. 67% made progress to teach students who are African American / Black, 12% made no progress, 21% were already experienced. 67% made progress to teach students who are Asian, 15% made no progress, 18% were already experienced. 67% made progress to teach students who are Hispanic / Latino, 12% made no progress, 21% were already experienced. 73% made progress to teach students who are White, 9% made no progress, 18% were already experienced. 61% made progress to teach students who are English Learners, 21% made no progress, 18% were already experienced.  67% made progress to teach students with disability status, 21% made no progress, 12% were already experienced. 70% made progress to teach students with low-Income status, 12% made no progress, 18% were already experienced. n=33.">
              <a:extLst xmlns:a="http://schemas.openxmlformats.org/drawingml/2006/main">
                <a:ext uri="{FF2B5EF4-FFF2-40B4-BE49-F238E27FC236}">
                  <a16:creationId xmlns:a16="http://schemas.microsoft.com/office/drawing/2014/main" id="{C6AF761D-2D2A-4DB0-EAD9-D3186962763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5F1EB9B8" w14:textId="43EEE5CA" w:rsidR="00143053" w:rsidRPr="00FB54E7" w:rsidRDefault="00EA118C" w:rsidP="007B49DA">
      <w:pPr>
        <w:pStyle w:val="Heading5"/>
        <w:rPr>
          <w:color w:val="595959" w:themeColor="text1" w:themeTint="A6"/>
        </w:rPr>
      </w:pPr>
      <w:r w:rsidRPr="00830313">
        <w:rPr>
          <w:noProof/>
        </w:rPr>
        <mc:AlternateContent>
          <mc:Choice Requires="wps">
            <w:drawing>
              <wp:anchor distT="0" distB="0" distL="114300" distR="114300" simplePos="0" relativeHeight="251658240" behindDoc="0" locked="0" layoutInCell="1" allowOverlap="1" wp14:anchorId="2E326F9A" wp14:editId="5FF02D27">
                <wp:simplePos x="0" y="0"/>
                <wp:positionH relativeFrom="column">
                  <wp:posOffset>18767425</wp:posOffset>
                </wp:positionH>
                <wp:positionV relativeFrom="paragraph">
                  <wp:posOffset>7381875</wp:posOffset>
                </wp:positionV>
                <wp:extent cx="1134345" cy="307777"/>
                <wp:effectExtent l="0" t="0" r="0" b="0"/>
                <wp:wrapNone/>
                <wp:docPr id="8" name="TextBox 7">
                  <a:extLst xmlns:a="http://schemas.openxmlformats.org/drawingml/2006/main">
                    <a:ext uri="{FF2B5EF4-FFF2-40B4-BE49-F238E27FC236}">
                      <a16:creationId xmlns:a16="http://schemas.microsoft.com/office/drawing/2014/main" id="{A4995C7B-6E9C-C005-2686-F781B9CC8E3D}"/>
                    </a:ext>
                  </a:extLst>
                </wp:docPr>
                <wp:cNvGraphicFramePr/>
                <a:graphic xmlns:a="http://schemas.openxmlformats.org/drawingml/2006/main">
                  <a:graphicData uri="http://schemas.microsoft.com/office/word/2010/wordprocessingShape">
                    <wps:wsp>
                      <wps:cNvSpPr txBox="1"/>
                      <wps:spPr>
                        <a:xfrm>
                          <a:off x="0" y="0"/>
                          <a:ext cx="1134345" cy="307777"/>
                        </a:xfrm>
                        <a:prstGeom prst="rect">
                          <a:avLst/>
                        </a:prstGeom>
                        <a:noFill/>
                        <a:ln>
                          <a:noFill/>
                        </a:ln>
                      </wps:spPr>
                      <wps:txbx>
                        <w:txbxContent>
                          <w:p w14:paraId="5885903D" w14:textId="77777777" w:rsidR="00EA118C" w:rsidRDefault="00EA118C" w:rsidP="00EA118C">
                            <w:pPr>
                              <w:rPr>
                                <w:rFonts w:asciiTheme="minorHAnsi" w:hAnsi="Calibri"/>
                                <w:b/>
                                <w:color w:val="000000" w:themeColor="text1"/>
                                <w:kern w:val="24"/>
                                <w:sz w:val="28"/>
                                <w:szCs w:val="28"/>
                              </w:rPr>
                            </w:pPr>
                            <w:r>
                              <w:rPr>
                                <w:rFonts w:asciiTheme="minorHAnsi" w:hAnsi="Calibri"/>
                                <w:b/>
                                <w:color w:val="000000" w:themeColor="text1"/>
                                <w:kern w:val="24"/>
                                <w:sz w:val="28"/>
                                <w:szCs w:val="28"/>
                              </w:rPr>
                              <w:t>(N = 33)</w:t>
                            </w:r>
                          </w:p>
                        </w:txbxContent>
                      </wps:txbx>
                      <wps:bodyPr wrap="square" rtlCol="0">
                        <a:spAutoFit/>
                      </wps:bodyPr>
                    </wps:wsp>
                  </a:graphicData>
                </a:graphic>
              </wp:anchor>
            </w:drawing>
          </mc:Choice>
          <mc:Fallback>
            <w:pict>
              <v:shapetype w14:anchorId="2E326F9A" id="_x0000_t202" coordsize="21600,21600" o:spt="202" path="m,l,21600r21600,l21600,xe">
                <v:stroke joinstyle="miter"/>
                <v:path gradientshapeok="t" o:connecttype="rect"/>
              </v:shapetype>
              <v:shape id="TextBox 7" o:spid="_x0000_s1026" type="#_x0000_t202" style="position:absolute;margin-left:1477.75pt;margin-top:581.25pt;width:89.3pt;height:24.2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" filled="f" stroked="f">
                <v:textbox style="mso-fit-shape-to-text:t">
                  <w:txbxContent>
                    <w:p w14:paraId="5885903D" w14:textId="77777777" w:rsidR="00EA118C" w:rsidRDefault="00EA118C" w:rsidP="00EA118C">
                      <w:pPr>
                        <w:rPr>
                          <w:rFonts w:asciiTheme="minorHAnsi" w:hAnsi="Calibri"/>
                          <w:b/>
                          <w:color w:val="000000" w:themeColor="text1"/>
                          <w:kern w:val="24"/>
                          <w:sz w:val="28"/>
                          <w:szCs w:val="28"/>
                        </w:rPr>
                      </w:pPr>
                      <w:r>
                        <w:rPr>
                          <w:rFonts w:asciiTheme="minorHAnsi" w:hAnsi="Calibri"/>
                          <w:b/>
                          <w:color w:val="000000" w:themeColor="text1"/>
                          <w:kern w:val="24"/>
                          <w:sz w:val="28"/>
                          <w:szCs w:val="28"/>
                        </w:rPr>
                        <w:t>(N = 33)</w:t>
                      </w:r>
                    </w:p>
                  </w:txbxContent>
                </v:textbox>
              </v:shape>
            </w:pict>
          </mc:Fallback>
        </mc:AlternateContent>
      </w:r>
      <w:r w:rsidRPr="00830313">
        <w:rPr>
          <w:noProof/>
        </w:rPr>
        <mc:AlternateContent>
          <mc:Choice Requires="wps">
            <w:drawing>
              <wp:anchor distT="0" distB="0" distL="114300" distR="114300" simplePos="0" relativeHeight="251658241" behindDoc="0" locked="0" layoutInCell="1" allowOverlap="1" wp14:anchorId="1C011294" wp14:editId="77D51D54">
                <wp:simplePos x="0" y="0"/>
                <wp:positionH relativeFrom="column">
                  <wp:posOffset>13317855</wp:posOffset>
                </wp:positionH>
                <wp:positionV relativeFrom="paragraph">
                  <wp:posOffset>-1116965</wp:posOffset>
                </wp:positionV>
                <wp:extent cx="159393" cy="171262"/>
                <wp:effectExtent l="0" t="0" r="12065" b="19685"/>
                <wp:wrapNone/>
                <wp:docPr id="9" name="Rectangle 8">
                  <a:extLst xmlns:a="http://schemas.openxmlformats.org/drawingml/2006/main">
                    <a:ext uri="{FF2B5EF4-FFF2-40B4-BE49-F238E27FC236}">
                      <a16:creationId xmlns:a16="http://schemas.microsoft.com/office/drawing/2014/main" id="{912EC7BF-EC68-0475-E648-00EE361CD43F}"/>
                    </a:ext>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59393" cy="171262"/>
                        </a:xfrm>
                        <a:prstGeom prst="rect">
                          <a:avLst/>
                        </a:prstGeom>
                        <a:solidFill>
                          <a:srgbClr val="212721"/>
                        </a:solidFill>
                        <a:ln>
                          <a:solidFill>
                            <a:srgbClr val="21272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a:graphicData>
                </a:graphic>
              </wp:anchor>
            </w:drawing>
          </mc:Choice>
          <mc:Fallback>
            <w:pict>
              <v:rect w14:anchorId="7981CC06" id="Rectangle 8" o:spid="_x0000_s1026" alt="&quot;&quot;" style="position:absolute;margin-left:1048.65pt;margin-top:-87.95pt;width:12.55pt;height:13.5pt;z-index:25165824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" fillcolor="#212721" strokecolor="#212721" strokeweight="1pt"/>
            </w:pict>
          </mc:Fallback>
        </mc:AlternateContent>
      </w:r>
      <w:r w:rsidR="00143053" w:rsidRPr="00FB54E7">
        <w:rPr>
          <w:color w:val="595959" w:themeColor="text1" w:themeTint="A6"/>
        </w:rPr>
        <w:t xml:space="preserve">APSI </w:t>
      </w:r>
      <w:r w:rsidR="007E3CC6" w:rsidRPr="00FB54E7">
        <w:rPr>
          <w:color w:val="595959" w:themeColor="text1" w:themeTint="A6"/>
        </w:rPr>
        <w:t xml:space="preserve">resources and </w:t>
      </w:r>
      <w:r w:rsidR="00A36716" w:rsidRPr="00FB54E7">
        <w:rPr>
          <w:color w:val="595959" w:themeColor="text1" w:themeTint="A6"/>
        </w:rPr>
        <w:t>activities</w:t>
      </w:r>
      <w:r w:rsidR="00DD741B" w:rsidRPr="00FB54E7">
        <w:rPr>
          <w:color w:val="595959" w:themeColor="text1" w:themeTint="A6"/>
        </w:rPr>
        <w:t xml:space="preserve"> </w:t>
      </w:r>
    </w:p>
    <w:p w14:paraId="0B1A8BC0" w14:textId="5D0D0582" w:rsidR="00EF2284" w:rsidRDefault="00A36716" w:rsidP="007B49DA">
      <w:pPr>
        <w:spacing w:line="320" w:lineRule="atLeast"/>
      </w:pPr>
      <w:r>
        <w:t xml:space="preserve">During the APSI training, AP teachers were exposed </w:t>
      </w:r>
      <w:proofErr w:type="gramStart"/>
      <w:r>
        <w:t>to</w:t>
      </w:r>
      <w:r w:rsidR="00D10A1C">
        <w:t>:</w:t>
      </w:r>
      <w:proofErr w:type="gramEnd"/>
      <w:r>
        <w:t xml:space="preserve"> </w:t>
      </w:r>
      <w:r w:rsidR="0075733F">
        <w:t xml:space="preserve">1) </w:t>
      </w:r>
      <w:r>
        <w:t xml:space="preserve">activities to enhance their </w:t>
      </w:r>
      <w:r w:rsidR="00765B1B">
        <w:t xml:space="preserve">knowledge </w:t>
      </w:r>
      <w:r w:rsidR="00692F87">
        <w:t>and skills</w:t>
      </w:r>
      <w:r w:rsidR="007950AA">
        <w:t>,</w:t>
      </w:r>
      <w:r w:rsidR="00692F87">
        <w:t xml:space="preserve"> </w:t>
      </w:r>
      <w:r w:rsidR="00D478E1">
        <w:t xml:space="preserve">and </w:t>
      </w:r>
      <w:r w:rsidR="007950AA">
        <w:t xml:space="preserve">2) </w:t>
      </w:r>
      <w:r w:rsidR="00D478E1">
        <w:t>resources for teaching</w:t>
      </w:r>
      <w:r w:rsidR="00765B1B">
        <w:t xml:space="preserve"> </w:t>
      </w:r>
      <w:r w:rsidR="00E43728">
        <w:t xml:space="preserve">AP </w:t>
      </w:r>
      <w:r w:rsidR="00692F87">
        <w:t xml:space="preserve">course </w:t>
      </w:r>
      <w:r w:rsidR="00E43728">
        <w:t>content</w:t>
      </w:r>
      <w:r w:rsidR="005B5C0F">
        <w:rPr>
          <w:rStyle w:val="FootnoteReference"/>
        </w:rPr>
        <w:footnoteReference w:id="36"/>
      </w:r>
      <w:r>
        <w:t xml:space="preserve"> that could be used in their AP classroom</w:t>
      </w:r>
      <w:r w:rsidR="00F745F1">
        <w:t>(s)</w:t>
      </w:r>
      <w:r>
        <w:t>.</w:t>
      </w:r>
      <w:r w:rsidR="00B47F24">
        <w:t xml:space="preserve"> </w:t>
      </w:r>
      <w:r w:rsidR="00C258D5">
        <w:t>Participants were asked</w:t>
      </w:r>
      <w:r w:rsidR="00336413">
        <w:t xml:space="preserve"> to indicate</w:t>
      </w:r>
      <w:r w:rsidR="005E315A">
        <w:t xml:space="preserve">, on a Likert scale of agreement, the extent to which </w:t>
      </w:r>
      <w:r w:rsidR="004D4E73">
        <w:t>the</w:t>
      </w:r>
      <w:r w:rsidR="005E315A">
        <w:t xml:space="preserve"> </w:t>
      </w:r>
      <w:r w:rsidR="00B810C8">
        <w:t xml:space="preserve">various resources had increased their </w:t>
      </w:r>
      <w:r w:rsidR="00BE6F74">
        <w:t>preparedness to teach an AP course</w:t>
      </w:r>
      <w:r w:rsidR="00C258D5">
        <w:t xml:space="preserve"> (Figure </w:t>
      </w:r>
      <w:r w:rsidR="00236E0D">
        <w:t>26</w:t>
      </w:r>
      <w:r w:rsidR="00C258D5">
        <w:t xml:space="preserve">). </w:t>
      </w:r>
      <w:r w:rsidR="00EF2284">
        <w:t>Of the 33 AP teachers who responded, the majority</w:t>
      </w:r>
      <w:r w:rsidR="00BA0B01">
        <w:t xml:space="preserve"> (</w:t>
      </w:r>
      <w:r w:rsidR="000D2601">
        <w:t>66%</w:t>
      </w:r>
      <w:r w:rsidR="00563DEA">
        <w:t>–97%)</w:t>
      </w:r>
      <w:r w:rsidR="00EF2284">
        <w:t xml:space="preserve"> strongly agreed or agreed that exposure to resources such as </w:t>
      </w:r>
      <w:r w:rsidR="00EF2284" w:rsidRPr="00A71107">
        <w:t xml:space="preserve">unit guides, syllabus development guides, </w:t>
      </w:r>
      <w:r w:rsidR="00A94A6B">
        <w:t xml:space="preserve">and </w:t>
      </w:r>
      <w:r w:rsidR="00EF2284" w:rsidRPr="00A71107">
        <w:t>progress checks during the APSI training increased their preparedness to teach an AP course.</w:t>
      </w:r>
      <w:r w:rsidR="00EF2284">
        <w:t xml:space="preserve"> </w:t>
      </w:r>
      <w:r w:rsidR="00A4727E">
        <w:t xml:space="preserve">In particular, </w:t>
      </w:r>
      <w:proofErr w:type="gramStart"/>
      <w:r w:rsidR="00A4727E">
        <w:t>t</w:t>
      </w:r>
      <w:r w:rsidR="00EF2284">
        <w:t>he majority of</w:t>
      </w:r>
      <w:proofErr w:type="gramEnd"/>
      <w:r w:rsidR="00EF2284">
        <w:t xml:space="preserve"> </w:t>
      </w:r>
      <w:r w:rsidR="00A4727E">
        <w:t>respondents</w:t>
      </w:r>
      <w:r w:rsidR="00EF2284">
        <w:t xml:space="preserve"> strongly agreed that exposure to</w:t>
      </w:r>
      <w:r w:rsidR="00EF2284" w:rsidRPr="00A71107">
        <w:t xml:space="preserve"> unit guides</w:t>
      </w:r>
      <w:r w:rsidR="00EF2284">
        <w:t xml:space="preserve"> (58% [19]), topic questions (52% [17]), and question banks </w:t>
      </w:r>
      <w:r w:rsidR="00EF2284" w:rsidRPr="0090596A">
        <w:t>(45</w:t>
      </w:r>
      <w:r w:rsidR="00EF2284">
        <w:t>%</w:t>
      </w:r>
      <w:r w:rsidR="00EF2284" w:rsidRPr="0090596A">
        <w:t xml:space="preserve"> [</w:t>
      </w:r>
      <w:r w:rsidR="00EF2284">
        <w:t>15</w:t>
      </w:r>
      <w:r w:rsidR="00EF2284" w:rsidRPr="0090596A">
        <w:t>])</w:t>
      </w:r>
      <w:r w:rsidR="006A54A7">
        <w:t xml:space="preserve"> </w:t>
      </w:r>
      <w:r w:rsidR="00B65626">
        <w:t>increased their preparedness</w:t>
      </w:r>
      <w:r w:rsidR="00EF2284" w:rsidRPr="0090596A">
        <w:t xml:space="preserve"> to teach an AP course</w:t>
      </w:r>
      <w:r w:rsidR="00EF2284">
        <w:t xml:space="preserve">. </w:t>
      </w:r>
    </w:p>
    <w:p w14:paraId="1D098716" w14:textId="77777777" w:rsidR="009F4187" w:rsidRDefault="009F4187" w:rsidP="007B49DA">
      <w:pPr>
        <w:pStyle w:val="FigureCaption"/>
        <w:sectPr w:rsidR="009F4187" w:rsidSect="00F745F1">
          <w:footerReference w:type="default" r:id="rId42"/>
          <w:pgSz w:w="12240" w:h="15840" w:code="1"/>
          <w:pgMar w:top="1987" w:right="1440" w:bottom="1980" w:left="1440" w:header="1267" w:footer="1260" w:gutter="0"/>
          <w:cols w:space="720"/>
          <w:docGrid w:linePitch="360"/>
        </w:sectPr>
      </w:pPr>
    </w:p>
    <w:p w14:paraId="751DD960" w14:textId="24BBD717" w:rsidR="0014148F" w:rsidRPr="00103158" w:rsidRDefault="00103158" w:rsidP="007B49DA">
      <w:pPr>
        <w:pStyle w:val="FigureCaption"/>
      </w:pPr>
      <w:bookmarkStart w:id="268" w:name="_Toc207348468"/>
      <w:r w:rsidRPr="00103158">
        <w:lastRenderedPageBreak/>
        <w:t xml:space="preserve">Figure </w:t>
      </w:r>
      <w:r w:rsidR="00A63304">
        <w:t>26</w:t>
      </w:r>
      <w:r w:rsidRPr="00103158">
        <w:t>.</w:t>
      </w:r>
      <w:r w:rsidR="005B2EAE">
        <w:t xml:space="preserve"> </w:t>
      </w:r>
      <w:r w:rsidR="006A54A7">
        <w:t>Distribution of r</w:t>
      </w:r>
      <w:r w:rsidR="005B2EAE" w:rsidRPr="005B2EAE">
        <w:t>e</w:t>
      </w:r>
      <w:r w:rsidR="005B2EAE">
        <w:t>s</w:t>
      </w:r>
      <w:r w:rsidR="005B2EAE" w:rsidRPr="005B2EAE">
        <w:t>ponse</w:t>
      </w:r>
      <w:r w:rsidR="00452BC8">
        <w:t>s</w:t>
      </w:r>
      <w:r w:rsidR="005B2EAE" w:rsidRPr="005B2EAE">
        <w:t xml:space="preserve"> to </w:t>
      </w:r>
      <w:r w:rsidR="005B2EAE">
        <w:t xml:space="preserve">survey </w:t>
      </w:r>
      <w:r w:rsidR="00452BC8">
        <w:t>prompt</w:t>
      </w:r>
      <w:r w:rsidR="00CF1E6B">
        <w:t>, “Please indicate the extent to which you agree with the following statement concerning each of the listed resources</w:t>
      </w:r>
      <w:r w:rsidR="00A60DDE">
        <w:t>: Exposure to this resource during the APSI increased my preparedness to teach an AP level course</w:t>
      </w:r>
      <w:r w:rsidR="00CF1E6B">
        <w:t>”</w:t>
      </w:r>
      <w:bookmarkEnd w:id="268"/>
    </w:p>
    <w:p w14:paraId="24F6F608" w14:textId="2E94677E" w:rsidR="009F4187" w:rsidRDefault="00746428" w:rsidP="007B49DA">
      <w:pPr>
        <w:pStyle w:val="BodyText"/>
      </w:pPr>
      <w:r>
        <w:rPr>
          <w:noProof/>
        </w:rPr>
        <w:drawing>
          <wp:inline distT="0" distB="0" distL="0" distR="0" wp14:anchorId="7A16189C" wp14:editId="18C915EB">
            <wp:extent cx="6897370" cy="3261995"/>
            <wp:effectExtent l="0" t="0" r="17780" b="14605"/>
            <wp:docPr id="515641315" name="Chart 1" descr="Figure 26: Horizontal stacked bar chart showing the percentage of the distribution of responses to survey prompt, “Please indicate the extent to which you agree with the following statement concerning each of the listed resources: Exposure to this resource during the APSI increased my preparedness to teach an AP level course”. Unit guides: 58% strongly agree, 36% agree, 6% neither agree nor disagree. Topic Questions: 52% strongly agree, 45% agree, 3% neither agree nor disagree. Question Banks: 45% strongly agree, 45% agree, 9% neither agree nor disagree. Syllabus Development Guides: 39% strongly agree, 27% agree, 18% neither agree nor disagree, 3% disagree, 12% were not exposed to this resource during the APSI. AP Community: 36% strongly agree, 39% agree, 21% neither agree nor disagree, 3% were not exposed to this resource during the APSI.  Instructional Planning Reports: 36% strongly agree, 42% agree, 18% neither agree nor disagree, 3% were not exposed to this resource during the APSI.  Progress Checks: 33% strongly agree, 45% agree, 18% neither agree nor disagree, 3% disagree. Sample Syllabi: 21% strongly agree, 48% agree, 18% neither agree nor disagree, 3% disagree, 9% were not exposed to this resource during the APSI. n =33. ">
              <a:extLst xmlns:a="http://schemas.openxmlformats.org/drawingml/2006/main">
                <a:ext uri="{FF2B5EF4-FFF2-40B4-BE49-F238E27FC236}">
                  <a16:creationId xmlns:a16="http://schemas.microsoft.com/office/drawing/2014/main" id="{A1AD3BAF-481A-1E3C-6DD6-FF667893BF6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41E4FE33" w14:textId="21356F4D" w:rsidR="009F4187" w:rsidRDefault="009F4187" w:rsidP="007B49DA">
      <w:pPr>
        <w:spacing w:line="320" w:lineRule="atLeast"/>
        <w:contextualSpacing/>
      </w:pPr>
      <w:r>
        <w:t xml:space="preserve">Teachers were additionally asked to indicate if </w:t>
      </w:r>
      <w:r w:rsidR="00E855A7">
        <w:t>the</w:t>
      </w:r>
      <w:r>
        <w:t xml:space="preserve"> various APSI activities had increased their preparedness to teach an AP course. Of the 33 AP teachers who responded (Figure 2</w:t>
      </w:r>
      <w:r w:rsidR="00236E0D">
        <w:t>7</w:t>
      </w:r>
      <w:r>
        <w:t>), the majority (75%–100%) strongly agreed or agreed that exposure to activities increased their preparedness to teach an AP level course</w:t>
      </w:r>
      <w:r w:rsidRPr="00A71107">
        <w:t>.</w:t>
      </w:r>
      <w:r>
        <w:t xml:space="preserve"> Notably, 100% of respondents reported that ‘Exploring course/exam descriptions’ increased their preparedness to teach an AP course. </w:t>
      </w:r>
    </w:p>
    <w:p w14:paraId="2B231F88" w14:textId="77777777" w:rsidR="009F4187" w:rsidRDefault="009F4187" w:rsidP="007B49DA">
      <w:pPr>
        <w:pStyle w:val="BodyText"/>
        <w:ind w:left="-720"/>
        <w:sectPr w:rsidR="009F4187" w:rsidSect="00B8419E">
          <w:pgSz w:w="15840" w:h="12240" w:orient="landscape" w:code="1"/>
          <w:pgMar w:top="1440" w:right="1987" w:bottom="1440" w:left="1980" w:header="1267" w:footer="1260" w:gutter="0"/>
          <w:cols w:space="720"/>
          <w:docGrid w:linePitch="360"/>
        </w:sectPr>
      </w:pPr>
    </w:p>
    <w:p w14:paraId="1D6D97F8" w14:textId="53B3AE69" w:rsidR="00112708" w:rsidRDefault="00B65626" w:rsidP="007B49DA">
      <w:pPr>
        <w:pStyle w:val="FigureCaption"/>
        <w:rPr>
          <w:rStyle w:val="Heading4Char"/>
        </w:rPr>
      </w:pPr>
      <w:bookmarkStart w:id="269" w:name="_Toc207348469"/>
      <w:r>
        <w:lastRenderedPageBreak/>
        <w:t>F</w:t>
      </w:r>
      <w:r w:rsidR="001B49CB" w:rsidRPr="00103158">
        <w:t xml:space="preserve">igure </w:t>
      </w:r>
      <w:r w:rsidR="00A63304">
        <w:t>27</w:t>
      </w:r>
      <w:r w:rsidR="001B49CB" w:rsidRPr="00103158">
        <w:t>.</w:t>
      </w:r>
      <w:r w:rsidR="005B2EAE">
        <w:t xml:space="preserve"> </w:t>
      </w:r>
      <w:r w:rsidR="005B2EAE" w:rsidRPr="005B2EAE">
        <w:t>Re</w:t>
      </w:r>
      <w:r w:rsidR="005B2EAE">
        <w:t>s</w:t>
      </w:r>
      <w:r w:rsidR="005B2EAE" w:rsidRPr="005B2EAE">
        <w:t xml:space="preserve">ponses to </w:t>
      </w:r>
      <w:r w:rsidR="005B2EAE">
        <w:t xml:space="preserve">survey </w:t>
      </w:r>
      <w:r w:rsidR="005B2EAE" w:rsidRPr="005B2EAE">
        <w:t>question</w:t>
      </w:r>
      <w:r w:rsidR="00CF1E6B">
        <w:t>, “Please indicate the extent to which you agree with the following statement concerning each of the listed activities</w:t>
      </w:r>
      <w:r w:rsidR="00A44066">
        <w:t>: The APSI activity increased my preparedness to teach an AP level course</w:t>
      </w:r>
      <w:r w:rsidR="00CF1E6B">
        <w:t>”</w:t>
      </w:r>
      <w:r w:rsidR="00112708" w:rsidRPr="0043670C">
        <w:rPr>
          <w:noProof/>
          <w:shd w:val="clear" w:color="auto" w:fill="FFFFFF" w:themeFill="background1"/>
        </w:rPr>
        <w:drawing>
          <wp:inline distT="0" distB="0" distL="0" distR="0" wp14:anchorId="200198D0" wp14:editId="6358D2CB">
            <wp:extent cx="8015111" cy="4357370"/>
            <wp:effectExtent l="0" t="0" r="5080" b="5080"/>
            <wp:docPr id="395763922" name="Chart 1" descr="Figure 27: Horizontal stacked bar chart showing percentage of responses to survey question, “Please indicate the extent to which you agree with the following statement concerning each of the listed activities: The APSI activity increased my preparedness to teach an AP level course”.&#10;Exploring ready-to-use instructional materials: 73% strongly agree, 24% agree, 3% neither agree nor disagree. Exploring ready-to-use pedagogical tools: 64% strongly agree, 30% agree, 6% neither agree nor disagree. Exploring ready-to-use strategies: 64% strongly agree, 33% agree, 3% neither agree nor disagree. Practice applying the scoring guidelines from the most recent AP exam to samples of student work: 61% strongly agree, 33% agree, 3% neither agree nor disagree, 3% did not participate in this activity during the APSI. Developing connections with the AP community: 55% strongly agree, 33% agree, 6% neither agree nor disagree, 6% did not participate in this activity during the APSI. Examining assessment items to identify content and skill pairing: 55% strongly agree, 36% agree, 3% neither agree nor disagree, 6% did not participate in this activity during the APSI. Exploring course/exam descriptions: 48% strongly agree, 52% agree. Begin to develop a course/instructional plan by unit: 42% strongly agree, 42% agree, 6% neither agree nor disagree, 9% did not participate in this activity during the APSI. Identifying student strengths/weaknesses using available data: 39% strongly agree, 36% agree, 12% neither agree nor disagree, 3% strongly disagree, 9% did not participate in this activity during the APSI. n = 33. &#10;">
              <a:extLst xmlns:a="http://schemas.openxmlformats.org/drawingml/2006/main">
                <a:ext uri="{FF2B5EF4-FFF2-40B4-BE49-F238E27FC236}">
                  <a16:creationId xmlns:a16="http://schemas.microsoft.com/office/drawing/2014/main" id="{AFDFBC73-F238-9593-74B7-3984A4AB30F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bookmarkEnd w:id="269"/>
      <w:r w:rsidR="00F5397B">
        <w:rPr>
          <w:rStyle w:val="Heading4Char"/>
        </w:rPr>
        <w:t xml:space="preserve"> </w:t>
      </w:r>
    </w:p>
    <w:p w14:paraId="4B9E1586" w14:textId="77777777" w:rsidR="00CF1E6B" w:rsidRPr="00BA706B" w:rsidRDefault="00CF1E6B" w:rsidP="007B49DA">
      <w:pPr>
        <w:pStyle w:val="Heading6"/>
        <w:rPr>
          <w:rStyle w:val="Heading4Char"/>
          <w:rFonts w:ascii="Open Sans" w:hAnsi="Open Sans"/>
          <w:iCs/>
          <w:color w:val="auto"/>
          <w:sz w:val="22"/>
        </w:rPr>
        <w:sectPr w:rsidR="00CF1E6B" w:rsidRPr="00BA706B" w:rsidSect="00B65626">
          <w:pgSz w:w="15840" w:h="12240" w:orient="landscape" w:code="1"/>
          <w:pgMar w:top="1440" w:right="1987" w:bottom="1440" w:left="1980" w:header="1267" w:footer="1260" w:gutter="0"/>
          <w:cols w:space="720"/>
          <w:docGrid w:linePitch="360"/>
        </w:sectPr>
      </w:pPr>
    </w:p>
    <w:p w14:paraId="13F9316F" w14:textId="3775A92C" w:rsidR="00374A91" w:rsidRPr="00BA706B" w:rsidRDefault="004474E4" w:rsidP="007B49DA">
      <w:pPr>
        <w:pStyle w:val="Heading6"/>
        <w:rPr>
          <w:rStyle w:val="Heading4Char"/>
          <w:rFonts w:ascii="Open Sans" w:hAnsi="Open Sans"/>
          <w:color w:val="auto"/>
          <w:sz w:val="22"/>
        </w:rPr>
      </w:pPr>
      <w:r w:rsidRPr="00BA706B">
        <w:rPr>
          <w:rStyle w:val="Heading4Char"/>
          <w:rFonts w:ascii="Open Sans" w:hAnsi="Open Sans"/>
          <w:color w:val="auto"/>
          <w:sz w:val="22"/>
        </w:rPr>
        <w:lastRenderedPageBreak/>
        <w:t>College</w:t>
      </w:r>
      <w:r w:rsidR="00E03504" w:rsidRPr="00BA706B">
        <w:rPr>
          <w:rStyle w:val="Heading4Char"/>
          <w:rFonts w:ascii="Open Sans" w:hAnsi="Open Sans"/>
          <w:color w:val="auto"/>
          <w:sz w:val="22"/>
        </w:rPr>
        <w:t>-</w:t>
      </w:r>
      <w:r w:rsidRPr="00BA706B">
        <w:rPr>
          <w:rStyle w:val="Heading4Char"/>
          <w:rFonts w:ascii="Open Sans" w:hAnsi="Open Sans"/>
          <w:color w:val="auto"/>
          <w:sz w:val="22"/>
        </w:rPr>
        <w:t>going culture</w:t>
      </w:r>
    </w:p>
    <w:p w14:paraId="327F49C9" w14:textId="3B712518" w:rsidR="004474E4" w:rsidRDefault="00C35B5B" w:rsidP="000B15E9">
      <w:pPr>
        <w:spacing w:line="320" w:lineRule="atLeast"/>
      </w:pPr>
      <w:r>
        <w:t xml:space="preserve">While not an explicit goal of the APSI, but of interest to DESE is </w:t>
      </w:r>
      <w:r w:rsidR="001236E1">
        <w:t>whether and how the APSI supports a school or classrooms college-going culture</w:t>
      </w:r>
      <w:r w:rsidR="00341115">
        <w:t xml:space="preserve">, which is one of the intended goals of the AP STEM and English program. </w:t>
      </w:r>
      <w:r w:rsidR="001236E1">
        <w:t xml:space="preserve">To that end, </w:t>
      </w:r>
      <w:r w:rsidR="004474E4">
        <w:t xml:space="preserve">APSI </w:t>
      </w:r>
      <w:r w:rsidR="00124833">
        <w:t xml:space="preserve">teachers </w:t>
      </w:r>
      <w:r w:rsidR="004474E4">
        <w:t>wer</w:t>
      </w:r>
      <w:r w:rsidR="003545E1">
        <w:t>e</w:t>
      </w:r>
      <w:r w:rsidR="004474E4">
        <w:t xml:space="preserve"> </w:t>
      </w:r>
      <w:r w:rsidR="00B523A0">
        <w:t>asked to respond to the following prompt:</w:t>
      </w:r>
    </w:p>
    <w:p w14:paraId="6589220E" w14:textId="674A9307" w:rsidR="0010216E" w:rsidRDefault="0010216E" w:rsidP="000B15E9">
      <w:pPr>
        <w:spacing w:line="320" w:lineRule="atLeast"/>
        <w:ind w:left="720"/>
      </w:pPr>
      <w:r>
        <w:t xml:space="preserve">DESE supports schools and </w:t>
      </w:r>
      <w:r w:rsidR="00D37F51">
        <w:t>teachers’</w:t>
      </w:r>
      <w:r>
        <w:t xml:space="preserve"> efforts to foster a college-going culture. While fostering a college-going culture is not a goal of the APSI, DESE is interested in understanding how your experience with the APSI is aligned with this objective.</w:t>
      </w:r>
    </w:p>
    <w:p w14:paraId="6439FD20" w14:textId="6145C7B8" w:rsidR="0010216E" w:rsidRDefault="00673E61" w:rsidP="000B15E9">
      <w:pPr>
        <w:spacing w:line="320" w:lineRule="atLeast"/>
      </w:pPr>
      <w:r>
        <w:t xml:space="preserve">A total of 23 survey respondents </w:t>
      </w:r>
      <w:r w:rsidR="00683FBE">
        <w:t xml:space="preserve">answered this prompt. While a few </w:t>
      </w:r>
      <w:r w:rsidR="00341115">
        <w:t>(</w:t>
      </w:r>
      <w:r w:rsidR="005D2596">
        <w:t>2</w:t>
      </w:r>
      <w:r w:rsidR="00341115">
        <w:t>)</w:t>
      </w:r>
      <w:r w:rsidR="009C2CD7">
        <w:t xml:space="preserve"> did not indicate that the APSI itself </w:t>
      </w:r>
      <w:r w:rsidR="00476A6C">
        <w:t>was connected</w:t>
      </w:r>
      <w:r w:rsidR="00E43D3E">
        <w:t xml:space="preserve"> to fostering a college-going culture, </w:t>
      </w:r>
      <w:r w:rsidR="00411491">
        <w:t xml:space="preserve">others </w:t>
      </w:r>
      <w:r w:rsidR="00341115">
        <w:t>(</w:t>
      </w:r>
      <w:r w:rsidR="00411491">
        <w:t>21</w:t>
      </w:r>
      <w:r w:rsidR="00341115">
        <w:t>)</w:t>
      </w:r>
      <w:r w:rsidR="00411491">
        <w:t xml:space="preserve"> reflected positively on</w:t>
      </w:r>
      <w:r w:rsidR="007326D5">
        <w:t xml:space="preserve"> either</w:t>
      </w:r>
      <w:r w:rsidR="00411491">
        <w:t xml:space="preserve"> the </w:t>
      </w:r>
      <w:r w:rsidR="007F2E74">
        <w:t xml:space="preserve">APSI experience, their interactions with other teachers and </w:t>
      </w:r>
      <w:r w:rsidR="00124833">
        <w:t xml:space="preserve">APSI </w:t>
      </w:r>
      <w:r w:rsidR="007F2E74">
        <w:t xml:space="preserve">instructors, </w:t>
      </w:r>
      <w:r w:rsidR="007326D5">
        <w:t>or</w:t>
      </w:r>
      <w:r w:rsidR="007F2E74">
        <w:t xml:space="preserve"> </w:t>
      </w:r>
      <w:r w:rsidR="004D6886">
        <w:t>how the APSI will benefit their students in preparation for college.</w:t>
      </w:r>
      <w:r w:rsidR="00876B1D">
        <w:t xml:space="preserve"> One teacher</w:t>
      </w:r>
      <w:r w:rsidR="00D90204">
        <w:t xml:space="preserve"> </w:t>
      </w:r>
      <w:r w:rsidR="00756477">
        <w:t xml:space="preserve">additionally </w:t>
      </w:r>
      <w:r w:rsidR="00876B1D">
        <w:t xml:space="preserve">spoke to the benefits of the APSI in supporting students </w:t>
      </w:r>
      <w:r w:rsidR="00227879">
        <w:t>who have been historically</w:t>
      </w:r>
      <w:r w:rsidR="00574AD3">
        <w:t xml:space="preserve"> </w:t>
      </w:r>
      <w:r w:rsidR="00876B1D">
        <w:t>marginalized in their college-going:</w:t>
      </w:r>
    </w:p>
    <w:p w14:paraId="7431B81C" w14:textId="38CF2C42" w:rsidR="00876B1D" w:rsidRDefault="00AF297C" w:rsidP="006B3A72">
      <w:pPr>
        <w:pStyle w:val="PullQuote"/>
      </w:pPr>
      <w:r w:rsidRPr="00AF297C">
        <w:t>We spent time discussing how to make the AP curriculum accessible for a larger group of students, including those with learning difficulties and language learners. This will help more students feel like they are able to accomplish the goal of college.</w:t>
      </w:r>
    </w:p>
    <w:p w14:paraId="56FEF955" w14:textId="461F028B" w:rsidR="00B523A0" w:rsidRPr="004474E4" w:rsidRDefault="00476A6C" w:rsidP="004474E4">
      <w:r>
        <w:t xml:space="preserve">A full summary of survey responses is provided in </w:t>
      </w:r>
      <w:r w:rsidRPr="00A54E8B">
        <w:t xml:space="preserve">Appendix </w:t>
      </w:r>
      <w:r w:rsidR="00EE177E">
        <w:t>E</w:t>
      </w:r>
      <w:r>
        <w:t>.</w:t>
      </w:r>
    </w:p>
    <w:p w14:paraId="6BB82819" w14:textId="0EDF50F6" w:rsidR="00B01802" w:rsidRPr="007B49DA" w:rsidRDefault="0014148F" w:rsidP="007B49DA">
      <w:pPr>
        <w:pStyle w:val="Heading3"/>
        <w:rPr>
          <w:rStyle w:val="Heading4Char"/>
        </w:rPr>
      </w:pPr>
      <w:bookmarkStart w:id="270" w:name="_Toc204766678"/>
      <w:bookmarkStart w:id="271" w:name="_Toc206742117"/>
      <w:bookmarkStart w:id="272" w:name="_Toc207183747"/>
      <w:bookmarkStart w:id="273" w:name="_Toc207348179"/>
      <w:r w:rsidRPr="007B49DA">
        <w:rPr>
          <w:rStyle w:val="Heading4Char"/>
        </w:rPr>
        <w:t>Follow</w:t>
      </w:r>
      <w:r w:rsidR="00BD7061" w:rsidRPr="007B49DA">
        <w:rPr>
          <w:rStyle w:val="Heading4Char"/>
        </w:rPr>
        <w:t>-</w:t>
      </w:r>
      <w:r w:rsidR="00B837DD" w:rsidRPr="007B49DA">
        <w:rPr>
          <w:rStyle w:val="Heading4Char"/>
        </w:rPr>
        <w:t>u</w:t>
      </w:r>
      <w:r w:rsidR="00BD7061" w:rsidRPr="007B49DA">
        <w:rPr>
          <w:rStyle w:val="Heading4Char"/>
        </w:rPr>
        <w:t>p Survey</w:t>
      </w:r>
      <w:bookmarkEnd w:id="270"/>
      <w:bookmarkEnd w:id="271"/>
      <w:bookmarkEnd w:id="272"/>
      <w:bookmarkEnd w:id="273"/>
    </w:p>
    <w:p w14:paraId="6254D1EE" w14:textId="67F97188" w:rsidR="00F37EE2" w:rsidRPr="007B49DA" w:rsidRDefault="00341115" w:rsidP="007B49DA">
      <w:r w:rsidRPr="007B49DA">
        <w:t>A</w:t>
      </w:r>
      <w:r w:rsidR="00B01802" w:rsidRPr="007B49DA">
        <w:t xml:space="preserve"> follow-up survey was</w:t>
      </w:r>
      <w:r w:rsidRPr="007B49DA">
        <w:t xml:space="preserve"> </w:t>
      </w:r>
      <w:r w:rsidR="00B01802" w:rsidRPr="007B49DA">
        <w:t>distribute</w:t>
      </w:r>
      <w:r w:rsidR="002D0D96" w:rsidRPr="007B49DA">
        <w:t xml:space="preserve">d </w:t>
      </w:r>
      <w:r w:rsidR="00B01802" w:rsidRPr="007B49DA">
        <w:t xml:space="preserve">to all APSI participants </w:t>
      </w:r>
      <w:r w:rsidR="00FF254B" w:rsidRPr="007B49DA">
        <w:t xml:space="preserve">in November </w:t>
      </w:r>
      <w:r w:rsidR="00B01802" w:rsidRPr="007B49DA">
        <w:t xml:space="preserve">to determine the extent to which the APSI training had impacted </w:t>
      </w:r>
      <w:r w:rsidR="001C1044" w:rsidRPr="007B49DA">
        <w:t xml:space="preserve">teaching in </w:t>
      </w:r>
      <w:r w:rsidR="00B01802" w:rsidRPr="007B49DA">
        <w:t>thei</w:t>
      </w:r>
      <w:r w:rsidR="00F37EE2" w:rsidRPr="007B49DA">
        <w:t>r current</w:t>
      </w:r>
      <w:r w:rsidR="00B01802" w:rsidRPr="007B49DA">
        <w:t xml:space="preserve"> classroom.</w:t>
      </w:r>
      <w:r w:rsidR="004F44B2" w:rsidRPr="007B49DA">
        <w:footnoteReference w:id="37"/>
      </w:r>
      <w:r w:rsidR="00B01802" w:rsidRPr="007B49DA">
        <w:t xml:space="preserve"> </w:t>
      </w:r>
      <w:r w:rsidR="001A2504" w:rsidRPr="007B49DA">
        <w:t>Of the 115 APSI participants, a small group (20%</w:t>
      </w:r>
      <w:r w:rsidR="002E5164" w:rsidRPr="007B49DA">
        <w:t xml:space="preserve">, or </w:t>
      </w:r>
      <w:r w:rsidR="001A2504" w:rsidRPr="007B49DA">
        <w:t>23) partially or fully completed the follow-up survey.</w:t>
      </w:r>
      <w:r w:rsidR="006A13C4" w:rsidRPr="007B49DA">
        <w:footnoteReference w:id="38"/>
      </w:r>
      <w:r w:rsidR="00F31798" w:rsidRPr="007B49DA">
        <w:t xml:space="preserve"> </w:t>
      </w:r>
      <w:r w:rsidR="00AF46E5" w:rsidRPr="007B49DA">
        <w:t xml:space="preserve">Please </w:t>
      </w:r>
      <w:r w:rsidR="00DD1502" w:rsidRPr="007B49DA">
        <w:t>s</w:t>
      </w:r>
      <w:r w:rsidR="00F31798" w:rsidRPr="007B49DA">
        <w:t xml:space="preserve">ee Appendix </w:t>
      </w:r>
      <w:r w:rsidR="00EE177E" w:rsidRPr="007B49DA">
        <w:t xml:space="preserve">G </w:t>
      </w:r>
      <w:r w:rsidR="000C07AD" w:rsidRPr="007B49DA">
        <w:t xml:space="preserve">for </w:t>
      </w:r>
      <w:r w:rsidR="00354018" w:rsidRPr="007B49DA">
        <w:t xml:space="preserve">a comprehensive summary of </w:t>
      </w:r>
      <w:r w:rsidR="00953E19" w:rsidRPr="007B49DA">
        <w:t>survey re</w:t>
      </w:r>
      <w:r w:rsidR="00AF46E5" w:rsidRPr="007B49DA">
        <w:t>sults.</w:t>
      </w:r>
    </w:p>
    <w:p w14:paraId="17D818C3" w14:textId="77777777" w:rsidR="005B1EC7" w:rsidRPr="005B1EC7" w:rsidRDefault="005B1EC7" w:rsidP="00047991">
      <w:pPr>
        <w:pStyle w:val="BodyText"/>
        <w:spacing w:after="0"/>
      </w:pPr>
    </w:p>
    <w:p w14:paraId="766E0C81" w14:textId="79D4E1CA" w:rsidR="00F37EE2" w:rsidRPr="00FB54E7" w:rsidRDefault="00D26CF2" w:rsidP="007B49DA">
      <w:pPr>
        <w:pStyle w:val="Heading5"/>
        <w:rPr>
          <w:color w:val="595959" w:themeColor="text1" w:themeTint="A6"/>
        </w:rPr>
      </w:pPr>
      <w:r w:rsidRPr="00FB54E7">
        <w:rPr>
          <w:color w:val="595959" w:themeColor="text1" w:themeTint="A6"/>
        </w:rPr>
        <w:t>Student identities and teacher preparedness</w:t>
      </w:r>
    </w:p>
    <w:p w14:paraId="4189FA4A" w14:textId="11F25EEC" w:rsidR="00D56AF9" w:rsidRPr="007B49DA" w:rsidRDefault="00B01802" w:rsidP="007B49DA">
      <w:pPr>
        <w:pStyle w:val="BodyText"/>
        <w:rPr>
          <w:rStyle w:val="Heading4Char"/>
          <w:rFonts w:ascii="Open Sans" w:eastAsiaTheme="minorHAnsi" w:hAnsi="Open Sans" w:cstheme="minorBidi"/>
          <w:color w:val="000000" w:themeColor="text1"/>
          <w:sz w:val="20"/>
          <w:szCs w:val="22"/>
        </w:rPr>
      </w:pPr>
      <w:r w:rsidRPr="007B49DA">
        <w:rPr>
          <w:rStyle w:val="Heading4Char"/>
          <w:rFonts w:ascii="Open Sans" w:eastAsiaTheme="minorHAnsi" w:hAnsi="Open Sans" w:cstheme="minorBidi"/>
          <w:color w:val="000000" w:themeColor="text1"/>
          <w:sz w:val="20"/>
          <w:szCs w:val="22"/>
        </w:rPr>
        <w:t xml:space="preserve">AP teachers </w:t>
      </w:r>
      <w:r w:rsidR="00CD6A4B" w:rsidRPr="007B49DA">
        <w:rPr>
          <w:rStyle w:val="Heading4Char"/>
          <w:rFonts w:ascii="Open Sans" w:eastAsiaTheme="minorHAnsi" w:hAnsi="Open Sans" w:cstheme="minorBidi"/>
          <w:color w:val="000000" w:themeColor="text1"/>
          <w:sz w:val="20"/>
          <w:szCs w:val="22"/>
        </w:rPr>
        <w:t xml:space="preserve">who participated in the APSI </w:t>
      </w:r>
      <w:r w:rsidR="008D6C28" w:rsidRPr="007B49DA">
        <w:rPr>
          <w:rStyle w:val="Heading4Char"/>
          <w:rFonts w:ascii="Open Sans" w:eastAsiaTheme="minorHAnsi" w:hAnsi="Open Sans" w:cstheme="minorBidi"/>
          <w:color w:val="000000" w:themeColor="text1"/>
          <w:sz w:val="20"/>
          <w:szCs w:val="22"/>
        </w:rPr>
        <w:t xml:space="preserve">were surveyed about their </w:t>
      </w:r>
      <w:r w:rsidR="007D4E67" w:rsidRPr="007B49DA">
        <w:rPr>
          <w:rStyle w:val="Heading4Char"/>
          <w:rFonts w:ascii="Open Sans" w:eastAsiaTheme="minorHAnsi" w:hAnsi="Open Sans" w:cstheme="minorBidi"/>
          <w:color w:val="000000" w:themeColor="text1"/>
          <w:sz w:val="20"/>
          <w:szCs w:val="22"/>
        </w:rPr>
        <w:t xml:space="preserve">preparedness to teach </w:t>
      </w:r>
      <w:r w:rsidR="001B006C" w:rsidRPr="007B49DA">
        <w:rPr>
          <w:rStyle w:val="Heading4Char"/>
          <w:rFonts w:ascii="Open Sans" w:eastAsiaTheme="minorHAnsi" w:hAnsi="Open Sans" w:cstheme="minorBidi"/>
          <w:color w:val="000000" w:themeColor="text1"/>
          <w:sz w:val="20"/>
          <w:szCs w:val="22"/>
        </w:rPr>
        <w:t xml:space="preserve">various </w:t>
      </w:r>
      <w:r w:rsidR="007D4E67" w:rsidRPr="007B49DA">
        <w:rPr>
          <w:rStyle w:val="Heading4Char"/>
          <w:rFonts w:ascii="Open Sans" w:eastAsiaTheme="minorHAnsi" w:hAnsi="Open Sans" w:cstheme="minorBidi"/>
          <w:color w:val="000000" w:themeColor="text1"/>
          <w:sz w:val="20"/>
          <w:szCs w:val="22"/>
        </w:rPr>
        <w:t xml:space="preserve">student </w:t>
      </w:r>
      <w:r w:rsidR="00256FA3" w:rsidRPr="007B49DA">
        <w:rPr>
          <w:rStyle w:val="Heading4Char"/>
          <w:rFonts w:ascii="Open Sans" w:eastAsiaTheme="minorHAnsi" w:hAnsi="Open Sans" w:cstheme="minorBidi"/>
          <w:color w:val="000000" w:themeColor="text1"/>
          <w:sz w:val="20"/>
          <w:szCs w:val="22"/>
        </w:rPr>
        <w:t xml:space="preserve">groups </w:t>
      </w:r>
      <w:r w:rsidR="00327DF8" w:rsidRPr="007B49DA">
        <w:rPr>
          <w:rStyle w:val="Heading4Char"/>
          <w:rFonts w:ascii="Open Sans" w:eastAsiaTheme="minorHAnsi" w:hAnsi="Open Sans" w:cstheme="minorBidi"/>
          <w:color w:val="000000" w:themeColor="text1"/>
          <w:sz w:val="20"/>
          <w:szCs w:val="22"/>
        </w:rPr>
        <w:t>currently in their classrooms</w:t>
      </w:r>
      <w:r w:rsidR="009D75BE" w:rsidRPr="007B49DA">
        <w:rPr>
          <w:rStyle w:val="Heading4Char"/>
          <w:rFonts w:ascii="Open Sans" w:eastAsiaTheme="minorHAnsi" w:hAnsi="Open Sans" w:cstheme="minorBidi"/>
          <w:color w:val="000000" w:themeColor="text1"/>
          <w:sz w:val="20"/>
          <w:szCs w:val="22"/>
        </w:rPr>
        <w:t>. Thes</w:t>
      </w:r>
      <w:r w:rsidR="00EC570C" w:rsidRPr="007B49DA">
        <w:rPr>
          <w:rStyle w:val="Heading4Char"/>
          <w:rFonts w:ascii="Open Sans" w:eastAsiaTheme="minorHAnsi" w:hAnsi="Open Sans" w:cstheme="minorBidi"/>
          <w:color w:val="000000" w:themeColor="text1"/>
          <w:sz w:val="20"/>
          <w:szCs w:val="22"/>
        </w:rPr>
        <w:t>e</w:t>
      </w:r>
      <w:r w:rsidR="009D75BE" w:rsidRPr="007B49DA">
        <w:rPr>
          <w:rStyle w:val="Heading4Char"/>
          <w:rFonts w:ascii="Open Sans" w:eastAsiaTheme="minorHAnsi" w:hAnsi="Open Sans" w:cstheme="minorBidi"/>
          <w:color w:val="000000" w:themeColor="text1"/>
          <w:sz w:val="20"/>
          <w:szCs w:val="22"/>
        </w:rPr>
        <w:t xml:space="preserve"> groups included </w:t>
      </w:r>
      <w:r w:rsidRPr="007B49DA">
        <w:rPr>
          <w:rStyle w:val="Heading4Char"/>
          <w:rFonts w:ascii="Open Sans" w:eastAsiaTheme="minorHAnsi" w:hAnsi="Open Sans" w:cstheme="minorBidi"/>
          <w:color w:val="000000" w:themeColor="text1"/>
          <w:sz w:val="20"/>
          <w:szCs w:val="22"/>
        </w:rPr>
        <w:t>students</w:t>
      </w:r>
      <w:r w:rsidR="00256FA3" w:rsidRPr="007B49DA">
        <w:rPr>
          <w:rStyle w:val="Heading4Char"/>
          <w:rFonts w:ascii="Open Sans" w:eastAsiaTheme="minorHAnsi" w:hAnsi="Open Sans" w:cstheme="minorBidi"/>
          <w:color w:val="000000" w:themeColor="text1"/>
          <w:sz w:val="20"/>
          <w:szCs w:val="22"/>
        </w:rPr>
        <w:t xml:space="preserve"> who</w:t>
      </w:r>
      <w:r w:rsidRPr="007B49DA">
        <w:rPr>
          <w:rStyle w:val="Heading4Char"/>
          <w:rFonts w:ascii="Open Sans" w:eastAsiaTheme="minorHAnsi" w:hAnsi="Open Sans" w:cstheme="minorBidi"/>
          <w:color w:val="000000" w:themeColor="text1"/>
          <w:sz w:val="20"/>
          <w:szCs w:val="22"/>
        </w:rPr>
        <w:t xml:space="preserve"> are African </w:t>
      </w:r>
      <w:r w:rsidRPr="007B49DA">
        <w:rPr>
          <w:rStyle w:val="Heading4Char"/>
          <w:rFonts w:ascii="Open Sans" w:eastAsiaTheme="minorHAnsi" w:hAnsi="Open Sans" w:cstheme="minorBidi"/>
          <w:color w:val="000000" w:themeColor="text1"/>
          <w:sz w:val="20"/>
          <w:szCs w:val="22"/>
        </w:rPr>
        <w:lastRenderedPageBreak/>
        <w:t>American /</w:t>
      </w:r>
      <w:r w:rsidR="00E801A7" w:rsidRPr="007B49DA">
        <w:rPr>
          <w:rStyle w:val="Heading4Char"/>
          <w:rFonts w:ascii="Open Sans" w:eastAsiaTheme="minorHAnsi" w:hAnsi="Open Sans" w:cstheme="minorBidi"/>
          <w:color w:val="000000" w:themeColor="text1"/>
          <w:sz w:val="20"/>
          <w:szCs w:val="22"/>
        </w:rPr>
        <w:t xml:space="preserve"> </w:t>
      </w:r>
      <w:r w:rsidRPr="007B49DA">
        <w:rPr>
          <w:rStyle w:val="Heading4Char"/>
          <w:rFonts w:ascii="Open Sans" w:eastAsiaTheme="minorHAnsi" w:hAnsi="Open Sans" w:cstheme="minorBidi"/>
          <w:color w:val="000000" w:themeColor="text1"/>
          <w:sz w:val="20"/>
          <w:szCs w:val="22"/>
        </w:rPr>
        <w:t xml:space="preserve">Black, Asian, Hispanic/Latino, White, English </w:t>
      </w:r>
      <w:r w:rsidR="004047D9" w:rsidRPr="007B49DA">
        <w:rPr>
          <w:rStyle w:val="Heading4Char"/>
          <w:rFonts w:ascii="Open Sans" w:eastAsiaTheme="minorHAnsi" w:hAnsi="Open Sans" w:cstheme="minorBidi"/>
          <w:color w:val="000000" w:themeColor="text1"/>
          <w:sz w:val="20"/>
          <w:szCs w:val="22"/>
        </w:rPr>
        <w:t>l</w:t>
      </w:r>
      <w:r w:rsidRPr="007B49DA">
        <w:rPr>
          <w:rStyle w:val="Heading4Char"/>
          <w:rFonts w:ascii="Open Sans" w:eastAsiaTheme="minorHAnsi" w:hAnsi="Open Sans" w:cstheme="minorBidi"/>
          <w:color w:val="000000" w:themeColor="text1"/>
          <w:sz w:val="20"/>
          <w:szCs w:val="22"/>
        </w:rPr>
        <w:t xml:space="preserve">earners, </w:t>
      </w:r>
      <w:r w:rsidR="004047D9" w:rsidRPr="007B49DA">
        <w:rPr>
          <w:rStyle w:val="Heading4Char"/>
          <w:rFonts w:ascii="Open Sans" w:eastAsiaTheme="minorHAnsi" w:hAnsi="Open Sans" w:cstheme="minorBidi"/>
          <w:color w:val="000000" w:themeColor="text1"/>
          <w:sz w:val="20"/>
          <w:szCs w:val="22"/>
        </w:rPr>
        <w:t>s</w:t>
      </w:r>
      <w:r w:rsidRPr="007B49DA">
        <w:rPr>
          <w:rStyle w:val="Heading4Char"/>
          <w:rFonts w:ascii="Open Sans" w:eastAsiaTheme="minorHAnsi" w:hAnsi="Open Sans" w:cstheme="minorBidi"/>
          <w:color w:val="000000" w:themeColor="text1"/>
          <w:sz w:val="20"/>
          <w:szCs w:val="22"/>
        </w:rPr>
        <w:t xml:space="preserve">tudents with </w:t>
      </w:r>
      <w:r w:rsidR="004047D9" w:rsidRPr="007B49DA">
        <w:rPr>
          <w:rStyle w:val="Heading4Char"/>
          <w:rFonts w:ascii="Open Sans" w:eastAsiaTheme="minorHAnsi" w:hAnsi="Open Sans" w:cstheme="minorBidi"/>
          <w:color w:val="000000" w:themeColor="text1"/>
          <w:sz w:val="20"/>
          <w:szCs w:val="22"/>
        </w:rPr>
        <w:t>d</w:t>
      </w:r>
      <w:r w:rsidRPr="007B49DA">
        <w:rPr>
          <w:rStyle w:val="Heading4Char"/>
          <w:rFonts w:ascii="Open Sans" w:eastAsiaTheme="minorHAnsi" w:hAnsi="Open Sans" w:cstheme="minorBidi"/>
          <w:color w:val="000000" w:themeColor="text1"/>
          <w:sz w:val="20"/>
          <w:szCs w:val="22"/>
        </w:rPr>
        <w:t xml:space="preserve">isabilities, </w:t>
      </w:r>
      <w:r w:rsidR="004519C1" w:rsidRPr="007B49DA">
        <w:rPr>
          <w:rStyle w:val="Heading4Char"/>
          <w:rFonts w:ascii="Open Sans" w:eastAsiaTheme="minorHAnsi" w:hAnsi="Open Sans" w:cstheme="minorBidi"/>
          <w:color w:val="000000" w:themeColor="text1"/>
          <w:sz w:val="20"/>
          <w:szCs w:val="22"/>
        </w:rPr>
        <w:t xml:space="preserve">and </w:t>
      </w:r>
      <w:r w:rsidR="004047D9" w:rsidRPr="007B49DA">
        <w:rPr>
          <w:rStyle w:val="Heading4Char"/>
          <w:rFonts w:ascii="Open Sans" w:eastAsiaTheme="minorHAnsi" w:hAnsi="Open Sans" w:cstheme="minorBidi"/>
          <w:color w:val="000000" w:themeColor="text1"/>
          <w:sz w:val="20"/>
          <w:szCs w:val="22"/>
        </w:rPr>
        <w:t>s</w:t>
      </w:r>
      <w:r w:rsidRPr="007B49DA">
        <w:rPr>
          <w:rStyle w:val="Heading4Char"/>
          <w:rFonts w:ascii="Open Sans" w:eastAsiaTheme="minorHAnsi" w:hAnsi="Open Sans" w:cstheme="minorBidi"/>
          <w:color w:val="000000" w:themeColor="text1"/>
          <w:sz w:val="20"/>
          <w:szCs w:val="22"/>
        </w:rPr>
        <w:t xml:space="preserve">tudents from </w:t>
      </w:r>
      <w:r w:rsidR="004047D9" w:rsidRPr="007B49DA">
        <w:rPr>
          <w:rStyle w:val="Heading4Char"/>
          <w:rFonts w:ascii="Open Sans" w:eastAsiaTheme="minorHAnsi" w:hAnsi="Open Sans" w:cstheme="minorBidi"/>
          <w:color w:val="000000" w:themeColor="text1"/>
          <w:sz w:val="20"/>
          <w:szCs w:val="22"/>
        </w:rPr>
        <w:t>l</w:t>
      </w:r>
      <w:r w:rsidRPr="007B49DA">
        <w:rPr>
          <w:rStyle w:val="Heading4Char"/>
          <w:rFonts w:ascii="Open Sans" w:eastAsiaTheme="minorHAnsi" w:hAnsi="Open Sans" w:cstheme="minorBidi"/>
          <w:color w:val="000000" w:themeColor="text1"/>
          <w:sz w:val="20"/>
          <w:szCs w:val="22"/>
        </w:rPr>
        <w:t>ow-</w:t>
      </w:r>
      <w:r w:rsidR="004047D9" w:rsidRPr="007B49DA">
        <w:rPr>
          <w:rStyle w:val="Heading4Char"/>
          <w:rFonts w:ascii="Open Sans" w:eastAsiaTheme="minorHAnsi" w:hAnsi="Open Sans" w:cstheme="minorBidi"/>
          <w:color w:val="000000" w:themeColor="text1"/>
          <w:sz w:val="20"/>
          <w:szCs w:val="22"/>
        </w:rPr>
        <w:t>i</w:t>
      </w:r>
      <w:r w:rsidRPr="007B49DA">
        <w:rPr>
          <w:rStyle w:val="Heading4Char"/>
          <w:rFonts w:ascii="Open Sans" w:eastAsiaTheme="minorHAnsi" w:hAnsi="Open Sans" w:cstheme="minorBidi"/>
          <w:color w:val="000000" w:themeColor="text1"/>
          <w:sz w:val="20"/>
          <w:szCs w:val="22"/>
        </w:rPr>
        <w:t xml:space="preserve">ncome </w:t>
      </w:r>
      <w:r w:rsidR="004047D9" w:rsidRPr="007B49DA">
        <w:rPr>
          <w:rStyle w:val="Heading4Char"/>
          <w:rFonts w:ascii="Open Sans" w:eastAsiaTheme="minorHAnsi" w:hAnsi="Open Sans" w:cstheme="minorBidi"/>
          <w:color w:val="000000" w:themeColor="text1"/>
          <w:sz w:val="20"/>
          <w:szCs w:val="22"/>
        </w:rPr>
        <w:t>h</w:t>
      </w:r>
      <w:r w:rsidRPr="007B49DA">
        <w:rPr>
          <w:rStyle w:val="Heading4Char"/>
          <w:rFonts w:ascii="Open Sans" w:eastAsiaTheme="minorHAnsi" w:hAnsi="Open Sans" w:cstheme="minorBidi"/>
          <w:color w:val="000000" w:themeColor="text1"/>
          <w:sz w:val="20"/>
          <w:szCs w:val="22"/>
        </w:rPr>
        <w:t>ouseholds</w:t>
      </w:r>
      <w:r w:rsidR="004519C1" w:rsidRPr="007B49DA">
        <w:rPr>
          <w:rStyle w:val="Heading4Char"/>
          <w:rFonts w:ascii="Open Sans" w:eastAsiaTheme="minorHAnsi" w:hAnsi="Open Sans" w:cstheme="minorBidi"/>
          <w:color w:val="000000" w:themeColor="text1"/>
          <w:sz w:val="20"/>
          <w:szCs w:val="22"/>
        </w:rPr>
        <w:t>.</w:t>
      </w:r>
      <w:r w:rsidR="007678CF" w:rsidRPr="007B49DA">
        <w:rPr>
          <w:rStyle w:val="Heading4Char"/>
          <w:rFonts w:ascii="Open Sans" w:eastAsiaTheme="minorHAnsi" w:hAnsi="Open Sans" w:cstheme="minorBidi"/>
          <w:color w:val="000000" w:themeColor="text1"/>
          <w:sz w:val="20"/>
          <w:szCs w:val="22"/>
        </w:rPr>
        <w:t xml:space="preserve"> Teachers </w:t>
      </w:r>
      <w:r w:rsidR="00B12E84" w:rsidRPr="007B49DA">
        <w:rPr>
          <w:rStyle w:val="Heading4Char"/>
          <w:rFonts w:ascii="Open Sans" w:eastAsiaTheme="minorHAnsi" w:hAnsi="Open Sans" w:cstheme="minorBidi"/>
          <w:color w:val="000000" w:themeColor="text1"/>
          <w:sz w:val="20"/>
          <w:szCs w:val="22"/>
        </w:rPr>
        <w:t xml:space="preserve">were asked to </w:t>
      </w:r>
      <w:r w:rsidR="007678CF" w:rsidRPr="007B49DA">
        <w:rPr>
          <w:rStyle w:val="Heading4Char"/>
          <w:rFonts w:ascii="Open Sans" w:eastAsiaTheme="minorHAnsi" w:hAnsi="Open Sans" w:cstheme="minorBidi"/>
          <w:color w:val="000000" w:themeColor="text1"/>
          <w:sz w:val="20"/>
          <w:szCs w:val="22"/>
        </w:rPr>
        <w:t xml:space="preserve">respond to the prompt: </w:t>
      </w:r>
      <w:r w:rsidR="007678CF" w:rsidRPr="007B49DA">
        <w:t>“</w:t>
      </w:r>
      <w:r w:rsidR="00E54A7D" w:rsidRPr="007B49DA">
        <w:t>Before attending this APSI, I was well prepared to teach students who ar</w:t>
      </w:r>
      <w:r w:rsidR="008F4A59" w:rsidRPr="007B49DA">
        <w:t>e</w:t>
      </w:r>
      <w:proofErr w:type="gramStart"/>
      <w:r w:rsidR="008F4A59" w:rsidRPr="007B49DA">
        <w:t>…</w:t>
      </w:r>
      <w:r w:rsidR="007678CF" w:rsidRPr="007B49DA">
        <w:t>“</w:t>
      </w:r>
      <w:r w:rsidR="007678CF" w:rsidRPr="007B49DA">
        <w:rPr>
          <w:rStyle w:val="Heading4Char"/>
          <w:rFonts w:ascii="Open Sans" w:eastAsiaTheme="minorHAnsi" w:hAnsi="Open Sans" w:cstheme="minorBidi"/>
          <w:color w:val="000000" w:themeColor="text1"/>
          <w:sz w:val="20"/>
          <w:szCs w:val="22"/>
        </w:rPr>
        <w:t xml:space="preserve"> They</w:t>
      </w:r>
      <w:proofErr w:type="gramEnd"/>
      <w:r w:rsidR="007678CF" w:rsidRPr="007B49DA">
        <w:rPr>
          <w:rStyle w:val="Heading4Char"/>
          <w:rFonts w:ascii="Open Sans" w:eastAsiaTheme="minorHAnsi" w:hAnsi="Open Sans" w:cstheme="minorBidi"/>
          <w:color w:val="000000" w:themeColor="text1"/>
          <w:sz w:val="20"/>
          <w:szCs w:val="22"/>
        </w:rPr>
        <w:t xml:space="preserve"> then selected all student identities that applied.</w:t>
      </w:r>
    </w:p>
    <w:p w14:paraId="5F08C557" w14:textId="77777777" w:rsidR="007678CF" w:rsidRPr="007B49DA" w:rsidRDefault="007678CF" w:rsidP="007B49DA">
      <w:pPr>
        <w:pStyle w:val="BodyText"/>
        <w:rPr>
          <w:rStyle w:val="Heading4Char"/>
          <w:rFonts w:ascii="Open Sans" w:eastAsiaTheme="minorHAnsi" w:hAnsi="Open Sans" w:cstheme="minorBidi"/>
          <w:color w:val="000000" w:themeColor="text1"/>
          <w:sz w:val="20"/>
          <w:szCs w:val="22"/>
        </w:rPr>
      </w:pPr>
    </w:p>
    <w:p w14:paraId="5FB8C423" w14:textId="0BE144FD" w:rsidR="00910CBF" w:rsidRDefault="00D56AF9" w:rsidP="007B49DA">
      <w:pPr>
        <w:pStyle w:val="BodyText"/>
      </w:pPr>
      <w:r w:rsidRPr="007B49DA">
        <w:rPr>
          <w:rStyle w:val="Heading4Char"/>
          <w:rFonts w:ascii="Open Sans" w:eastAsiaTheme="minorHAnsi" w:hAnsi="Open Sans" w:cstheme="minorBidi"/>
          <w:color w:val="000000" w:themeColor="text1"/>
          <w:sz w:val="20"/>
          <w:szCs w:val="22"/>
        </w:rPr>
        <w:t xml:space="preserve">Of the 23 AP teachers who </w:t>
      </w:r>
      <w:r w:rsidR="00910CBF" w:rsidRPr="007B49DA">
        <w:rPr>
          <w:rStyle w:val="Heading4Char"/>
          <w:rFonts w:ascii="Open Sans" w:eastAsiaTheme="minorHAnsi" w:hAnsi="Open Sans" w:cstheme="minorBidi"/>
          <w:color w:val="000000" w:themeColor="text1"/>
          <w:sz w:val="20"/>
          <w:szCs w:val="22"/>
        </w:rPr>
        <w:t>completed the</w:t>
      </w:r>
      <w:r w:rsidRPr="007B49DA">
        <w:rPr>
          <w:rStyle w:val="Heading4Char"/>
          <w:rFonts w:ascii="Open Sans" w:eastAsiaTheme="minorHAnsi" w:hAnsi="Open Sans" w:cstheme="minorBidi"/>
          <w:color w:val="000000" w:themeColor="text1"/>
          <w:sz w:val="20"/>
          <w:szCs w:val="22"/>
        </w:rPr>
        <w:t xml:space="preserve"> follow-up survey, </w:t>
      </w:r>
      <w:r w:rsidR="00545DCB" w:rsidRPr="007B49DA">
        <w:rPr>
          <w:rStyle w:val="Heading4Char"/>
          <w:rFonts w:ascii="Open Sans" w:eastAsiaTheme="minorHAnsi" w:hAnsi="Open Sans" w:cstheme="minorBidi"/>
          <w:color w:val="000000" w:themeColor="text1"/>
          <w:sz w:val="20"/>
          <w:szCs w:val="22"/>
        </w:rPr>
        <w:t>87</w:t>
      </w:r>
      <w:r w:rsidRPr="007B49DA">
        <w:rPr>
          <w:rStyle w:val="Heading4Char"/>
          <w:rFonts w:ascii="Open Sans" w:eastAsiaTheme="minorHAnsi" w:hAnsi="Open Sans" w:cstheme="minorBidi"/>
          <w:color w:val="000000" w:themeColor="text1"/>
          <w:sz w:val="20"/>
          <w:szCs w:val="22"/>
        </w:rPr>
        <w:t xml:space="preserve">% </w:t>
      </w:r>
      <w:r w:rsidR="009A3156" w:rsidRPr="007B49DA">
        <w:rPr>
          <w:rStyle w:val="Heading4Char"/>
          <w:rFonts w:ascii="Open Sans" w:eastAsiaTheme="minorHAnsi" w:hAnsi="Open Sans" w:cstheme="minorBidi"/>
          <w:color w:val="000000" w:themeColor="text1"/>
          <w:sz w:val="20"/>
          <w:szCs w:val="22"/>
        </w:rPr>
        <w:t>(</w:t>
      </w:r>
      <w:r w:rsidR="0014016B" w:rsidRPr="007B49DA">
        <w:rPr>
          <w:rStyle w:val="Heading4Char"/>
          <w:rFonts w:ascii="Open Sans" w:eastAsiaTheme="minorHAnsi" w:hAnsi="Open Sans" w:cstheme="minorBidi"/>
          <w:color w:val="000000" w:themeColor="text1"/>
          <w:sz w:val="20"/>
          <w:szCs w:val="22"/>
        </w:rPr>
        <w:t>20</w:t>
      </w:r>
      <w:r w:rsidR="00910CBF" w:rsidRPr="007B49DA">
        <w:rPr>
          <w:rStyle w:val="Heading4Char"/>
          <w:rFonts w:ascii="Open Sans" w:eastAsiaTheme="minorHAnsi" w:hAnsi="Open Sans" w:cstheme="minorBidi"/>
          <w:color w:val="000000" w:themeColor="text1"/>
          <w:sz w:val="20"/>
          <w:szCs w:val="22"/>
        </w:rPr>
        <w:t xml:space="preserve"> teachers</w:t>
      </w:r>
      <w:r w:rsidRPr="007B49DA">
        <w:rPr>
          <w:rStyle w:val="Heading4Char"/>
          <w:rFonts w:ascii="Open Sans" w:eastAsiaTheme="minorHAnsi" w:hAnsi="Open Sans" w:cstheme="minorBidi"/>
          <w:color w:val="000000" w:themeColor="text1"/>
          <w:sz w:val="20"/>
          <w:szCs w:val="22"/>
        </w:rPr>
        <w:t xml:space="preserve">) </w:t>
      </w:r>
      <w:r w:rsidR="00910CBF" w:rsidRPr="007B49DA">
        <w:rPr>
          <w:rStyle w:val="Heading4Char"/>
          <w:rFonts w:ascii="Open Sans" w:eastAsiaTheme="minorHAnsi" w:hAnsi="Open Sans" w:cstheme="minorBidi"/>
          <w:color w:val="000000" w:themeColor="text1"/>
          <w:sz w:val="20"/>
          <w:szCs w:val="22"/>
        </w:rPr>
        <w:t>responded to this question</w:t>
      </w:r>
      <w:r w:rsidR="00A6156B" w:rsidRPr="007B49DA">
        <w:rPr>
          <w:rStyle w:val="Heading4Char"/>
          <w:rFonts w:ascii="Open Sans" w:eastAsiaTheme="minorHAnsi" w:hAnsi="Open Sans" w:cstheme="minorBidi"/>
          <w:color w:val="000000" w:themeColor="text1"/>
          <w:sz w:val="20"/>
          <w:szCs w:val="22"/>
        </w:rPr>
        <w:t xml:space="preserve"> (Table </w:t>
      </w:r>
      <w:r w:rsidR="00784C09" w:rsidRPr="007B49DA">
        <w:rPr>
          <w:rStyle w:val="Heading4Char"/>
          <w:rFonts w:ascii="Open Sans" w:eastAsiaTheme="minorHAnsi" w:hAnsi="Open Sans" w:cstheme="minorBidi"/>
          <w:color w:val="000000" w:themeColor="text1"/>
          <w:sz w:val="20"/>
          <w:szCs w:val="22"/>
        </w:rPr>
        <w:t>6</w:t>
      </w:r>
      <w:r w:rsidR="00A6156B" w:rsidRPr="007B49DA">
        <w:rPr>
          <w:rStyle w:val="Heading4Char"/>
          <w:rFonts w:ascii="Open Sans" w:eastAsiaTheme="minorHAnsi" w:hAnsi="Open Sans" w:cstheme="minorBidi"/>
          <w:color w:val="000000" w:themeColor="text1"/>
          <w:sz w:val="20"/>
          <w:szCs w:val="22"/>
        </w:rPr>
        <w:t>)</w:t>
      </w:r>
      <w:r w:rsidR="008F4A59" w:rsidRPr="007B49DA">
        <w:t>.</w:t>
      </w:r>
      <w:r w:rsidR="008F4A59">
        <w:t xml:space="preserve"> </w:t>
      </w:r>
      <w:r w:rsidR="00910CBF">
        <w:t xml:space="preserve">The </w:t>
      </w:r>
      <w:proofErr w:type="gramStart"/>
      <w:r w:rsidR="00910CBF">
        <w:t>most commonly repor</w:t>
      </w:r>
      <w:r w:rsidR="00935E10">
        <w:t>ted</w:t>
      </w:r>
      <w:proofErr w:type="gramEnd"/>
      <w:r w:rsidR="00935E10">
        <w:t xml:space="preserve"> student identities in their classrooms were:</w:t>
      </w:r>
    </w:p>
    <w:p w14:paraId="3B3EE1B6" w14:textId="37B60977" w:rsidR="00585878" w:rsidRDefault="00BA73B9" w:rsidP="007B49DA">
      <w:pPr>
        <w:pStyle w:val="BodyText"/>
      </w:pPr>
      <w:r>
        <w:t>White (19</w:t>
      </w:r>
      <w:r w:rsidR="00935E10">
        <w:t xml:space="preserve"> teachers</w:t>
      </w:r>
      <w:r>
        <w:t>) Hispanic/Latino (17)</w:t>
      </w:r>
      <w:r w:rsidR="009A601A">
        <w:t xml:space="preserve">, </w:t>
      </w:r>
      <w:r>
        <w:t>African American / Black (16)</w:t>
      </w:r>
      <w:r w:rsidR="009A601A">
        <w:t xml:space="preserve">, </w:t>
      </w:r>
      <w:r w:rsidR="00FE0379">
        <w:t>s</w:t>
      </w:r>
      <w:r>
        <w:t>tudents from Low-Income Households (16)</w:t>
      </w:r>
      <w:r w:rsidR="00FE0379">
        <w:t xml:space="preserve">, or students with a disability (15). </w:t>
      </w:r>
      <w:r w:rsidR="00123BE7">
        <w:t xml:space="preserve">Fewer respondents </w:t>
      </w:r>
      <w:r w:rsidR="008A4286">
        <w:t>reported having</w:t>
      </w:r>
      <w:r w:rsidR="00123BE7">
        <w:t xml:space="preserve"> </w:t>
      </w:r>
      <w:r w:rsidR="008A4286">
        <w:t xml:space="preserve">students who were </w:t>
      </w:r>
      <w:r w:rsidR="00123BE7">
        <w:t>English learners (13)</w:t>
      </w:r>
      <w:r w:rsidR="003D02B6">
        <w:t xml:space="preserve"> or Asian (12)</w:t>
      </w:r>
      <w:r w:rsidR="008A4286">
        <w:t xml:space="preserve"> </w:t>
      </w:r>
      <w:r w:rsidR="003D02B6">
        <w:t xml:space="preserve">in their classrooms. </w:t>
      </w:r>
    </w:p>
    <w:p w14:paraId="27EEF6EB" w14:textId="543CCECD" w:rsidR="002F344D" w:rsidRDefault="002F344D" w:rsidP="007B49DA">
      <w:pPr>
        <w:pStyle w:val="TableCaption"/>
      </w:pPr>
      <w:bookmarkStart w:id="274" w:name="_Toc207183796"/>
      <w:r>
        <w:t xml:space="preserve">Table </w:t>
      </w:r>
      <w:r w:rsidR="00784C09">
        <w:t>6</w:t>
      </w:r>
      <w:r>
        <w:t xml:space="preserve">. </w:t>
      </w:r>
      <w:r w:rsidR="00784C09">
        <w:t>Responses to the survey question, “Do you have students with the following known identities in your AP classroom(s)?”</w:t>
      </w:r>
      <w:bookmarkEnd w:id="274"/>
    </w:p>
    <w:tbl>
      <w:tblPr>
        <w:tblStyle w:val="UMDIMaroon"/>
        <w:tblW w:w="9340" w:type="dxa"/>
        <w:tblLayout w:type="fixed"/>
        <w:tblLook w:val="04A0" w:firstRow="1" w:lastRow="0" w:firstColumn="1" w:lastColumn="0" w:noHBand="0" w:noVBand="1"/>
      </w:tblPr>
      <w:tblGrid>
        <w:gridCol w:w="2510"/>
        <w:gridCol w:w="1707"/>
        <w:gridCol w:w="1708"/>
        <w:gridCol w:w="1707"/>
        <w:gridCol w:w="1708"/>
      </w:tblGrid>
      <w:tr w:rsidR="005F5B12" w:rsidRPr="00980D36" w14:paraId="1AF11052" w14:textId="77777777" w:rsidTr="006A13C4">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0" w:type="dxa"/>
          </w:tcPr>
          <w:p w14:paraId="2B7ED65E" w14:textId="744B0716" w:rsidR="00ED43E0" w:rsidRPr="006A13C4" w:rsidRDefault="00ED43E0" w:rsidP="007B49DA">
            <w:pPr>
              <w:rPr>
                <w:rFonts w:cs="Open Sans"/>
              </w:rPr>
            </w:pPr>
            <w:r w:rsidRPr="006A13C4">
              <w:rPr>
                <w:rFonts w:cs="Open Sans"/>
              </w:rPr>
              <w:t>Student identity</w:t>
            </w:r>
          </w:p>
        </w:tc>
        <w:tc>
          <w:tcPr>
            <w:tcW w:w="1707" w:type="dxa"/>
          </w:tcPr>
          <w:p w14:paraId="3BF2A239" w14:textId="77777777" w:rsidR="00ED43E0" w:rsidRPr="006A13C4" w:rsidRDefault="00ED43E0" w:rsidP="007B49DA">
            <w:pPr>
              <w:cnfStyle w:val="100000000000" w:firstRow="1" w:lastRow="0" w:firstColumn="0" w:lastColumn="0" w:oddVBand="0" w:evenVBand="0" w:oddHBand="0" w:evenHBand="0" w:firstRowFirstColumn="0" w:firstRowLastColumn="0" w:lastRowFirstColumn="0" w:lastRowLastColumn="0"/>
              <w:rPr>
                <w:rFonts w:cs="Open Sans"/>
                <w:b w:val="0"/>
                <w:bCs/>
              </w:rPr>
            </w:pPr>
            <w:r w:rsidRPr="006A13C4">
              <w:rPr>
                <w:rFonts w:cs="Open Sans"/>
              </w:rPr>
              <w:t>Yes, I have one or more students with this identity in my AP classroom(s)</w:t>
            </w:r>
          </w:p>
        </w:tc>
        <w:tc>
          <w:tcPr>
            <w:tcW w:w="1708" w:type="dxa"/>
          </w:tcPr>
          <w:p w14:paraId="664648E2" w14:textId="77777777" w:rsidR="00ED43E0" w:rsidRPr="006A13C4" w:rsidRDefault="00ED43E0" w:rsidP="007B49DA">
            <w:pPr>
              <w:cnfStyle w:val="100000000000" w:firstRow="1" w:lastRow="0" w:firstColumn="0" w:lastColumn="0" w:oddVBand="0" w:evenVBand="0" w:oddHBand="0" w:evenHBand="0" w:firstRowFirstColumn="0" w:firstRowLastColumn="0" w:lastRowFirstColumn="0" w:lastRowLastColumn="0"/>
              <w:rPr>
                <w:rFonts w:cs="Open Sans"/>
                <w:b w:val="0"/>
                <w:bCs/>
              </w:rPr>
            </w:pPr>
            <w:r w:rsidRPr="006A13C4">
              <w:rPr>
                <w:rFonts w:cs="Open Sans"/>
              </w:rPr>
              <w:t>No, I do not have students with this identity in my AP classroom(s)</w:t>
            </w:r>
          </w:p>
        </w:tc>
        <w:tc>
          <w:tcPr>
            <w:tcW w:w="1707" w:type="dxa"/>
          </w:tcPr>
          <w:p w14:paraId="316700AF" w14:textId="77777777" w:rsidR="00ED43E0" w:rsidRPr="006A13C4" w:rsidRDefault="00ED43E0" w:rsidP="007B49DA">
            <w:pPr>
              <w:cnfStyle w:val="100000000000" w:firstRow="1" w:lastRow="0" w:firstColumn="0" w:lastColumn="0" w:oddVBand="0" w:evenVBand="0" w:oddHBand="0" w:evenHBand="0" w:firstRowFirstColumn="0" w:firstRowLastColumn="0" w:lastRowFirstColumn="0" w:lastRowLastColumn="0"/>
              <w:rPr>
                <w:rFonts w:cs="Open Sans"/>
                <w:b w:val="0"/>
                <w:bCs/>
              </w:rPr>
            </w:pPr>
            <w:r w:rsidRPr="006A13C4">
              <w:rPr>
                <w:rFonts w:cs="Open Sans"/>
              </w:rPr>
              <w:t>I’m unsure if I have students with this identity in my AP classroom(s)</w:t>
            </w:r>
          </w:p>
        </w:tc>
        <w:tc>
          <w:tcPr>
            <w:tcW w:w="1708" w:type="dxa"/>
          </w:tcPr>
          <w:p w14:paraId="579219B5" w14:textId="2A13144D" w:rsidR="00ED43E0" w:rsidRPr="006A13C4" w:rsidRDefault="008408A8" w:rsidP="007B49DA">
            <w:pPr>
              <w:spacing w:after="0"/>
              <w:cnfStyle w:val="100000000000" w:firstRow="1" w:lastRow="0" w:firstColumn="0" w:lastColumn="0" w:oddVBand="0" w:evenVBand="0" w:oddHBand="0" w:evenHBand="0" w:firstRowFirstColumn="0" w:firstRowLastColumn="0" w:lastRowFirstColumn="0" w:lastRowLastColumn="0"/>
              <w:rPr>
                <w:rFonts w:cs="Open Sans"/>
              </w:rPr>
            </w:pPr>
            <w:r>
              <w:rPr>
                <w:rFonts w:cs="Open Sans"/>
              </w:rPr>
              <w:t>Total number of responses</w:t>
            </w:r>
          </w:p>
        </w:tc>
      </w:tr>
      <w:tr w:rsidR="00ED43E0" w:rsidRPr="00980D36" w14:paraId="25A736E9" w14:textId="77777777" w:rsidTr="006A13C4">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2510" w:type="dxa"/>
          </w:tcPr>
          <w:p w14:paraId="2D0BCBEB" w14:textId="6EB085D4" w:rsidR="00ED43E0" w:rsidRPr="006A13C4" w:rsidRDefault="00ED43E0" w:rsidP="007B49DA">
            <w:pPr>
              <w:spacing w:after="0"/>
              <w:jc w:val="center"/>
              <w:rPr>
                <w:rFonts w:cs="Open Sans"/>
                <w:b/>
                <w:bCs/>
                <w:color w:val="000000" w:themeColor="text1"/>
              </w:rPr>
            </w:pPr>
            <w:r w:rsidRPr="006A13C4">
              <w:rPr>
                <w:rFonts w:cs="Open Sans"/>
                <w:color w:val="000000" w:themeColor="text1"/>
              </w:rPr>
              <w:t>African American/Black</w:t>
            </w:r>
          </w:p>
        </w:tc>
        <w:tc>
          <w:tcPr>
            <w:tcW w:w="1707" w:type="dxa"/>
          </w:tcPr>
          <w:p w14:paraId="389ABDB4" w14:textId="77777777" w:rsidR="00ED43E0" w:rsidRPr="006A13C4" w:rsidRDefault="00ED43E0" w:rsidP="007B49DA">
            <w:pPr>
              <w:spacing w:after="0"/>
              <w:cnfStyle w:val="000000100000" w:firstRow="0" w:lastRow="0" w:firstColumn="0" w:lastColumn="0" w:oddVBand="0" w:evenVBand="0" w:oddHBand="1" w:evenHBand="0" w:firstRowFirstColumn="0" w:firstRowLastColumn="0" w:lastRowFirstColumn="0" w:lastRowLastColumn="0"/>
              <w:rPr>
                <w:rFonts w:cs="Open Sans"/>
                <w:color w:val="000000" w:themeColor="text1"/>
                <w:sz w:val="44"/>
                <w:szCs w:val="44"/>
              </w:rPr>
            </w:pPr>
            <w:r w:rsidRPr="006A13C4">
              <w:rPr>
                <w:rFonts w:cs="Open Sans"/>
                <w:color w:val="000000" w:themeColor="text1"/>
              </w:rPr>
              <w:t>16</w:t>
            </w:r>
          </w:p>
        </w:tc>
        <w:tc>
          <w:tcPr>
            <w:tcW w:w="1708" w:type="dxa"/>
          </w:tcPr>
          <w:p w14:paraId="236C793C" w14:textId="77777777" w:rsidR="00ED43E0" w:rsidRPr="006A13C4" w:rsidRDefault="00ED43E0" w:rsidP="007B49DA">
            <w:pPr>
              <w:spacing w:after="0"/>
              <w:cnfStyle w:val="000000100000" w:firstRow="0" w:lastRow="0" w:firstColumn="0" w:lastColumn="0" w:oddVBand="0" w:evenVBand="0" w:oddHBand="1" w:evenHBand="0" w:firstRowFirstColumn="0" w:firstRowLastColumn="0" w:lastRowFirstColumn="0" w:lastRowLastColumn="0"/>
              <w:rPr>
                <w:rFonts w:cs="Open Sans"/>
                <w:color w:val="000000" w:themeColor="text1"/>
                <w:sz w:val="44"/>
                <w:szCs w:val="44"/>
              </w:rPr>
            </w:pPr>
            <w:r w:rsidRPr="006A13C4">
              <w:rPr>
                <w:rFonts w:cs="Open Sans"/>
                <w:color w:val="000000" w:themeColor="text1"/>
              </w:rPr>
              <w:t>4</w:t>
            </w:r>
          </w:p>
        </w:tc>
        <w:tc>
          <w:tcPr>
            <w:tcW w:w="1707" w:type="dxa"/>
          </w:tcPr>
          <w:p w14:paraId="1373BA48" w14:textId="77777777" w:rsidR="00ED43E0" w:rsidRPr="006A13C4" w:rsidRDefault="00ED43E0" w:rsidP="007B49DA">
            <w:pPr>
              <w:spacing w:after="0"/>
              <w:cnfStyle w:val="000000100000" w:firstRow="0" w:lastRow="0" w:firstColumn="0" w:lastColumn="0" w:oddVBand="0" w:evenVBand="0" w:oddHBand="1" w:evenHBand="0" w:firstRowFirstColumn="0" w:firstRowLastColumn="0" w:lastRowFirstColumn="0" w:lastRowLastColumn="0"/>
              <w:rPr>
                <w:rFonts w:cs="Open Sans"/>
                <w:color w:val="000000" w:themeColor="text1"/>
                <w:sz w:val="44"/>
                <w:szCs w:val="44"/>
              </w:rPr>
            </w:pPr>
            <w:r w:rsidRPr="006A13C4">
              <w:rPr>
                <w:rFonts w:cs="Open Sans"/>
                <w:color w:val="000000" w:themeColor="text1"/>
              </w:rPr>
              <w:t>0</w:t>
            </w:r>
          </w:p>
        </w:tc>
        <w:tc>
          <w:tcPr>
            <w:tcW w:w="1708" w:type="dxa"/>
          </w:tcPr>
          <w:p w14:paraId="59BE1A92" w14:textId="77777777" w:rsidR="00ED43E0" w:rsidRPr="006A13C4" w:rsidRDefault="00ED43E0" w:rsidP="007B49DA">
            <w:pPr>
              <w:spacing w:after="0"/>
              <w:cnfStyle w:val="000000100000" w:firstRow="0" w:lastRow="0" w:firstColumn="0" w:lastColumn="0" w:oddVBand="0" w:evenVBand="0" w:oddHBand="1" w:evenHBand="0" w:firstRowFirstColumn="0" w:firstRowLastColumn="0" w:lastRowFirstColumn="0" w:lastRowLastColumn="0"/>
              <w:rPr>
                <w:rFonts w:cs="Open Sans"/>
                <w:color w:val="000000" w:themeColor="text1"/>
              </w:rPr>
            </w:pPr>
            <w:r w:rsidRPr="006A13C4">
              <w:rPr>
                <w:rFonts w:cs="Open Sans"/>
                <w:color w:val="000000" w:themeColor="text1"/>
              </w:rPr>
              <w:t>20</w:t>
            </w:r>
          </w:p>
        </w:tc>
      </w:tr>
      <w:tr w:rsidR="00ED43E0" w:rsidRPr="00980D36" w14:paraId="1B3A2650" w14:textId="77777777" w:rsidTr="006A13C4">
        <w:trPr>
          <w:cnfStyle w:val="000000010000" w:firstRow="0" w:lastRow="0" w:firstColumn="0" w:lastColumn="0" w:oddVBand="0" w:evenVBand="0" w:oddHBand="0" w:evenHBand="1"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2510" w:type="dxa"/>
          </w:tcPr>
          <w:p w14:paraId="559FD11B" w14:textId="77777777" w:rsidR="00ED43E0" w:rsidRPr="006A13C4" w:rsidRDefault="00ED43E0" w:rsidP="007B49DA">
            <w:pPr>
              <w:spacing w:after="0"/>
              <w:jc w:val="center"/>
              <w:rPr>
                <w:rFonts w:cs="Open Sans"/>
                <w:b/>
                <w:bCs/>
                <w:color w:val="000000" w:themeColor="text1"/>
              </w:rPr>
            </w:pPr>
            <w:r w:rsidRPr="006A13C4">
              <w:rPr>
                <w:rFonts w:cs="Open Sans"/>
                <w:color w:val="000000" w:themeColor="text1"/>
              </w:rPr>
              <w:t>Asian</w:t>
            </w:r>
          </w:p>
        </w:tc>
        <w:tc>
          <w:tcPr>
            <w:tcW w:w="1707" w:type="dxa"/>
          </w:tcPr>
          <w:p w14:paraId="6F25D771" w14:textId="77777777" w:rsidR="00ED43E0" w:rsidRPr="006A13C4" w:rsidRDefault="00ED43E0" w:rsidP="007B49DA">
            <w:pPr>
              <w:spacing w:after="0"/>
              <w:cnfStyle w:val="000000010000" w:firstRow="0" w:lastRow="0" w:firstColumn="0" w:lastColumn="0" w:oddVBand="0" w:evenVBand="0" w:oddHBand="0" w:evenHBand="1" w:firstRowFirstColumn="0" w:firstRowLastColumn="0" w:lastRowFirstColumn="0" w:lastRowLastColumn="0"/>
              <w:rPr>
                <w:rFonts w:cs="Open Sans"/>
                <w:color w:val="000000" w:themeColor="text1"/>
                <w:sz w:val="44"/>
                <w:szCs w:val="44"/>
              </w:rPr>
            </w:pPr>
            <w:r w:rsidRPr="006A13C4">
              <w:rPr>
                <w:rFonts w:cs="Open Sans"/>
                <w:color w:val="000000" w:themeColor="text1"/>
              </w:rPr>
              <w:t>12</w:t>
            </w:r>
          </w:p>
        </w:tc>
        <w:tc>
          <w:tcPr>
            <w:tcW w:w="1708" w:type="dxa"/>
          </w:tcPr>
          <w:p w14:paraId="19C6F3B4" w14:textId="77777777" w:rsidR="00ED43E0" w:rsidRPr="006A13C4" w:rsidRDefault="00ED43E0" w:rsidP="007B49DA">
            <w:pPr>
              <w:spacing w:after="0"/>
              <w:cnfStyle w:val="000000010000" w:firstRow="0" w:lastRow="0" w:firstColumn="0" w:lastColumn="0" w:oddVBand="0" w:evenVBand="0" w:oddHBand="0" w:evenHBand="1" w:firstRowFirstColumn="0" w:firstRowLastColumn="0" w:lastRowFirstColumn="0" w:lastRowLastColumn="0"/>
              <w:rPr>
                <w:rFonts w:cs="Open Sans"/>
                <w:color w:val="000000" w:themeColor="text1"/>
                <w:sz w:val="44"/>
                <w:szCs w:val="44"/>
              </w:rPr>
            </w:pPr>
            <w:r w:rsidRPr="006A13C4">
              <w:rPr>
                <w:rFonts w:cs="Open Sans"/>
                <w:color w:val="000000" w:themeColor="text1"/>
              </w:rPr>
              <w:t>5</w:t>
            </w:r>
          </w:p>
        </w:tc>
        <w:tc>
          <w:tcPr>
            <w:tcW w:w="1707" w:type="dxa"/>
          </w:tcPr>
          <w:p w14:paraId="007FF85E" w14:textId="77777777" w:rsidR="00ED43E0" w:rsidRPr="006A13C4" w:rsidRDefault="00ED43E0" w:rsidP="007B49DA">
            <w:pPr>
              <w:spacing w:after="0"/>
              <w:cnfStyle w:val="000000010000" w:firstRow="0" w:lastRow="0" w:firstColumn="0" w:lastColumn="0" w:oddVBand="0" w:evenVBand="0" w:oddHBand="0" w:evenHBand="1" w:firstRowFirstColumn="0" w:firstRowLastColumn="0" w:lastRowFirstColumn="0" w:lastRowLastColumn="0"/>
              <w:rPr>
                <w:rFonts w:cs="Open Sans"/>
                <w:color w:val="000000" w:themeColor="text1"/>
                <w:sz w:val="44"/>
                <w:szCs w:val="44"/>
              </w:rPr>
            </w:pPr>
            <w:r w:rsidRPr="006A13C4">
              <w:rPr>
                <w:rFonts w:cs="Open Sans"/>
                <w:color w:val="000000" w:themeColor="text1"/>
              </w:rPr>
              <w:t>3</w:t>
            </w:r>
          </w:p>
        </w:tc>
        <w:tc>
          <w:tcPr>
            <w:tcW w:w="1708" w:type="dxa"/>
          </w:tcPr>
          <w:p w14:paraId="4867D58F" w14:textId="77777777" w:rsidR="00ED43E0" w:rsidRPr="006A13C4" w:rsidRDefault="00ED43E0" w:rsidP="007B49DA">
            <w:pPr>
              <w:spacing w:after="0"/>
              <w:cnfStyle w:val="000000010000" w:firstRow="0" w:lastRow="0" w:firstColumn="0" w:lastColumn="0" w:oddVBand="0" w:evenVBand="0" w:oddHBand="0" w:evenHBand="1" w:firstRowFirstColumn="0" w:firstRowLastColumn="0" w:lastRowFirstColumn="0" w:lastRowLastColumn="0"/>
              <w:rPr>
                <w:rFonts w:cs="Open Sans"/>
                <w:color w:val="000000" w:themeColor="text1"/>
              </w:rPr>
            </w:pPr>
            <w:r w:rsidRPr="006A13C4">
              <w:rPr>
                <w:rFonts w:cs="Open Sans"/>
                <w:color w:val="000000" w:themeColor="text1"/>
              </w:rPr>
              <w:t>20</w:t>
            </w:r>
          </w:p>
        </w:tc>
      </w:tr>
      <w:tr w:rsidR="00ED43E0" w:rsidRPr="00980D36" w14:paraId="0BCCB885" w14:textId="77777777" w:rsidTr="006A13C4">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2510" w:type="dxa"/>
          </w:tcPr>
          <w:p w14:paraId="7D0F4690" w14:textId="15CA8F3C" w:rsidR="00ED43E0" w:rsidRPr="006A13C4" w:rsidRDefault="00ED43E0" w:rsidP="007B49DA">
            <w:pPr>
              <w:spacing w:after="0"/>
              <w:jc w:val="center"/>
              <w:rPr>
                <w:rFonts w:cs="Open Sans"/>
                <w:b/>
                <w:bCs/>
                <w:color w:val="000000" w:themeColor="text1"/>
              </w:rPr>
            </w:pPr>
            <w:r w:rsidRPr="006A13C4">
              <w:rPr>
                <w:rFonts w:cs="Open Sans"/>
                <w:color w:val="000000" w:themeColor="text1"/>
              </w:rPr>
              <w:t>Hispanic/Latino</w:t>
            </w:r>
          </w:p>
        </w:tc>
        <w:tc>
          <w:tcPr>
            <w:tcW w:w="1707" w:type="dxa"/>
          </w:tcPr>
          <w:p w14:paraId="4E12FF4B" w14:textId="77777777" w:rsidR="00ED43E0" w:rsidRPr="006A13C4" w:rsidRDefault="00ED43E0" w:rsidP="007B49DA">
            <w:pPr>
              <w:spacing w:after="0"/>
              <w:cnfStyle w:val="000000100000" w:firstRow="0" w:lastRow="0" w:firstColumn="0" w:lastColumn="0" w:oddVBand="0" w:evenVBand="0" w:oddHBand="1" w:evenHBand="0" w:firstRowFirstColumn="0" w:firstRowLastColumn="0" w:lastRowFirstColumn="0" w:lastRowLastColumn="0"/>
              <w:rPr>
                <w:rFonts w:cs="Open Sans"/>
                <w:color w:val="000000" w:themeColor="text1"/>
                <w:sz w:val="44"/>
                <w:szCs w:val="44"/>
              </w:rPr>
            </w:pPr>
            <w:r w:rsidRPr="006A13C4">
              <w:rPr>
                <w:rFonts w:cs="Open Sans"/>
                <w:color w:val="000000" w:themeColor="text1"/>
              </w:rPr>
              <w:t>17</w:t>
            </w:r>
          </w:p>
        </w:tc>
        <w:tc>
          <w:tcPr>
            <w:tcW w:w="1708" w:type="dxa"/>
          </w:tcPr>
          <w:p w14:paraId="49D8B930" w14:textId="77777777" w:rsidR="00ED43E0" w:rsidRPr="006A13C4" w:rsidRDefault="00ED43E0" w:rsidP="007B49DA">
            <w:pPr>
              <w:spacing w:after="0"/>
              <w:cnfStyle w:val="000000100000" w:firstRow="0" w:lastRow="0" w:firstColumn="0" w:lastColumn="0" w:oddVBand="0" w:evenVBand="0" w:oddHBand="1" w:evenHBand="0" w:firstRowFirstColumn="0" w:firstRowLastColumn="0" w:lastRowFirstColumn="0" w:lastRowLastColumn="0"/>
              <w:rPr>
                <w:rFonts w:cs="Open Sans"/>
                <w:color w:val="000000" w:themeColor="text1"/>
                <w:sz w:val="44"/>
                <w:szCs w:val="44"/>
              </w:rPr>
            </w:pPr>
            <w:r w:rsidRPr="006A13C4">
              <w:rPr>
                <w:rFonts w:cs="Open Sans"/>
                <w:color w:val="000000" w:themeColor="text1"/>
              </w:rPr>
              <w:t>1</w:t>
            </w:r>
          </w:p>
        </w:tc>
        <w:tc>
          <w:tcPr>
            <w:tcW w:w="1707" w:type="dxa"/>
          </w:tcPr>
          <w:p w14:paraId="1A453138" w14:textId="77777777" w:rsidR="00ED43E0" w:rsidRPr="006A13C4" w:rsidRDefault="00ED43E0" w:rsidP="007B49DA">
            <w:pPr>
              <w:spacing w:after="0"/>
              <w:cnfStyle w:val="000000100000" w:firstRow="0" w:lastRow="0" w:firstColumn="0" w:lastColumn="0" w:oddVBand="0" w:evenVBand="0" w:oddHBand="1" w:evenHBand="0" w:firstRowFirstColumn="0" w:firstRowLastColumn="0" w:lastRowFirstColumn="0" w:lastRowLastColumn="0"/>
              <w:rPr>
                <w:rFonts w:cs="Open Sans"/>
                <w:color w:val="000000" w:themeColor="text1"/>
                <w:sz w:val="44"/>
                <w:szCs w:val="44"/>
              </w:rPr>
            </w:pPr>
            <w:r w:rsidRPr="006A13C4">
              <w:rPr>
                <w:rFonts w:cs="Open Sans"/>
                <w:color w:val="000000" w:themeColor="text1"/>
              </w:rPr>
              <w:t>2</w:t>
            </w:r>
          </w:p>
        </w:tc>
        <w:tc>
          <w:tcPr>
            <w:tcW w:w="1708" w:type="dxa"/>
          </w:tcPr>
          <w:p w14:paraId="6B7DEF75" w14:textId="77777777" w:rsidR="00ED43E0" w:rsidRPr="006A13C4" w:rsidRDefault="00ED43E0" w:rsidP="007B49DA">
            <w:pPr>
              <w:spacing w:after="0"/>
              <w:cnfStyle w:val="000000100000" w:firstRow="0" w:lastRow="0" w:firstColumn="0" w:lastColumn="0" w:oddVBand="0" w:evenVBand="0" w:oddHBand="1" w:evenHBand="0" w:firstRowFirstColumn="0" w:firstRowLastColumn="0" w:lastRowFirstColumn="0" w:lastRowLastColumn="0"/>
              <w:rPr>
                <w:rFonts w:cs="Open Sans"/>
                <w:color w:val="000000" w:themeColor="text1"/>
              </w:rPr>
            </w:pPr>
            <w:r w:rsidRPr="006A13C4">
              <w:rPr>
                <w:rFonts w:cs="Open Sans"/>
                <w:color w:val="000000" w:themeColor="text1"/>
              </w:rPr>
              <w:t>20</w:t>
            </w:r>
          </w:p>
        </w:tc>
      </w:tr>
      <w:tr w:rsidR="00ED43E0" w:rsidRPr="00980D36" w14:paraId="6FD4C4CC" w14:textId="77777777" w:rsidTr="006A13C4">
        <w:trPr>
          <w:cnfStyle w:val="000000010000" w:firstRow="0" w:lastRow="0" w:firstColumn="0" w:lastColumn="0" w:oddVBand="0" w:evenVBand="0" w:oddHBand="0" w:evenHBand="1"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2510" w:type="dxa"/>
          </w:tcPr>
          <w:p w14:paraId="2B58FC3B" w14:textId="77777777" w:rsidR="00ED43E0" w:rsidRPr="006A13C4" w:rsidRDefault="00ED43E0" w:rsidP="007B49DA">
            <w:pPr>
              <w:spacing w:after="0"/>
              <w:jc w:val="center"/>
              <w:rPr>
                <w:rFonts w:cs="Open Sans"/>
                <w:b/>
                <w:bCs/>
                <w:color w:val="000000" w:themeColor="text1"/>
              </w:rPr>
            </w:pPr>
            <w:r w:rsidRPr="006A13C4">
              <w:rPr>
                <w:rFonts w:cs="Open Sans"/>
                <w:color w:val="000000" w:themeColor="text1"/>
              </w:rPr>
              <w:t>White</w:t>
            </w:r>
          </w:p>
        </w:tc>
        <w:tc>
          <w:tcPr>
            <w:tcW w:w="1707" w:type="dxa"/>
          </w:tcPr>
          <w:p w14:paraId="0FD1407F" w14:textId="77777777" w:rsidR="00ED43E0" w:rsidRPr="006A13C4" w:rsidRDefault="00ED43E0" w:rsidP="007B49DA">
            <w:pPr>
              <w:spacing w:after="0"/>
              <w:cnfStyle w:val="000000010000" w:firstRow="0" w:lastRow="0" w:firstColumn="0" w:lastColumn="0" w:oddVBand="0" w:evenVBand="0" w:oddHBand="0" w:evenHBand="1" w:firstRowFirstColumn="0" w:firstRowLastColumn="0" w:lastRowFirstColumn="0" w:lastRowLastColumn="0"/>
              <w:rPr>
                <w:rFonts w:cs="Open Sans"/>
                <w:color w:val="000000" w:themeColor="text1"/>
                <w:sz w:val="44"/>
                <w:szCs w:val="44"/>
              </w:rPr>
            </w:pPr>
            <w:r w:rsidRPr="006A13C4">
              <w:rPr>
                <w:rFonts w:cs="Open Sans"/>
                <w:color w:val="000000" w:themeColor="text1"/>
              </w:rPr>
              <w:t>19</w:t>
            </w:r>
          </w:p>
        </w:tc>
        <w:tc>
          <w:tcPr>
            <w:tcW w:w="1708" w:type="dxa"/>
          </w:tcPr>
          <w:p w14:paraId="69A4128A" w14:textId="77777777" w:rsidR="00ED43E0" w:rsidRPr="006A13C4" w:rsidRDefault="00ED43E0" w:rsidP="007B49DA">
            <w:pPr>
              <w:spacing w:after="0"/>
              <w:cnfStyle w:val="000000010000" w:firstRow="0" w:lastRow="0" w:firstColumn="0" w:lastColumn="0" w:oddVBand="0" w:evenVBand="0" w:oddHBand="0" w:evenHBand="1" w:firstRowFirstColumn="0" w:firstRowLastColumn="0" w:lastRowFirstColumn="0" w:lastRowLastColumn="0"/>
              <w:rPr>
                <w:rFonts w:cs="Open Sans"/>
                <w:color w:val="000000" w:themeColor="text1"/>
                <w:sz w:val="44"/>
                <w:szCs w:val="44"/>
              </w:rPr>
            </w:pPr>
            <w:r w:rsidRPr="006A13C4">
              <w:rPr>
                <w:rFonts w:cs="Open Sans"/>
                <w:color w:val="000000" w:themeColor="text1"/>
              </w:rPr>
              <w:t>1</w:t>
            </w:r>
          </w:p>
        </w:tc>
        <w:tc>
          <w:tcPr>
            <w:tcW w:w="1707" w:type="dxa"/>
          </w:tcPr>
          <w:p w14:paraId="56682022" w14:textId="77777777" w:rsidR="00ED43E0" w:rsidRPr="006A13C4" w:rsidRDefault="00ED43E0" w:rsidP="007B49DA">
            <w:pPr>
              <w:spacing w:after="0"/>
              <w:cnfStyle w:val="000000010000" w:firstRow="0" w:lastRow="0" w:firstColumn="0" w:lastColumn="0" w:oddVBand="0" w:evenVBand="0" w:oddHBand="0" w:evenHBand="1" w:firstRowFirstColumn="0" w:firstRowLastColumn="0" w:lastRowFirstColumn="0" w:lastRowLastColumn="0"/>
              <w:rPr>
                <w:rFonts w:cs="Open Sans"/>
                <w:color w:val="000000" w:themeColor="text1"/>
                <w:sz w:val="44"/>
                <w:szCs w:val="44"/>
              </w:rPr>
            </w:pPr>
            <w:r w:rsidRPr="006A13C4">
              <w:rPr>
                <w:rFonts w:cs="Open Sans"/>
                <w:color w:val="000000" w:themeColor="text1"/>
              </w:rPr>
              <w:t>0</w:t>
            </w:r>
          </w:p>
        </w:tc>
        <w:tc>
          <w:tcPr>
            <w:tcW w:w="1708" w:type="dxa"/>
          </w:tcPr>
          <w:p w14:paraId="73A596AF" w14:textId="77777777" w:rsidR="00ED43E0" w:rsidRPr="006A13C4" w:rsidRDefault="00ED43E0" w:rsidP="007B49DA">
            <w:pPr>
              <w:spacing w:after="0"/>
              <w:cnfStyle w:val="000000010000" w:firstRow="0" w:lastRow="0" w:firstColumn="0" w:lastColumn="0" w:oddVBand="0" w:evenVBand="0" w:oddHBand="0" w:evenHBand="1" w:firstRowFirstColumn="0" w:firstRowLastColumn="0" w:lastRowFirstColumn="0" w:lastRowLastColumn="0"/>
              <w:rPr>
                <w:rFonts w:cs="Open Sans"/>
                <w:color w:val="000000" w:themeColor="text1"/>
              </w:rPr>
            </w:pPr>
            <w:r w:rsidRPr="006A13C4">
              <w:rPr>
                <w:rFonts w:cs="Open Sans"/>
                <w:color w:val="000000" w:themeColor="text1"/>
              </w:rPr>
              <w:t>20</w:t>
            </w:r>
          </w:p>
        </w:tc>
      </w:tr>
      <w:tr w:rsidR="00ED43E0" w:rsidRPr="007A7F90" w14:paraId="7DED043A" w14:textId="77777777" w:rsidTr="006A13C4">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2510" w:type="dxa"/>
          </w:tcPr>
          <w:p w14:paraId="3FD253F0" w14:textId="77777777" w:rsidR="00ED43E0" w:rsidRPr="006A13C4" w:rsidRDefault="00ED43E0" w:rsidP="007B49DA">
            <w:pPr>
              <w:spacing w:after="0"/>
              <w:jc w:val="center"/>
              <w:rPr>
                <w:rFonts w:cs="Open Sans"/>
                <w:b/>
                <w:bCs/>
                <w:color w:val="000000" w:themeColor="text1"/>
              </w:rPr>
            </w:pPr>
            <w:r w:rsidRPr="006A13C4">
              <w:rPr>
                <w:rFonts w:cs="Open Sans"/>
                <w:color w:val="000000" w:themeColor="text1"/>
              </w:rPr>
              <w:t>English Language Learners</w:t>
            </w:r>
          </w:p>
        </w:tc>
        <w:tc>
          <w:tcPr>
            <w:tcW w:w="1707" w:type="dxa"/>
          </w:tcPr>
          <w:p w14:paraId="02EAEA78" w14:textId="77777777" w:rsidR="00ED43E0" w:rsidRPr="006A13C4" w:rsidRDefault="00ED43E0" w:rsidP="007B49DA">
            <w:pPr>
              <w:spacing w:after="0"/>
              <w:cnfStyle w:val="000000100000" w:firstRow="0" w:lastRow="0" w:firstColumn="0" w:lastColumn="0" w:oddVBand="0" w:evenVBand="0" w:oddHBand="1" w:evenHBand="0" w:firstRowFirstColumn="0" w:firstRowLastColumn="0" w:lastRowFirstColumn="0" w:lastRowLastColumn="0"/>
              <w:rPr>
                <w:rFonts w:cs="Open Sans"/>
                <w:color w:val="000000" w:themeColor="text1"/>
                <w:sz w:val="44"/>
                <w:szCs w:val="44"/>
              </w:rPr>
            </w:pPr>
            <w:r w:rsidRPr="006A13C4">
              <w:rPr>
                <w:rFonts w:cs="Open Sans"/>
                <w:color w:val="000000" w:themeColor="text1"/>
              </w:rPr>
              <w:t>13</w:t>
            </w:r>
          </w:p>
        </w:tc>
        <w:tc>
          <w:tcPr>
            <w:tcW w:w="1708" w:type="dxa"/>
          </w:tcPr>
          <w:p w14:paraId="0931ADA0" w14:textId="77777777" w:rsidR="00ED43E0" w:rsidRPr="006A13C4" w:rsidRDefault="00ED43E0" w:rsidP="007B49DA">
            <w:pPr>
              <w:spacing w:after="0"/>
              <w:cnfStyle w:val="000000100000" w:firstRow="0" w:lastRow="0" w:firstColumn="0" w:lastColumn="0" w:oddVBand="0" w:evenVBand="0" w:oddHBand="1" w:evenHBand="0" w:firstRowFirstColumn="0" w:firstRowLastColumn="0" w:lastRowFirstColumn="0" w:lastRowLastColumn="0"/>
              <w:rPr>
                <w:rFonts w:cs="Open Sans"/>
                <w:color w:val="000000" w:themeColor="text1"/>
                <w:sz w:val="44"/>
                <w:szCs w:val="44"/>
              </w:rPr>
            </w:pPr>
            <w:r w:rsidRPr="006A13C4">
              <w:rPr>
                <w:rFonts w:cs="Open Sans"/>
                <w:color w:val="000000" w:themeColor="text1"/>
              </w:rPr>
              <w:t>6</w:t>
            </w:r>
          </w:p>
        </w:tc>
        <w:tc>
          <w:tcPr>
            <w:tcW w:w="1707" w:type="dxa"/>
          </w:tcPr>
          <w:p w14:paraId="51DE9729" w14:textId="77777777" w:rsidR="00ED43E0" w:rsidRPr="006A13C4" w:rsidRDefault="00ED43E0" w:rsidP="007B49DA">
            <w:pPr>
              <w:spacing w:after="0"/>
              <w:cnfStyle w:val="000000100000" w:firstRow="0" w:lastRow="0" w:firstColumn="0" w:lastColumn="0" w:oddVBand="0" w:evenVBand="0" w:oddHBand="1" w:evenHBand="0" w:firstRowFirstColumn="0" w:firstRowLastColumn="0" w:lastRowFirstColumn="0" w:lastRowLastColumn="0"/>
              <w:rPr>
                <w:rFonts w:cs="Open Sans"/>
                <w:color w:val="000000" w:themeColor="text1"/>
                <w:sz w:val="44"/>
                <w:szCs w:val="44"/>
              </w:rPr>
            </w:pPr>
            <w:r w:rsidRPr="006A13C4">
              <w:rPr>
                <w:rFonts w:cs="Open Sans"/>
                <w:color w:val="000000" w:themeColor="text1"/>
              </w:rPr>
              <w:t>1</w:t>
            </w:r>
          </w:p>
        </w:tc>
        <w:tc>
          <w:tcPr>
            <w:tcW w:w="1708" w:type="dxa"/>
          </w:tcPr>
          <w:p w14:paraId="6359EE07" w14:textId="77777777" w:rsidR="00ED43E0" w:rsidRPr="006A13C4" w:rsidRDefault="00ED43E0" w:rsidP="007B49DA">
            <w:pPr>
              <w:spacing w:after="0"/>
              <w:cnfStyle w:val="000000100000" w:firstRow="0" w:lastRow="0" w:firstColumn="0" w:lastColumn="0" w:oddVBand="0" w:evenVBand="0" w:oddHBand="1" w:evenHBand="0" w:firstRowFirstColumn="0" w:firstRowLastColumn="0" w:lastRowFirstColumn="0" w:lastRowLastColumn="0"/>
              <w:rPr>
                <w:rFonts w:cs="Open Sans"/>
                <w:color w:val="000000" w:themeColor="text1"/>
              </w:rPr>
            </w:pPr>
            <w:r w:rsidRPr="006A13C4">
              <w:rPr>
                <w:rFonts w:cs="Open Sans"/>
                <w:color w:val="000000" w:themeColor="text1"/>
              </w:rPr>
              <w:t>20</w:t>
            </w:r>
          </w:p>
        </w:tc>
      </w:tr>
      <w:tr w:rsidR="00ED43E0" w:rsidRPr="00980D36" w14:paraId="0440DA09" w14:textId="77777777" w:rsidTr="006A13C4">
        <w:trPr>
          <w:cnfStyle w:val="000000010000" w:firstRow="0" w:lastRow="0" w:firstColumn="0" w:lastColumn="0" w:oddVBand="0" w:evenVBand="0" w:oddHBand="0" w:evenHBand="1"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2510" w:type="dxa"/>
          </w:tcPr>
          <w:p w14:paraId="7B2484A9" w14:textId="77777777" w:rsidR="00ED43E0" w:rsidRPr="006A13C4" w:rsidRDefault="00ED43E0" w:rsidP="007B49DA">
            <w:pPr>
              <w:spacing w:after="0"/>
              <w:jc w:val="center"/>
              <w:rPr>
                <w:rFonts w:cs="Open Sans"/>
                <w:b/>
                <w:bCs/>
                <w:color w:val="000000" w:themeColor="text1"/>
              </w:rPr>
            </w:pPr>
            <w:r w:rsidRPr="006A13C4">
              <w:rPr>
                <w:rFonts w:cs="Open Sans"/>
                <w:color w:val="000000" w:themeColor="text1"/>
              </w:rPr>
              <w:t>Students with a Disability</w:t>
            </w:r>
          </w:p>
        </w:tc>
        <w:tc>
          <w:tcPr>
            <w:tcW w:w="1707" w:type="dxa"/>
          </w:tcPr>
          <w:p w14:paraId="4302517D" w14:textId="77777777" w:rsidR="00ED43E0" w:rsidRPr="006A13C4" w:rsidRDefault="00ED43E0" w:rsidP="007B49DA">
            <w:pPr>
              <w:spacing w:after="0"/>
              <w:cnfStyle w:val="000000010000" w:firstRow="0" w:lastRow="0" w:firstColumn="0" w:lastColumn="0" w:oddVBand="0" w:evenVBand="0" w:oddHBand="0" w:evenHBand="1" w:firstRowFirstColumn="0" w:firstRowLastColumn="0" w:lastRowFirstColumn="0" w:lastRowLastColumn="0"/>
              <w:rPr>
                <w:rFonts w:cs="Open Sans"/>
                <w:color w:val="000000" w:themeColor="text1"/>
                <w:sz w:val="44"/>
                <w:szCs w:val="44"/>
              </w:rPr>
            </w:pPr>
            <w:r w:rsidRPr="006A13C4">
              <w:rPr>
                <w:rFonts w:cs="Open Sans"/>
                <w:color w:val="000000" w:themeColor="text1"/>
              </w:rPr>
              <w:t>15</w:t>
            </w:r>
          </w:p>
        </w:tc>
        <w:tc>
          <w:tcPr>
            <w:tcW w:w="1708" w:type="dxa"/>
          </w:tcPr>
          <w:p w14:paraId="4AFCF942" w14:textId="77777777" w:rsidR="00ED43E0" w:rsidRPr="006A13C4" w:rsidRDefault="00ED43E0" w:rsidP="007B49DA">
            <w:pPr>
              <w:spacing w:after="0"/>
              <w:cnfStyle w:val="000000010000" w:firstRow="0" w:lastRow="0" w:firstColumn="0" w:lastColumn="0" w:oddVBand="0" w:evenVBand="0" w:oddHBand="0" w:evenHBand="1" w:firstRowFirstColumn="0" w:firstRowLastColumn="0" w:lastRowFirstColumn="0" w:lastRowLastColumn="0"/>
              <w:rPr>
                <w:rFonts w:cs="Open Sans"/>
                <w:color w:val="000000" w:themeColor="text1"/>
                <w:sz w:val="44"/>
                <w:szCs w:val="44"/>
              </w:rPr>
            </w:pPr>
            <w:r w:rsidRPr="006A13C4">
              <w:rPr>
                <w:rFonts w:cs="Open Sans"/>
                <w:color w:val="000000" w:themeColor="text1"/>
              </w:rPr>
              <w:t>3</w:t>
            </w:r>
          </w:p>
        </w:tc>
        <w:tc>
          <w:tcPr>
            <w:tcW w:w="1707" w:type="dxa"/>
          </w:tcPr>
          <w:p w14:paraId="65F33270" w14:textId="77777777" w:rsidR="00ED43E0" w:rsidRPr="006A13C4" w:rsidRDefault="00ED43E0" w:rsidP="007B49DA">
            <w:pPr>
              <w:spacing w:after="0"/>
              <w:cnfStyle w:val="000000010000" w:firstRow="0" w:lastRow="0" w:firstColumn="0" w:lastColumn="0" w:oddVBand="0" w:evenVBand="0" w:oddHBand="0" w:evenHBand="1" w:firstRowFirstColumn="0" w:firstRowLastColumn="0" w:lastRowFirstColumn="0" w:lastRowLastColumn="0"/>
              <w:rPr>
                <w:rFonts w:cs="Open Sans"/>
                <w:color w:val="000000" w:themeColor="text1"/>
                <w:sz w:val="44"/>
                <w:szCs w:val="44"/>
              </w:rPr>
            </w:pPr>
            <w:r w:rsidRPr="006A13C4">
              <w:rPr>
                <w:rFonts w:cs="Open Sans"/>
                <w:color w:val="000000" w:themeColor="text1"/>
              </w:rPr>
              <w:t>2</w:t>
            </w:r>
          </w:p>
        </w:tc>
        <w:tc>
          <w:tcPr>
            <w:tcW w:w="1708" w:type="dxa"/>
          </w:tcPr>
          <w:p w14:paraId="3DE2EE3F" w14:textId="77777777" w:rsidR="00ED43E0" w:rsidRPr="006A13C4" w:rsidRDefault="00ED43E0" w:rsidP="007B49DA">
            <w:pPr>
              <w:spacing w:after="0"/>
              <w:cnfStyle w:val="000000010000" w:firstRow="0" w:lastRow="0" w:firstColumn="0" w:lastColumn="0" w:oddVBand="0" w:evenVBand="0" w:oddHBand="0" w:evenHBand="1" w:firstRowFirstColumn="0" w:firstRowLastColumn="0" w:lastRowFirstColumn="0" w:lastRowLastColumn="0"/>
              <w:rPr>
                <w:rFonts w:cs="Open Sans"/>
                <w:color w:val="000000" w:themeColor="text1"/>
              </w:rPr>
            </w:pPr>
            <w:r w:rsidRPr="006A13C4">
              <w:rPr>
                <w:rFonts w:cs="Open Sans"/>
                <w:color w:val="000000" w:themeColor="text1"/>
              </w:rPr>
              <w:t>20</w:t>
            </w:r>
          </w:p>
        </w:tc>
      </w:tr>
      <w:tr w:rsidR="00ED43E0" w:rsidRPr="00980D36" w14:paraId="2F04C72B" w14:textId="77777777" w:rsidTr="006A13C4">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2510" w:type="dxa"/>
          </w:tcPr>
          <w:p w14:paraId="7165F0AA" w14:textId="77777777" w:rsidR="00ED43E0" w:rsidRPr="006A13C4" w:rsidRDefault="00ED43E0" w:rsidP="007B49DA">
            <w:pPr>
              <w:spacing w:after="0"/>
              <w:jc w:val="center"/>
              <w:rPr>
                <w:rFonts w:cs="Open Sans"/>
                <w:b/>
                <w:bCs/>
                <w:color w:val="000000" w:themeColor="text1"/>
              </w:rPr>
            </w:pPr>
            <w:r w:rsidRPr="006A13C4">
              <w:rPr>
                <w:rFonts w:cs="Open Sans"/>
                <w:color w:val="000000" w:themeColor="text1"/>
              </w:rPr>
              <w:t>Students from Low-Income Households</w:t>
            </w:r>
          </w:p>
        </w:tc>
        <w:tc>
          <w:tcPr>
            <w:tcW w:w="1707" w:type="dxa"/>
          </w:tcPr>
          <w:p w14:paraId="6ECEAD7B" w14:textId="77777777" w:rsidR="00ED43E0" w:rsidRPr="006A13C4" w:rsidRDefault="00ED43E0" w:rsidP="007B49DA">
            <w:pPr>
              <w:spacing w:after="0"/>
              <w:cnfStyle w:val="000000100000" w:firstRow="0" w:lastRow="0" w:firstColumn="0" w:lastColumn="0" w:oddVBand="0" w:evenVBand="0" w:oddHBand="1" w:evenHBand="0" w:firstRowFirstColumn="0" w:firstRowLastColumn="0" w:lastRowFirstColumn="0" w:lastRowLastColumn="0"/>
              <w:rPr>
                <w:rFonts w:cs="Open Sans"/>
                <w:color w:val="000000" w:themeColor="text1"/>
                <w:sz w:val="44"/>
                <w:szCs w:val="44"/>
              </w:rPr>
            </w:pPr>
            <w:r w:rsidRPr="006A13C4">
              <w:rPr>
                <w:rFonts w:cs="Open Sans"/>
                <w:color w:val="000000" w:themeColor="text1"/>
              </w:rPr>
              <w:t>16</w:t>
            </w:r>
          </w:p>
        </w:tc>
        <w:tc>
          <w:tcPr>
            <w:tcW w:w="1708" w:type="dxa"/>
          </w:tcPr>
          <w:p w14:paraId="09E22E1D" w14:textId="77777777" w:rsidR="00ED43E0" w:rsidRPr="006A13C4" w:rsidRDefault="00ED43E0" w:rsidP="007B49DA">
            <w:pPr>
              <w:spacing w:after="0"/>
              <w:cnfStyle w:val="000000100000" w:firstRow="0" w:lastRow="0" w:firstColumn="0" w:lastColumn="0" w:oddVBand="0" w:evenVBand="0" w:oddHBand="1" w:evenHBand="0" w:firstRowFirstColumn="0" w:firstRowLastColumn="0" w:lastRowFirstColumn="0" w:lastRowLastColumn="0"/>
              <w:rPr>
                <w:rFonts w:cs="Open Sans"/>
                <w:color w:val="000000" w:themeColor="text1"/>
                <w:sz w:val="44"/>
                <w:szCs w:val="44"/>
              </w:rPr>
            </w:pPr>
            <w:r w:rsidRPr="006A13C4">
              <w:rPr>
                <w:rFonts w:cs="Open Sans"/>
                <w:color w:val="000000" w:themeColor="text1"/>
              </w:rPr>
              <w:t>0</w:t>
            </w:r>
          </w:p>
        </w:tc>
        <w:tc>
          <w:tcPr>
            <w:tcW w:w="1707" w:type="dxa"/>
          </w:tcPr>
          <w:p w14:paraId="450FCDB3" w14:textId="77777777" w:rsidR="00ED43E0" w:rsidRPr="006A13C4" w:rsidRDefault="00ED43E0" w:rsidP="007B49DA">
            <w:pPr>
              <w:spacing w:after="0"/>
              <w:cnfStyle w:val="000000100000" w:firstRow="0" w:lastRow="0" w:firstColumn="0" w:lastColumn="0" w:oddVBand="0" w:evenVBand="0" w:oddHBand="1" w:evenHBand="0" w:firstRowFirstColumn="0" w:firstRowLastColumn="0" w:lastRowFirstColumn="0" w:lastRowLastColumn="0"/>
              <w:rPr>
                <w:rFonts w:cs="Open Sans"/>
                <w:color w:val="000000" w:themeColor="text1"/>
                <w:sz w:val="44"/>
                <w:szCs w:val="44"/>
              </w:rPr>
            </w:pPr>
            <w:r w:rsidRPr="006A13C4">
              <w:rPr>
                <w:rFonts w:cs="Open Sans"/>
                <w:color w:val="000000" w:themeColor="text1"/>
              </w:rPr>
              <w:t>4</w:t>
            </w:r>
          </w:p>
        </w:tc>
        <w:tc>
          <w:tcPr>
            <w:tcW w:w="1708" w:type="dxa"/>
          </w:tcPr>
          <w:p w14:paraId="0A532A97" w14:textId="77777777" w:rsidR="00ED43E0" w:rsidRPr="006A13C4" w:rsidRDefault="00ED43E0" w:rsidP="007B49DA">
            <w:pPr>
              <w:spacing w:after="0"/>
              <w:cnfStyle w:val="000000100000" w:firstRow="0" w:lastRow="0" w:firstColumn="0" w:lastColumn="0" w:oddVBand="0" w:evenVBand="0" w:oddHBand="1" w:evenHBand="0" w:firstRowFirstColumn="0" w:firstRowLastColumn="0" w:lastRowFirstColumn="0" w:lastRowLastColumn="0"/>
              <w:rPr>
                <w:rFonts w:cs="Open Sans"/>
                <w:color w:val="000000" w:themeColor="text1"/>
              </w:rPr>
            </w:pPr>
            <w:r w:rsidRPr="006A13C4">
              <w:rPr>
                <w:rFonts w:cs="Open Sans"/>
                <w:color w:val="000000" w:themeColor="text1"/>
              </w:rPr>
              <w:t>20</w:t>
            </w:r>
          </w:p>
        </w:tc>
      </w:tr>
    </w:tbl>
    <w:p w14:paraId="5CA59202" w14:textId="77777777" w:rsidR="00585878" w:rsidRDefault="00585878" w:rsidP="007B49DA">
      <w:pPr>
        <w:pStyle w:val="BodyText"/>
      </w:pPr>
    </w:p>
    <w:p w14:paraId="59DC73B3" w14:textId="165F2820" w:rsidR="002F344D" w:rsidRDefault="00427029" w:rsidP="007B49DA">
      <w:pPr>
        <w:pStyle w:val="BodyText"/>
      </w:pPr>
      <w:r>
        <w:t>T</w:t>
      </w:r>
      <w:r w:rsidR="002F344D">
        <w:t xml:space="preserve">eachers </w:t>
      </w:r>
      <w:r>
        <w:t>who</w:t>
      </w:r>
      <w:r w:rsidR="00001389">
        <w:t xml:space="preserve"> selected</w:t>
      </w:r>
      <w:r w:rsidR="002F344D">
        <w:t xml:space="preserve"> “Yes” or “I’m unsure”</w:t>
      </w:r>
      <w:r w:rsidR="00001389">
        <w:t xml:space="preserve"> for any student group</w:t>
      </w:r>
      <w:r w:rsidR="002F344D">
        <w:t xml:space="preserve"> were then asked to respond to a series of questions regarding their preparedness to teach those students</w:t>
      </w:r>
      <w:r w:rsidR="006B5A3E">
        <w:t>:</w:t>
      </w:r>
      <w:r w:rsidR="003D02B6">
        <w:t xml:space="preserve"> prior to attending the </w:t>
      </w:r>
      <w:r w:rsidR="003D02B6">
        <w:lastRenderedPageBreak/>
        <w:t>APSI</w:t>
      </w:r>
      <w:r w:rsidR="006B5A3E">
        <w:t>;</w:t>
      </w:r>
      <w:r w:rsidR="003D02B6">
        <w:t xml:space="preserve"> </w:t>
      </w:r>
      <w:proofErr w:type="gramStart"/>
      <w:r w:rsidR="00367769">
        <w:t>as a result of</w:t>
      </w:r>
      <w:proofErr w:type="gramEnd"/>
      <w:r w:rsidR="00367769">
        <w:t xml:space="preserve"> </w:t>
      </w:r>
      <w:r w:rsidR="003D02B6">
        <w:t>attended the APSI</w:t>
      </w:r>
      <w:r w:rsidR="006B5A3E">
        <w:t xml:space="preserve">; </w:t>
      </w:r>
      <w:r w:rsidR="00FF46A8">
        <w:t xml:space="preserve">and </w:t>
      </w:r>
      <w:r w:rsidR="00A5703B">
        <w:t>w</w:t>
      </w:r>
      <w:r w:rsidR="00FF46A8">
        <w:t>hether the APSI adequately prepared them to teach their AP students.</w:t>
      </w:r>
      <w:r w:rsidR="00320DAF">
        <w:rPr>
          <w:rStyle w:val="FootnoteReference"/>
        </w:rPr>
        <w:footnoteReference w:id="39"/>
      </w:r>
      <w:r w:rsidR="0039746D">
        <w:rPr>
          <w:rStyle w:val="FootnoteReference"/>
        </w:rPr>
        <w:footnoteReference w:id="40"/>
      </w:r>
    </w:p>
    <w:p w14:paraId="4D0299F4" w14:textId="77777777" w:rsidR="007B49DA" w:rsidRPr="007B49DA" w:rsidRDefault="00AD2170" w:rsidP="007B49DA">
      <w:pPr>
        <w:pStyle w:val="Heading6"/>
      </w:pPr>
      <w:r w:rsidRPr="007B49DA">
        <w:rPr>
          <w:rStyle w:val="Heading6Char"/>
          <w:b/>
        </w:rPr>
        <w:t>Before attending the APSI</w:t>
      </w:r>
    </w:p>
    <w:p w14:paraId="7336513C" w14:textId="3E653DDA" w:rsidR="00FE675B" w:rsidRPr="006A13C4" w:rsidRDefault="007F31AD" w:rsidP="007B49DA">
      <w:pPr>
        <w:pStyle w:val="BodyText"/>
        <w:rPr>
          <w:color w:val="EE0000"/>
        </w:rPr>
      </w:pPr>
      <w:r>
        <w:t>As shown in</w:t>
      </w:r>
      <w:r w:rsidRPr="004D1898">
        <w:t xml:space="preserve"> </w:t>
      </w:r>
      <w:r w:rsidR="000215FE" w:rsidRPr="004D1898">
        <w:t xml:space="preserve">Figure </w:t>
      </w:r>
      <w:r w:rsidR="005811EC" w:rsidRPr="004D1898">
        <w:t>2</w:t>
      </w:r>
      <w:r w:rsidR="005811EC">
        <w:t>8</w:t>
      </w:r>
      <w:r w:rsidR="000215FE" w:rsidRPr="004D1898">
        <w:t xml:space="preserve"> below</w:t>
      </w:r>
      <w:r w:rsidR="00B63414" w:rsidRPr="006751AC">
        <w:t xml:space="preserve">, </w:t>
      </w:r>
      <w:r>
        <w:t>most</w:t>
      </w:r>
      <w:r w:rsidR="007B2A8E" w:rsidRPr="004D1898">
        <w:t xml:space="preserve"> respondents </w:t>
      </w:r>
      <w:r w:rsidR="00FE675B" w:rsidRPr="006751AC">
        <w:t>felt well prepared to teach</w:t>
      </w:r>
      <w:r w:rsidR="00D66267">
        <w:t xml:space="preserve"> th</w:t>
      </w:r>
      <w:r w:rsidR="0062415B">
        <w:t>ei</w:t>
      </w:r>
      <w:r w:rsidR="00D66267">
        <w:t>r</w:t>
      </w:r>
      <w:r w:rsidR="00FE675B" w:rsidRPr="006751AC">
        <w:t xml:space="preserve"> </w:t>
      </w:r>
      <w:r w:rsidR="00AC0200" w:rsidRPr="006751AC">
        <w:t>students</w:t>
      </w:r>
      <w:r w:rsidR="007B2A8E" w:rsidRPr="006A13C4">
        <w:t xml:space="preserve"> before attending the APSI</w:t>
      </w:r>
      <w:r w:rsidR="002139B7" w:rsidRPr="006A13C4">
        <w:t xml:space="preserve">, although this varied somewhat by student identity. </w:t>
      </w:r>
      <w:r w:rsidR="000F01F5">
        <w:t>At</w:t>
      </w:r>
      <w:r w:rsidR="001A14AB" w:rsidRPr="006A13C4">
        <w:t xml:space="preserve"> the </w:t>
      </w:r>
      <w:r w:rsidR="00421AD8">
        <w:t>high</w:t>
      </w:r>
      <w:r w:rsidR="001A14AB" w:rsidRPr="006A13C4">
        <w:t xml:space="preserve"> end, 100% of </w:t>
      </w:r>
      <w:r w:rsidR="000F01F5">
        <w:t>the 15 teachers</w:t>
      </w:r>
      <w:r w:rsidR="001A14AB" w:rsidRPr="006A13C4">
        <w:t xml:space="preserve"> who </w:t>
      </w:r>
      <w:r w:rsidR="000F01F5">
        <w:t xml:space="preserve">reported having </w:t>
      </w:r>
      <w:r w:rsidR="00FE675B" w:rsidRPr="006751AC">
        <w:t>White</w:t>
      </w:r>
      <w:r w:rsidR="001A14AB" w:rsidRPr="006A13C4">
        <w:t xml:space="preserve"> </w:t>
      </w:r>
      <w:r w:rsidR="000F01F5">
        <w:t xml:space="preserve">students in their classrooms </w:t>
      </w:r>
      <w:r w:rsidR="001A14AB" w:rsidRPr="006A13C4">
        <w:t xml:space="preserve">felt well prepared to teach them. </w:t>
      </w:r>
      <w:r w:rsidR="000F01F5">
        <w:t>At</w:t>
      </w:r>
      <w:r w:rsidR="00EB07AB">
        <w:t xml:space="preserve"> the lower end, 82%</w:t>
      </w:r>
      <w:r w:rsidR="0062219F">
        <w:t xml:space="preserve"> (</w:t>
      </w:r>
      <w:r w:rsidR="006541F7">
        <w:t>9</w:t>
      </w:r>
      <w:r w:rsidR="000F01F5">
        <w:t xml:space="preserve"> out of </w:t>
      </w:r>
      <w:r w:rsidR="00EB07AB">
        <w:t>11</w:t>
      </w:r>
      <w:r w:rsidR="000F01F5">
        <w:t>)</w:t>
      </w:r>
      <w:r w:rsidR="00EB07AB">
        <w:t xml:space="preserve"> </w:t>
      </w:r>
      <w:r w:rsidR="000F01F5">
        <w:t xml:space="preserve">of teachers who reported having </w:t>
      </w:r>
      <w:r w:rsidR="00EB07AB">
        <w:t xml:space="preserve">English learners </w:t>
      </w:r>
      <w:r w:rsidR="00F86F86">
        <w:t xml:space="preserve">in their classroom(s) </w:t>
      </w:r>
      <w:r w:rsidR="006541F7">
        <w:t xml:space="preserve">felt well prepared to teach </w:t>
      </w:r>
      <w:r w:rsidR="003D461C">
        <w:t xml:space="preserve">those students </w:t>
      </w:r>
      <w:r w:rsidR="006541F7">
        <w:t xml:space="preserve">before attending the APSI. </w:t>
      </w:r>
    </w:p>
    <w:p w14:paraId="50162861" w14:textId="77777777" w:rsidR="00EF418D" w:rsidRDefault="00EF418D" w:rsidP="007B49DA">
      <w:pPr>
        <w:pStyle w:val="BodyText"/>
      </w:pPr>
    </w:p>
    <w:p w14:paraId="28FA88B4" w14:textId="5CCE8D64" w:rsidR="004D0632" w:rsidRPr="004D0632" w:rsidRDefault="00CD6798" w:rsidP="007B49DA">
      <w:pPr>
        <w:pStyle w:val="FigureCaption"/>
      </w:pPr>
      <w:bookmarkStart w:id="275" w:name="_Toc207348470"/>
      <w:r w:rsidRPr="00103158">
        <w:t xml:space="preserve">Figure </w:t>
      </w:r>
      <w:r w:rsidR="00A63304">
        <w:t>28</w:t>
      </w:r>
      <w:r>
        <w:t>. Percentage of affirmations</w:t>
      </w:r>
      <w:r w:rsidRPr="00AA3F65">
        <w:t xml:space="preserve"> to the survey </w:t>
      </w:r>
      <w:r>
        <w:t>prompt</w:t>
      </w:r>
      <w:r w:rsidRPr="00AA3F65">
        <w:t>,</w:t>
      </w:r>
      <w:r>
        <w:t xml:space="preserve"> “</w:t>
      </w:r>
      <w:r w:rsidR="00A67F1A" w:rsidRPr="00A67F1A">
        <w:t>Before attending the APSI, I was well prepared to teach my students who are</w:t>
      </w:r>
      <w:r w:rsidR="007877A0">
        <w:t>…</w:t>
      </w:r>
      <w:r w:rsidRPr="00EC3C17">
        <w:t>”</w:t>
      </w:r>
      <w:bookmarkEnd w:id="275"/>
      <w:r w:rsidRPr="00EC3C17">
        <w:t xml:space="preserve"> </w:t>
      </w:r>
    </w:p>
    <w:p w14:paraId="723DA5BD" w14:textId="3DA0BB49" w:rsidR="006C14B3" w:rsidRDefault="0047048E" w:rsidP="007B49DA">
      <w:pPr>
        <w:pStyle w:val="FigureCaption"/>
      </w:pPr>
      <w:bookmarkStart w:id="276" w:name="_Toc206681693"/>
      <w:bookmarkStart w:id="277" w:name="_Toc207183843"/>
      <w:bookmarkStart w:id="278" w:name="_Toc207348471"/>
      <w:r>
        <w:rPr>
          <w:noProof/>
        </w:rPr>
        <w:drawing>
          <wp:inline distT="0" distB="0" distL="0" distR="0" wp14:anchorId="5A3DA700" wp14:editId="2B7ECFB8">
            <wp:extent cx="5762625" cy="2609850"/>
            <wp:effectExtent l="0" t="0" r="9525" b="0"/>
            <wp:docPr id="2028141075" name="Chart 1" descr="Figure 28: Vertical bar chart showing percentage of affirmations to the survey prompt, “Before attending the APSI, I was well prepared to teach my students who are…”  92% of the 12  with students who are  African American / Black ; 91% of the 11 with students who are  Asian; 93% of the 15 with students who are Hispanic / Latino; 100% of the 15 with students who are White; 82% of 11 with students who are English Learners, 85% of the 13 with SWD students; and 88% of the 16 with students with Low-income status. ">
              <a:extLst xmlns:a="http://schemas.openxmlformats.org/drawingml/2006/main">
                <a:ext uri="{FF2B5EF4-FFF2-40B4-BE49-F238E27FC236}">
                  <a16:creationId xmlns:a16="http://schemas.microsoft.com/office/drawing/2014/main" id="{E59F4CEA-1DAB-430B-B50B-FFD67CC93B9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bookmarkEnd w:id="276"/>
      <w:bookmarkEnd w:id="277"/>
      <w:bookmarkEnd w:id="278"/>
    </w:p>
    <w:p w14:paraId="106BF1B5" w14:textId="77777777" w:rsidR="007B49DA" w:rsidRPr="007B49DA" w:rsidRDefault="00327DF8" w:rsidP="007B49DA">
      <w:pPr>
        <w:pStyle w:val="Heading6"/>
        <w:rPr>
          <w:rStyle w:val="Heading6Char"/>
          <w:b/>
        </w:rPr>
      </w:pPr>
      <w:r w:rsidRPr="007B49DA">
        <w:rPr>
          <w:rStyle w:val="Heading6Char"/>
          <w:b/>
        </w:rPr>
        <w:t xml:space="preserve">Attending </w:t>
      </w:r>
      <w:r w:rsidR="003729B1" w:rsidRPr="007B49DA">
        <w:rPr>
          <w:rStyle w:val="Heading6Char"/>
          <w:b/>
        </w:rPr>
        <w:t xml:space="preserve">the </w:t>
      </w:r>
      <w:r w:rsidRPr="007B49DA">
        <w:rPr>
          <w:rStyle w:val="Heading6Char"/>
          <w:b/>
        </w:rPr>
        <w:t>APSI</w:t>
      </w:r>
    </w:p>
    <w:p w14:paraId="6592D979" w14:textId="68689D6B" w:rsidR="00C92924" w:rsidRPr="006A13C4" w:rsidRDefault="004D56B4" w:rsidP="007B49DA">
      <w:pPr>
        <w:pStyle w:val="ListNumber"/>
        <w:numPr>
          <w:ilvl w:val="0"/>
          <w:numId w:val="0"/>
        </w:numPr>
        <w:spacing w:line="320" w:lineRule="atLeast"/>
        <w:rPr>
          <w:color w:val="EE0000"/>
        </w:rPr>
      </w:pPr>
      <w:r>
        <w:rPr>
          <w:color w:val="000000" w:themeColor="text1"/>
        </w:rPr>
        <w:t>As shown in Figure 2</w:t>
      </w:r>
      <w:r w:rsidR="005811EC">
        <w:rPr>
          <w:color w:val="000000" w:themeColor="text1"/>
        </w:rPr>
        <w:t>9</w:t>
      </w:r>
      <w:r>
        <w:rPr>
          <w:color w:val="000000" w:themeColor="text1"/>
        </w:rPr>
        <w:t xml:space="preserve"> below, </w:t>
      </w:r>
      <w:r w:rsidR="0081023F" w:rsidRPr="006A13C4">
        <w:rPr>
          <w:color w:val="000000" w:themeColor="text1"/>
        </w:rPr>
        <w:t xml:space="preserve">APSI participants were </w:t>
      </w:r>
      <w:r w:rsidR="00A73A83">
        <w:rPr>
          <w:color w:val="000000" w:themeColor="text1"/>
        </w:rPr>
        <w:t xml:space="preserve">additionally </w:t>
      </w:r>
      <w:r w:rsidR="0081023F" w:rsidRPr="006A13C4">
        <w:rPr>
          <w:color w:val="000000" w:themeColor="text1"/>
        </w:rPr>
        <w:t xml:space="preserve">asked whether attending the APSI increased their level of preparedness to teach students </w:t>
      </w:r>
      <w:r w:rsidR="00857E50">
        <w:rPr>
          <w:color w:val="000000" w:themeColor="text1"/>
        </w:rPr>
        <w:t xml:space="preserve">with specific identities represented </w:t>
      </w:r>
      <w:r w:rsidR="0081023F" w:rsidRPr="006A13C4">
        <w:rPr>
          <w:color w:val="000000" w:themeColor="text1"/>
        </w:rPr>
        <w:t>in their classroom</w:t>
      </w:r>
      <w:r w:rsidR="00857E50">
        <w:rPr>
          <w:color w:val="000000" w:themeColor="text1"/>
        </w:rPr>
        <w:t>s</w:t>
      </w:r>
      <w:r w:rsidR="0081023F" w:rsidRPr="006A13C4">
        <w:rPr>
          <w:color w:val="000000" w:themeColor="text1"/>
        </w:rPr>
        <w:t xml:space="preserve">. </w:t>
      </w:r>
      <w:r w:rsidR="004F16AB">
        <w:rPr>
          <w:color w:val="000000" w:themeColor="text1"/>
        </w:rPr>
        <w:t xml:space="preserve">Responses varied by student </w:t>
      </w:r>
      <w:r w:rsidR="007C4B5C">
        <w:rPr>
          <w:color w:val="000000" w:themeColor="text1"/>
        </w:rPr>
        <w:t>group</w:t>
      </w:r>
      <w:r w:rsidR="004F16AB">
        <w:rPr>
          <w:color w:val="000000" w:themeColor="text1"/>
        </w:rPr>
        <w:t xml:space="preserve">. </w:t>
      </w:r>
      <w:r w:rsidR="007C4B5C">
        <w:rPr>
          <w:color w:val="000000" w:themeColor="text1"/>
        </w:rPr>
        <w:t>At</w:t>
      </w:r>
      <w:r w:rsidR="004F16AB">
        <w:rPr>
          <w:color w:val="000000" w:themeColor="text1"/>
        </w:rPr>
        <w:t xml:space="preserve"> the high end, 82% (</w:t>
      </w:r>
      <w:r w:rsidR="006A6575">
        <w:rPr>
          <w:color w:val="000000" w:themeColor="text1"/>
        </w:rPr>
        <w:t>9</w:t>
      </w:r>
      <w:r w:rsidR="007C4B5C">
        <w:rPr>
          <w:color w:val="000000" w:themeColor="text1"/>
        </w:rPr>
        <w:t xml:space="preserve"> teachers</w:t>
      </w:r>
      <w:r w:rsidR="006A6575">
        <w:rPr>
          <w:color w:val="000000" w:themeColor="text1"/>
        </w:rPr>
        <w:t xml:space="preserve">) </w:t>
      </w:r>
      <w:r w:rsidR="007C4B5C">
        <w:rPr>
          <w:color w:val="000000" w:themeColor="text1"/>
        </w:rPr>
        <w:t xml:space="preserve">reported </w:t>
      </w:r>
      <w:r w:rsidR="00064832">
        <w:rPr>
          <w:color w:val="000000" w:themeColor="text1"/>
        </w:rPr>
        <w:t>that</w:t>
      </w:r>
      <w:r w:rsidR="000D4ADB">
        <w:rPr>
          <w:color w:val="000000" w:themeColor="text1"/>
        </w:rPr>
        <w:t xml:space="preserve"> </w:t>
      </w:r>
      <w:r w:rsidR="000E248A">
        <w:rPr>
          <w:color w:val="000000" w:themeColor="text1"/>
        </w:rPr>
        <w:t xml:space="preserve">the </w:t>
      </w:r>
      <w:r w:rsidR="000E248A">
        <w:rPr>
          <w:color w:val="000000" w:themeColor="text1"/>
        </w:rPr>
        <w:lastRenderedPageBreak/>
        <w:t>APSI increased their preparedness to teach students who are Asian</w:t>
      </w:r>
      <w:r w:rsidR="00F35218">
        <w:rPr>
          <w:color w:val="000000" w:themeColor="text1"/>
        </w:rPr>
        <w:t>. At</w:t>
      </w:r>
      <w:r w:rsidR="000E248A">
        <w:rPr>
          <w:color w:val="000000" w:themeColor="text1"/>
        </w:rPr>
        <w:t xml:space="preserve"> the low end, 60% (9</w:t>
      </w:r>
      <w:r w:rsidR="00F35218">
        <w:rPr>
          <w:color w:val="000000" w:themeColor="text1"/>
        </w:rPr>
        <w:t xml:space="preserve"> teachers</w:t>
      </w:r>
      <w:r w:rsidR="000E248A">
        <w:rPr>
          <w:color w:val="000000" w:themeColor="text1"/>
        </w:rPr>
        <w:t xml:space="preserve">) </w:t>
      </w:r>
      <w:r w:rsidR="00E017E6">
        <w:rPr>
          <w:color w:val="000000" w:themeColor="text1"/>
        </w:rPr>
        <w:t xml:space="preserve">indicated the APSI increased their preparedness to teach </w:t>
      </w:r>
      <w:r w:rsidR="00F35218">
        <w:rPr>
          <w:color w:val="000000" w:themeColor="text1"/>
        </w:rPr>
        <w:t xml:space="preserve">students who are </w:t>
      </w:r>
      <w:r w:rsidR="00E017E6">
        <w:rPr>
          <w:color w:val="000000" w:themeColor="text1"/>
        </w:rPr>
        <w:t>Hispanic</w:t>
      </w:r>
      <w:r w:rsidR="00F35218">
        <w:rPr>
          <w:color w:val="000000" w:themeColor="text1"/>
        </w:rPr>
        <w:t>/</w:t>
      </w:r>
      <w:r w:rsidR="00E017E6">
        <w:rPr>
          <w:color w:val="000000" w:themeColor="text1"/>
        </w:rPr>
        <w:t>Latino.</w:t>
      </w:r>
      <w:r w:rsidR="008056D3">
        <w:rPr>
          <w:rStyle w:val="FootnoteReference"/>
          <w:color w:val="000000" w:themeColor="text1"/>
        </w:rPr>
        <w:footnoteReference w:id="41"/>
      </w:r>
      <w:r w:rsidR="00E017E6">
        <w:rPr>
          <w:color w:val="000000" w:themeColor="text1"/>
        </w:rPr>
        <w:t xml:space="preserve"> </w:t>
      </w:r>
    </w:p>
    <w:p w14:paraId="5DFA3C04" w14:textId="26E50F59" w:rsidR="003F0186" w:rsidRDefault="003F0186" w:rsidP="007B49DA">
      <w:pPr>
        <w:pStyle w:val="FigureCaption"/>
      </w:pPr>
      <w:bookmarkStart w:id="279" w:name="_Toc207348472"/>
      <w:r w:rsidRPr="00103158">
        <w:t xml:space="preserve">Figure </w:t>
      </w:r>
      <w:r w:rsidR="00A63304">
        <w:t>29</w:t>
      </w:r>
      <w:r>
        <w:t xml:space="preserve">. </w:t>
      </w:r>
      <w:r w:rsidR="00C92924">
        <w:t xml:space="preserve">Responses to survey </w:t>
      </w:r>
      <w:r w:rsidR="00E22052">
        <w:t>prompt</w:t>
      </w:r>
      <w:r w:rsidRPr="00AA3F65">
        <w:t>,</w:t>
      </w:r>
      <w:r>
        <w:t xml:space="preserve"> “</w:t>
      </w:r>
      <w:r w:rsidR="001F6D90" w:rsidRPr="001F6D90">
        <w:t>Attending the APSI increased my level of preparedness to teach my students who ar</w:t>
      </w:r>
      <w:r w:rsidR="001F6D90">
        <w:t>e</w:t>
      </w:r>
      <w:r w:rsidR="00C92924">
        <w:t>…</w:t>
      </w:r>
      <w:r w:rsidRPr="00EC3C17">
        <w:t>”</w:t>
      </w:r>
      <w:bookmarkEnd w:id="279"/>
      <w:r w:rsidRPr="00EC3C17">
        <w:t xml:space="preserve"> </w:t>
      </w:r>
    </w:p>
    <w:p w14:paraId="56BE262D" w14:textId="127CE4EA" w:rsidR="001776B9" w:rsidRPr="007A4441" w:rsidRDefault="007A4441" w:rsidP="007B49DA">
      <w:pPr>
        <w:pStyle w:val="BodyText"/>
      </w:pPr>
      <w:r>
        <w:rPr>
          <w:noProof/>
        </w:rPr>
        <w:drawing>
          <wp:inline distT="0" distB="0" distL="0" distR="0" wp14:anchorId="4612FAFE" wp14:editId="173E6313">
            <wp:extent cx="5838825" cy="2343150"/>
            <wp:effectExtent l="0" t="0" r="9525" b="0"/>
            <wp:docPr id="1139431070" name="Chart 1" descr="Figure 29: Vertical bar chart showing percentage of responses to survey prompt, “Attending the APSI increased my level of preparedness to teach my students who are…” 75% of the 12  with students who are  African American / Black ; 82% of the 11 with students who are  Asian; 60% of the 15 with students who are Hispanic / Latino; 73% of the 15 with students who are White; 73% of 11 with students who are English Learners, 69% of the 13 with SWD students; and 69% of the 16 with students with Low-income status. ">
              <a:extLst xmlns:a="http://schemas.openxmlformats.org/drawingml/2006/main">
                <a:ext uri="{FF2B5EF4-FFF2-40B4-BE49-F238E27FC236}">
                  <a16:creationId xmlns:a16="http://schemas.microsoft.com/office/drawing/2014/main" id="{70F0EFB9-49B7-3394-C500-59A129411BB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4E4321C3" w14:textId="065A94D1" w:rsidR="005D42A0" w:rsidRPr="006A13C4" w:rsidRDefault="005D42A0" w:rsidP="007B49DA">
      <w:pPr>
        <w:pStyle w:val="BodyText"/>
      </w:pPr>
    </w:p>
    <w:p w14:paraId="63617825" w14:textId="77777777" w:rsidR="007B49DA" w:rsidRPr="007B49DA" w:rsidRDefault="006043B2" w:rsidP="007B49DA">
      <w:pPr>
        <w:pStyle w:val="Heading6"/>
        <w:rPr>
          <w:rStyle w:val="Heading6Char"/>
          <w:b/>
        </w:rPr>
      </w:pPr>
      <w:r w:rsidRPr="007B49DA">
        <w:rPr>
          <w:rStyle w:val="Heading6Char"/>
          <w:b/>
        </w:rPr>
        <w:t>APSI preparedness</w:t>
      </w:r>
    </w:p>
    <w:p w14:paraId="6D0590A5" w14:textId="401E3EF1" w:rsidR="006C19AF" w:rsidRPr="007B49DA" w:rsidRDefault="00B74CF3" w:rsidP="00047991">
      <w:pPr>
        <w:pStyle w:val="BodyText"/>
        <w:rPr>
          <w:rFonts w:eastAsiaTheme="majorEastAsia" w:cs="Times New Roman (Headings CS)"/>
          <w:b/>
        </w:rPr>
      </w:pPr>
      <w:r w:rsidRPr="004C25DC">
        <w:rPr>
          <w:rStyle w:val="Heading6Char"/>
          <w:b w:val="0"/>
          <w:bCs/>
        </w:rPr>
        <w:t xml:space="preserve">As shown in </w:t>
      </w:r>
      <w:r w:rsidR="005811EC">
        <w:rPr>
          <w:rStyle w:val="Heading6Char"/>
          <w:b w:val="0"/>
          <w:bCs/>
        </w:rPr>
        <w:t>F</w:t>
      </w:r>
      <w:r w:rsidRPr="004C25DC">
        <w:rPr>
          <w:rStyle w:val="Heading6Char"/>
          <w:b w:val="0"/>
          <w:bCs/>
        </w:rPr>
        <w:t xml:space="preserve">igure </w:t>
      </w:r>
      <w:r w:rsidR="005811EC">
        <w:rPr>
          <w:rStyle w:val="Heading6Char"/>
          <w:b w:val="0"/>
          <w:bCs/>
        </w:rPr>
        <w:t>30</w:t>
      </w:r>
      <w:r w:rsidRPr="00535950">
        <w:rPr>
          <w:rStyle w:val="Heading6Char"/>
          <w:b w:val="0"/>
          <w:bCs/>
        </w:rPr>
        <w:t>,</w:t>
      </w:r>
      <w:r>
        <w:rPr>
          <w:rStyle w:val="Heading6Char"/>
        </w:rPr>
        <w:t xml:space="preserve"> </w:t>
      </w:r>
      <w:r>
        <w:t>r</w:t>
      </w:r>
      <w:r w:rsidR="003967DE" w:rsidRPr="008056D3">
        <w:t>espondents</w:t>
      </w:r>
      <w:r w:rsidR="006043B2" w:rsidRPr="008056D3">
        <w:t xml:space="preserve"> were </w:t>
      </w:r>
      <w:r w:rsidR="008056D3" w:rsidRPr="004D1898">
        <w:t xml:space="preserve">asked </w:t>
      </w:r>
      <w:r w:rsidR="006043B2" w:rsidRPr="008056D3">
        <w:t>whether the APSI adequately prepared them to teach AP students</w:t>
      </w:r>
      <w:r w:rsidR="00CF482C">
        <w:t xml:space="preserve"> with specific identities represented</w:t>
      </w:r>
      <w:r w:rsidR="006043B2" w:rsidRPr="008056D3">
        <w:t xml:space="preserve"> in their classroom</w:t>
      </w:r>
      <w:r w:rsidR="00CF482C">
        <w:t>s</w:t>
      </w:r>
      <w:r w:rsidR="002102DA" w:rsidRPr="00427E90">
        <w:t>.</w:t>
      </w:r>
      <w:r w:rsidR="00A00C32" w:rsidRPr="00427E90">
        <w:t xml:space="preserve"> </w:t>
      </w:r>
      <w:r w:rsidR="00CF482C">
        <w:t>A</w:t>
      </w:r>
      <w:r w:rsidR="00C729C9" w:rsidRPr="00427E90">
        <w:t xml:space="preserve">mong </w:t>
      </w:r>
      <w:r w:rsidR="00A00C32" w:rsidRPr="00427E90">
        <w:t xml:space="preserve">the </w:t>
      </w:r>
      <w:r w:rsidR="008056D3" w:rsidRPr="006A13C4">
        <w:t>15</w:t>
      </w:r>
      <w:r w:rsidR="008056D3" w:rsidRPr="00427E90">
        <w:t xml:space="preserve"> </w:t>
      </w:r>
      <w:r w:rsidR="00C70C0C">
        <w:t xml:space="preserve">teachers who reported having </w:t>
      </w:r>
      <w:r w:rsidR="006E5E19" w:rsidRPr="006A13C4">
        <w:t>students in their classroom(s) who are White</w:t>
      </w:r>
      <w:r w:rsidR="004B7870" w:rsidRPr="00427E90">
        <w:t xml:space="preserve">, </w:t>
      </w:r>
      <w:r w:rsidR="003D521D" w:rsidRPr="00427E90">
        <w:t>all</w:t>
      </w:r>
      <w:r w:rsidR="00A00C32" w:rsidRPr="00427E90">
        <w:t xml:space="preserve"> (</w:t>
      </w:r>
      <w:r w:rsidR="006E5E19" w:rsidRPr="004D1898">
        <w:t>100</w:t>
      </w:r>
      <w:r w:rsidR="005F70D3" w:rsidRPr="00427E90">
        <w:t>%</w:t>
      </w:r>
      <w:r w:rsidR="00A00C32" w:rsidRPr="00427E90">
        <w:t>) felt</w:t>
      </w:r>
      <w:r w:rsidR="007D7BC6" w:rsidRPr="00427E90">
        <w:t xml:space="preserve"> </w:t>
      </w:r>
      <w:r w:rsidR="00811916" w:rsidRPr="00427E90">
        <w:t xml:space="preserve">the APSI </w:t>
      </w:r>
      <w:r w:rsidR="007D7BC6" w:rsidRPr="00427E90">
        <w:t>adequately</w:t>
      </w:r>
      <w:r w:rsidR="00A00C32" w:rsidRPr="00427E90">
        <w:t xml:space="preserve"> prepared </w:t>
      </w:r>
      <w:r w:rsidR="00811916" w:rsidRPr="00427E90">
        <w:t xml:space="preserve">them </w:t>
      </w:r>
      <w:r w:rsidR="00A00C32" w:rsidRPr="00427E90">
        <w:t xml:space="preserve">to teach </w:t>
      </w:r>
      <w:r w:rsidR="00D352C7">
        <w:t xml:space="preserve">those </w:t>
      </w:r>
      <w:r w:rsidR="00427E90" w:rsidRPr="006A13C4">
        <w:t xml:space="preserve">students. </w:t>
      </w:r>
      <w:r w:rsidR="00D352C7">
        <w:t>In contrast,</w:t>
      </w:r>
      <w:r w:rsidR="006D000D">
        <w:t xml:space="preserve"> </w:t>
      </w:r>
      <w:r w:rsidR="00D352C7">
        <w:t xml:space="preserve">lower proportions of </w:t>
      </w:r>
      <w:r w:rsidR="001F422E">
        <w:t xml:space="preserve">teachers </w:t>
      </w:r>
      <w:r w:rsidR="00D352C7">
        <w:t xml:space="preserve">felt adequately prepared </w:t>
      </w:r>
      <w:r w:rsidR="003C7A76">
        <w:t>to teach other student groups</w:t>
      </w:r>
      <w:r w:rsidR="003F4BBC">
        <w:t>,</w:t>
      </w:r>
      <w:r w:rsidR="001A196E">
        <w:t xml:space="preserve"> </w:t>
      </w:r>
      <w:proofErr w:type="gramStart"/>
      <w:r w:rsidR="001A196E">
        <w:t>including</w:t>
      </w:r>
      <w:r w:rsidR="001D6E97">
        <w:t>:</w:t>
      </w:r>
      <w:proofErr w:type="gramEnd"/>
      <w:r w:rsidR="001D6E97">
        <w:t xml:space="preserve"> </w:t>
      </w:r>
      <w:r w:rsidR="001A196E">
        <w:t>English learners (</w:t>
      </w:r>
      <w:r w:rsidR="001D6E97">
        <w:t>73%</w:t>
      </w:r>
      <w:r w:rsidR="009B6B18">
        <w:t>)</w:t>
      </w:r>
      <w:r w:rsidR="001A196E">
        <w:t xml:space="preserve">, </w:t>
      </w:r>
      <w:r w:rsidR="00F760DA">
        <w:t>students</w:t>
      </w:r>
      <w:r w:rsidR="003F4BBC">
        <w:t xml:space="preserve"> who are Hispanic/</w:t>
      </w:r>
      <w:r w:rsidR="003F4BBC" w:rsidRPr="00A22138">
        <w:t>Latino (</w:t>
      </w:r>
      <w:r w:rsidR="005348D1" w:rsidRPr="000B15E9">
        <w:t>73%</w:t>
      </w:r>
      <w:r w:rsidR="003F4BBC" w:rsidRPr="000B15E9">
        <w:t xml:space="preserve">), </w:t>
      </w:r>
      <w:r w:rsidR="00510B07" w:rsidRPr="000B15E9">
        <w:t>students who are low-income (75%), and students who are African American/Black (75%).</w:t>
      </w:r>
      <w:r w:rsidR="004243EA" w:rsidRPr="000B15E9">
        <w:rPr>
          <w:rStyle w:val="FootnoteReference"/>
        </w:rPr>
        <w:footnoteReference w:id="42"/>
      </w:r>
      <w:r w:rsidR="00DE28F1">
        <w:t xml:space="preserve"> </w:t>
      </w:r>
      <w:r w:rsidR="00191CFD" w:rsidRPr="006A13C4">
        <w:rPr>
          <w:color w:val="EE0000"/>
        </w:rPr>
        <w:t xml:space="preserve"> </w:t>
      </w:r>
      <w:bookmarkStart w:id="280" w:name="_Hlk202951130"/>
    </w:p>
    <w:p w14:paraId="6A10938A" w14:textId="7F51370B" w:rsidR="009A4649" w:rsidRPr="00EC3C17" w:rsidRDefault="009A4649" w:rsidP="00EC3C17">
      <w:pPr>
        <w:pStyle w:val="FigureCaption"/>
      </w:pPr>
      <w:bookmarkStart w:id="281" w:name="_Toc207348473"/>
      <w:r w:rsidRPr="00103158">
        <w:lastRenderedPageBreak/>
        <w:t xml:space="preserve">Figure </w:t>
      </w:r>
      <w:r w:rsidR="00A63304">
        <w:t>30</w:t>
      </w:r>
      <w:r w:rsidR="001F0889">
        <w:t>.</w:t>
      </w:r>
      <w:r w:rsidR="00AA3F65">
        <w:t xml:space="preserve"> </w:t>
      </w:r>
      <w:r w:rsidR="00EC3C17">
        <w:t>Percentage of affirmations</w:t>
      </w:r>
      <w:r w:rsidR="00AA3F65" w:rsidRPr="00AA3F65">
        <w:t xml:space="preserve"> to the survey </w:t>
      </w:r>
      <w:r w:rsidR="00EC3C17">
        <w:t>prompt</w:t>
      </w:r>
      <w:r w:rsidR="00AA3F65" w:rsidRPr="00AA3F65">
        <w:t>,</w:t>
      </w:r>
      <w:r w:rsidR="00AA3F65">
        <w:t xml:space="preserve"> “</w:t>
      </w:r>
      <w:r w:rsidR="00EC3C17">
        <w:t>The APSI adequately prepared me to teach my AP</w:t>
      </w:r>
      <w:r w:rsidR="00EC3C17" w:rsidRPr="00EC3C17">
        <w:t xml:space="preserve"> </w:t>
      </w:r>
      <w:r w:rsidR="00EC3C17" w:rsidRPr="00E54A7D">
        <w:t>students who ar</w:t>
      </w:r>
      <w:r w:rsidR="00EC3C17">
        <w:t>e</w:t>
      </w:r>
      <w:r w:rsidR="00493AFF">
        <w:t>..</w:t>
      </w:r>
      <w:r w:rsidR="003B2A1F" w:rsidRPr="00EC3C17">
        <w:t>.</w:t>
      </w:r>
      <w:r w:rsidR="00EA5C7F" w:rsidRPr="00EC3C17">
        <w:t>”</w:t>
      </w:r>
      <w:bookmarkEnd w:id="281"/>
      <w:r w:rsidR="003B2A1F" w:rsidRPr="00EC3C17">
        <w:t xml:space="preserve"> </w:t>
      </w:r>
    </w:p>
    <w:bookmarkEnd w:id="280"/>
    <w:p w14:paraId="54BF7E3A" w14:textId="559988FC" w:rsidR="00374A91" w:rsidRDefault="00493AFF" w:rsidP="00374A91">
      <w:r>
        <w:rPr>
          <w:noProof/>
        </w:rPr>
        <w:drawing>
          <wp:inline distT="0" distB="0" distL="0" distR="0" wp14:anchorId="5F710FF3" wp14:editId="25FB7A72">
            <wp:extent cx="5943600" cy="2476500"/>
            <wp:effectExtent l="0" t="0" r="0" b="0"/>
            <wp:docPr id="1959128126" name="Chart 1" descr="Figure 30: Vertical bar chart showing percentage of affirmations to the survey prompt, “The APSI adequately prepared me to teach my AP students who are...” 75% of the 12  with students who are  African American / Black ; 82% of the 11 with students who are  Asian; 73% of the 15 with students who are Hispanic / Latino; 100% of the 15 with students who are White; 73% of 11 with students who are English Learners, 77% of the 13 with SWD students; and 75% of the 16 with students with Low-income status. ">
              <a:extLst xmlns:a="http://schemas.openxmlformats.org/drawingml/2006/main">
                <a:ext uri="{FF2B5EF4-FFF2-40B4-BE49-F238E27FC236}">
                  <a16:creationId xmlns:a16="http://schemas.microsoft.com/office/drawing/2014/main" id="{C6F1DE49-A285-2989-9CFB-8127DB1D39F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4A1AD7BC" w14:textId="77777777" w:rsidR="00CF1E6B" w:rsidRDefault="00CF1E6B" w:rsidP="00105038">
      <w:pPr>
        <w:spacing w:after="160" w:line="259" w:lineRule="auto"/>
        <w:rPr>
          <w:b/>
          <w:bCs/>
        </w:rPr>
      </w:pPr>
    </w:p>
    <w:p w14:paraId="4FDCACFE" w14:textId="77777777" w:rsidR="00940207" w:rsidRPr="007B49DA" w:rsidRDefault="00940207" w:rsidP="007B49DA">
      <w:pPr>
        <w:pStyle w:val="Heading5"/>
        <w:rPr>
          <w:rStyle w:val="Heading6Char"/>
        </w:rPr>
      </w:pPr>
      <w:r w:rsidRPr="00830313">
        <w:rPr>
          <w:noProof/>
        </w:rPr>
        <mc:AlternateContent>
          <mc:Choice Requires="wps">
            <w:drawing>
              <wp:anchor distT="0" distB="0" distL="114300" distR="114300" simplePos="0" relativeHeight="251658248" behindDoc="0" locked="0" layoutInCell="1" allowOverlap="1" wp14:anchorId="013D192C" wp14:editId="1FFB6868">
                <wp:simplePos x="0" y="0"/>
                <wp:positionH relativeFrom="column">
                  <wp:posOffset>18767425</wp:posOffset>
                </wp:positionH>
                <wp:positionV relativeFrom="paragraph">
                  <wp:posOffset>7381875</wp:posOffset>
                </wp:positionV>
                <wp:extent cx="1134345" cy="307777"/>
                <wp:effectExtent l="0" t="0" r="0" b="0"/>
                <wp:wrapNone/>
                <wp:docPr id="24759003" name="TextBox 7"/>
                <wp:cNvGraphicFramePr/>
                <a:graphic xmlns:a="http://schemas.openxmlformats.org/drawingml/2006/main">
                  <a:graphicData uri="http://schemas.microsoft.com/office/word/2010/wordprocessingShape">
                    <wps:wsp>
                      <wps:cNvSpPr txBox="1"/>
                      <wps:spPr>
                        <a:xfrm>
                          <a:off x="0" y="0"/>
                          <a:ext cx="1134345" cy="307777"/>
                        </a:xfrm>
                        <a:prstGeom prst="rect">
                          <a:avLst/>
                        </a:prstGeom>
                        <a:noFill/>
                        <a:ln>
                          <a:noFill/>
                        </a:ln>
                      </wps:spPr>
                      <wps:txbx>
                        <w:txbxContent>
                          <w:p w14:paraId="49B68E27" w14:textId="77777777" w:rsidR="00940207" w:rsidRDefault="00940207" w:rsidP="00940207">
                            <w:pPr>
                              <w:rPr>
                                <w:rFonts w:asciiTheme="minorHAnsi" w:hAnsi="Calibri"/>
                                <w:b/>
                                <w:color w:val="000000" w:themeColor="text1"/>
                                <w:kern w:val="24"/>
                                <w:sz w:val="28"/>
                                <w:szCs w:val="28"/>
                              </w:rPr>
                            </w:pPr>
                            <w:r>
                              <w:rPr>
                                <w:rFonts w:asciiTheme="minorHAnsi" w:hAnsi="Calibri"/>
                                <w:b/>
                                <w:color w:val="000000" w:themeColor="text1"/>
                                <w:kern w:val="24"/>
                                <w:sz w:val="28"/>
                                <w:szCs w:val="28"/>
                              </w:rPr>
                              <w:t>(N = 33)</w:t>
                            </w:r>
                          </w:p>
                        </w:txbxContent>
                      </wps:txbx>
                      <wps:bodyPr wrap="square" rtlCol="0">
                        <a:spAutoFit/>
                      </wps:bodyPr>
                    </wps:wsp>
                  </a:graphicData>
                </a:graphic>
              </wp:anchor>
            </w:drawing>
          </mc:Choice>
          <mc:Fallback>
            <w:pict>
              <v:shape w14:anchorId="013D192C" id="_x0000_s1027" type="#_x0000_t202" style="position:absolute;margin-left:1477.75pt;margin-top:581.25pt;width:89.3pt;height:24.25pt;z-index:251658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" filled="f" stroked="f">
                <v:textbox style="mso-fit-shape-to-text:t">
                  <w:txbxContent>
                    <w:p w14:paraId="49B68E27" w14:textId="77777777" w:rsidR="00940207" w:rsidRDefault="00940207" w:rsidP="00940207">
                      <w:pPr>
                        <w:rPr>
                          <w:rFonts w:asciiTheme="minorHAnsi" w:hAnsi="Calibri"/>
                          <w:b/>
                          <w:color w:val="000000" w:themeColor="text1"/>
                          <w:kern w:val="24"/>
                          <w:sz w:val="28"/>
                          <w:szCs w:val="28"/>
                        </w:rPr>
                      </w:pPr>
                      <w:r>
                        <w:rPr>
                          <w:rFonts w:asciiTheme="minorHAnsi" w:hAnsi="Calibri"/>
                          <w:b/>
                          <w:color w:val="000000" w:themeColor="text1"/>
                          <w:kern w:val="24"/>
                          <w:sz w:val="28"/>
                          <w:szCs w:val="28"/>
                        </w:rPr>
                        <w:t>(N = 33)</w:t>
                      </w:r>
                    </w:p>
                  </w:txbxContent>
                </v:textbox>
              </v:shape>
            </w:pict>
          </mc:Fallback>
        </mc:AlternateContent>
      </w:r>
      <w:r w:rsidRPr="00830313">
        <w:rPr>
          <w:noProof/>
        </w:rPr>
        <mc:AlternateContent>
          <mc:Choice Requires="wps">
            <w:drawing>
              <wp:anchor distT="0" distB="0" distL="114300" distR="114300" simplePos="0" relativeHeight="251658249" behindDoc="0" locked="0" layoutInCell="1" allowOverlap="1" wp14:anchorId="0AE112D6" wp14:editId="779C4B6E">
                <wp:simplePos x="0" y="0"/>
                <wp:positionH relativeFrom="column">
                  <wp:posOffset>13317855</wp:posOffset>
                </wp:positionH>
                <wp:positionV relativeFrom="paragraph">
                  <wp:posOffset>-1116965</wp:posOffset>
                </wp:positionV>
                <wp:extent cx="159393" cy="171262"/>
                <wp:effectExtent l="0" t="0" r="12065" b="19685"/>
                <wp:wrapNone/>
                <wp:docPr id="1953160471" name="Rectangle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59393" cy="171262"/>
                        </a:xfrm>
                        <a:prstGeom prst="rect">
                          <a:avLst/>
                        </a:prstGeom>
                        <a:solidFill>
                          <a:srgbClr val="212721"/>
                        </a:solidFill>
                        <a:ln>
                          <a:solidFill>
                            <a:srgbClr val="21272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a:graphicData>
                </a:graphic>
              </wp:anchor>
            </w:drawing>
          </mc:Choice>
          <mc:Fallback>
            <w:pict>
              <v:rect w14:anchorId="1B189116" id="Rectangle 8" o:spid="_x0000_s1026" alt="&quot;&quot;" style="position:absolute;margin-left:1048.65pt;margin-top:-87.95pt;width:12.55pt;height:13.5pt;z-index:25165824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" fillcolor="#212721" strokecolor="#212721" strokeweight="1pt"/>
            </w:pict>
          </mc:Fallback>
        </mc:AlternateContent>
      </w:r>
      <w:r w:rsidRPr="00FB54E7">
        <w:rPr>
          <w:color w:val="595959" w:themeColor="text1" w:themeTint="A6"/>
        </w:rPr>
        <w:t xml:space="preserve">APSI resources and activities </w:t>
      </w:r>
    </w:p>
    <w:p w14:paraId="5FE57818" w14:textId="77777777" w:rsidR="00940207" w:rsidRDefault="00940207" w:rsidP="00B75FB9">
      <w:pPr>
        <w:spacing w:line="320" w:lineRule="atLeast"/>
      </w:pPr>
      <w:r>
        <w:t>AP</w:t>
      </w:r>
      <w:r w:rsidRPr="005E157A">
        <w:t xml:space="preserve"> teachers were </w:t>
      </w:r>
      <w:r>
        <w:t>again surveyed regarding</w:t>
      </w:r>
      <w:r w:rsidRPr="005E157A">
        <w:t xml:space="preserve"> </w:t>
      </w:r>
      <w:r>
        <w:t xml:space="preserve">the frequency with which they utilize resources that they were exposed to during the APSI training (Figure 31). While all resources were used by at least some respondents, noteworthy is that “progress checks” and “unit guides” were being utilized by all respondents, although to varying degrees of frequency. Additionally, of note is that at least one respondent indicated they were not exposed to several resources during the APSI. </w:t>
      </w:r>
    </w:p>
    <w:p w14:paraId="24AAE897" w14:textId="77777777" w:rsidR="00940207" w:rsidRDefault="00940207" w:rsidP="00105038">
      <w:pPr>
        <w:spacing w:after="160" w:line="259" w:lineRule="auto"/>
        <w:rPr>
          <w:b/>
          <w:bCs/>
        </w:rPr>
        <w:sectPr w:rsidR="00940207" w:rsidSect="00CF1E6B">
          <w:pgSz w:w="12240" w:h="15840" w:code="1"/>
          <w:pgMar w:top="1987" w:right="1440" w:bottom="1980" w:left="1440" w:header="1267" w:footer="1260" w:gutter="0"/>
          <w:cols w:space="720"/>
          <w:docGrid w:linePitch="360"/>
        </w:sectPr>
      </w:pPr>
    </w:p>
    <w:p w14:paraId="2AA7136A" w14:textId="55318832" w:rsidR="00D265E3" w:rsidRDefault="001F0889" w:rsidP="003967DE">
      <w:pPr>
        <w:pStyle w:val="FigureCaption"/>
      </w:pPr>
      <w:bookmarkStart w:id="282" w:name="_Toc207348474"/>
      <w:r w:rsidRPr="00103158">
        <w:lastRenderedPageBreak/>
        <w:t xml:space="preserve">Figure </w:t>
      </w:r>
      <w:r w:rsidR="00A63304">
        <w:t>31</w:t>
      </w:r>
      <w:r>
        <w:t>.</w:t>
      </w:r>
      <w:r w:rsidR="00427E54">
        <w:t xml:space="preserve"> </w:t>
      </w:r>
      <w:bookmarkStart w:id="283" w:name="_Hlk202882458"/>
      <w:bookmarkStart w:id="284" w:name="_Hlk202972161"/>
      <w:r w:rsidR="00427E54">
        <w:t xml:space="preserve">Responses to the survey question, </w:t>
      </w:r>
      <w:bookmarkEnd w:id="283"/>
      <w:r w:rsidR="00427E54">
        <w:t>“</w:t>
      </w:r>
      <w:bookmarkEnd w:id="284"/>
      <w:r w:rsidR="00427E54">
        <w:t>Please indicate the frequency with which you utilize these resources in your AP classroom(s)</w:t>
      </w:r>
      <w:r w:rsidR="00041E4E">
        <w:t>.”</w:t>
      </w:r>
      <w:r w:rsidR="008B1480" w:rsidRPr="009D6B80">
        <w:rPr>
          <w:noProof/>
        </w:rPr>
        <w:drawing>
          <wp:inline distT="0" distB="0" distL="0" distR="0" wp14:anchorId="75C9158E" wp14:editId="4C2B3D21">
            <wp:extent cx="7610475" cy="3057525"/>
            <wp:effectExtent l="0" t="0" r="9525" b="9525"/>
            <wp:docPr id="1260157672" name="Chart 1" descr="Figure 31: Horizontal stacked bar chart showing percentage of responses to the survey question, “Please indicate the frequency with which you utilize these resources in your AP classroom(s).”  &#10;Progress Checks: 56% frequently use, 25% sometimes use, 19% rarely use.&#10;Question Banks: 50% frequently use, 31% sometime use, 13% rarely use, 6% never use.&#10; Unit Guides: 50% frequently use, 44% sometimes use, 6% rarely use. &#10; Topic Questions: 44% frequently use, 38% sometimes use, 6% rarely use, 6% never use, and 6% was not exposed to this resource during the APSI.&#10;Sample Syllabi: 25% frequently use, 25% sometimes use, 38% rarely use, 6% never use, and 6% was not exposed to this resource during the APSI.&#10; Instructional Planning Reports: 25% frequently use, 38% sometimes use, 19% rarely use, 6% never use, 3% was not exposed to this resource during the APSI.&#10; AP Community: 19% frequently use, 25% sometimes use, 25% rarely use, 25% never use, and 6% was not exposed to this resource during the APSI.&#10;Syllabus Development Guides: 19% frequently use, 6% sometimes use, 44% rarely use, 25% never use, and 6% was not exposed to this resource during the APSI. n = 16.&#10;">
              <a:extLst xmlns:a="http://schemas.openxmlformats.org/drawingml/2006/main">
                <a:ext uri="{FF2B5EF4-FFF2-40B4-BE49-F238E27FC236}">
                  <a16:creationId xmlns:a16="http://schemas.microsoft.com/office/drawing/2014/main" id="{E44EAB77-A88F-47D3-9FE3-787BC632DFC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bookmarkEnd w:id="282"/>
    </w:p>
    <w:p w14:paraId="417AE5EC" w14:textId="61647B9B" w:rsidR="003967DE" w:rsidRDefault="00940207">
      <w:pPr>
        <w:spacing w:after="160" w:line="259" w:lineRule="auto"/>
      </w:pPr>
      <w:r>
        <w:t>Respondents were additionally asked to indicate, on a Likert scale of usefulness, the extent to which each APSI activity they were exposed to had been useful in their AP classroom (Figure 32). The majority (50%–94%) of respondents</w:t>
      </w:r>
      <w:r w:rsidRPr="005E157A">
        <w:t xml:space="preserve"> </w:t>
      </w:r>
      <w:r>
        <w:t>indicated that activities had been very useful in their classroom(s), and of the 16 total respondents, nearly all (94%) indicated that activities such as “e</w:t>
      </w:r>
      <w:r w:rsidRPr="005E157A">
        <w:t>xploring ready-to-use instructional materials</w:t>
      </w:r>
      <w:r>
        <w:t>,” and “e</w:t>
      </w:r>
      <w:r w:rsidRPr="005E157A">
        <w:t>xploring ready-to-use strategies</w:t>
      </w:r>
      <w:r>
        <w:t>” were very useful and their classroom, followed by activities such as “p</w:t>
      </w:r>
      <w:r w:rsidRPr="005E157A">
        <w:t>ractic</w:t>
      </w:r>
      <w:r>
        <w:t>ing</w:t>
      </w:r>
      <w:r w:rsidRPr="005E157A">
        <w:t xml:space="preserve"> applying the scoring guidelines from the most recent AP Exam to samples of student work</w:t>
      </w:r>
      <w:r>
        <w:t>” (88% or14).</w:t>
      </w:r>
      <w:r w:rsidR="003967DE">
        <w:br w:type="page"/>
      </w:r>
    </w:p>
    <w:p w14:paraId="3B848F03" w14:textId="10119FE1" w:rsidR="00C55A2D" w:rsidRDefault="00C55A2D" w:rsidP="00940207">
      <w:pPr>
        <w:pStyle w:val="FigureCaption"/>
      </w:pPr>
      <w:bookmarkStart w:id="285" w:name="_Toc207348475"/>
      <w:r w:rsidRPr="00103158">
        <w:lastRenderedPageBreak/>
        <w:t xml:space="preserve">Figure </w:t>
      </w:r>
      <w:r w:rsidR="00A63304">
        <w:t>32</w:t>
      </w:r>
      <w:r>
        <w:t>.</w:t>
      </w:r>
      <w:r w:rsidR="00421F55" w:rsidRPr="00421F55">
        <w:t xml:space="preserve"> </w:t>
      </w:r>
      <w:r w:rsidR="00421F55" w:rsidRPr="00421F55">
        <w:rPr>
          <w:bCs/>
        </w:rPr>
        <w:t>Responses to the survey question, “Please indicate the extent to which each APSI activity has been useful in your AP classroom(s)</w:t>
      </w:r>
      <w:r w:rsidR="002829DB">
        <w:rPr>
          <w:bCs/>
        </w:rPr>
        <w:t>.”</w:t>
      </w:r>
      <w:bookmarkEnd w:id="285"/>
    </w:p>
    <w:p w14:paraId="543C1AC1" w14:textId="2BE069DF" w:rsidR="005F270E" w:rsidRDefault="009F3E77" w:rsidP="00C55A2D">
      <w:pPr>
        <w:rPr>
          <w:b/>
          <w:bCs/>
        </w:rPr>
      </w:pPr>
      <w:r>
        <w:rPr>
          <w:noProof/>
        </w:rPr>
        <w:drawing>
          <wp:inline distT="0" distB="0" distL="0" distR="0" wp14:anchorId="5B4A5E4F" wp14:editId="2A22256E">
            <wp:extent cx="7934325" cy="3567289"/>
            <wp:effectExtent l="0" t="0" r="9525" b="14605"/>
            <wp:docPr id="782845319" name="Chart 1" descr="Figure 32: Horizontal staked bar chart showing percentage of responses to the survey question, “Please indicate the extent to which each APSI activity has been useful in your AP classroom(s).”&#10;Exploring ready-to-use instructional materials: 94% very useful; 6% slightly useful&#10;Exploring ready-to-use strategies: 94% very useful; 6% slightly useful&#10;Practice applying the scoring guidelines from the most recent AP Exam to samples of student work: 88% very useful; 6% moderately useful; 6% slightly useful.&#10;Examining assessment items to identify content and skill pairing: 81% very useful; 13% moderately useful; 6% did not participate in this activity during the APSI &#10;Begin to develop a course/instructional plan by unit: 81% very useful; 6% moderately useful; 13% slightly useful.&#10;Exploring course/exam descriptions: 75% very useful; 19% moderately useful; 6% slightly useful.&#10;Exploring ready-to-use pedagogical tools: 69% very useful; 25% moderately useful; 6% slightly useful.&#10;Identifying student strengths/weaknesses using available data: 56% very useful; 25% moderately useful; 13% slightly useful, 6% did not participate in this activity during the APSI &#10;Developing connections with the AP community: 50% very useful; 19% moderately useful; 19% slightly useful; 6% not at all useful, 6% did not participate in this activity during the APSI. n = 16.&#10;&#10;">
              <a:extLst xmlns:a="http://schemas.openxmlformats.org/drawingml/2006/main">
                <a:ext uri="{FF2B5EF4-FFF2-40B4-BE49-F238E27FC236}">
                  <a16:creationId xmlns:a16="http://schemas.microsoft.com/office/drawing/2014/main" id="{08D3221F-A506-DE74-24AA-AF5852C22EA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10DB8E4B" w14:textId="543229E3" w:rsidR="00261E0B" w:rsidRDefault="00261E0B" w:rsidP="00490A50"/>
    <w:p w14:paraId="4E385C4E" w14:textId="77777777" w:rsidR="00CF1E6B" w:rsidRPr="00B80E44" w:rsidRDefault="00CF1E6B" w:rsidP="00105038">
      <w:pPr>
        <w:spacing w:after="160" w:line="259" w:lineRule="auto"/>
        <w:rPr>
          <w:rStyle w:val="Heading4Char"/>
          <w:rFonts w:ascii="Open Sans" w:hAnsi="Open Sans"/>
          <w:iCs/>
          <w:color w:val="595959" w:themeColor="text1" w:themeTint="A6"/>
          <w:sz w:val="22"/>
        </w:rPr>
        <w:sectPr w:rsidR="00CF1E6B" w:rsidRPr="00B80E44" w:rsidSect="00CF1E6B">
          <w:pgSz w:w="15840" w:h="12240" w:orient="landscape" w:code="1"/>
          <w:pgMar w:top="1440" w:right="1987" w:bottom="1440" w:left="1980" w:header="1267" w:footer="1260" w:gutter="0"/>
          <w:cols w:space="720"/>
          <w:docGrid w:linePitch="360"/>
        </w:sectPr>
      </w:pPr>
      <w:bookmarkStart w:id="286" w:name="_Toc200638448"/>
    </w:p>
    <w:p w14:paraId="6177AECF" w14:textId="262CE782" w:rsidR="00B523A0" w:rsidRPr="00FB54E7" w:rsidRDefault="00B523A0" w:rsidP="007B49DA">
      <w:pPr>
        <w:pStyle w:val="Heading5"/>
        <w:rPr>
          <w:color w:val="595959" w:themeColor="text1" w:themeTint="A6"/>
        </w:rPr>
      </w:pPr>
      <w:r w:rsidRPr="00FB54E7">
        <w:rPr>
          <w:color w:val="595959" w:themeColor="text1" w:themeTint="A6"/>
        </w:rPr>
        <w:lastRenderedPageBreak/>
        <w:t>College</w:t>
      </w:r>
      <w:r w:rsidR="00E03504" w:rsidRPr="00FB54E7">
        <w:rPr>
          <w:color w:val="595959" w:themeColor="text1" w:themeTint="A6"/>
        </w:rPr>
        <w:t>-</w:t>
      </w:r>
      <w:r w:rsidRPr="00FB54E7">
        <w:rPr>
          <w:color w:val="595959" w:themeColor="text1" w:themeTint="A6"/>
        </w:rPr>
        <w:t>going culture</w:t>
      </w:r>
    </w:p>
    <w:p w14:paraId="477A26B9" w14:textId="7C661A84" w:rsidR="00B523A0" w:rsidRDefault="00B523A0" w:rsidP="00B523A0">
      <w:r>
        <w:t xml:space="preserve">In the follow-up survey, APSI </w:t>
      </w:r>
      <w:r w:rsidR="00903C39">
        <w:t xml:space="preserve">teachers </w:t>
      </w:r>
      <w:r>
        <w:t xml:space="preserve">were again asked to respond to the following prompt regarding </w:t>
      </w:r>
      <w:r w:rsidR="004F4F0F">
        <w:t xml:space="preserve">the impact of APSI participation on </w:t>
      </w:r>
      <w:r>
        <w:t>college-going culture:</w:t>
      </w:r>
    </w:p>
    <w:p w14:paraId="0DA788F2" w14:textId="30F638DF" w:rsidR="00F1386D" w:rsidRDefault="00F1386D" w:rsidP="00052BBF">
      <w:pPr>
        <w:ind w:left="720"/>
      </w:pPr>
      <w:r>
        <w:t>DESE supports schools’ and teachers’ efforts to foster a college-going culture. While fostering a college-going culture is not a goal of the APSI, DESE is interested in understanding how your experience with the APSI is aligned with this objective. How did the APSI support your current efforts to foster a college-going culture?</w:t>
      </w:r>
    </w:p>
    <w:p w14:paraId="6061EA1F" w14:textId="72DF0561" w:rsidR="00052BBF" w:rsidRDefault="00DD4469" w:rsidP="00052BBF">
      <w:r>
        <w:t xml:space="preserve">The </w:t>
      </w:r>
      <w:r w:rsidR="00023600">
        <w:t xml:space="preserve">prompt received 12 total responses, </w:t>
      </w:r>
      <w:r w:rsidR="00C55512">
        <w:t xml:space="preserve">largely describing the benefit of rigorous </w:t>
      </w:r>
      <w:r w:rsidR="00707453">
        <w:t xml:space="preserve">AP </w:t>
      </w:r>
      <w:r w:rsidR="00C55512">
        <w:t>coursework</w:t>
      </w:r>
      <w:r w:rsidR="00707453">
        <w:t xml:space="preserve"> in preparing students for </w:t>
      </w:r>
      <w:r w:rsidR="005B564F">
        <w:t>college academics</w:t>
      </w:r>
      <w:r w:rsidR="003A6867">
        <w:t>, and that AP courses set high expectations for students</w:t>
      </w:r>
      <w:r w:rsidR="00907EE5">
        <w:t xml:space="preserve">. </w:t>
      </w:r>
      <w:r w:rsidR="00C55512">
        <w:t xml:space="preserve">One </w:t>
      </w:r>
      <w:r w:rsidR="00903C39">
        <w:t xml:space="preserve">AP teacher </w:t>
      </w:r>
      <w:r w:rsidR="009E0D93">
        <w:t>who had completed a STEM APSI</w:t>
      </w:r>
      <w:r w:rsidR="00C55512">
        <w:t xml:space="preserve"> </w:t>
      </w:r>
      <w:r w:rsidR="00F30A8E">
        <w:t xml:space="preserve">additionally </w:t>
      </w:r>
      <w:r w:rsidR="00C55512">
        <w:t>shared:</w:t>
      </w:r>
    </w:p>
    <w:p w14:paraId="1129AEF8" w14:textId="1C105B36" w:rsidR="00C55512" w:rsidRDefault="00371404" w:rsidP="00371404">
      <w:pPr>
        <w:pStyle w:val="PullQuote"/>
      </w:pPr>
      <w:r w:rsidRPr="00371404">
        <w:t>The APSI experience provided clarification on how to model and foster college-level discourse and help students develop takeaways that are universally valuable regardless of the curricular context.</w:t>
      </w:r>
    </w:p>
    <w:p w14:paraId="76264691" w14:textId="67855CC6" w:rsidR="00371404" w:rsidRPr="00371404" w:rsidRDefault="00371404" w:rsidP="00371404">
      <w:pPr>
        <w:pStyle w:val="BodyText"/>
      </w:pPr>
      <w:r>
        <w:t xml:space="preserve">A full summary of responses is </w:t>
      </w:r>
      <w:r w:rsidRPr="003B7E39">
        <w:t xml:space="preserve">provided in Appendix </w:t>
      </w:r>
      <w:r w:rsidR="00EE177E">
        <w:t>G</w:t>
      </w:r>
      <w:r w:rsidRPr="003B7E39">
        <w:t>.</w:t>
      </w:r>
    </w:p>
    <w:p w14:paraId="4BA9BF06" w14:textId="77777777" w:rsidR="00CF1E6B" w:rsidRDefault="00CF1E6B" w:rsidP="00592B93">
      <w:pPr>
        <w:pStyle w:val="Heading1"/>
        <w:sectPr w:rsidR="00CF1E6B" w:rsidSect="00CF1E6B">
          <w:pgSz w:w="12240" w:h="15840" w:code="1"/>
          <w:pgMar w:top="1987" w:right="1440" w:bottom="1980" w:left="1440" w:header="1267" w:footer="1260" w:gutter="0"/>
          <w:cols w:space="720"/>
          <w:docGrid w:linePitch="360"/>
        </w:sectPr>
      </w:pPr>
    </w:p>
    <w:p w14:paraId="56C91E67" w14:textId="5DC91858" w:rsidR="00592B93" w:rsidRDefault="00592B93" w:rsidP="007B49DA">
      <w:pPr>
        <w:pStyle w:val="Heading2"/>
      </w:pPr>
      <w:bookmarkStart w:id="287" w:name="_Discussion_and_Conclusion"/>
      <w:bookmarkStart w:id="288" w:name="_Toc207348180"/>
      <w:bookmarkEnd w:id="287"/>
      <w:r>
        <w:lastRenderedPageBreak/>
        <w:t>Discussion</w:t>
      </w:r>
      <w:bookmarkEnd w:id="286"/>
      <w:r w:rsidR="00F23038">
        <w:t xml:space="preserve"> and Conclusion</w:t>
      </w:r>
      <w:bookmarkEnd w:id="288"/>
    </w:p>
    <w:p w14:paraId="62D522DE" w14:textId="5E7651D4" w:rsidR="004048A7" w:rsidRDefault="003444F6" w:rsidP="00940207">
      <w:pPr>
        <w:pStyle w:val="BodyText"/>
      </w:pPr>
      <w:r>
        <w:t xml:space="preserve">As shown </w:t>
      </w:r>
      <w:r w:rsidR="003C2247">
        <w:t>through</w:t>
      </w:r>
      <w:r w:rsidR="00550556">
        <w:t xml:space="preserve"> the results of</w:t>
      </w:r>
      <w:r>
        <w:t xml:space="preserve"> both the descriptive and quasi-experimental analyses, </w:t>
      </w:r>
      <w:r w:rsidR="004048A7">
        <w:t>mock exams and study session</w:t>
      </w:r>
      <w:r w:rsidR="0000619C">
        <w:t>s appear to be helpful</w:t>
      </w:r>
      <w:r w:rsidR="00DB0771">
        <w:t xml:space="preserve"> supports</w:t>
      </w:r>
      <w:r w:rsidR="0000619C">
        <w:t>, contributing to increased rates of AP course passing, AP exam taking, and AP exam passing.</w:t>
      </w:r>
      <w:r w:rsidR="00F403B9">
        <w:t xml:space="preserve"> Despite the relatively short duration </w:t>
      </w:r>
      <w:r w:rsidR="0079423C">
        <w:t>of these supports</w:t>
      </w:r>
      <w:r w:rsidR="00F403B9">
        <w:t xml:space="preserve"> (typically single events lasting </w:t>
      </w:r>
      <w:r w:rsidR="0079423C">
        <w:t>a few</w:t>
      </w:r>
      <w:r w:rsidR="00F403B9">
        <w:t xml:space="preserve"> hours), these resources </w:t>
      </w:r>
      <w:r w:rsidR="00395D50">
        <w:t xml:space="preserve">seem to have a meaningful </w:t>
      </w:r>
      <w:r w:rsidR="0079423C">
        <w:t>impact</w:t>
      </w:r>
      <w:r w:rsidR="00395D50">
        <w:t xml:space="preserve"> on student success.</w:t>
      </w:r>
      <w:r w:rsidR="004829BA">
        <w:t xml:space="preserve"> At the same time, descriptive statistics </w:t>
      </w:r>
      <w:r w:rsidR="00BA6B35">
        <w:t>show</w:t>
      </w:r>
      <w:r w:rsidR="00BD2BA2">
        <w:t>ed</w:t>
      </w:r>
      <w:r w:rsidR="000B59A2">
        <w:t xml:space="preserve"> </w:t>
      </w:r>
      <w:r w:rsidR="004829BA">
        <w:t xml:space="preserve">that </w:t>
      </w:r>
      <w:r w:rsidR="002A77F1">
        <w:t xml:space="preserve">rates of AP course passing, AP exam taking, and AP exam passing among student groups designated as high needs by DESE (i.e. </w:t>
      </w:r>
      <w:r w:rsidR="00092A9C">
        <w:t xml:space="preserve">students with disabilities, English learners, and low-income students) </w:t>
      </w:r>
      <w:r w:rsidR="00BA00BD">
        <w:t xml:space="preserve">and among students who are African American/Black or Hispanic/Latino </w:t>
      </w:r>
      <w:r w:rsidR="00092A9C">
        <w:t xml:space="preserve">are lower than </w:t>
      </w:r>
      <w:r w:rsidR="0075617D">
        <w:t>among students who do not belong to these groups.</w:t>
      </w:r>
    </w:p>
    <w:p w14:paraId="39A87B8F" w14:textId="77777777" w:rsidR="00395D50" w:rsidRDefault="00395D50" w:rsidP="00940207">
      <w:pPr>
        <w:pStyle w:val="BodyText"/>
      </w:pPr>
    </w:p>
    <w:p w14:paraId="7C51DB78" w14:textId="1736F4C9" w:rsidR="00DB0771" w:rsidRPr="00DB0771" w:rsidRDefault="00DB0771" w:rsidP="00940207">
      <w:pPr>
        <w:pStyle w:val="BodyText"/>
      </w:pPr>
      <w:r w:rsidRPr="00DB0771">
        <w:t xml:space="preserve">Similarly, </w:t>
      </w:r>
      <w:r w:rsidR="00F44702">
        <w:t xml:space="preserve">teacher survey </w:t>
      </w:r>
      <w:r w:rsidR="00D1048F">
        <w:t>responses</w:t>
      </w:r>
      <w:r w:rsidR="001E4EC5">
        <w:t xml:space="preserve">—though limited—suggest that </w:t>
      </w:r>
      <w:r w:rsidRPr="00DB0771">
        <w:t xml:space="preserve">the AP Summer Institute (APSI) </w:t>
      </w:r>
      <w:r w:rsidR="001E4EC5">
        <w:t>is</w:t>
      </w:r>
      <w:r w:rsidRPr="00DB0771">
        <w:t xml:space="preserve"> a valuable professional development opportunity for AP </w:t>
      </w:r>
      <w:r w:rsidR="00903C39">
        <w:t>teachers</w:t>
      </w:r>
      <w:r w:rsidRPr="00DB0771">
        <w:t xml:space="preserve">. Survey responses indicate that teachers viewed their APSI participation positively, noting that it enhanced their </w:t>
      </w:r>
      <w:r w:rsidR="00CF1CAF">
        <w:t>knowledge and skill</w:t>
      </w:r>
      <w:r w:rsidRPr="00DB0771">
        <w:t xml:space="preserve"> to teach AP content and support students.</w:t>
      </w:r>
    </w:p>
    <w:p w14:paraId="6A6C87CB" w14:textId="77777777" w:rsidR="00DB0771" w:rsidRDefault="00DB0771" w:rsidP="00940207">
      <w:pPr>
        <w:pStyle w:val="BodyText"/>
      </w:pPr>
    </w:p>
    <w:p w14:paraId="6B5D75D0" w14:textId="0B1BF206" w:rsidR="00DB0771" w:rsidRPr="00DB0771" w:rsidRDefault="00DF1747" w:rsidP="00940207">
      <w:pPr>
        <w:pStyle w:val="BodyText"/>
      </w:pPr>
      <w:r>
        <w:t>Further</w:t>
      </w:r>
      <w:r w:rsidR="00DB0771" w:rsidRPr="00DB0771">
        <w:t xml:space="preserve">, student </w:t>
      </w:r>
      <w:proofErr w:type="gramStart"/>
      <w:r w:rsidR="00DB0771" w:rsidRPr="00DB0771">
        <w:t>supports</w:t>
      </w:r>
      <w:proofErr w:type="gramEnd"/>
      <w:r w:rsidR="00DB0771" w:rsidRPr="00DB0771">
        <w:t xml:space="preserve"> (mock exams and study sessions) and teacher training (APSI) </w:t>
      </w:r>
      <w:r w:rsidR="003A7B65">
        <w:t xml:space="preserve">appear </w:t>
      </w:r>
      <w:r>
        <w:t>to be well</w:t>
      </w:r>
      <w:r w:rsidR="000C4721">
        <w:t>-</w:t>
      </w:r>
      <w:r w:rsidR="00DB0771" w:rsidRPr="00DB0771">
        <w:t>align</w:t>
      </w:r>
      <w:r>
        <w:t>ed</w:t>
      </w:r>
      <w:r w:rsidR="00DB0771" w:rsidRPr="00DB0771">
        <w:t xml:space="preserve"> with DESE’s goal of fostering a college-going culture. By promoting access to and success in rigorous AP coursework, the program helps students </w:t>
      </w:r>
      <w:proofErr w:type="gramStart"/>
      <w:r w:rsidR="00DB0771" w:rsidRPr="00DB0771">
        <w:t>envision</w:t>
      </w:r>
      <w:proofErr w:type="gramEnd"/>
      <w:r w:rsidR="00DB0771" w:rsidRPr="00DB0771">
        <w:t xml:space="preserve"> and prepare for success in postsecondary education.</w:t>
      </w:r>
    </w:p>
    <w:p w14:paraId="7E1437F9" w14:textId="77777777" w:rsidR="005D3558" w:rsidRDefault="005D3558" w:rsidP="00940207">
      <w:pPr>
        <w:pStyle w:val="BodyText"/>
      </w:pPr>
    </w:p>
    <w:p w14:paraId="1EC92EA8" w14:textId="77777777" w:rsidR="00AE127C" w:rsidRPr="007B49DA" w:rsidRDefault="00AE127C" w:rsidP="007B49DA">
      <w:pPr>
        <w:pStyle w:val="Heading3"/>
        <w:rPr>
          <w:sz w:val="28"/>
          <w:szCs w:val="28"/>
        </w:rPr>
      </w:pPr>
      <w:bookmarkStart w:id="289" w:name="_Toc203984448"/>
      <w:bookmarkStart w:id="290" w:name="_Toc204766680"/>
      <w:bookmarkStart w:id="291" w:name="_Toc206742119"/>
      <w:bookmarkStart w:id="292" w:name="_Toc207183749"/>
      <w:bookmarkStart w:id="293" w:name="_Toc207348181"/>
      <w:r w:rsidRPr="007B49DA">
        <w:rPr>
          <w:color w:val="757575" w:themeColor="background2" w:themeShade="80"/>
          <w:sz w:val="28"/>
          <w:szCs w:val="28"/>
        </w:rPr>
        <w:t>APSI</w:t>
      </w:r>
      <w:bookmarkEnd w:id="289"/>
      <w:bookmarkEnd w:id="290"/>
      <w:bookmarkEnd w:id="291"/>
      <w:bookmarkEnd w:id="292"/>
      <w:bookmarkEnd w:id="293"/>
    </w:p>
    <w:p w14:paraId="270FB0A9" w14:textId="1EEEC03F" w:rsidR="00AE127C" w:rsidRPr="003310A2" w:rsidRDefault="005C1227" w:rsidP="00940207">
      <w:pPr>
        <w:pStyle w:val="BodyText"/>
      </w:pPr>
      <w:r>
        <w:t xml:space="preserve">While survey results cannot be generalized </w:t>
      </w:r>
      <w:r w:rsidR="00C47243">
        <w:t>due to the low response rate,</w:t>
      </w:r>
      <w:r>
        <w:t xml:space="preserve"> </w:t>
      </w:r>
      <w:r w:rsidR="00AE127C" w:rsidRPr="003310A2">
        <w:t xml:space="preserve">APSI survey </w:t>
      </w:r>
      <w:r w:rsidR="00F64D41">
        <w:t xml:space="preserve">respondents </w:t>
      </w:r>
      <w:r w:rsidR="00AE127C" w:rsidRPr="003310A2">
        <w:t xml:space="preserve">generally indicated that the resources and activities </w:t>
      </w:r>
      <w:r w:rsidR="00C8433A">
        <w:t>provided during</w:t>
      </w:r>
      <w:r w:rsidR="00C24584">
        <w:t xml:space="preserve"> </w:t>
      </w:r>
      <w:r w:rsidR="00C8433A">
        <w:t>the training were useful in preparing them</w:t>
      </w:r>
      <w:r w:rsidR="00AE127C" w:rsidRPr="003310A2">
        <w:t xml:space="preserve"> to teach AP</w:t>
      </w:r>
      <w:r w:rsidR="00C8433A">
        <w:t xml:space="preserve"> courses.</w:t>
      </w:r>
      <w:r w:rsidR="00AE127C" w:rsidRPr="003310A2">
        <w:t xml:space="preserve"> </w:t>
      </w:r>
      <w:r w:rsidR="0096116F">
        <w:t>Many also reported that the APSI increased their preparedness to teach student</w:t>
      </w:r>
      <w:r w:rsidR="00851013">
        <w:t>s</w:t>
      </w:r>
      <w:r w:rsidR="0096116F">
        <w:t xml:space="preserve"> with diverse identities. </w:t>
      </w:r>
      <w:r w:rsidR="00AE127C">
        <w:t xml:space="preserve">The follow-up survey </w:t>
      </w:r>
      <w:r w:rsidR="0065247D">
        <w:t xml:space="preserve">conducted showed that </w:t>
      </w:r>
      <w:r w:rsidR="00F658D7">
        <w:t xml:space="preserve">the </w:t>
      </w:r>
      <w:r w:rsidR="00131529">
        <w:t xml:space="preserve">training teachers received during </w:t>
      </w:r>
      <w:r w:rsidR="00CE5909">
        <w:t xml:space="preserve">the </w:t>
      </w:r>
      <w:r w:rsidR="00AE127C">
        <w:t>APSI</w:t>
      </w:r>
      <w:r w:rsidR="00F658D7">
        <w:t xml:space="preserve">, as described by participants in July, </w:t>
      </w:r>
      <w:r w:rsidR="00AE127C">
        <w:t xml:space="preserve">continued </w:t>
      </w:r>
      <w:r w:rsidR="00F658D7">
        <w:t xml:space="preserve">to influence </w:t>
      </w:r>
      <w:r w:rsidR="00B75B6D">
        <w:t>their classroom practices</w:t>
      </w:r>
      <w:r w:rsidR="00CE5909">
        <w:t xml:space="preserve"> in the fall</w:t>
      </w:r>
      <w:r w:rsidR="00B75B6D">
        <w:t xml:space="preserve">. </w:t>
      </w:r>
      <w:r w:rsidR="00AE127C">
        <w:t xml:space="preserve">While some </w:t>
      </w:r>
      <w:r w:rsidR="00B75B6D">
        <w:t xml:space="preserve">July </w:t>
      </w:r>
      <w:r w:rsidR="00AE127C">
        <w:t>respondents struggled to describe how the APSI was aligned with DESE’s goal of fostering a college-going culture, many indicated that student participation in rigorous academic</w:t>
      </w:r>
      <w:r w:rsidR="00F71385">
        <w:t xml:space="preserve"> coursework</w:t>
      </w:r>
      <w:r w:rsidR="00AE127C">
        <w:t>, such as AP, promote</w:t>
      </w:r>
      <w:r w:rsidR="00F71385">
        <w:t>s</w:t>
      </w:r>
      <w:r w:rsidR="00AE127C">
        <w:t xml:space="preserve"> college preparedness</w:t>
      </w:r>
      <w:r w:rsidR="00F71385">
        <w:t>.</w:t>
      </w:r>
      <w:r w:rsidR="00AE127C">
        <w:t xml:space="preserve"> </w:t>
      </w:r>
      <w:r w:rsidR="00C24584">
        <w:t>These</w:t>
      </w:r>
      <w:r w:rsidR="00AE127C">
        <w:t xml:space="preserve"> beliefs were</w:t>
      </w:r>
      <w:r w:rsidR="00C24584">
        <w:t xml:space="preserve"> echoed by </w:t>
      </w:r>
      <w:r w:rsidR="00AE127C">
        <w:t xml:space="preserve">respondents in the </w:t>
      </w:r>
      <w:r w:rsidR="00C24584">
        <w:t xml:space="preserve">fall </w:t>
      </w:r>
      <w:r w:rsidR="00AE127C">
        <w:t xml:space="preserve">follow-up survey. </w:t>
      </w:r>
    </w:p>
    <w:p w14:paraId="146FEFD1" w14:textId="77777777" w:rsidR="00283169" w:rsidRDefault="00283169" w:rsidP="00940207">
      <w:pPr>
        <w:pStyle w:val="BodyText"/>
      </w:pPr>
    </w:p>
    <w:p w14:paraId="07A62189" w14:textId="6D00B745" w:rsidR="00283169" w:rsidRPr="003310A2" w:rsidRDefault="00283169" w:rsidP="00940207">
      <w:pPr>
        <w:pStyle w:val="BodyText"/>
      </w:pPr>
      <w:r>
        <w:lastRenderedPageBreak/>
        <w:t xml:space="preserve">Due to lower than anticipated survey responses, </w:t>
      </w:r>
      <w:r w:rsidR="0065362E">
        <w:t xml:space="preserve">we encourage DESE to consider </w:t>
      </w:r>
      <w:r w:rsidR="00BA68F2">
        <w:t xml:space="preserve">alternative methods to </w:t>
      </w:r>
      <w:r w:rsidR="009F1BE7">
        <w:t xml:space="preserve">gather </w:t>
      </w:r>
      <w:r w:rsidR="00BA68F2">
        <w:t xml:space="preserve">feedback on </w:t>
      </w:r>
      <w:r w:rsidR="00294A47">
        <w:t xml:space="preserve">teacher experiences with the APSI </w:t>
      </w:r>
      <w:r w:rsidR="00DB7794">
        <w:t>and its usefulness in classrooms, such as through interviews and/or focus groups.</w:t>
      </w:r>
      <w:r w:rsidR="00BA68F2">
        <w:t xml:space="preserve"> </w:t>
      </w:r>
    </w:p>
    <w:p w14:paraId="47D49934" w14:textId="42621EAB" w:rsidR="006D1929" w:rsidRDefault="006D1929" w:rsidP="00940207">
      <w:pPr>
        <w:pStyle w:val="BodyText"/>
      </w:pPr>
    </w:p>
    <w:p w14:paraId="680225FC" w14:textId="4C58548F" w:rsidR="00C059FE" w:rsidRPr="007B49DA" w:rsidRDefault="00C059FE" w:rsidP="007B49DA">
      <w:pPr>
        <w:pStyle w:val="Heading3"/>
        <w:rPr>
          <w:color w:val="757575" w:themeColor="background2" w:themeShade="80"/>
          <w:sz w:val="28"/>
          <w:szCs w:val="28"/>
        </w:rPr>
      </w:pPr>
      <w:bookmarkStart w:id="294" w:name="_Toc204766682"/>
      <w:bookmarkStart w:id="295" w:name="_Toc206742120"/>
      <w:bookmarkStart w:id="296" w:name="_Toc207183750"/>
      <w:bookmarkStart w:id="297" w:name="_Toc207348182"/>
      <w:r w:rsidRPr="007B49DA">
        <w:rPr>
          <w:color w:val="757575" w:themeColor="background2" w:themeShade="80"/>
          <w:sz w:val="28"/>
          <w:szCs w:val="28"/>
        </w:rPr>
        <w:t>Student Performance</w:t>
      </w:r>
      <w:bookmarkEnd w:id="294"/>
      <w:bookmarkEnd w:id="295"/>
      <w:bookmarkEnd w:id="296"/>
      <w:bookmarkEnd w:id="297"/>
    </w:p>
    <w:p w14:paraId="71AF7488" w14:textId="1BE5F960" w:rsidR="009929A1" w:rsidRDefault="009929A1" w:rsidP="00940207">
      <w:pPr>
        <w:pStyle w:val="BodyText"/>
      </w:pPr>
      <w:r w:rsidRPr="009929A1">
        <w:t xml:space="preserve">Students who participated in mock exams or study sessions were significantly more likely to pass AP courses and exams compared to similar peers who did not participate. These supports, though </w:t>
      </w:r>
      <w:proofErr w:type="gramStart"/>
      <w:r w:rsidRPr="009929A1">
        <w:t>brief in duration</w:t>
      </w:r>
      <w:proofErr w:type="gramEnd"/>
      <w:r w:rsidRPr="009929A1">
        <w:t>, appear to have a meaningful impact on student outcomes.</w:t>
      </w:r>
      <w:r w:rsidR="007449E2" w:rsidRPr="007449E2">
        <w:t xml:space="preserve"> </w:t>
      </w:r>
      <w:r w:rsidR="007449E2">
        <w:t>At the same time, descriptive statistics show</w:t>
      </w:r>
      <w:r w:rsidR="00BD2BA2">
        <w:t>ed</w:t>
      </w:r>
      <w:r w:rsidR="007449E2">
        <w:t xml:space="preserve"> that participation in </w:t>
      </w:r>
      <w:r w:rsidR="003B3B9D">
        <w:t xml:space="preserve">these supports and performance in AP courses and AP exams </w:t>
      </w:r>
      <w:r w:rsidR="007449E2">
        <w:t xml:space="preserve">among student groups designated as high needs by DESE (i.e. students with disabilities, English learners, and low-income students) </w:t>
      </w:r>
      <w:r w:rsidR="00BD3FF5">
        <w:t>and</w:t>
      </w:r>
      <w:r w:rsidR="00FA7D51">
        <w:t xml:space="preserve"> among students who are African American/Black or Hispanic/Latino </w:t>
      </w:r>
      <w:r w:rsidR="007449E2">
        <w:t>are lower than among students who do not belong to these student groups.</w:t>
      </w:r>
    </w:p>
    <w:p w14:paraId="4EA5B3FB" w14:textId="77777777" w:rsidR="009929A1" w:rsidRPr="009929A1" w:rsidRDefault="009929A1" w:rsidP="00940207">
      <w:pPr>
        <w:pStyle w:val="BodyText"/>
      </w:pPr>
    </w:p>
    <w:p w14:paraId="6B5C3B04" w14:textId="1806F147" w:rsidR="00013EFB" w:rsidRPr="00254F51" w:rsidRDefault="009929A1" w:rsidP="00B75FB9">
      <w:pPr>
        <w:spacing w:after="160" w:line="320" w:lineRule="atLeast"/>
        <w:contextualSpacing/>
      </w:pPr>
      <w:r w:rsidRPr="009929A1">
        <w:t xml:space="preserve">Quasi-experimental models revealed statistically significant differences, with consistent 20–30 percentage point gaps in AP course performance and exam participation between participating and non-participating students. The high odds ratios observed suggest strong associations, though they also </w:t>
      </w:r>
      <w:r>
        <w:t>suggest that</w:t>
      </w:r>
      <w:r w:rsidR="00485025">
        <w:t xml:space="preserve"> the</w:t>
      </w:r>
      <w:r>
        <w:t xml:space="preserve"> </w:t>
      </w:r>
      <w:r w:rsidRPr="009929A1">
        <w:t>limits of the modeling approach</w:t>
      </w:r>
      <w:r w:rsidR="00C7653B">
        <w:t xml:space="preserve"> were challenged</w:t>
      </w:r>
      <w:r w:rsidRPr="009929A1">
        <w:t xml:space="preserve">. </w:t>
      </w:r>
      <w:r w:rsidR="00C7653B">
        <w:t>Additionally, t</w:t>
      </w:r>
      <w:r w:rsidRPr="009929A1">
        <w:t xml:space="preserve">hese results </w:t>
      </w:r>
      <w:r w:rsidR="00DC5DCE">
        <w:t>should be interpreted with caution as they</w:t>
      </w:r>
      <w:r w:rsidRPr="009929A1">
        <w:t xml:space="preserve"> may reflect self-selection bias—motivated students may be more likely to engage in supports and succeed academically.</w:t>
      </w:r>
      <w:r w:rsidR="00003182">
        <w:t xml:space="preserve"> </w:t>
      </w:r>
      <w:r w:rsidR="00574A0B">
        <w:t>To mitigate these concerns, f</w:t>
      </w:r>
      <w:r w:rsidRPr="009929A1">
        <w:t xml:space="preserve">uture research could explore </w:t>
      </w:r>
      <w:r w:rsidR="00814E44">
        <w:t xml:space="preserve">impacts of </w:t>
      </w:r>
      <w:r w:rsidR="00E32B53">
        <w:t xml:space="preserve">mock exams and study sessions </w:t>
      </w:r>
      <w:r w:rsidR="00574A0B">
        <w:t xml:space="preserve">through </w:t>
      </w:r>
      <w:r w:rsidRPr="009929A1">
        <w:t>school-level analyses</w:t>
      </w:r>
      <w:r w:rsidR="00574A0B">
        <w:t xml:space="preserve">. </w:t>
      </w:r>
      <w:r w:rsidR="00E60891">
        <w:t>We also recommend a</w:t>
      </w:r>
      <w:r w:rsidR="00574A0B">
        <w:t>dditi</w:t>
      </w:r>
      <w:r w:rsidR="006A5392">
        <w:t>onal</w:t>
      </w:r>
      <w:r w:rsidR="00574A0B">
        <w:t xml:space="preserve"> research into</w:t>
      </w:r>
      <w:r w:rsidRPr="009929A1">
        <w:t xml:space="preserve"> </w:t>
      </w:r>
      <w:r w:rsidR="00814E44">
        <w:t xml:space="preserve">differences </w:t>
      </w:r>
      <w:r w:rsidR="006A5392">
        <w:t>in participation and performance</w:t>
      </w:r>
      <w:r w:rsidR="00814E44">
        <w:t xml:space="preserve"> </w:t>
      </w:r>
      <w:r w:rsidR="006A5392">
        <w:t xml:space="preserve">by </w:t>
      </w:r>
      <w:r w:rsidR="00814E44">
        <w:t>student groups</w:t>
      </w:r>
      <w:r w:rsidR="006A5392">
        <w:t xml:space="preserve"> of interest</w:t>
      </w:r>
      <w:r w:rsidR="00E60891">
        <w:t xml:space="preserve">. </w:t>
      </w:r>
      <w:r w:rsidR="000B15E9">
        <w:t xml:space="preserve">Lastly, </w:t>
      </w:r>
      <w:r w:rsidRPr="009929A1">
        <w:t xml:space="preserve">Mi has indicated a shift from in-person to virtual study sessions. As this transition unfolds, DESE may consider conducting </w:t>
      </w:r>
      <w:r w:rsidR="000C4B98">
        <w:t xml:space="preserve">additional </w:t>
      </w:r>
      <w:r w:rsidRPr="009929A1">
        <w:t xml:space="preserve">analyses to assess the impact of </w:t>
      </w:r>
      <w:r w:rsidR="000C4B98">
        <w:t xml:space="preserve">these </w:t>
      </w:r>
      <w:r w:rsidRPr="009929A1">
        <w:t>virtual supports on student outcomes.</w:t>
      </w:r>
    </w:p>
    <w:sectPr w:rsidR="00013EFB" w:rsidRPr="00254F51" w:rsidSect="003D01A2">
      <w:pgSz w:w="12240" w:h="15840" w:code="1"/>
      <w:pgMar w:top="1987" w:right="1440" w:bottom="1980" w:left="1440" w:header="1267" w:footer="126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9EB9E4" w14:textId="77777777" w:rsidR="00872B59" w:rsidRPr="00344AD9" w:rsidRDefault="00872B59" w:rsidP="00344AD9">
      <w:pPr>
        <w:spacing w:after="0" w:line="240" w:lineRule="auto"/>
        <w:rPr>
          <w:sz w:val="12"/>
          <w:szCs w:val="12"/>
        </w:rPr>
      </w:pPr>
    </w:p>
  </w:endnote>
  <w:endnote w:type="continuationSeparator" w:id="0">
    <w:p w14:paraId="7AE4A857" w14:textId="77777777" w:rsidR="00872B59" w:rsidRPr="00344AD9" w:rsidRDefault="00872B59" w:rsidP="00344AD9">
      <w:pPr>
        <w:spacing w:after="0" w:line="240" w:lineRule="auto"/>
        <w:rPr>
          <w:sz w:val="12"/>
          <w:szCs w:val="12"/>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Open Sans">
    <w:charset w:val="00"/>
    <w:family w:val="swiss"/>
    <w:pitch w:val="variable"/>
    <w:sig w:usb0="E00002EF" w:usb1="4000205B" w:usb2="00000028"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Open Sans SemiBold">
    <w:altName w:val="Segoe UI"/>
    <w:charset w:val="00"/>
    <w:family w:val="swiss"/>
    <w:pitch w:val="variable"/>
    <w:sig w:usb0="E00002EF" w:usb1="4000205B" w:usb2="00000028" w:usb3="00000000" w:csb0="0000019F" w:csb1="00000000"/>
  </w:font>
  <w:font w:name="SimHei">
    <w:altName w:val="黑体"/>
    <w:panose1 w:val="02010609060101010101"/>
    <w:charset w:val="86"/>
    <w:family w:val="modern"/>
    <w:pitch w:val="fixed"/>
    <w:sig w:usb0="800002BF" w:usb1="38CF7CFA" w:usb2="00000016" w:usb3="00000000" w:csb0="00040001" w:csb1="00000000"/>
  </w:font>
  <w:font w:name="Times New Roman (Headings CS)">
    <w:altName w:val="Times New Roman"/>
    <w:charset w:val="00"/>
    <w:family w:val="roman"/>
    <w:pitch w:val="default"/>
  </w:font>
  <w:font w:name="Times New Roman (Body CS)">
    <w:altName w:val="Times New Roman"/>
    <w:panose1 w:val="00000000000000000000"/>
    <w:charset w:val="00"/>
    <w:family w:val="roman"/>
    <w:notTrueType/>
    <w:pitch w:val="default"/>
  </w:font>
  <w:font w:name="Minion Pro">
    <w:charset w:val="00"/>
    <w:family w:val="roman"/>
    <w:pitch w:val="variable"/>
    <w:sig w:usb0="60000287" w:usb1="00000001"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2B2994" w14:textId="77777777" w:rsidR="0009785E" w:rsidRDefault="00D2366B" w:rsidP="009D04D8">
    <w:pPr>
      <w:pStyle w:val="Footer"/>
    </w:pPr>
    <w:r>
      <w:rPr>
        <w:noProof/>
      </w:rPr>
      <w:drawing>
        <wp:inline distT="0" distB="0" distL="0" distR="0" wp14:anchorId="0BAE1588" wp14:editId="6807F005">
          <wp:extent cx="2552700" cy="713720"/>
          <wp:effectExtent l="0" t="0" r="0" b="0"/>
          <wp:docPr id="1532925967" name="Picture 1532925967" descr="UMass Amherst Logo and text, &quot;Donahue Institute Applied Research and Program Evaluatio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UMass Amherst Logo and text, &quot;Donahue Institute Applied Research and Program Evaluation.&quot;"/>
                  <pic:cNvPicPr/>
                </pic:nvPicPr>
                <pic:blipFill>
                  <a:blip r:embed="rId1">
                    <a:extLst>
                      <a:ext uri="{28A0092B-C50C-407E-A947-70E740481C1C}">
                        <a14:useLocalDpi xmlns:a14="http://schemas.microsoft.com/office/drawing/2010/main" val="0"/>
                      </a:ext>
                    </a:extLst>
                  </a:blip>
                  <a:stretch>
                    <a:fillRect/>
                  </a:stretch>
                </pic:blipFill>
                <pic:spPr>
                  <a:xfrm>
                    <a:off x="0" y="0"/>
                    <a:ext cx="2565240" cy="717226"/>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BE5CEF" w14:textId="77777777" w:rsidR="00077584" w:rsidRPr="009D04D8" w:rsidRDefault="00077584" w:rsidP="009D04D8">
    <w:pPr>
      <w:pStyle w:val="Footer"/>
    </w:pPr>
    <w:r w:rsidRPr="009D04D8">
      <w:t>UMass Donahue Institute applied research and program evaluation</w:t>
    </w:r>
    <w:r w:rsidRPr="009D04D8">
      <w:tab/>
    </w:r>
    <w:r w:rsidRPr="009D04D8">
      <w:fldChar w:fldCharType="begin"/>
    </w:r>
    <w:r w:rsidRPr="009D04D8">
      <w:instrText xml:space="preserve"> PAGE  \* Arabic  \* MERGEFORMAT </w:instrText>
    </w:r>
    <w:r w:rsidRPr="009D04D8">
      <w:fldChar w:fldCharType="separate"/>
    </w:r>
    <w:r w:rsidRPr="009D04D8">
      <w:rPr>
        <w:noProof/>
      </w:rPr>
      <w:t>3</w:t>
    </w:r>
    <w:r w:rsidRPr="009D04D8">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555F37" w14:textId="77777777" w:rsidR="0009785E" w:rsidRPr="0034129E" w:rsidRDefault="00A40478" w:rsidP="009D04D8">
    <w:pPr>
      <w:pStyle w:val="Footer"/>
    </w:pPr>
    <w:r w:rsidRPr="0034129E">
      <w:t xml:space="preserve">UMass Donahue Institute </w:t>
    </w:r>
    <w:r w:rsidR="00D2366B">
      <w:t>applied research and program evaluation</w:t>
    </w:r>
    <w:r w:rsidR="006B5054">
      <w:tab/>
    </w:r>
    <w:r w:rsidR="0009785E" w:rsidRPr="0034129E">
      <w:fldChar w:fldCharType="begin"/>
    </w:r>
    <w:r w:rsidR="0009785E" w:rsidRPr="0034129E">
      <w:instrText xml:space="preserve"> PAGE   \* MERGEFORMAT </w:instrText>
    </w:r>
    <w:r w:rsidR="0009785E" w:rsidRPr="0034129E">
      <w:fldChar w:fldCharType="separate"/>
    </w:r>
    <w:r w:rsidR="00603E40" w:rsidRPr="0034129E">
      <w:t>13</w:t>
    </w:r>
    <w:r w:rsidR="0009785E" w:rsidRPr="0034129E">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1322A8" w14:textId="77777777" w:rsidR="00872B59" w:rsidRDefault="00872B59" w:rsidP="000B760C">
      <w:pPr>
        <w:pBdr>
          <w:bottom w:val="single" w:sz="4" w:space="1" w:color="999B9E"/>
        </w:pBdr>
        <w:spacing w:after="80" w:line="240" w:lineRule="auto"/>
      </w:pPr>
      <w:bookmarkStart w:id="0" w:name="_Hlk479277692"/>
      <w:bookmarkEnd w:id="0"/>
    </w:p>
  </w:footnote>
  <w:footnote w:type="continuationSeparator" w:id="0">
    <w:p w14:paraId="33AF6E7A" w14:textId="77777777" w:rsidR="00872B59" w:rsidRDefault="00872B59" w:rsidP="000B760C">
      <w:pPr>
        <w:pBdr>
          <w:bottom w:val="single" w:sz="4" w:space="1" w:color="999B9E"/>
        </w:pBdr>
        <w:spacing w:after="80" w:line="240" w:lineRule="auto"/>
      </w:pPr>
    </w:p>
  </w:footnote>
  <w:footnote w:id="1">
    <w:p w14:paraId="759ED0A3" w14:textId="70ACDDE3" w:rsidR="006D23CE" w:rsidRDefault="006D23CE">
      <w:pPr>
        <w:pStyle w:val="FootnoteText"/>
      </w:pPr>
      <w:r>
        <w:rPr>
          <w:rStyle w:val="FootnoteReference"/>
        </w:rPr>
        <w:footnoteRef/>
      </w:r>
      <w:r>
        <w:t xml:space="preserve"> </w:t>
      </w:r>
      <w:r w:rsidRPr="006D23CE">
        <w:t>https://www.doe.mass.edu/infoservices/data/sims/sims-datahandbook.docx</w:t>
      </w:r>
    </w:p>
  </w:footnote>
  <w:footnote w:id="2">
    <w:p w14:paraId="5CE760AD" w14:textId="12315034" w:rsidR="00F45DA6" w:rsidRDefault="00F45DA6">
      <w:pPr>
        <w:pStyle w:val="FootnoteText"/>
      </w:pPr>
      <w:r>
        <w:rPr>
          <w:rStyle w:val="FootnoteReference"/>
        </w:rPr>
        <w:footnoteRef/>
      </w:r>
      <w:r>
        <w:t xml:space="preserve"> S</w:t>
      </w:r>
      <w:r w:rsidR="00BB2E84">
        <w:t>aturday s</w:t>
      </w:r>
      <w:r>
        <w:t>tudy sessions are referred</w:t>
      </w:r>
      <w:r w:rsidR="008866A3">
        <w:t xml:space="preserve"> to</w:t>
      </w:r>
      <w:r>
        <w:t xml:space="preserve"> throughout this report as “study session</w:t>
      </w:r>
      <w:r w:rsidR="00653E02">
        <w:t>s.”</w:t>
      </w:r>
    </w:p>
  </w:footnote>
  <w:footnote w:id="3">
    <w:p w14:paraId="7968B849" w14:textId="0A2DE876" w:rsidR="00073B6A" w:rsidRDefault="00787406">
      <w:pPr>
        <w:pStyle w:val="FootnoteText"/>
      </w:pPr>
      <w:r>
        <w:rPr>
          <w:rStyle w:val="FootnoteReference"/>
        </w:rPr>
        <w:footnoteRef/>
      </w:r>
      <w:r>
        <w:t xml:space="preserve"> High needs students also include students who are former English learners (FEL). This report does not include an analysis of students who are FEL.</w:t>
      </w:r>
    </w:p>
  </w:footnote>
  <w:footnote w:id="4">
    <w:p w14:paraId="1766DE50" w14:textId="3E8A4193" w:rsidR="00EB7C5E" w:rsidRDefault="00EB7C5E">
      <w:pPr>
        <w:pStyle w:val="FootnoteText"/>
      </w:pPr>
      <w:r>
        <w:rPr>
          <w:rStyle w:val="FootnoteReference"/>
        </w:rPr>
        <w:footnoteRef/>
      </w:r>
      <w:r>
        <w:t xml:space="preserve"> High needs students also include students who are former English learners (FEL). This report does not include an analysis of students who are FEL.</w:t>
      </w:r>
    </w:p>
  </w:footnote>
  <w:footnote w:id="5">
    <w:p w14:paraId="3C99826B" w14:textId="77777777" w:rsidR="00F2779E" w:rsidRDefault="00F2779E" w:rsidP="00F2779E">
      <w:pPr>
        <w:pStyle w:val="FootnoteText"/>
        <w:spacing w:before="120"/>
        <w:ind w:left="0" w:firstLine="0"/>
      </w:pPr>
      <w:r>
        <w:rPr>
          <w:rStyle w:val="FootnoteReference"/>
        </w:rPr>
        <w:footnoteRef/>
      </w:r>
      <w:r>
        <w:t xml:space="preserve"> </w:t>
      </w:r>
      <w:r>
        <w:rPr>
          <w:noProof/>
        </w:rPr>
        <w:t>Increasing participation and performance in English Language Arts (ELA) AP courses and AP exams is not a stated goal of the project. However, increasing participation and performance in ELA AP courses and exams is frequently reflected as a goal of the program in practice.</w:t>
      </w:r>
    </w:p>
  </w:footnote>
  <w:footnote w:id="6">
    <w:p w14:paraId="40ECCA88" w14:textId="2AD19774" w:rsidR="008E15D3" w:rsidRDefault="008E15D3" w:rsidP="008E15D3">
      <w:pPr>
        <w:pStyle w:val="FootnoteText"/>
      </w:pPr>
      <w:r>
        <w:rPr>
          <w:rStyle w:val="FootnoteReference"/>
        </w:rPr>
        <w:footnoteRef/>
      </w:r>
      <w:r>
        <w:t xml:space="preserve"> Core status schools are schools </w:t>
      </w:r>
      <w:r w:rsidR="00916AE1">
        <w:t xml:space="preserve">that are in their first three years of </w:t>
      </w:r>
      <w:r w:rsidR="00091068">
        <w:t>teacher training for the AP STEM and English program.</w:t>
      </w:r>
    </w:p>
  </w:footnote>
  <w:footnote w:id="7">
    <w:p w14:paraId="76168FEF" w14:textId="2D501A2F" w:rsidR="008E15D3" w:rsidRDefault="008E15D3">
      <w:pPr>
        <w:pStyle w:val="FootnoteText"/>
      </w:pPr>
      <w:r>
        <w:rPr>
          <w:rStyle w:val="FootnoteReference"/>
        </w:rPr>
        <w:footnoteRef/>
      </w:r>
      <w:r>
        <w:t xml:space="preserve"> S</w:t>
      </w:r>
      <w:r w:rsidR="00D338DA">
        <w:t>ustaining partner status</w:t>
      </w:r>
      <w:r w:rsidR="00300DA2">
        <w:t xml:space="preserve"> or SPP</w:t>
      </w:r>
      <w:r w:rsidR="00D338DA">
        <w:t xml:space="preserve"> </w:t>
      </w:r>
      <w:r>
        <w:t xml:space="preserve">schools are schools </w:t>
      </w:r>
      <w:r w:rsidR="00091068">
        <w:t xml:space="preserve">that have completed three years of Core status and remain engaged with Mi through the AP STEM and English program through </w:t>
      </w:r>
      <w:r w:rsidR="00C32A13">
        <w:t xml:space="preserve">other supports and services. </w:t>
      </w:r>
    </w:p>
  </w:footnote>
  <w:footnote w:id="8">
    <w:p w14:paraId="038CD4E4" w14:textId="2D2F1F62" w:rsidR="002D24EE" w:rsidRPr="00563EFD" w:rsidRDefault="002D24EE" w:rsidP="00A34A3D">
      <w:pPr>
        <w:pStyle w:val="ListBullet"/>
        <w:numPr>
          <w:ilvl w:val="0"/>
          <w:numId w:val="0"/>
        </w:numPr>
        <w:spacing w:line="216" w:lineRule="exact"/>
        <w:ind w:left="360" w:hanging="360"/>
        <w:rPr>
          <w:sz w:val="18"/>
          <w:szCs w:val="20"/>
        </w:rPr>
      </w:pPr>
      <w:r w:rsidRPr="00563EFD">
        <w:rPr>
          <w:rStyle w:val="FootnoteReference"/>
          <w:sz w:val="18"/>
          <w:szCs w:val="20"/>
        </w:rPr>
        <w:footnoteRef/>
      </w:r>
      <w:r w:rsidRPr="00563EFD">
        <w:rPr>
          <w:sz w:val="18"/>
          <w:szCs w:val="20"/>
        </w:rPr>
        <w:t xml:space="preserve"> The odds ratio of participant students to non-participating students—for the relevant school year—of students passing AP courses, taking AP exams, and passing AP exams, for AP content areas is provided in Appendix </w:t>
      </w:r>
      <w:r w:rsidR="00EE177E">
        <w:rPr>
          <w:sz w:val="18"/>
          <w:szCs w:val="20"/>
        </w:rPr>
        <w:t xml:space="preserve">O </w:t>
      </w:r>
      <w:r w:rsidRPr="00563EFD">
        <w:rPr>
          <w:sz w:val="18"/>
          <w:szCs w:val="20"/>
        </w:rPr>
        <w:t xml:space="preserve">and further </w:t>
      </w:r>
      <w:r w:rsidR="00C344D1" w:rsidRPr="00563EFD">
        <w:rPr>
          <w:sz w:val="18"/>
          <w:szCs w:val="20"/>
        </w:rPr>
        <w:t>explained in the Results section.</w:t>
      </w:r>
    </w:p>
    <w:p w14:paraId="0D3460A4" w14:textId="4CCFDE42" w:rsidR="002D24EE" w:rsidRDefault="002D24EE">
      <w:pPr>
        <w:pStyle w:val="FootnoteText"/>
      </w:pPr>
    </w:p>
  </w:footnote>
  <w:footnote w:id="9">
    <w:p w14:paraId="1257F5AC" w14:textId="5E99B9AC" w:rsidR="00FC6EE5" w:rsidRDefault="00FC6EE5">
      <w:pPr>
        <w:pStyle w:val="FootnoteText"/>
      </w:pPr>
      <w:r>
        <w:rPr>
          <w:rStyle w:val="FootnoteReference"/>
        </w:rPr>
        <w:footnoteRef/>
      </w:r>
      <w:r>
        <w:t xml:space="preserve"> </w:t>
      </w:r>
      <w:r w:rsidR="00FC76A6">
        <w:t xml:space="preserve">Surveys were initially intended to link respondent answers across the July and November surveys, however, low rates of survey responses </w:t>
      </w:r>
      <w:proofErr w:type="gramStart"/>
      <w:r w:rsidR="00486627">
        <w:t>has</w:t>
      </w:r>
      <w:proofErr w:type="gramEnd"/>
      <w:r w:rsidR="00486627">
        <w:t xml:space="preserve"> limited our analysis to descriptive insights only.</w:t>
      </w:r>
    </w:p>
  </w:footnote>
  <w:footnote w:id="10">
    <w:p w14:paraId="65D7519A" w14:textId="77777777" w:rsidR="00EC52D0" w:rsidRDefault="00C34CF8" w:rsidP="00EC52D0">
      <w:pPr>
        <w:pStyle w:val="FootnoteText"/>
      </w:pPr>
      <w:r>
        <w:rPr>
          <w:rStyle w:val="FootnoteReference"/>
        </w:rPr>
        <w:footnoteRef/>
      </w:r>
      <w:r>
        <w:t xml:space="preserve"> Mi provided </w:t>
      </w:r>
      <w:r w:rsidR="00113E49">
        <w:t xml:space="preserve">DESE and </w:t>
      </w:r>
      <w:r>
        <w:t>UMDI a list of 12</w:t>
      </w:r>
      <w:r w:rsidR="00E41646">
        <w:t>1</w:t>
      </w:r>
      <w:r>
        <w:t xml:space="preserve"> registered participants; 4 participants were assigned to an AP African American Studies APSI</w:t>
      </w:r>
      <w:r w:rsidR="00EC52D0">
        <w:t>, which was excluded from analysis</w:t>
      </w:r>
      <w:r w:rsidR="00E91976">
        <w:t>, and</w:t>
      </w:r>
      <w:r w:rsidR="00032E52">
        <w:t xml:space="preserve"> </w:t>
      </w:r>
      <w:r w:rsidR="00B93F21">
        <w:t>two</w:t>
      </w:r>
      <w:r w:rsidR="00032E52">
        <w:t xml:space="preserve"> registrant</w:t>
      </w:r>
      <w:r w:rsidR="00B93F21">
        <w:t>s</w:t>
      </w:r>
      <w:r w:rsidR="00032E52">
        <w:t xml:space="preserve"> notified UMDI during the data collection phase that they did not attend the APSI. </w:t>
      </w:r>
    </w:p>
  </w:footnote>
  <w:footnote w:id="11">
    <w:p w14:paraId="6F2E74ED" w14:textId="0EBAF310" w:rsidR="001D028C" w:rsidRDefault="001D028C">
      <w:pPr>
        <w:pStyle w:val="FootnoteText"/>
      </w:pPr>
      <w:r>
        <w:rPr>
          <w:rStyle w:val="FootnoteReference"/>
        </w:rPr>
        <w:footnoteRef/>
      </w:r>
      <w:r>
        <w:t xml:space="preserve"> Race/ethnicity is separately analyzed from additional student groups of interest throughout the results </w:t>
      </w:r>
      <w:r w:rsidR="00073170">
        <w:t xml:space="preserve">section </w:t>
      </w:r>
      <w:r>
        <w:t xml:space="preserve">of this report </w:t>
      </w:r>
      <w:r w:rsidR="005B63BE">
        <w:t>for organizational reasons and to provide simplified figures.</w:t>
      </w:r>
    </w:p>
  </w:footnote>
  <w:footnote w:id="12">
    <w:p w14:paraId="4C587283" w14:textId="6B0D1EB4" w:rsidR="00710D08" w:rsidRDefault="00710D08">
      <w:pPr>
        <w:pStyle w:val="FootnoteText"/>
      </w:pPr>
      <w:r>
        <w:rPr>
          <w:rStyle w:val="FootnoteReference"/>
        </w:rPr>
        <w:footnoteRef/>
      </w:r>
      <w:r>
        <w:t xml:space="preserve"> </w:t>
      </w:r>
      <w:r w:rsidR="009739BE">
        <w:t>Percentages and n</w:t>
      </w:r>
      <w:r w:rsidR="00782973">
        <w:t>-</w:t>
      </w:r>
      <w:r w:rsidR="009739BE">
        <w:t>counts</w:t>
      </w:r>
      <w:r>
        <w:t xml:space="preserve"> </w:t>
      </w:r>
      <w:r w:rsidR="009739BE">
        <w:t xml:space="preserve">throughout this report are </w:t>
      </w:r>
      <w:r w:rsidR="006E57A0">
        <w:t>formatted</w:t>
      </w:r>
      <w:r w:rsidR="009739BE">
        <w:t xml:space="preserve"> by </w:t>
      </w:r>
      <w:r w:rsidR="00AB3E8F">
        <w:t xml:space="preserve">school year as </w:t>
      </w:r>
      <w:r w:rsidR="00457583">
        <w:t>“</w:t>
      </w:r>
      <w:r w:rsidR="00AB3E8F">
        <w:t>SY202</w:t>
      </w:r>
      <w:r w:rsidR="006E57A0">
        <w:t>3 results</w:t>
      </w:r>
      <w:r w:rsidR="00AB3E8F">
        <w:t xml:space="preserve"> / SY2024</w:t>
      </w:r>
      <w:r w:rsidR="006E57A0">
        <w:t xml:space="preserve"> results</w:t>
      </w:r>
      <w:r w:rsidR="00457583">
        <w:t>”</w:t>
      </w:r>
      <w:r w:rsidR="00207C54">
        <w:t xml:space="preserve"> to better facilitate comparisons across years.</w:t>
      </w:r>
    </w:p>
  </w:footnote>
  <w:footnote w:id="13">
    <w:p w14:paraId="20501C2B" w14:textId="77777777" w:rsidR="00490A50" w:rsidRDefault="00490A50" w:rsidP="00490A50">
      <w:pPr>
        <w:pStyle w:val="FootnoteText"/>
      </w:pPr>
      <w:r>
        <w:rPr>
          <w:rStyle w:val="FootnoteReference"/>
        </w:rPr>
        <w:footnoteRef/>
      </w:r>
      <w:r>
        <w:t xml:space="preserve"> The number of students who were American Indian / Alaskan Native or Native Hawaiian / Pacific Islander were too few to include in this report.</w:t>
      </w:r>
    </w:p>
  </w:footnote>
  <w:footnote w:id="14">
    <w:p w14:paraId="38BEED60" w14:textId="62F1D331" w:rsidR="00AE32E5" w:rsidRDefault="00AE32E5">
      <w:pPr>
        <w:pStyle w:val="FootnoteText"/>
      </w:pPr>
      <w:r>
        <w:rPr>
          <w:rStyle w:val="FootnoteReference"/>
        </w:rPr>
        <w:footnoteRef/>
      </w:r>
      <w:r>
        <w:t xml:space="preserve"> Statewide data on AP STEM and English course takers was generated utilizing SIMS and SCS data for SY2023</w:t>
      </w:r>
      <w:r w:rsidR="007E220D">
        <w:t xml:space="preserve"> and SY2024</w:t>
      </w:r>
      <w:r>
        <w:t>.</w:t>
      </w:r>
    </w:p>
  </w:footnote>
  <w:footnote w:id="15">
    <w:p w14:paraId="1A64F222" w14:textId="03D3B465" w:rsidR="007E220D" w:rsidRDefault="007E220D">
      <w:pPr>
        <w:pStyle w:val="FootnoteText"/>
      </w:pPr>
      <w:r>
        <w:rPr>
          <w:rStyle w:val="FootnoteReference"/>
        </w:rPr>
        <w:footnoteRef/>
      </w:r>
      <w:r>
        <w:t xml:space="preserve"> </w:t>
      </w:r>
      <w:r w:rsidR="00BD5D56">
        <w:t xml:space="preserve">A comparison was also conducted of SY2024 data and is available in </w:t>
      </w:r>
      <w:r w:rsidR="00BD5D56" w:rsidRPr="00560569">
        <w:t xml:space="preserve">Appendix </w:t>
      </w:r>
      <w:r w:rsidR="00C37C7B">
        <w:t>I</w:t>
      </w:r>
      <w:r w:rsidR="00BD5D56">
        <w:t>.</w:t>
      </w:r>
    </w:p>
  </w:footnote>
  <w:footnote w:id="16">
    <w:p w14:paraId="5EE409A7" w14:textId="6BBC3D3D" w:rsidR="00B34862" w:rsidRDefault="00B34862" w:rsidP="00A34A3D">
      <w:pPr>
        <w:pStyle w:val="BodyText"/>
        <w:spacing w:line="216" w:lineRule="exact"/>
        <w:ind w:left="274" w:hanging="274"/>
        <w:contextualSpacing w:val="0"/>
      </w:pPr>
      <w:r>
        <w:rPr>
          <w:rStyle w:val="FootnoteReference"/>
        </w:rPr>
        <w:footnoteRef/>
      </w:r>
      <w:r>
        <w:t xml:space="preserve"> </w:t>
      </w:r>
      <w:r w:rsidRPr="00497CFE">
        <w:rPr>
          <w:sz w:val="18"/>
          <w:szCs w:val="20"/>
        </w:rPr>
        <w:t>UMDI also analyzed race/ethnicity among AP STEM and English program course takers, grade 9–12 students at all AP STEM and English program participating schools, and Statewide grades 9–12</w:t>
      </w:r>
      <w:r w:rsidR="00BD4B58">
        <w:rPr>
          <w:sz w:val="18"/>
          <w:szCs w:val="20"/>
        </w:rPr>
        <w:t xml:space="preserve"> for both SY2023 and SY2024</w:t>
      </w:r>
      <w:r w:rsidRPr="00497CFE">
        <w:rPr>
          <w:sz w:val="18"/>
          <w:szCs w:val="20"/>
        </w:rPr>
        <w:t xml:space="preserve">. This information is provided in Appendix </w:t>
      </w:r>
      <w:r w:rsidR="00C37C7B">
        <w:rPr>
          <w:sz w:val="18"/>
          <w:szCs w:val="20"/>
        </w:rPr>
        <w:t>J</w:t>
      </w:r>
      <w:r w:rsidRPr="00497CFE">
        <w:rPr>
          <w:sz w:val="18"/>
          <w:szCs w:val="20"/>
        </w:rPr>
        <w:t>.</w:t>
      </w:r>
    </w:p>
  </w:footnote>
  <w:footnote w:id="17">
    <w:p w14:paraId="3C5551D9" w14:textId="77777777" w:rsidR="00490A50" w:rsidRDefault="00490A50" w:rsidP="00490A50">
      <w:pPr>
        <w:pStyle w:val="FootnoteText"/>
      </w:pPr>
      <w:r>
        <w:rPr>
          <w:rStyle w:val="FootnoteReference"/>
        </w:rPr>
        <w:footnoteRef/>
      </w:r>
      <w:r>
        <w:t xml:space="preserve"> A small number of students were nonbinary.</w:t>
      </w:r>
    </w:p>
  </w:footnote>
  <w:footnote w:id="18">
    <w:p w14:paraId="3031BC76" w14:textId="77777777" w:rsidR="00490A50" w:rsidRDefault="00490A50" w:rsidP="00490A50">
      <w:pPr>
        <w:pStyle w:val="FootnoteText"/>
      </w:pPr>
      <w:r>
        <w:rPr>
          <w:rStyle w:val="FootnoteReference"/>
        </w:rPr>
        <w:footnoteRef/>
      </w:r>
      <w:r>
        <w:t xml:space="preserve"> A very small number of students were in the 9</w:t>
      </w:r>
      <w:r w:rsidRPr="00887FB1">
        <w:rPr>
          <w:vertAlign w:val="superscript"/>
        </w:rPr>
        <w:t>th</w:t>
      </w:r>
      <w:r>
        <w:t xml:space="preserve"> grade. For descriptive and modeling purposes, these students were grouped with 10</w:t>
      </w:r>
      <w:r w:rsidRPr="00887FB1">
        <w:rPr>
          <w:vertAlign w:val="superscript"/>
        </w:rPr>
        <w:t>th</w:t>
      </w:r>
      <w:r>
        <w:t xml:space="preserve"> graders.</w:t>
      </w:r>
    </w:p>
  </w:footnote>
  <w:footnote w:id="19">
    <w:p w14:paraId="10C44802" w14:textId="71DE4DD6" w:rsidR="00177FC7" w:rsidRDefault="00177FC7">
      <w:pPr>
        <w:pStyle w:val="FootnoteText"/>
      </w:pPr>
      <w:r>
        <w:rPr>
          <w:rStyle w:val="FootnoteReference"/>
        </w:rPr>
        <w:footnoteRef/>
      </w:r>
      <w:r>
        <w:t xml:space="preserve"> Analyses of specific student groups were not subjected to significance testing.</w:t>
      </w:r>
    </w:p>
  </w:footnote>
  <w:footnote w:id="20">
    <w:p w14:paraId="6D5DD0DC" w14:textId="4C90B477" w:rsidR="00747ACE" w:rsidRDefault="00747ACE">
      <w:pPr>
        <w:pStyle w:val="FootnoteText"/>
      </w:pPr>
      <w:r>
        <w:rPr>
          <w:rStyle w:val="FootnoteReference"/>
        </w:rPr>
        <w:footnoteRef/>
      </w:r>
      <w:r>
        <w:t xml:space="preserve"> Note that an additional outcome, AP exam passing, is discussed in Key Finding 3. AP exam passing is discussed separately because results for AP exam passing are meaningfully different from results </w:t>
      </w:r>
      <w:r w:rsidR="005500E7">
        <w:t>for AP course passing and AP exam taking.</w:t>
      </w:r>
    </w:p>
  </w:footnote>
  <w:footnote w:id="21">
    <w:p w14:paraId="7F1D5F53" w14:textId="1949958C" w:rsidR="00BF18D0" w:rsidRDefault="00BF18D0" w:rsidP="00BF18D0">
      <w:pPr>
        <w:pStyle w:val="FootnoteText"/>
      </w:pPr>
      <w:r>
        <w:rPr>
          <w:rStyle w:val="FootnoteReference"/>
        </w:rPr>
        <w:footnoteRef/>
      </w:r>
      <w:r>
        <w:t xml:space="preserve"> Observable variations in AP course passing and exam taking across student groups of interest </w:t>
      </w:r>
      <w:r w:rsidR="00A90B10">
        <w:t>are</w:t>
      </w:r>
      <w:r>
        <w:t xml:space="preserve"> summarized in Key Finding 4.</w:t>
      </w:r>
    </w:p>
  </w:footnote>
  <w:footnote w:id="22">
    <w:p w14:paraId="566AA047" w14:textId="00CB2A37" w:rsidR="004227E2" w:rsidRDefault="004227E2">
      <w:pPr>
        <w:pStyle w:val="FootnoteText"/>
      </w:pPr>
      <w:r>
        <w:rPr>
          <w:rStyle w:val="FootnoteReference"/>
        </w:rPr>
        <w:footnoteRef/>
      </w:r>
      <w:r>
        <w:t xml:space="preserve"> </w:t>
      </w:r>
      <w:r w:rsidRPr="00C52CDA">
        <w:t xml:space="preserve">The logistic regression models concerning AP course passing and AP exam taking resulted in very high odds ratios. This is, in part, a consequence of the fact that almost </w:t>
      </w:r>
      <w:r w:rsidR="00F73475">
        <w:t>a</w:t>
      </w:r>
      <w:r w:rsidR="00675B3D">
        <w:t>ll</w:t>
      </w:r>
      <w:r w:rsidRPr="00C52CDA">
        <w:t xml:space="preserve"> student</w:t>
      </w:r>
      <w:r w:rsidR="00675B3D">
        <w:t>s</w:t>
      </w:r>
      <w:r w:rsidRPr="00C52CDA">
        <w:t xml:space="preserve"> who participated in a mock exam or study session also passed an AP course and took AP exam. These already high odds ratios increased further after applying propensity weighting procedures, accounting for appropriate covariates, and nesting participants within schools. </w:t>
      </w:r>
      <w:r w:rsidR="002E2DE4">
        <w:t xml:space="preserve">For this reason, we have highlighted unweighted percentages in the report and have made odds ratio tables available in Appendix </w:t>
      </w:r>
      <w:r w:rsidR="00C37C7B">
        <w:t>O</w:t>
      </w:r>
      <w:r w:rsidR="002E2DE4" w:rsidRPr="00A93FDB">
        <w:t>.</w:t>
      </w:r>
    </w:p>
  </w:footnote>
  <w:footnote w:id="23">
    <w:p w14:paraId="78AB3396" w14:textId="25783702" w:rsidR="00363EBB" w:rsidRDefault="00363EBB">
      <w:pPr>
        <w:pStyle w:val="FootnoteText"/>
      </w:pPr>
      <w:r>
        <w:rPr>
          <w:rStyle w:val="FootnoteReference"/>
        </w:rPr>
        <w:footnoteRef/>
      </w:r>
      <w:r>
        <w:t xml:space="preserve"> “Any AP” is g</w:t>
      </w:r>
      <w:r w:rsidR="006805AC">
        <w:t>rayed out for visual contrast.</w:t>
      </w:r>
    </w:p>
  </w:footnote>
  <w:footnote w:id="24">
    <w:p w14:paraId="14C2A96C" w14:textId="4B81163C" w:rsidR="006805AC" w:rsidRDefault="006805AC">
      <w:pPr>
        <w:pStyle w:val="FootnoteText"/>
      </w:pPr>
      <w:r>
        <w:rPr>
          <w:rStyle w:val="FootnoteReference"/>
        </w:rPr>
        <w:footnoteRef/>
      </w:r>
      <w:r>
        <w:t xml:space="preserve"> “Any AP” is grayed out for visual contrast.</w:t>
      </w:r>
    </w:p>
  </w:footnote>
  <w:footnote w:id="25">
    <w:p w14:paraId="03986409" w14:textId="42D5336D" w:rsidR="00CC4334" w:rsidRDefault="00CC4334">
      <w:pPr>
        <w:pStyle w:val="FootnoteText"/>
      </w:pPr>
      <w:r>
        <w:rPr>
          <w:rStyle w:val="FootnoteReference"/>
        </w:rPr>
        <w:footnoteRef/>
      </w:r>
      <w:r>
        <w:t xml:space="preserve"> Observable variations in AP exam passing across student groups of interest </w:t>
      </w:r>
      <w:r w:rsidR="00A90B10">
        <w:t>are</w:t>
      </w:r>
      <w:r>
        <w:t xml:space="preserve"> </w:t>
      </w:r>
      <w:r w:rsidR="00BF18D0">
        <w:t>summarized</w:t>
      </w:r>
      <w:r w:rsidR="005C0CA9">
        <w:t xml:space="preserve"> in Key Finding 4.</w:t>
      </w:r>
    </w:p>
  </w:footnote>
  <w:footnote w:id="26">
    <w:p w14:paraId="7E704DC1" w14:textId="315000D3" w:rsidR="002617D0" w:rsidRDefault="002617D0">
      <w:pPr>
        <w:pStyle w:val="FootnoteText"/>
      </w:pPr>
      <w:r>
        <w:rPr>
          <w:rStyle w:val="FootnoteReference"/>
        </w:rPr>
        <w:footnoteRef/>
      </w:r>
      <w:r>
        <w:t xml:space="preserve"> </w:t>
      </w:r>
      <w:r w:rsidR="00F510DC" w:rsidRPr="00C52CDA">
        <w:t xml:space="preserve">The logistic regression models concerning </w:t>
      </w:r>
      <w:r w:rsidR="002C4546">
        <w:t>outcomes of interest (</w:t>
      </w:r>
      <w:r w:rsidR="003B4838">
        <w:t>AP course passing, AP exam taking, and AP exam passing</w:t>
      </w:r>
      <w:r w:rsidR="002C4546">
        <w:t>)</w:t>
      </w:r>
      <w:r w:rsidR="00F510DC" w:rsidRPr="00C52CDA">
        <w:t xml:space="preserve"> resulted </w:t>
      </w:r>
      <w:r w:rsidR="002C4546">
        <w:t xml:space="preserve">in some very high </w:t>
      </w:r>
      <w:r w:rsidR="00F510DC" w:rsidRPr="00C52CDA">
        <w:t xml:space="preserve">odds ratios. </w:t>
      </w:r>
      <w:r w:rsidR="00F510DC">
        <w:t xml:space="preserve">For this reason, </w:t>
      </w:r>
      <w:r w:rsidR="002C4546">
        <w:t xml:space="preserve">and in consultation with DESE, </w:t>
      </w:r>
      <w:r w:rsidR="00F510DC">
        <w:t xml:space="preserve">we have highlighted unweighted percentages in the report and have made odds ratio tables available in the Appendix </w:t>
      </w:r>
      <w:r w:rsidR="007E66E6">
        <w:t>O</w:t>
      </w:r>
      <w:r w:rsidR="00F510DC" w:rsidRPr="00A54E8B">
        <w:t>.</w:t>
      </w:r>
    </w:p>
  </w:footnote>
  <w:footnote w:id="27">
    <w:p w14:paraId="30A1F3DC" w14:textId="1390C395" w:rsidR="006805AC" w:rsidRDefault="006805AC">
      <w:pPr>
        <w:pStyle w:val="FootnoteText"/>
      </w:pPr>
      <w:r>
        <w:rPr>
          <w:rStyle w:val="FootnoteReference"/>
        </w:rPr>
        <w:footnoteRef/>
      </w:r>
      <w:r>
        <w:t xml:space="preserve"> “Any AP” is grayed out for visual contrast.</w:t>
      </w:r>
    </w:p>
  </w:footnote>
  <w:footnote w:id="28">
    <w:p w14:paraId="25B20F1F" w14:textId="77777777" w:rsidR="007B49DA" w:rsidRDefault="007B49DA" w:rsidP="007B49DA">
      <w:pPr>
        <w:pStyle w:val="FootnoteText"/>
      </w:pPr>
      <w:r>
        <w:rPr>
          <w:rStyle w:val="FootnoteReference"/>
        </w:rPr>
        <w:footnoteRef/>
      </w:r>
      <w:r>
        <w:t xml:space="preserve"> High needs students also include students who are former English learners (FEL). This report does not include an analysis of students who are FEL.</w:t>
      </w:r>
    </w:p>
  </w:footnote>
  <w:footnote w:id="29">
    <w:p w14:paraId="36C58FDA" w14:textId="77777777" w:rsidR="00A929B5" w:rsidRDefault="00A929B5" w:rsidP="00A929B5">
      <w:pPr>
        <w:pStyle w:val="FootnoteText"/>
      </w:pPr>
      <w:r w:rsidRPr="00912BB0">
        <w:rPr>
          <w:rStyle w:val="FootnoteReference"/>
        </w:rPr>
        <w:footnoteRef/>
      </w:r>
      <w:r w:rsidRPr="00912BB0">
        <w:t xml:space="preserve"> </w:t>
      </w:r>
      <w:r>
        <w:t xml:space="preserve">We explore this as an opportunity for future research in the “Discussion and Conclusion” section. </w:t>
      </w:r>
    </w:p>
  </w:footnote>
  <w:footnote w:id="30">
    <w:p w14:paraId="6BF8FA78" w14:textId="27565C91" w:rsidR="00917059" w:rsidRDefault="00917059">
      <w:pPr>
        <w:pStyle w:val="FootnoteText"/>
      </w:pPr>
      <w:r>
        <w:rPr>
          <w:rStyle w:val="FootnoteReference"/>
        </w:rPr>
        <w:footnoteRef/>
      </w:r>
      <w:r>
        <w:t xml:space="preserve"> Information on course passing by subject (English, math, science) </w:t>
      </w:r>
      <w:r w:rsidR="00E607C3">
        <w:t xml:space="preserve">and race/ethnicity </w:t>
      </w:r>
      <w:r w:rsidR="000B661D">
        <w:t xml:space="preserve">for SY2023 and SY2024 are </w:t>
      </w:r>
      <w:r>
        <w:t xml:space="preserve">available in Appendix </w:t>
      </w:r>
      <w:r w:rsidR="004E040E">
        <w:t>P.</w:t>
      </w:r>
    </w:p>
  </w:footnote>
  <w:footnote w:id="31">
    <w:p w14:paraId="1BD04399" w14:textId="065161C6" w:rsidR="00E82EA7" w:rsidRDefault="00E82EA7">
      <w:pPr>
        <w:pStyle w:val="FootnoteText"/>
      </w:pPr>
      <w:r>
        <w:rPr>
          <w:rStyle w:val="FootnoteReference"/>
        </w:rPr>
        <w:footnoteRef/>
      </w:r>
      <w:r>
        <w:t xml:space="preserve"> Information on exam taking by course subject (English, math, science) and race/ethnicity for SY2023 and SY2024 are available in Appendix </w:t>
      </w:r>
      <w:r w:rsidR="009C112F">
        <w:t>R.</w:t>
      </w:r>
    </w:p>
  </w:footnote>
  <w:footnote w:id="32">
    <w:p w14:paraId="7BD51802" w14:textId="77777777" w:rsidR="006E05AC" w:rsidRDefault="006E05AC" w:rsidP="006E05AC">
      <w:pPr>
        <w:pStyle w:val="FootnoteText"/>
      </w:pPr>
      <w:r>
        <w:rPr>
          <w:rStyle w:val="FootnoteReference"/>
        </w:rPr>
        <w:footnoteRef/>
      </w:r>
      <w:r>
        <w:t xml:space="preserve"> </w:t>
      </w:r>
      <w:r w:rsidRPr="00490A50">
        <w:rPr>
          <w:rStyle w:val="Strong"/>
          <w:b w:val="0"/>
          <w:bCs w:val="0"/>
        </w:rPr>
        <w:t xml:space="preserve">Figures and tables related to </w:t>
      </w:r>
      <w:r>
        <w:rPr>
          <w:rStyle w:val="Strong"/>
          <w:b w:val="0"/>
          <w:bCs w:val="0"/>
        </w:rPr>
        <w:t xml:space="preserve">exam passing </w:t>
      </w:r>
      <w:r w:rsidRPr="00490A50">
        <w:rPr>
          <w:rStyle w:val="Strong"/>
          <w:b w:val="0"/>
          <w:bCs w:val="0"/>
        </w:rPr>
        <w:t xml:space="preserve">AP ELA, math, and </w:t>
      </w:r>
      <w:r>
        <w:rPr>
          <w:rStyle w:val="Strong"/>
          <w:b w:val="0"/>
          <w:bCs w:val="0"/>
        </w:rPr>
        <w:t>science by race/ethnicity</w:t>
      </w:r>
      <w:r w:rsidRPr="00490A50">
        <w:rPr>
          <w:rStyle w:val="Strong"/>
          <w:b w:val="0"/>
          <w:bCs w:val="0"/>
        </w:rPr>
        <w:t xml:space="preserve"> can be found in </w:t>
      </w:r>
      <w:r>
        <w:rPr>
          <w:rStyle w:val="Strong"/>
          <w:b w:val="0"/>
        </w:rPr>
        <w:t>Appendix U.</w:t>
      </w:r>
    </w:p>
  </w:footnote>
  <w:footnote w:id="33">
    <w:p w14:paraId="1A46C76E" w14:textId="343EEA5B" w:rsidR="00A92FFE" w:rsidRDefault="00A92FFE">
      <w:pPr>
        <w:pStyle w:val="FootnoteText"/>
      </w:pPr>
      <w:r>
        <w:rPr>
          <w:rStyle w:val="FootnoteReference"/>
        </w:rPr>
        <w:footnoteRef/>
      </w:r>
      <w:r>
        <w:t xml:space="preserve"> Respondents were included in survey analysis if they consented to participate and answered more than one question.</w:t>
      </w:r>
    </w:p>
  </w:footnote>
  <w:footnote w:id="34">
    <w:p w14:paraId="2D9779B5" w14:textId="78DB2E8E" w:rsidR="001E3724" w:rsidRDefault="001E3724">
      <w:pPr>
        <w:pStyle w:val="FootnoteText"/>
      </w:pPr>
      <w:r>
        <w:rPr>
          <w:rStyle w:val="FootnoteReference"/>
        </w:rPr>
        <w:footnoteRef/>
      </w:r>
      <w:r>
        <w:t xml:space="preserve"> </w:t>
      </w:r>
      <w:r w:rsidR="004D5C2C">
        <w:t xml:space="preserve">Due to lower than anticipated response rates, results presented here are not intended to be generalizable. </w:t>
      </w:r>
      <w:r w:rsidR="0060742E">
        <w:t xml:space="preserve">These results are descriptive and anecdotal. </w:t>
      </w:r>
    </w:p>
  </w:footnote>
  <w:footnote w:id="35">
    <w:p w14:paraId="244125A9" w14:textId="77777777" w:rsidR="00F36AFE" w:rsidRDefault="00F36AFE" w:rsidP="00F36AFE">
      <w:pPr>
        <w:pStyle w:val="FootnoteText"/>
      </w:pPr>
      <w:r>
        <w:rPr>
          <w:rStyle w:val="FootnoteReference"/>
        </w:rPr>
        <w:footnoteRef/>
      </w:r>
      <w:r>
        <w:t xml:space="preserve"> “</w:t>
      </w:r>
      <w:r w:rsidRPr="006B53F9">
        <w:rPr>
          <w:b/>
          <w:bCs/>
        </w:rPr>
        <w:t>Progress</w:t>
      </w:r>
      <w:r>
        <w:t>” indicates when respondents indicated that either they did or did not feel well-prepared for the APSI, but that attending the APSI made them more prepared, and that they now feel well-prepared; “</w:t>
      </w:r>
      <w:r w:rsidRPr="006B53F9">
        <w:rPr>
          <w:b/>
          <w:bCs/>
        </w:rPr>
        <w:t>No progress</w:t>
      </w:r>
      <w:r>
        <w:t>” indicates respondents who either did not feel well-prepared before, during, or after the APSI, and those who felt well-prepared before attending the APSI but did not feel well-prepared at the end of the APSI; and “</w:t>
      </w:r>
      <w:r w:rsidRPr="006B53F9">
        <w:rPr>
          <w:b/>
          <w:bCs/>
        </w:rPr>
        <w:t>Already experienced</w:t>
      </w:r>
      <w:r>
        <w:t>” indicates respondents who felt well-prepared before the APSI, and that participation in the APSI did not increase their feelings of preparedness, and they still felt well-prepared at the end of the APSI.</w:t>
      </w:r>
    </w:p>
  </w:footnote>
  <w:footnote w:id="36">
    <w:p w14:paraId="159AFE34" w14:textId="2A6FC867" w:rsidR="005B5C0F" w:rsidRDefault="005B5C0F" w:rsidP="008963C2">
      <w:pPr>
        <w:pStyle w:val="FootnoteText"/>
      </w:pPr>
      <w:r>
        <w:rPr>
          <w:rStyle w:val="FootnoteReference"/>
        </w:rPr>
        <w:footnoteRef/>
      </w:r>
      <w:r>
        <w:t xml:space="preserve"> For more information on these activities and resources, please visit: </w:t>
      </w:r>
      <w:r w:rsidRPr="00BB6317">
        <w:t>https://apstudents.collegeboard.org/</w:t>
      </w:r>
    </w:p>
  </w:footnote>
  <w:footnote w:id="37">
    <w:p w14:paraId="0F31588F" w14:textId="42E7BD34" w:rsidR="004F44B2" w:rsidRDefault="004F44B2">
      <w:pPr>
        <w:pStyle w:val="FootnoteText"/>
      </w:pPr>
      <w:r>
        <w:rPr>
          <w:rStyle w:val="FootnoteReference"/>
        </w:rPr>
        <w:footnoteRef/>
      </w:r>
      <w:r>
        <w:t xml:space="preserve"> </w:t>
      </w:r>
      <w:r w:rsidRPr="004F44B2">
        <w:rPr>
          <w:iCs/>
        </w:rPr>
        <w:t>Although UMDI administered the follow-up survey to the same 115 APSI participants as the initial survey, different AP teachers completed each survey</w:t>
      </w:r>
      <w:r w:rsidRPr="004F44B2">
        <w:t>. Because UMDI was unable to survey the same teachers across both time periods, our analysis could not include a comparison of the extent to which beliefs around preparedness had changed over time.</w:t>
      </w:r>
      <w:r w:rsidRPr="004F44B2">
        <w:rPr>
          <w:iCs/>
        </w:rPr>
        <w:t xml:space="preserve"> </w:t>
      </w:r>
      <w:r w:rsidRPr="004F44B2">
        <w:t>For this reason</w:t>
      </w:r>
      <w:r w:rsidR="003729B1">
        <w:t>, we</w:t>
      </w:r>
      <w:r w:rsidRPr="004F44B2">
        <w:t xml:space="preserve"> are only able to offer descriptive insights.</w:t>
      </w:r>
    </w:p>
  </w:footnote>
  <w:footnote w:id="38">
    <w:p w14:paraId="0EE80EDE" w14:textId="790B7971" w:rsidR="006A13C4" w:rsidRDefault="006A13C4">
      <w:pPr>
        <w:pStyle w:val="FootnoteText"/>
      </w:pPr>
      <w:r>
        <w:rPr>
          <w:rStyle w:val="FootnoteReference"/>
        </w:rPr>
        <w:footnoteRef/>
      </w:r>
      <w:r>
        <w:t xml:space="preserve"> Results are therefore descriptive and not generalizable.</w:t>
      </w:r>
    </w:p>
  </w:footnote>
  <w:footnote w:id="39">
    <w:p w14:paraId="7556E169" w14:textId="59C52404" w:rsidR="00320DAF" w:rsidRDefault="00320DAF">
      <w:pPr>
        <w:pStyle w:val="FootnoteText"/>
      </w:pPr>
      <w:r>
        <w:rPr>
          <w:rStyle w:val="FootnoteReference"/>
        </w:rPr>
        <w:footnoteRef/>
      </w:r>
      <w:r>
        <w:t xml:space="preserve"> </w:t>
      </w:r>
      <w:r w:rsidR="00FB4AF3">
        <w:t>16 total respondents answered th</w:t>
      </w:r>
      <w:r w:rsidR="006B3266">
        <w:t xml:space="preserve">ese follow-up </w:t>
      </w:r>
      <w:r w:rsidR="00FB4AF3">
        <w:t xml:space="preserve">questions, from </w:t>
      </w:r>
      <w:r w:rsidR="006313C7">
        <w:t xml:space="preserve">question 3 of the November </w:t>
      </w:r>
      <w:r w:rsidR="00FB4AF3">
        <w:t>follow-up survey</w:t>
      </w:r>
      <w:r w:rsidR="00C0743E">
        <w:t xml:space="preserve">, although n counts </w:t>
      </w:r>
      <w:r w:rsidR="00253213">
        <w:t>within</w:t>
      </w:r>
      <w:r w:rsidR="00C0743E">
        <w:t xml:space="preserve"> </w:t>
      </w:r>
      <w:r w:rsidR="00253213">
        <w:t xml:space="preserve">select student identities varied </w:t>
      </w:r>
      <w:proofErr w:type="gramStart"/>
      <w:r w:rsidR="00253213">
        <w:t>as a result of</w:t>
      </w:r>
      <w:proofErr w:type="gramEnd"/>
      <w:r w:rsidR="00253213">
        <w:t xml:space="preserve"> responses captured in Table 6 (survey question 2). </w:t>
      </w:r>
      <w:r w:rsidR="006C5BC1">
        <w:t xml:space="preserve">Please see Appendix </w:t>
      </w:r>
      <w:r w:rsidR="00C37C7B">
        <w:t xml:space="preserve">G </w:t>
      </w:r>
      <w:r w:rsidR="006C5BC1">
        <w:t>for a comprehensive summary of survey results.</w:t>
      </w:r>
    </w:p>
  </w:footnote>
  <w:footnote w:id="40">
    <w:p w14:paraId="2E4B52D6" w14:textId="0EDFE991" w:rsidR="0039746D" w:rsidRDefault="0039746D">
      <w:pPr>
        <w:pStyle w:val="FootnoteText"/>
      </w:pPr>
      <w:r>
        <w:rPr>
          <w:rStyle w:val="FootnoteReference"/>
        </w:rPr>
        <w:footnoteRef/>
      </w:r>
      <w:r>
        <w:t xml:space="preserve"> Low n counts limit the generalizability of these results.</w:t>
      </w:r>
    </w:p>
  </w:footnote>
  <w:footnote w:id="41">
    <w:p w14:paraId="1FB9D157" w14:textId="41CE5CDE" w:rsidR="008056D3" w:rsidRDefault="008056D3">
      <w:pPr>
        <w:pStyle w:val="FootnoteText"/>
      </w:pPr>
      <w:r>
        <w:rPr>
          <w:rStyle w:val="FootnoteReference"/>
        </w:rPr>
        <w:footnoteRef/>
      </w:r>
      <w:r>
        <w:t xml:space="preserve"> Low n counts limit the generalizability of these results.</w:t>
      </w:r>
    </w:p>
  </w:footnote>
  <w:footnote w:id="42">
    <w:p w14:paraId="099FEAF4" w14:textId="469505ED" w:rsidR="004243EA" w:rsidRDefault="004243EA">
      <w:pPr>
        <w:pStyle w:val="FootnoteText"/>
      </w:pPr>
      <w:r>
        <w:rPr>
          <w:rStyle w:val="FootnoteReference"/>
        </w:rPr>
        <w:footnoteRef/>
      </w:r>
      <w:r>
        <w:t xml:space="preserve"> Low n counts limit the generalizability of these results.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7B3B65" w14:textId="77777777" w:rsidR="00F50302" w:rsidRPr="00BD5016" w:rsidRDefault="00F50302" w:rsidP="00F50302">
    <w:pPr>
      <w:pStyle w:val="Header"/>
      <w:rPr>
        <w:color w:val="757575" w:themeColor="background2" w:themeShade="80"/>
      </w:rPr>
    </w:pPr>
    <w:r w:rsidRPr="00BD5016">
      <w:rPr>
        <w:color w:val="757575" w:themeColor="background2" w:themeShade="80"/>
      </w:rPr>
      <w:t xml:space="preserve">AP STEM aND ENGLISH Year 13 PROGRAM EVALUATION </w:t>
    </w:r>
  </w:p>
  <w:p w14:paraId="095CB0E5" w14:textId="77777777" w:rsidR="00F50302" w:rsidRPr="004D1898" w:rsidRDefault="00F50302">
    <w:pPr>
      <w:pStyle w:val="Header"/>
      <w:rPr>
        <w:color w:val="auto"/>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633BEF" w14:textId="3055402B" w:rsidR="00CF253E" w:rsidRPr="00980EA1" w:rsidRDefault="00CF253E">
    <w:pPr>
      <w:pStyle w:val="Header"/>
      <w:rPr>
        <w:color w:val="757575" w:themeColor="background2" w:themeShade="80"/>
      </w:rPr>
    </w:pPr>
    <w:r w:rsidRPr="00980EA1">
      <w:rPr>
        <w:color w:val="757575" w:themeColor="background2" w:themeShade="80"/>
      </w:rPr>
      <w:t xml:space="preserve">AP STEM aND ENGLISH Year 13 PROGRAM EVALUATION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0"/>
    <w:multiLevelType w:val="singleLevel"/>
    <w:tmpl w:val="410A9274"/>
    <w:lvl w:ilvl="0">
      <w:start w:val="1"/>
      <w:numFmt w:val="bullet"/>
      <w:pStyle w:val="ListBullet5"/>
      <w:lvlText w:val=""/>
      <w:lvlJc w:val="left"/>
      <w:pPr>
        <w:ind w:left="1512" w:hanging="360"/>
      </w:pPr>
      <w:rPr>
        <w:rFonts w:ascii="Wingdings" w:hAnsi="Wingdings" w:hint="default"/>
        <w:color w:val="000000" w:themeColor="text1"/>
        <w:sz w:val="22"/>
      </w:rPr>
    </w:lvl>
  </w:abstractNum>
  <w:abstractNum w:abstractNumId="1" w15:restartNumberingAfterBreak="0">
    <w:nsid w:val="FFFFFF81"/>
    <w:multiLevelType w:val="singleLevel"/>
    <w:tmpl w:val="C25855C0"/>
    <w:lvl w:ilvl="0">
      <w:start w:val="1"/>
      <w:numFmt w:val="bullet"/>
      <w:pStyle w:val="ListBullet4"/>
      <w:lvlText w:val="£"/>
      <w:lvlJc w:val="left"/>
      <w:pPr>
        <w:ind w:left="1224" w:hanging="360"/>
      </w:pPr>
      <w:rPr>
        <w:rFonts w:ascii="Wingdings 2" w:hAnsi="Wingdings 2" w:hint="default"/>
        <w:b/>
        <w:i w:val="0"/>
        <w:color w:val="A6A6A6" w:themeColor="background1" w:themeShade="A6"/>
        <w:spacing w:val="0"/>
        <w:w w:val="100"/>
        <w:position w:val="0"/>
        <w:sz w:val="14"/>
        <w:u w:val="none"/>
        <w14:numSpacing w14:val="default"/>
      </w:rPr>
    </w:lvl>
  </w:abstractNum>
  <w:abstractNum w:abstractNumId="2" w15:restartNumberingAfterBreak="0">
    <w:nsid w:val="FFFFFF82"/>
    <w:multiLevelType w:val="singleLevel"/>
    <w:tmpl w:val="59CED116"/>
    <w:lvl w:ilvl="0">
      <w:start w:val="1"/>
      <w:numFmt w:val="bullet"/>
      <w:pStyle w:val="ListBullet3"/>
      <w:lvlText w:val=""/>
      <w:lvlJc w:val="left"/>
      <w:pPr>
        <w:ind w:left="936" w:hanging="360"/>
      </w:pPr>
      <w:rPr>
        <w:rFonts w:ascii="Wingdings" w:hAnsi="Wingdings" w:hint="default"/>
        <w:b/>
        <w:i w:val="0"/>
        <w:color w:val="7F7F7F" w:themeColor="text1" w:themeTint="80"/>
        <w:sz w:val="22"/>
        <w:u w:val="none"/>
      </w:rPr>
    </w:lvl>
  </w:abstractNum>
  <w:abstractNum w:abstractNumId="3" w15:restartNumberingAfterBreak="0">
    <w:nsid w:val="FFFFFF83"/>
    <w:multiLevelType w:val="singleLevel"/>
    <w:tmpl w:val="822EC110"/>
    <w:lvl w:ilvl="0">
      <w:start w:val="1"/>
      <w:numFmt w:val="bullet"/>
      <w:pStyle w:val="ListBullet2"/>
      <w:lvlText w:val="o"/>
      <w:lvlJc w:val="left"/>
      <w:pPr>
        <w:ind w:left="648" w:hanging="360"/>
      </w:pPr>
      <w:rPr>
        <w:rFonts w:ascii="Open Sans" w:hAnsi="Open Sans" w:hint="default"/>
        <w:b/>
        <w:i w:val="0"/>
        <w:color w:val="881C1C"/>
        <w:spacing w:val="0"/>
        <w:w w:val="100"/>
        <w:position w:val="0"/>
        <w:sz w:val="18"/>
        <w:u w:val="none"/>
        <w14:numSpacing w14:val="default"/>
      </w:rPr>
    </w:lvl>
  </w:abstractNum>
  <w:abstractNum w:abstractNumId="4" w15:restartNumberingAfterBreak="0">
    <w:nsid w:val="FFFFFF88"/>
    <w:multiLevelType w:val="singleLevel"/>
    <w:tmpl w:val="794E3AC6"/>
    <w:lvl w:ilvl="0">
      <w:start w:val="1"/>
      <w:numFmt w:val="decimal"/>
      <w:pStyle w:val="ListNumber"/>
      <w:lvlText w:val="%1."/>
      <w:lvlJc w:val="left"/>
      <w:pPr>
        <w:tabs>
          <w:tab w:val="num" w:pos="360"/>
        </w:tabs>
        <w:ind w:left="360" w:hanging="360"/>
      </w:pPr>
    </w:lvl>
  </w:abstractNum>
  <w:abstractNum w:abstractNumId="5" w15:restartNumberingAfterBreak="0">
    <w:nsid w:val="FFFFFF89"/>
    <w:multiLevelType w:val="singleLevel"/>
    <w:tmpl w:val="CC1CF914"/>
    <w:lvl w:ilvl="0">
      <w:start w:val="1"/>
      <w:numFmt w:val="bullet"/>
      <w:pStyle w:val="ListBullet"/>
      <w:lvlText w:val=""/>
      <w:lvlJc w:val="left"/>
      <w:pPr>
        <w:ind w:left="360" w:hanging="360"/>
      </w:pPr>
      <w:rPr>
        <w:rFonts w:ascii="Symbol" w:hAnsi="Symbol" w:hint="default"/>
        <w:b/>
        <w:i w:val="0"/>
        <w:color w:val="881C1C"/>
        <w:sz w:val="20"/>
        <w:u w:val="none"/>
      </w:rPr>
    </w:lvl>
  </w:abstractNum>
  <w:abstractNum w:abstractNumId="6" w15:restartNumberingAfterBreak="0">
    <w:nsid w:val="05AD79CD"/>
    <w:multiLevelType w:val="multilevel"/>
    <w:tmpl w:val="DF00A0D6"/>
    <w:lvl w:ilvl="0">
      <w:start w:val="2"/>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0BAF74CB"/>
    <w:multiLevelType w:val="hybridMultilevel"/>
    <w:tmpl w:val="CB9CACA8"/>
    <w:lvl w:ilvl="0" w:tplc="0409000F">
      <w:start w:val="1"/>
      <w:numFmt w:val="decimal"/>
      <w:lvlText w:val="%1."/>
      <w:lvlJc w:val="left"/>
      <w:pPr>
        <w:ind w:left="81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15:restartNumberingAfterBreak="0">
    <w:nsid w:val="0C5B3D34"/>
    <w:multiLevelType w:val="hybridMultilevel"/>
    <w:tmpl w:val="9626AC4A"/>
    <w:lvl w:ilvl="0" w:tplc="35BE1A46">
      <w:start w:val="1"/>
      <w:numFmt w:val="bullet"/>
      <w:lvlText w:val=""/>
      <w:lvlJc w:val="left"/>
      <w:pPr>
        <w:ind w:left="720" w:hanging="360"/>
      </w:pPr>
      <w:rPr>
        <w:rFonts w:ascii="Symbol" w:hAnsi="Symbol" w:hint="default"/>
        <w:color w:val="auto"/>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F887FCF"/>
    <w:multiLevelType w:val="hybridMultilevel"/>
    <w:tmpl w:val="B3F0A84E"/>
    <w:lvl w:ilvl="0" w:tplc="2F424032">
      <w:start w:val="1"/>
      <w:numFmt w:val="bullet"/>
      <w:lvlText w:val=""/>
      <w:lvlJc w:val="left"/>
      <w:pPr>
        <w:ind w:left="720" w:hanging="360"/>
      </w:pPr>
      <w:rPr>
        <w:rFonts w:ascii="Symbol" w:hAnsi="Symbol" w:hint="default"/>
        <w:color w:val="auto"/>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6F67F8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2DC9450E"/>
    <w:multiLevelType w:val="multilevel"/>
    <w:tmpl w:val="64D8234C"/>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398F5C31"/>
    <w:multiLevelType w:val="hybridMultilevel"/>
    <w:tmpl w:val="2F5083EE"/>
    <w:lvl w:ilvl="0" w:tplc="04090017">
      <w:start w:val="1"/>
      <w:numFmt w:val="lowerLett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3" w15:restartNumberingAfterBreak="0">
    <w:nsid w:val="3DDA20EC"/>
    <w:multiLevelType w:val="hybridMultilevel"/>
    <w:tmpl w:val="45C270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DEA0A6C"/>
    <w:multiLevelType w:val="hybridMultilevel"/>
    <w:tmpl w:val="D93ED96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15:restartNumberingAfterBreak="0">
    <w:nsid w:val="44953B88"/>
    <w:multiLevelType w:val="hybridMultilevel"/>
    <w:tmpl w:val="26E8D86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B7473D7"/>
    <w:multiLevelType w:val="hybridMultilevel"/>
    <w:tmpl w:val="BFF22550"/>
    <w:lvl w:ilvl="0" w:tplc="E9086A4A">
      <w:start w:val="1"/>
      <w:numFmt w:val="bullet"/>
      <w:lvlText w:val=""/>
      <w:lvlJc w:val="left"/>
      <w:pPr>
        <w:tabs>
          <w:tab w:val="num" w:pos="720"/>
        </w:tabs>
        <w:ind w:left="720" w:hanging="360"/>
      </w:pPr>
      <w:rPr>
        <w:rFonts w:ascii="Wingdings" w:hAnsi="Wingdings" w:hint="default"/>
      </w:rPr>
    </w:lvl>
    <w:lvl w:ilvl="1" w:tplc="1CB6DAB0" w:tentative="1">
      <w:start w:val="1"/>
      <w:numFmt w:val="bullet"/>
      <w:lvlText w:val=""/>
      <w:lvlJc w:val="left"/>
      <w:pPr>
        <w:tabs>
          <w:tab w:val="num" w:pos="1440"/>
        </w:tabs>
        <w:ind w:left="1440" w:hanging="360"/>
      </w:pPr>
      <w:rPr>
        <w:rFonts w:ascii="Wingdings" w:hAnsi="Wingdings" w:hint="default"/>
      </w:rPr>
    </w:lvl>
    <w:lvl w:ilvl="2" w:tplc="2BC6BF82" w:tentative="1">
      <w:start w:val="1"/>
      <w:numFmt w:val="bullet"/>
      <w:lvlText w:val=""/>
      <w:lvlJc w:val="left"/>
      <w:pPr>
        <w:tabs>
          <w:tab w:val="num" w:pos="2160"/>
        </w:tabs>
        <w:ind w:left="2160" w:hanging="360"/>
      </w:pPr>
      <w:rPr>
        <w:rFonts w:ascii="Wingdings" w:hAnsi="Wingdings" w:hint="default"/>
      </w:rPr>
    </w:lvl>
    <w:lvl w:ilvl="3" w:tplc="9304819C" w:tentative="1">
      <w:start w:val="1"/>
      <w:numFmt w:val="bullet"/>
      <w:lvlText w:val=""/>
      <w:lvlJc w:val="left"/>
      <w:pPr>
        <w:tabs>
          <w:tab w:val="num" w:pos="2880"/>
        </w:tabs>
        <w:ind w:left="2880" w:hanging="360"/>
      </w:pPr>
      <w:rPr>
        <w:rFonts w:ascii="Wingdings" w:hAnsi="Wingdings" w:hint="default"/>
      </w:rPr>
    </w:lvl>
    <w:lvl w:ilvl="4" w:tplc="B1DCE0FC" w:tentative="1">
      <w:start w:val="1"/>
      <w:numFmt w:val="bullet"/>
      <w:lvlText w:val=""/>
      <w:lvlJc w:val="left"/>
      <w:pPr>
        <w:tabs>
          <w:tab w:val="num" w:pos="3600"/>
        </w:tabs>
        <w:ind w:left="3600" w:hanging="360"/>
      </w:pPr>
      <w:rPr>
        <w:rFonts w:ascii="Wingdings" w:hAnsi="Wingdings" w:hint="default"/>
      </w:rPr>
    </w:lvl>
    <w:lvl w:ilvl="5" w:tplc="B66CD4B8" w:tentative="1">
      <w:start w:val="1"/>
      <w:numFmt w:val="bullet"/>
      <w:lvlText w:val=""/>
      <w:lvlJc w:val="left"/>
      <w:pPr>
        <w:tabs>
          <w:tab w:val="num" w:pos="4320"/>
        </w:tabs>
        <w:ind w:left="4320" w:hanging="360"/>
      </w:pPr>
      <w:rPr>
        <w:rFonts w:ascii="Wingdings" w:hAnsi="Wingdings" w:hint="default"/>
      </w:rPr>
    </w:lvl>
    <w:lvl w:ilvl="6" w:tplc="5060F2DA" w:tentative="1">
      <w:start w:val="1"/>
      <w:numFmt w:val="bullet"/>
      <w:lvlText w:val=""/>
      <w:lvlJc w:val="left"/>
      <w:pPr>
        <w:tabs>
          <w:tab w:val="num" w:pos="5040"/>
        </w:tabs>
        <w:ind w:left="5040" w:hanging="360"/>
      </w:pPr>
      <w:rPr>
        <w:rFonts w:ascii="Wingdings" w:hAnsi="Wingdings" w:hint="default"/>
      </w:rPr>
    </w:lvl>
    <w:lvl w:ilvl="7" w:tplc="240AE4F2" w:tentative="1">
      <w:start w:val="1"/>
      <w:numFmt w:val="bullet"/>
      <w:lvlText w:val=""/>
      <w:lvlJc w:val="left"/>
      <w:pPr>
        <w:tabs>
          <w:tab w:val="num" w:pos="5760"/>
        </w:tabs>
        <w:ind w:left="5760" w:hanging="360"/>
      </w:pPr>
      <w:rPr>
        <w:rFonts w:ascii="Wingdings" w:hAnsi="Wingdings" w:hint="default"/>
      </w:rPr>
    </w:lvl>
    <w:lvl w:ilvl="8" w:tplc="D7B4B3E0"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C0A6760"/>
    <w:multiLevelType w:val="hybridMultilevel"/>
    <w:tmpl w:val="21CE1E08"/>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4FCC0D9F"/>
    <w:multiLevelType w:val="hybridMultilevel"/>
    <w:tmpl w:val="2C843D8C"/>
    <w:lvl w:ilvl="0" w:tplc="FFFFFFFF">
      <w:start w:val="1"/>
      <w:numFmt w:val="decimal"/>
      <w:lvlText w:val="%1."/>
      <w:lvlJc w:val="left"/>
      <w:pPr>
        <w:ind w:left="1080" w:hanging="360"/>
      </w:pPr>
    </w:lvl>
    <w:lvl w:ilvl="1" w:tplc="FFFFFFFF">
      <w:start w:val="1"/>
      <w:numFmt w:val="decimal"/>
      <w:lvlText w:val="%2)"/>
      <w:lvlJc w:val="left"/>
      <w:pPr>
        <w:ind w:left="1800" w:hanging="360"/>
      </w:pPr>
      <w:rPr>
        <w:rFonts w:hint="default"/>
      </w:r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9" w15:restartNumberingAfterBreak="0">
    <w:nsid w:val="587E1203"/>
    <w:multiLevelType w:val="multilevel"/>
    <w:tmpl w:val="3F9A4E6E"/>
    <w:lvl w:ilvl="0">
      <w:start w:val="2"/>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77B11798"/>
    <w:multiLevelType w:val="hybridMultilevel"/>
    <w:tmpl w:val="8DCC39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C4D697E"/>
    <w:multiLevelType w:val="hybridMultilevel"/>
    <w:tmpl w:val="214224C8"/>
    <w:lvl w:ilvl="0" w:tplc="8E38883E">
      <w:start w:val="1"/>
      <w:numFmt w:val="bullet"/>
      <w:lvlText w:val=""/>
      <w:lvlJc w:val="left"/>
      <w:pPr>
        <w:ind w:left="720" w:hanging="360"/>
      </w:pPr>
      <w:rPr>
        <w:rFonts w:ascii="Symbol" w:hAnsi="Symbol" w:hint="default"/>
        <w:color w:val="auto"/>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DC968D5"/>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16cid:durableId="1913730281">
    <w:abstractNumId w:val="5"/>
  </w:num>
  <w:num w:numId="2" w16cid:durableId="724568195">
    <w:abstractNumId w:val="3"/>
  </w:num>
  <w:num w:numId="3" w16cid:durableId="488522421">
    <w:abstractNumId w:val="2"/>
  </w:num>
  <w:num w:numId="4" w16cid:durableId="654264522">
    <w:abstractNumId w:val="1"/>
  </w:num>
  <w:num w:numId="5" w16cid:durableId="2125148456">
    <w:abstractNumId w:val="0"/>
  </w:num>
  <w:num w:numId="6" w16cid:durableId="779228388">
    <w:abstractNumId w:val="4"/>
  </w:num>
  <w:num w:numId="7" w16cid:durableId="1855221951">
    <w:abstractNumId w:val="8"/>
  </w:num>
  <w:num w:numId="8" w16cid:durableId="1055816972">
    <w:abstractNumId w:val="9"/>
  </w:num>
  <w:num w:numId="9" w16cid:durableId="349067502">
    <w:abstractNumId w:val="21"/>
  </w:num>
  <w:num w:numId="10" w16cid:durableId="1674840236">
    <w:abstractNumId w:val="4"/>
  </w:num>
  <w:num w:numId="11" w16cid:durableId="738022997">
    <w:abstractNumId w:val="20"/>
  </w:num>
  <w:num w:numId="12" w16cid:durableId="1111515575">
    <w:abstractNumId w:val="4"/>
    <w:lvlOverride w:ilvl="0">
      <w:startOverride w:val="1"/>
    </w:lvlOverride>
  </w:num>
  <w:num w:numId="13" w16cid:durableId="1353072802">
    <w:abstractNumId w:val="4"/>
    <w:lvlOverride w:ilvl="0">
      <w:startOverride w:val="1"/>
    </w:lvlOverride>
  </w:num>
  <w:num w:numId="14" w16cid:durableId="1622417581">
    <w:abstractNumId w:val="4"/>
    <w:lvlOverride w:ilvl="0">
      <w:startOverride w:val="1"/>
    </w:lvlOverride>
  </w:num>
  <w:num w:numId="15" w16cid:durableId="1086264969">
    <w:abstractNumId w:val="18"/>
  </w:num>
  <w:num w:numId="16" w16cid:durableId="502404616">
    <w:abstractNumId w:val="16"/>
  </w:num>
  <w:num w:numId="17" w16cid:durableId="148794024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682707458">
    <w:abstractNumId w:val="4"/>
  </w:num>
  <w:num w:numId="19" w16cid:durableId="157504208">
    <w:abstractNumId w:val="14"/>
  </w:num>
  <w:num w:numId="20" w16cid:durableId="565840295">
    <w:abstractNumId w:val="4"/>
    <w:lvlOverride w:ilvl="0">
      <w:startOverride w:val="1"/>
    </w:lvlOverride>
  </w:num>
  <w:num w:numId="21" w16cid:durableId="83803422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470094871">
    <w:abstractNumId w:val="7"/>
  </w:num>
  <w:num w:numId="23" w16cid:durableId="60639944">
    <w:abstractNumId w:val="4"/>
    <w:lvlOverride w:ilvl="0">
      <w:startOverride w:val="1"/>
    </w:lvlOverride>
  </w:num>
  <w:num w:numId="24" w16cid:durableId="9912788">
    <w:abstractNumId w:val="4"/>
    <w:lvlOverride w:ilvl="0">
      <w:startOverride w:val="1"/>
    </w:lvlOverride>
  </w:num>
  <w:num w:numId="25" w16cid:durableId="884875230">
    <w:abstractNumId w:val="4"/>
    <w:lvlOverride w:ilvl="0">
      <w:startOverride w:val="1"/>
    </w:lvlOverride>
  </w:num>
  <w:num w:numId="26" w16cid:durableId="1456826726">
    <w:abstractNumId w:val="13"/>
  </w:num>
  <w:num w:numId="27" w16cid:durableId="266427959">
    <w:abstractNumId w:val="4"/>
    <w:lvlOverride w:ilvl="0">
      <w:startOverride w:val="1"/>
    </w:lvlOverride>
  </w:num>
  <w:num w:numId="28" w16cid:durableId="1329289512">
    <w:abstractNumId w:val="11"/>
  </w:num>
  <w:num w:numId="29" w16cid:durableId="1157500861">
    <w:abstractNumId w:val="22"/>
  </w:num>
  <w:num w:numId="30" w16cid:durableId="1408649428">
    <w:abstractNumId w:val="4"/>
    <w:lvlOverride w:ilvl="0">
      <w:startOverride w:val="1"/>
    </w:lvlOverride>
  </w:num>
  <w:num w:numId="31" w16cid:durableId="843476841">
    <w:abstractNumId w:val="4"/>
  </w:num>
  <w:num w:numId="32" w16cid:durableId="1114204337">
    <w:abstractNumId w:val="4"/>
    <w:lvlOverride w:ilvl="0">
      <w:startOverride w:val="1"/>
    </w:lvlOverride>
  </w:num>
  <w:num w:numId="33" w16cid:durableId="1533763426">
    <w:abstractNumId w:val="10"/>
  </w:num>
  <w:num w:numId="34" w16cid:durableId="1905798299">
    <w:abstractNumId w:val="4"/>
  </w:num>
  <w:num w:numId="35" w16cid:durableId="621955506">
    <w:abstractNumId w:val="4"/>
    <w:lvlOverride w:ilvl="0">
      <w:startOverride w:val="1"/>
    </w:lvlOverride>
  </w:num>
  <w:num w:numId="36" w16cid:durableId="276378462">
    <w:abstractNumId w:val="19"/>
  </w:num>
  <w:num w:numId="37" w16cid:durableId="1655841207">
    <w:abstractNumId w:val="4"/>
  </w:num>
  <w:num w:numId="38" w16cid:durableId="1919634758">
    <w:abstractNumId w:val="4"/>
    <w:lvlOverride w:ilvl="0">
      <w:startOverride w:val="1"/>
    </w:lvlOverride>
  </w:num>
  <w:num w:numId="39" w16cid:durableId="1634213819">
    <w:abstractNumId w:val="6"/>
  </w:num>
  <w:num w:numId="40" w16cid:durableId="1167551029">
    <w:abstractNumId w:val="17"/>
  </w:num>
  <w:num w:numId="41" w16cid:durableId="380979061">
    <w:abstractNumId w:val="12"/>
  </w:num>
  <w:num w:numId="42" w16cid:durableId="1067998813">
    <w:abstractNumId w:val="4"/>
    <w:lvlOverride w:ilvl="0">
      <w:startOverride w:val="1"/>
    </w:lvlOverride>
  </w:num>
  <w:num w:numId="43" w16cid:durableId="1122312185">
    <w:abstractNumId w:val="15"/>
  </w:num>
  <w:num w:numId="44" w16cid:durableId="1354766270">
    <w:abstractNumId w:val="4"/>
  </w:num>
  <w:num w:numId="45" w16cid:durableId="159350934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651B"/>
    <w:rsid w:val="00000081"/>
    <w:rsid w:val="0000020A"/>
    <w:rsid w:val="000004DB"/>
    <w:rsid w:val="000008C3"/>
    <w:rsid w:val="00000FE7"/>
    <w:rsid w:val="00001318"/>
    <w:rsid w:val="00001389"/>
    <w:rsid w:val="000015EA"/>
    <w:rsid w:val="00001822"/>
    <w:rsid w:val="00001B62"/>
    <w:rsid w:val="00001C85"/>
    <w:rsid w:val="00001E9E"/>
    <w:rsid w:val="000020D6"/>
    <w:rsid w:val="0000259B"/>
    <w:rsid w:val="000028F9"/>
    <w:rsid w:val="0000296D"/>
    <w:rsid w:val="00002B54"/>
    <w:rsid w:val="00003182"/>
    <w:rsid w:val="000032C0"/>
    <w:rsid w:val="000037EE"/>
    <w:rsid w:val="0000393E"/>
    <w:rsid w:val="00003BEF"/>
    <w:rsid w:val="00003EBE"/>
    <w:rsid w:val="0000427B"/>
    <w:rsid w:val="000047F0"/>
    <w:rsid w:val="00004D69"/>
    <w:rsid w:val="000053CE"/>
    <w:rsid w:val="00005508"/>
    <w:rsid w:val="00005CB8"/>
    <w:rsid w:val="00006009"/>
    <w:rsid w:val="0000608A"/>
    <w:rsid w:val="00006188"/>
    <w:rsid w:val="0000619C"/>
    <w:rsid w:val="00006706"/>
    <w:rsid w:val="000067D7"/>
    <w:rsid w:val="00006887"/>
    <w:rsid w:val="00006D08"/>
    <w:rsid w:val="00007174"/>
    <w:rsid w:val="00007292"/>
    <w:rsid w:val="000073EA"/>
    <w:rsid w:val="00007432"/>
    <w:rsid w:val="000074EF"/>
    <w:rsid w:val="000074F7"/>
    <w:rsid w:val="00007B1F"/>
    <w:rsid w:val="00007F7C"/>
    <w:rsid w:val="00010747"/>
    <w:rsid w:val="00010944"/>
    <w:rsid w:val="00010E80"/>
    <w:rsid w:val="0001110D"/>
    <w:rsid w:val="0001179A"/>
    <w:rsid w:val="00011821"/>
    <w:rsid w:val="0001195B"/>
    <w:rsid w:val="00011A20"/>
    <w:rsid w:val="00011B40"/>
    <w:rsid w:val="0001245A"/>
    <w:rsid w:val="0001273E"/>
    <w:rsid w:val="00012874"/>
    <w:rsid w:val="00012C69"/>
    <w:rsid w:val="00013175"/>
    <w:rsid w:val="00013489"/>
    <w:rsid w:val="00013600"/>
    <w:rsid w:val="000137AA"/>
    <w:rsid w:val="00013DC9"/>
    <w:rsid w:val="00013EFB"/>
    <w:rsid w:val="000142EA"/>
    <w:rsid w:val="00014310"/>
    <w:rsid w:val="0001454C"/>
    <w:rsid w:val="00014A59"/>
    <w:rsid w:val="00014A80"/>
    <w:rsid w:val="00014DA9"/>
    <w:rsid w:val="00014F4E"/>
    <w:rsid w:val="00014FB2"/>
    <w:rsid w:val="000150DB"/>
    <w:rsid w:val="000155D1"/>
    <w:rsid w:val="000159C5"/>
    <w:rsid w:val="00015D10"/>
    <w:rsid w:val="00015DBE"/>
    <w:rsid w:val="00015E41"/>
    <w:rsid w:val="000164AE"/>
    <w:rsid w:val="000165D4"/>
    <w:rsid w:val="0001669A"/>
    <w:rsid w:val="00016A61"/>
    <w:rsid w:val="00016E81"/>
    <w:rsid w:val="00016FB0"/>
    <w:rsid w:val="0001716B"/>
    <w:rsid w:val="000172D9"/>
    <w:rsid w:val="0001739D"/>
    <w:rsid w:val="00017621"/>
    <w:rsid w:val="00017689"/>
    <w:rsid w:val="0001768F"/>
    <w:rsid w:val="00017A2D"/>
    <w:rsid w:val="00017B1B"/>
    <w:rsid w:val="00017EC4"/>
    <w:rsid w:val="0002003E"/>
    <w:rsid w:val="00020078"/>
    <w:rsid w:val="00020477"/>
    <w:rsid w:val="0002078E"/>
    <w:rsid w:val="0002086F"/>
    <w:rsid w:val="00020B8C"/>
    <w:rsid w:val="00020CD1"/>
    <w:rsid w:val="00021030"/>
    <w:rsid w:val="0002140A"/>
    <w:rsid w:val="000215FE"/>
    <w:rsid w:val="0002177F"/>
    <w:rsid w:val="00021879"/>
    <w:rsid w:val="000218E0"/>
    <w:rsid w:val="00021C8F"/>
    <w:rsid w:val="0002207C"/>
    <w:rsid w:val="0002230B"/>
    <w:rsid w:val="00022388"/>
    <w:rsid w:val="000223EC"/>
    <w:rsid w:val="00022DC4"/>
    <w:rsid w:val="00022E9D"/>
    <w:rsid w:val="000231A9"/>
    <w:rsid w:val="00023600"/>
    <w:rsid w:val="00023710"/>
    <w:rsid w:val="00023811"/>
    <w:rsid w:val="000239F0"/>
    <w:rsid w:val="00023C1D"/>
    <w:rsid w:val="00024189"/>
    <w:rsid w:val="000247A9"/>
    <w:rsid w:val="00024879"/>
    <w:rsid w:val="00024EE9"/>
    <w:rsid w:val="0002508D"/>
    <w:rsid w:val="00025573"/>
    <w:rsid w:val="0002599C"/>
    <w:rsid w:val="00025A95"/>
    <w:rsid w:val="00025C8A"/>
    <w:rsid w:val="0002645A"/>
    <w:rsid w:val="00026B2A"/>
    <w:rsid w:val="00026B65"/>
    <w:rsid w:val="00026DE7"/>
    <w:rsid w:val="00027740"/>
    <w:rsid w:val="000277ED"/>
    <w:rsid w:val="00030099"/>
    <w:rsid w:val="0003022D"/>
    <w:rsid w:val="00030519"/>
    <w:rsid w:val="0003067C"/>
    <w:rsid w:val="000308EA"/>
    <w:rsid w:val="00030A37"/>
    <w:rsid w:val="00031241"/>
    <w:rsid w:val="00031949"/>
    <w:rsid w:val="00031952"/>
    <w:rsid w:val="00031D35"/>
    <w:rsid w:val="00031DA0"/>
    <w:rsid w:val="00031DE8"/>
    <w:rsid w:val="00031EEA"/>
    <w:rsid w:val="0003213A"/>
    <w:rsid w:val="00032642"/>
    <w:rsid w:val="00032BF2"/>
    <w:rsid w:val="00032E52"/>
    <w:rsid w:val="00032EC2"/>
    <w:rsid w:val="00033067"/>
    <w:rsid w:val="00033265"/>
    <w:rsid w:val="000334B3"/>
    <w:rsid w:val="000335FF"/>
    <w:rsid w:val="00033902"/>
    <w:rsid w:val="00034585"/>
    <w:rsid w:val="00034BFC"/>
    <w:rsid w:val="00035007"/>
    <w:rsid w:val="0003537D"/>
    <w:rsid w:val="000353DA"/>
    <w:rsid w:val="000356CA"/>
    <w:rsid w:val="00036324"/>
    <w:rsid w:val="000369C7"/>
    <w:rsid w:val="00037530"/>
    <w:rsid w:val="00037B98"/>
    <w:rsid w:val="00037FAE"/>
    <w:rsid w:val="000402A9"/>
    <w:rsid w:val="00040622"/>
    <w:rsid w:val="0004078F"/>
    <w:rsid w:val="00041171"/>
    <w:rsid w:val="00041589"/>
    <w:rsid w:val="000419F9"/>
    <w:rsid w:val="00041E4E"/>
    <w:rsid w:val="00041F2A"/>
    <w:rsid w:val="000422CD"/>
    <w:rsid w:val="00042853"/>
    <w:rsid w:val="0004376E"/>
    <w:rsid w:val="00043C5E"/>
    <w:rsid w:val="00043C78"/>
    <w:rsid w:val="00043D2E"/>
    <w:rsid w:val="00043ED3"/>
    <w:rsid w:val="00043F7B"/>
    <w:rsid w:val="0004408B"/>
    <w:rsid w:val="000444B6"/>
    <w:rsid w:val="000446C4"/>
    <w:rsid w:val="000446F4"/>
    <w:rsid w:val="00044929"/>
    <w:rsid w:val="00044BA0"/>
    <w:rsid w:val="00044C9F"/>
    <w:rsid w:val="00044D99"/>
    <w:rsid w:val="00045249"/>
    <w:rsid w:val="0004527A"/>
    <w:rsid w:val="000453FD"/>
    <w:rsid w:val="000459EF"/>
    <w:rsid w:val="00045E69"/>
    <w:rsid w:val="00045F0E"/>
    <w:rsid w:val="00046168"/>
    <w:rsid w:val="00046767"/>
    <w:rsid w:val="00046E68"/>
    <w:rsid w:val="00046F83"/>
    <w:rsid w:val="00047683"/>
    <w:rsid w:val="000478DF"/>
    <w:rsid w:val="00047991"/>
    <w:rsid w:val="00047DA8"/>
    <w:rsid w:val="000503CD"/>
    <w:rsid w:val="00050710"/>
    <w:rsid w:val="0005126F"/>
    <w:rsid w:val="00051465"/>
    <w:rsid w:val="00051751"/>
    <w:rsid w:val="00051858"/>
    <w:rsid w:val="00051F17"/>
    <w:rsid w:val="0005225E"/>
    <w:rsid w:val="0005287B"/>
    <w:rsid w:val="000528ED"/>
    <w:rsid w:val="00052BBF"/>
    <w:rsid w:val="00052BFA"/>
    <w:rsid w:val="00052FEE"/>
    <w:rsid w:val="0005333A"/>
    <w:rsid w:val="0005360B"/>
    <w:rsid w:val="00053FC9"/>
    <w:rsid w:val="000544C5"/>
    <w:rsid w:val="0005484D"/>
    <w:rsid w:val="00054A95"/>
    <w:rsid w:val="000550F5"/>
    <w:rsid w:val="00055E15"/>
    <w:rsid w:val="00055FD9"/>
    <w:rsid w:val="0005639D"/>
    <w:rsid w:val="0005683B"/>
    <w:rsid w:val="00056F2A"/>
    <w:rsid w:val="000574D0"/>
    <w:rsid w:val="00057772"/>
    <w:rsid w:val="00057F41"/>
    <w:rsid w:val="000607FA"/>
    <w:rsid w:val="000608E2"/>
    <w:rsid w:val="00060922"/>
    <w:rsid w:val="00060925"/>
    <w:rsid w:val="00060AB1"/>
    <w:rsid w:val="00060EE9"/>
    <w:rsid w:val="00061085"/>
    <w:rsid w:val="00061116"/>
    <w:rsid w:val="0006118A"/>
    <w:rsid w:val="00061365"/>
    <w:rsid w:val="000614A0"/>
    <w:rsid w:val="00061BF9"/>
    <w:rsid w:val="00061E0B"/>
    <w:rsid w:val="00062176"/>
    <w:rsid w:val="000621B7"/>
    <w:rsid w:val="00062276"/>
    <w:rsid w:val="000623CF"/>
    <w:rsid w:val="00062C1D"/>
    <w:rsid w:val="00062DF9"/>
    <w:rsid w:val="00062F21"/>
    <w:rsid w:val="000630F6"/>
    <w:rsid w:val="000633A7"/>
    <w:rsid w:val="0006402A"/>
    <w:rsid w:val="000642F5"/>
    <w:rsid w:val="00064832"/>
    <w:rsid w:val="00064A43"/>
    <w:rsid w:val="00064B3E"/>
    <w:rsid w:val="00064C17"/>
    <w:rsid w:val="00065157"/>
    <w:rsid w:val="0006522D"/>
    <w:rsid w:val="000653D1"/>
    <w:rsid w:val="000659F0"/>
    <w:rsid w:val="000661B1"/>
    <w:rsid w:val="00066430"/>
    <w:rsid w:val="000665A0"/>
    <w:rsid w:val="000666B5"/>
    <w:rsid w:val="000669CA"/>
    <w:rsid w:val="00067204"/>
    <w:rsid w:val="00067329"/>
    <w:rsid w:val="000676CE"/>
    <w:rsid w:val="00067BB9"/>
    <w:rsid w:val="0007072B"/>
    <w:rsid w:val="00070E39"/>
    <w:rsid w:val="00071099"/>
    <w:rsid w:val="000716B7"/>
    <w:rsid w:val="000716FA"/>
    <w:rsid w:val="000718E8"/>
    <w:rsid w:val="000724AE"/>
    <w:rsid w:val="0007297B"/>
    <w:rsid w:val="00072FA6"/>
    <w:rsid w:val="0007315F"/>
    <w:rsid w:val="00073170"/>
    <w:rsid w:val="000734AE"/>
    <w:rsid w:val="00073617"/>
    <w:rsid w:val="000739F2"/>
    <w:rsid w:val="00073B6A"/>
    <w:rsid w:val="00073EF5"/>
    <w:rsid w:val="00073EFD"/>
    <w:rsid w:val="00073FEE"/>
    <w:rsid w:val="0007413E"/>
    <w:rsid w:val="0007449D"/>
    <w:rsid w:val="00074721"/>
    <w:rsid w:val="0007488B"/>
    <w:rsid w:val="00074D16"/>
    <w:rsid w:val="00074DE8"/>
    <w:rsid w:val="0007501C"/>
    <w:rsid w:val="0007605A"/>
    <w:rsid w:val="00076540"/>
    <w:rsid w:val="00076BC7"/>
    <w:rsid w:val="00076CA9"/>
    <w:rsid w:val="00076E91"/>
    <w:rsid w:val="0007730F"/>
    <w:rsid w:val="000774D8"/>
    <w:rsid w:val="00077584"/>
    <w:rsid w:val="000777EA"/>
    <w:rsid w:val="00077A32"/>
    <w:rsid w:val="00077AF7"/>
    <w:rsid w:val="00077B8E"/>
    <w:rsid w:val="00077D21"/>
    <w:rsid w:val="0008011C"/>
    <w:rsid w:val="00080277"/>
    <w:rsid w:val="00080456"/>
    <w:rsid w:val="00080F79"/>
    <w:rsid w:val="00081400"/>
    <w:rsid w:val="00081B1C"/>
    <w:rsid w:val="00082137"/>
    <w:rsid w:val="0008256E"/>
    <w:rsid w:val="000826EA"/>
    <w:rsid w:val="000828E3"/>
    <w:rsid w:val="00082EE4"/>
    <w:rsid w:val="000832A7"/>
    <w:rsid w:val="000837A9"/>
    <w:rsid w:val="000838F8"/>
    <w:rsid w:val="00083B76"/>
    <w:rsid w:val="00083CC3"/>
    <w:rsid w:val="00083CE1"/>
    <w:rsid w:val="00083CF7"/>
    <w:rsid w:val="00084551"/>
    <w:rsid w:val="000849E1"/>
    <w:rsid w:val="00084A27"/>
    <w:rsid w:val="00084D18"/>
    <w:rsid w:val="000850C0"/>
    <w:rsid w:val="00085B9A"/>
    <w:rsid w:val="00085F1C"/>
    <w:rsid w:val="00085F53"/>
    <w:rsid w:val="00085F55"/>
    <w:rsid w:val="000863D1"/>
    <w:rsid w:val="0008677F"/>
    <w:rsid w:val="000867AC"/>
    <w:rsid w:val="00086A14"/>
    <w:rsid w:val="00086B4B"/>
    <w:rsid w:val="00086CB4"/>
    <w:rsid w:val="00086E1B"/>
    <w:rsid w:val="00087373"/>
    <w:rsid w:val="00087B14"/>
    <w:rsid w:val="000906E4"/>
    <w:rsid w:val="000907D1"/>
    <w:rsid w:val="00090880"/>
    <w:rsid w:val="00090EDA"/>
    <w:rsid w:val="00091048"/>
    <w:rsid w:val="00091068"/>
    <w:rsid w:val="000915AC"/>
    <w:rsid w:val="000917F9"/>
    <w:rsid w:val="00092388"/>
    <w:rsid w:val="0009254E"/>
    <w:rsid w:val="000927F1"/>
    <w:rsid w:val="00092803"/>
    <w:rsid w:val="00092A9C"/>
    <w:rsid w:val="00092ACB"/>
    <w:rsid w:val="00092C7F"/>
    <w:rsid w:val="00092D05"/>
    <w:rsid w:val="000935A4"/>
    <w:rsid w:val="00093CB0"/>
    <w:rsid w:val="00093FA9"/>
    <w:rsid w:val="00094035"/>
    <w:rsid w:val="00094859"/>
    <w:rsid w:val="0009491D"/>
    <w:rsid w:val="00094D34"/>
    <w:rsid w:val="0009539F"/>
    <w:rsid w:val="00095FAE"/>
    <w:rsid w:val="00095FC3"/>
    <w:rsid w:val="000960D1"/>
    <w:rsid w:val="00096293"/>
    <w:rsid w:val="000964C3"/>
    <w:rsid w:val="0009658F"/>
    <w:rsid w:val="00096BF9"/>
    <w:rsid w:val="00096FDE"/>
    <w:rsid w:val="000970D6"/>
    <w:rsid w:val="000971EE"/>
    <w:rsid w:val="000976A1"/>
    <w:rsid w:val="0009785E"/>
    <w:rsid w:val="00097FD6"/>
    <w:rsid w:val="000A0074"/>
    <w:rsid w:val="000A0391"/>
    <w:rsid w:val="000A046D"/>
    <w:rsid w:val="000A1472"/>
    <w:rsid w:val="000A167D"/>
    <w:rsid w:val="000A16EE"/>
    <w:rsid w:val="000A1F76"/>
    <w:rsid w:val="000A22D8"/>
    <w:rsid w:val="000A25DE"/>
    <w:rsid w:val="000A2C80"/>
    <w:rsid w:val="000A2FA8"/>
    <w:rsid w:val="000A31D1"/>
    <w:rsid w:val="000A32C2"/>
    <w:rsid w:val="000A3408"/>
    <w:rsid w:val="000A34CA"/>
    <w:rsid w:val="000A359B"/>
    <w:rsid w:val="000A45DA"/>
    <w:rsid w:val="000A45E5"/>
    <w:rsid w:val="000A4C1B"/>
    <w:rsid w:val="000A4DD9"/>
    <w:rsid w:val="000A58D5"/>
    <w:rsid w:val="000A5B27"/>
    <w:rsid w:val="000A636D"/>
    <w:rsid w:val="000A646E"/>
    <w:rsid w:val="000A698A"/>
    <w:rsid w:val="000A6C06"/>
    <w:rsid w:val="000A6EAB"/>
    <w:rsid w:val="000A7478"/>
    <w:rsid w:val="000A7644"/>
    <w:rsid w:val="000A783D"/>
    <w:rsid w:val="000A78BB"/>
    <w:rsid w:val="000A7943"/>
    <w:rsid w:val="000A7EB7"/>
    <w:rsid w:val="000B03AD"/>
    <w:rsid w:val="000B05C7"/>
    <w:rsid w:val="000B084D"/>
    <w:rsid w:val="000B14FE"/>
    <w:rsid w:val="000B1511"/>
    <w:rsid w:val="000B15CC"/>
    <w:rsid w:val="000B15DC"/>
    <w:rsid w:val="000B15E9"/>
    <w:rsid w:val="000B1645"/>
    <w:rsid w:val="000B16F1"/>
    <w:rsid w:val="000B1DB9"/>
    <w:rsid w:val="000B2AB2"/>
    <w:rsid w:val="000B2D70"/>
    <w:rsid w:val="000B2EF9"/>
    <w:rsid w:val="000B3587"/>
    <w:rsid w:val="000B38A1"/>
    <w:rsid w:val="000B38F7"/>
    <w:rsid w:val="000B3EA3"/>
    <w:rsid w:val="000B46AC"/>
    <w:rsid w:val="000B4A68"/>
    <w:rsid w:val="000B4C9C"/>
    <w:rsid w:val="000B5079"/>
    <w:rsid w:val="000B5192"/>
    <w:rsid w:val="000B5468"/>
    <w:rsid w:val="000B59A2"/>
    <w:rsid w:val="000B5B11"/>
    <w:rsid w:val="000B5E19"/>
    <w:rsid w:val="000B5FA1"/>
    <w:rsid w:val="000B5FC1"/>
    <w:rsid w:val="000B661D"/>
    <w:rsid w:val="000B664B"/>
    <w:rsid w:val="000B67BD"/>
    <w:rsid w:val="000B69A4"/>
    <w:rsid w:val="000B6D48"/>
    <w:rsid w:val="000B7105"/>
    <w:rsid w:val="000B7144"/>
    <w:rsid w:val="000B760C"/>
    <w:rsid w:val="000B7BD4"/>
    <w:rsid w:val="000B7E41"/>
    <w:rsid w:val="000C0001"/>
    <w:rsid w:val="000C0013"/>
    <w:rsid w:val="000C0016"/>
    <w:rsid w:val="000C018D"/>
    <w:rsid w:val="000C0646"/>
    <w:rsid w:val="000C07AD"/>
    <w:rsid w:val="000C0FBC"/>
    <w:rsid w:val="000C11FE"/>
    <w:rsid w:val="000C14CE"/>
    <w:rsid w:val="000C15EC"/>
    <w:rsid w:val="000C1665"/>
    <w:rsid w:val="000C19B7"/>
    <w:rsid w:val="000C2271"/>
    <w:rsid w:val="000C229A"/>
    <w:rsid w:val="000C24C1"/>
    <w:rsid w:val="000C32CF"/>
    <w:rsid w:val="000C35E3"/>
    <w:rsid w:val="000C3777"/>
    <w:rsid w:val="000C3B83"/>
    <w:rsid w:val="000C3BA3"/>
    <w:rsid w:val="000C3E80"/>
    <w:rsid w:val="000C4118"/>
    <w:rsid w:val="000C4636"/>
    <w:rsid w:val="000C4721"/>
    <w:rsid w:val="000C4ABD"/>
    <w:rsid w:val="000C4B66"/>
    <w:rsid w:val="000C4B98"/>
    <w:rsid w:val="000C4CF2"/>
    <w:rsid w:val="000C5175"/>
    <w:rsid w:val="000C5746"/>
    <w:rsid w:val="000C5D8A"/>
    <w:rsid w:val="000C5DD0"/>
    <w:rsid w:val="000C5E48"/>
    <w:rsid w:val="000C5EAE"/>
    <w:rsid w:val="000C6558"/>
    <w:rsid w:val="000C670B"/>
    <w:rsid w:val="000C698A"/>
    <w:rsid w:val="000C70A5"/>
    <w:rsid w:val="000C77FE"/>
    <w:rsid w:val="000C793B"/>
    <w:rsid w:val="000C7AE3"/>
    <w:rsid w:val="000C7B47"/>
    <w:rsid w:val="000C7BBD"/>
    <w:rsid w:val="000C7E4E"/>
    <w:rsid w:val="000D02ED"/>
    <w:rsid w:val="000D02F4"/>
    <w:rsid w:val="000D0421"/>
    <w:rsid w:val="000D062E"/>
    <w:rsid w:val="000D0C33"/>
    <w:rsid w:val="000D0D0C"/>
    <w:rsid w:val="000D0D69"/>
    <w:rsid w:val="000D1259"/>
    <w:rsid w:val="000D12DB"/>
    <w:rsid w:val="000D13B2"/>
    <w:rsid w:val="000D1C6B"/>
    <w:rsid w:val="000D1C74"/>
    <w:rsid w:val="000D1DBF"/>
    <w:rsid w:val="000D1E7D"/>
    <w:rsid w:val="000D2025"/>
    <w:rsid w:val="000D248C"/>
    <w:rsid w:val="000D2601"/>
    <w:rsid w:val="000D26D6"/>
    <w:rsid w:val="000D2866"/>
    <w:rsid w:val="000D330C"/>
    <w:rsid w:val="000D3499"/>
    <w:rsid w:val="000D386B"/>
    <w:rsid w:val="000D45E0"/>
    <w:rsid w:val="000D497F"/>
    <w:rsid w:val="000D4ADB"/>
    <w:rsid w:val="000D5095"/>
    <w:rsid w:val="000D520E"/>
    <w:rsid w:val="000D5268"/>
    <w:rsid w:val="000D53AC"/>
    <w:rsid w:val="000D544C"/>
    <w:rsid w:val="000D5731"/>
    <w:rsid w:val="000D57AC"/>
    <w:rsid w:val="000D57E7"/>
    <w:rsid w:val="000D590A"/>
    <w:rsid w:val="000D5B04"/>
    <w:rsid w:val="000D6B24"/>
    <w:rsid w:val="000D6F95"/>
    <w:rsid w:val="000D7274"/>
    <w:rsid w:val="000D72E5"/>
    <w:rsid w:val="000D7723"/>
    <w:rsid w:val="000D783E"/>
    <w:rsid w:val="000D7861"/>
    <w:rsid w:val="000D786D"/>
    <w:rsid w:val="000D792D"/>
    <w:rsid w:val="000D79C6"/>
    <w:rsid w:val="000D7FEA"/>
    <w:rsid w:val="000E00BD"/>
    <w:rsid w:val="000E0502"/>
    <w:rsid w:val="000E0959"/>
    <w:rsid w:val="000E0D30"/>
    <w:rsid w:val="000E100D"/>
    <w:rsid w:val="000E185F"/>
    <w:rsid w:val="000E1ABE"/>
    <w:rsid w:val="000E1C68"/>
    <w:rsid w:val="000E1F10"/>
    <w:rsid w:val="000E248A"/>
    <w:rsid w:val="000E2A16"/>
    <w:rsid w:val="000E2C70"/>
    <w:rsid w:val="000E2FBE"/>
    <w:rsid w:val="000E3976"/>
    <w:rsid w:val="000E3EC9"/>
    <w:rsid w:val="000E40BC"/>
    <w:rsid w:val="000E4331"/>
    <w:rsid w:val="000E46D6"/>
    <w:rsid w:val="000E48E3"/>
    <w:rsid w:val="000E4BD3"/>
    <w:rsid w:val="000E4F4C"/>
    <w:rsid w:val="000E54AC"/>
    <w:rsid w:val="000E55E8"/>
    <w:rsid w:val="000E55E9"/>
    <w:rsid w:val="000E5F2C"/>
    <w:rsid w:val="000E6501"/>
    <w:rsid w:val="000E67E7"/>
    <w:rsid w:val="000E71D4"/>
    <w:rsid w:val="000E7663"/>
    <w:rsid w:val="000E77C9"/>
    <w:rsid w:val="000E77F6"/>
    <w:rsid w:val="000E7874"/>
    <w:rsid w:val="000E7C1D"/>
    <w:rsid w:val="000E7CBA"/>
    <w:rsid w:val="000E7EA6"/>
    <w:rsid w:val="000E7FD1"/>
    <w:rsid w:val="000F004A"/>
    <w:rsid w:val="000F01F5"/>
    <w:rsid w:val="000F0601"/>
    <w:rsid w:val="000F1C9C"/>
    <w:rsid w:val="000F242A"/>
    <w:rsid w:val="000F29D2"/>
    <w:rsid w:val="000F2BBD"/>
    <w:rsid w:val="000F2E3B"/>
    <w:rsid w:val="000F2EBC"/>
    <w:rsid w:val="000F3165"/>
    <w:rsid w:val="000F3303"/>
    <w:rsid w:val="000F3628"/>
    <w:rsid w:val="000F37F0"/>
    <w:rsid w:val="000F3932"/>
    <w:rsid w:val="000F3B4C"/>
    <w:rsid w:val="000F40DC"/>
    <w:rsid w:val="000F48F8"/>
    <w:rsid w:val="000F4BA4"/>
    <w:rsid w:val="000F534E"/>
    <w:rsid w:val="000F5F6F"/>
    <w:rsid w:val="000F5FA6"/>
    <w:rsid w:val="000F638F"/>
    <w:rsid w:val="000F642E"/>
    <w:rsid w:val="000F6878"/>
    <w:rsid w:val="000F6DEF"/>
    <w:rsid w:val="000F7CD1"/>
    <w:rsid w:val="0010010E"/>
    <w:rsid w:val="00100189"/>
    <w:rsid w:val="00100422"/>
    <w:rsid w:val="00100A44"/>
    <w:rsid w:val="00100A7F"/>
    <w:rsid w:val="001013D0"/>
    <w:rsid w:val="00101460"/>
    <w:rsid w:val="001014D5"/>
    <w:rsid w:val="00101576"/>
    <w:rsid w:val="0010176E"/>
    <w:rsid w:val="00101809"/>
    <w:rsid w:val="00101E07"/>
    <w:rsid w:val="0010216E"/>
    <w:rsid w:val="00102191"/>
    <w:rsid w:val="00102812"/>
    <w:rsid w:val="00102A10"/>
    <w:rsid w:val="00102B96"/>
    <w:rsid w:val="00102C71"/>
    <w:rsid w:val="00102F54"/>
    <w:rsid w:val="00103158"/>
    <w:rsid w:val="00103C6E"/>
    <w:rsid w:val="0010401C"/>
    <w:rsid w:val="001048BC"/>
    <w:rsid w:val="00104D41"/>
    <w:rsid w:val="00104DF8"/>
    <w:rsid w:val="00105038"/>
    <w:rsid w:val="00105180"/>
    <w:rsid w:val="001054A4"/>
    <w:rsid w:val="001055A0"/>
    <w:rsid w:val="001055B9"/>
    <w:rsid w:val="00105649"/>
    <w:rsid w:val="001056C0"/>
    <w:rsid w:val="00105893"/>
    <w:rsid w:val="00105A8A"/>
    <w:rsid w:val="00105B46"/>
    <w:rsid w:val="00105B60"/>
    <w:rsid w:val="00106253"/>
    <w:rsid w:val="00106263"/>
    <w:rsid w:val="0010681B"/>
    <w:rsid w:val="001068A6"/>
    <w:rsid w:val="00106C1D"/>
    <w:rsid w:val="00106FD9"/>
    <w:rsid w:val="001074A4"/>
    <w:rsid w:val="00107639"/>
    <w:rsid w:val="00107719"/>
    <w:rsid w:val="0010783B"/>
    <w:rsid w:val="001079A3"/>
    <w:rsid w:val="00107F25"/>
    <w:rsid w:val="0011069B"/>
    <w:rsid w:val="00110C7D"/>
    <w:rsid w:val="00110ECB"/>
    <w:rsid w:val="00110F9B"/>
    <w:rsid w:val="00111116"/>
    <w:rsid w:val="001113CA"/>
    <w:rsid w:val="001114A3"/>
    <w:rsid w:val="00111675"/>
    <w:rsid w:val="0011189C"/>
    <w:rsid w:val="00111AC3"/>
    <w:rsid w:val="001122DC"/>
    <w:rsid w:val="00112636"/>
    <w:rsid w:val="00112708"/>
    <w:rsid w:val="00112A1F"/>
    <w:rsid w:val="00112A98"/>
    <w:rsid w:val="00112B34"/>
    <w:rsid w:val="00112D9C"/>
    <w:rsid w:val="00112EC4"/>
    <w:rsid w:val="00112EF5"/>
    <w:rsid w:val="00113435"/>
    <w:rsid w:val="00113622"/>
    <w:rsid w:val="0011369F"/>
    <w:rsid w:val="001138F1"/>
    <w:rsid w:val="00113E49"/>
    <w:rsid w:val="00114C15"/>
    <w:rsid w:val="00114D23"/>
    <w:rsid w:val="00114DC0"/>
    <w:rsid w:val="00114FEB"/>
    <w:rsid w:val="001153CA"/>
    <w:rsid w:val="00115846"/>
    <w:rsid w:val="00115891"/>
    <w:rsid w:val="00115B41"/>
    <w:rsid w:val="001165F4"/>
    <w:rsid w:val="00116954"/>
    <w:rsid w:val="00116AE0"/>
    <w:rsid w:val="00116D15"/>
    <w:rsid w:val="00116D92"/>
    <w:rsid w:val="00116DB4"/>
    <w:rsid w:val="00116E46"/>
    <w:rsid w:val="001172C1"/>
    <w:rsid w:val="0011731D"/>
    <w:rsid w:val="001175BB"/>
    <w:rsid w:val="00117FB2"/>
    <w:rsid w:val="00120277"/>
    <w:rsid w:val="0012091A"/>
    <w:rsid w:val="00120939"/>
    <w:rsid w:val="00120AFC"/>
    <w:rsid w:val="0012177C"/>
    <w:rsid w:val="00121850"/>
    <w:rsid w:val="00121CE0"/>
    <w:rsid w:val="00122430"/>
    <w:rsid w:val="00122777"/>
    <w:rsid w:val="00122846"/>
    <w:rsid w:val="00122989"/>
    <w:rsid w:val="00122D82"/>
    <w:rsid w:val="00122E9B"/>
    <w:rsid w:val="00122EF8"/>
    <w:rsid w:val="00123354"/>
    <w:rsid w:val="0012336D"/>
    <w:rsid w:val="0012351F"/>
    <w:rsid w:val="00123684"/>
    <w:rsid w:val="001236E1"/>
    <w:rsid w:val="00123954"/>
    <w:rsid w:val="00123BE7"/>
    <w:rsid w:val="00123CAC"/>
    <w:rsid w:val="00123FE3"/>
    <w:rsid w:val="00124457"/>
    <w:rsid w:val="00124833"/>
    <w:rsid w:val="001248E1"/>
    <w:rsid w:val="001249C4"/>
    <w:rsid w:val="00124C2A"/>
    <w:rsid w:val="0012510B"/>
    <w:rsid w:val="0012537E"/>
    <w:rsid w:val="00125B6F"/>
    <w:rsid w:val="0012622F"/>
    <w:rsid w:val="00126299"/>
    <w:rsid w:val="00126540"/>
    <w:rsid w:val="00126B1D"/>
    <w:rsid w:val="00127073"/>
    <w:rsid w:val="001270C0"/>
    <w:rsid w:val="00127646"/>
    <w:rsid w:val="00127705"/>
    <w:rsid w:val="00127995"/>
    <w:rsid w:val="00127BC2"/>
    <w:rsid w:val="00127EF8"/>
    <w:rsid w:val="00130226"/>
    <w:rsid w:val="00130426"/>
    <w:rsid w:val="00130477"/>
    <w:rsid w:val="001304AF"/>
    <w:rsid w:val="0013056B"/>
    <w:rsid w:val="001305C4"/>
    <w:rsid w:val="0013064D"/>
    <w:rsid w:val="0013066E"/>
    <w:rsid w:val="0013080B"/>
    <w:rsid w:val="00130FA2"/>
    <w:rsid w:val="00131529"/>
    <w:rsid w:val="0013276B"/>
    <w:rsid w:val="00132A6D"/>
    <w:rsid w:val="00134546"/>
    <w:rsid w:val="00134593"/>
    <w:rsid w:val="001346DB"/>
    <w:rsid w:val="0013473D"/>
    <w:rsid w:val="00134A61"/>
    <w:rsid w:val="00134C74"/>
    <w:rsid w:val="00134F90"/>
    <w:rsid w:val="00135045"/>
    <w:rsid w:val="00135206"/>
    <w:rsid w:val="001352EE"/>
    <w:rsid w:val="00135392"/>
    <w:rsid w:val="001357EA"/>
    <w:rsid w:val="001359FE"/>
    <w:rsid w:val="00135C8E"/>
    <w:rsid w:val="00136388"/>
    <w:rsid w:val="00137113"/>
    <w:rsid w:val="001373C9"/>
    <w:rsid w:val="001374A3"/>
    <w:rsid w:val="001374FE"/>
    <w:rsid w:val="00137E6D"/>
    <w:rsid w:val="0014016B"/>
    <w:rsid w:val="00140296"/>
    <w:rsid w:val="001403E4"/>
    <w:rsid w:val="00140E33"/>
    <w:rsid w:val="001411EA"/>
    <w:rsid w:val="00141389"/>
    <w:rsid w:val="0014148F"/>
    <w:rsid w:val="00141AE7"/>
    <w:rsid w:val="00141B2A"/>
    <w:rsid w:val="00141E1F"/>
    <w:rsid w:val="00142795"/>
    <w:rsid w:val="00142CB1"/>
    <w:rsid w:val="00142E48"/>
    <w:rsid w:val="00142FA9"/>
    <w:rsid w:val="00143053"/>
    <w:rsid w:val="001437C1"/>
    <w:rsid w:val="001437E5"/>
    <w:rsid w:val="0014387E"/>
    <w:rsid w:val="001444C8"/>
    <w:rsid w:val="00145059"/>
    <w:rsid w:val="0014579D"/>
    <w:rsid w:val="001461E9"/>
    <w:rsid w:val="00146443"/>
    <w:rsid w:val="00146527"/>
    <w:rsid w:val="0014677C"/>
    <w:rsid w:val="00146862"/>
    <w:rsid w:val="001470D2"/>
    <w:rsid w:val="001473A5"/>
    <w:rsid w:val="001473B7"/>
    <w:rsid w:val="00147B57"/>
    <w:rsid w:val="00147EFD"/>
    <w:rsid w:val="00150A91"/>
    <w:rsid w:val="00150FB4"/>
    <w:rsid w:val="0015165F"/>
    <w:rsid w:val="0015169B"/>
    <w:rsid w:val="00151B08"/>
    <w:rsid w:val="001520AA"/>
    <w:rsid w:val="001523BD"/>
    <w:rsid w:val="001524EA"/>
    <w:rsid w:val="001526FF"/>
    <w:rsid w:val="001528C8"/>
    <w:rsid w:val="001528CA"/>
    <w:rsid w:val="00152907"/>
    <w:rsid w:val="00152A84"/>
    <w:rsid w:val="00152CB4"/>
    <w:rsid w:val="001535AB"/>
    <w:rsid w:val="001535EA"/>
    <w:rsid w:val="00153838"/>
    <w:rsid w:val="0015424D"/>
    <w:rsid w:val="00154506"/>
    <w:rsid w:val="0015476E"/>
    <w:rsid w:val="001548CB"/>
    <w:rsid w:val="00154E35"/>
    <w:rsid w:val="00155301"/>
    <w:rsid w:val="00155419"/>
    <w:rsid w:val="0015542E"/>
    <w:rsid w:val="001559BE"/>
    <w:rsid w:val="00155D7D"/>
    <w:rsid w:val="00155DC2"/>
    <w:rsid w:val="001563CF"/>
    <w:rsid w:val="00156750"/>
    <w:rsid w:val="00156CA9"/>
    <w:rsid w:val="00156DDB"/>
    <w:rsid w:val="00157471"/>
    <w:rsid w:val="001574A3"/>
    <w:rsid w:val="001574CD"/>
    <w:rsid w:val="0015756E"/>
    <w:rsid w:val="00157AFB"/>
    <w:rsid w:val="00157CF7"/>
    <w:rsid w:val="00157FDB"/>
    <w:rsid w:val="001601D0"/>
    <w:rsid w:val="001608F2"/>
    <w:rsid w:val="00160D02"/>
    <w:rsid w:val="00160EAD"/>
    <w:rsid w:val="00161DE4"/>
    <w:rsid w:val="00161E8A"/>
    <w:rsid w:val="00161FDC"/>
    <w:rsid w:val="0016204B"/>
    <w:rsid w:val="00162136"/>
    <w:rsid w:val="0016250A"/>
    <w:rsid w:val="001629E7"/>
    <w:rsid w:val="00162B46"/>
    <w:rsid w:val="001632B5"/>
    <w:rsid w:val="00163913"/>
    <w:rsid w:val="00163A0C"/>
    <w:rsid w:val="00163E97"/>
    <w:rsid w:val="00163E9E"/>
    <w:rsid w:val="001641FE"/>
    <w:rsid w:val="00164425"/>
    <w:rsid w:val="001644D0"/>
    <w:rsid w:val="0016479A"/>
    <w:rsid w:val="001652C5"/>
    <w:rsid w:val="00165C24"/>
    <w:rsid w:val="00165D30"/>
    <w:rsid w:val="00165E11"/>
    <w:rsid w:val="00166095"/>
    <w:rsid w:val="0016645C"/>
    <w:rsid w:val="00166511"/>
    <w:rsid w:val="00166F05"/>
    <w:rsid w:val="00167146"/>
    <w:rsid w:val="0016714F"/>
    <w:rsid w:val="00167180"/>
    <w:rsid w:val="0016790B"/>
    <w:rsid w:val="00167E84"/>
    <w:rsid w:val="00167F39"/>
    <w:rsid w:val="001708DC"/>
    <w:rsid w:val="00170A0E"/>
    <w:rsid w:val="00170B00"/>
    <w:rsid w:val="00170BD4"/>
    <w:rsid w:val="001712C0"/>
    <w:rsid w:val="001713AE"/>
    <w:rsid w:val="001714A0"/>
    <w:rsid w:val="001715DF"/>
    <w:rsid w:val="001716EF"/>
    <w:rsid w:val="00171CA2"/>
    <w:rsid w:val="00171CF4"/>
    <w:rsid w:val="00172676"/>
    <w:rsid w:val="00172898"/>
    <w:rsid w:val="001728F1"/>
    <w:rsid w:val="00173C0F"/>
    <w:rsid w:val="001741BB"/>
    <w:rsid w:val="0017439C"/>
    <w:rsid w:val="0017506C"/>
    <w:rsid w:val="001750D9"/>
    <w:rsid w:val="00175324"/>
    <w:rsid w:val="001755EF"/>
    <w:rsid w:val="00175720"/>
    <w:rsid w:val="0017576E"/>
    <w:rsid w:val="001758D6"/>
    <w:rsid w:val="00175DDA"/>
    <w:rsid w:val="00176000"/>
    <w:rsid w:val="00176C61"/>
    <w:rsid w:val="00176D05"/>
    <w:rsid w:val="0017710B"/>
    <w:rsid w:val="00177397"/>
    <w:rsid w:val="001773C9"/>
    <w:rsid w:val="001776B9"/>
    <w:rsid w:val="00177916"/>
    <w:rsid w:val="00177E7E"/>
    <w:rsid w:val="00177F29"/>
    <w:rsid w:val="00177FC7"/>
    <w:rsid w:val="001803E1"/>
    <w:rsid w:val="00180AC5"/>
    <w:rsid w:val="00180D10"/>
    <w:rsid w:val="00180D9A"/>
    <w:rsid w:val="00180EF3"/>
    <w:rsid w:val="0018238F"/>
    <w:rsid w:val="001824B2"/>
    <w:rsid w:val="00182916"/>
    <w:rsid w:val="001829B5"/>
    <w:rsid w:val="00182C26"/>
    <w:rsid w:val="00182E75"/>
    <w:rsid w:val="00182EAE"/>
    <w:rsid w:val="00182EEF"/>
    <w:rsid w:val="0018312C"/>
    <w:rsid w:val="00183207"/>
    <w:rsid w:val="001846F7"/>
    <w:rsid w:val="00184A2F"/>
    <w:rsid w:val="00184BAD"/>
    <w:rsid w:val="001854CA"/>
    <w:rsid w:val="001856CD"/>
    <w:rsid w:val="00185B58"/>
    <w:rsid w:val="00185E05"/>
    <w:rsid w:val="001860E0"/>
    <w:rsid w:val="00186169"/>
    <w:rsid w:val="001864E1"/>
    <w:rsid w:val="0018724C"/>
    <w:rsid w:val="00187981"/>
    <w:rsid w:val="00187AE2"/>
    <w:rsid w:val="00190215"/>
    <w:rsid w:val="001905C2"/>
    <w:rsid w:val="00190856"/>
    <w:rsid w:val="00190B0D"/>
    <w:rsid w:val="0019142B"/>
    <w:rsid w:val="001918E5"/>
    <w:rsid w:val="00191CFD"/>
    <w:rsid w:val="00192275"/>
    <w:rsid w:val="0019280C"/>
    <w:rsid w:val="00192914"/>
    <w:rsid w:val="00192EE8"/>
    <w:rsid w:val="001930CD"/>
    <w:rsid w:val="001934F4"/>
    <w:rsid w:val="001935CD"/>
    <w:rsid w:val="00193801"/>
    <w:rsid w:val="00195038"/>
    <w:rsid w:val="001951A2"/>
    <w:rsid w:val="00195273"/>
    <w:rsid w:val="00195498"/>
    <w:rsid w:val="00195AB9"/>
    <w:rsid w:val="00195B9A"/>
    <w:rsid w:val="00196469"/>
    <w:rsid w:val="001966DC"/>
    <w:rsid w:val="001968B2"/>
    <w:rsid w:val="001969FA"/>
    <w:rsid w:val="00196FFC"/>
    <w:rsid w:val="00197684"/>
    <w:rsid w:val="001976FE"/>
    <w:rsid w:val="00197F86"/>
    <w:rsid w:val="001A00DB"/>
    <w:rsid w:val="001A03A3"/>
    <w:rsid w:val="001A0559"/>
    <w:rsid w:val="001A0963"/>
    <w:rsid w:val="001A11CB"/>
    <w:rsid w:val="001A1386"/>
    <w:rsid w:val="001A14AB"/>
    <w:rsid w:val="001A1642"/>
    <w:rsid w:val="001A17DE"/>
    <w:rsid w:val="001A191E"/>
    <w:rsid w:val="001A196E"/>
    <w:rsid w:val="001A1DFF"/>
    <w:rsid w:val="001A228C"/>
    <w:rsid w:val="001A22B4"/>
    <w:rsid w:val="001A24E7"/>
    <w:rsid w:val="001A2504"/>
    <w:rsid w:val="001A25F8"/>
    <w:rsid w:val="001A2816"/>
    <w:rsid w:val="001A2C06"/>
    <w:rsid w:val="001A30FC"/>
    <w:rsid w:val="001A370C"/>
    <w:rsid w:val="001A3928"/>
    <w:rsid w:val="001A3933"/>
    <w:rsid w:val="001A3F31"/>
    <w:rsid w:val="001A4A63"/>
    <w:rsid w:val="001A4E2C"/>
    <w:rsid w:val="001A4F47"/>
    <w:rsid w:val="001A512B"/>
    <w:rsid w:val="001A5570"/>
    <w:rsid w:val="001A55AE"/>
    <w:rsid w:val="001A59B9"/>
    <w:rsid w:val="001A5A24"/>
    <w:rsid w:val="001A5B03"/>
    <w:rsid w:val="001A5B91"/>
    <w:rsid w:val="001A5B94"/>
    <w:rsid w:val="001A5D99"/>
    <w:rsid w:val="001A5F83"/>
    <w:rsid w:val="001A63D2"/>
    <w:rsid w:val="001A6580"/>
    <w:rsid w:val="001A67C3"/>
    <w:rsid w:val="001A68F3"/>
    <w:rsid w:val="001A6965"/>
    <w:rsid w:val="001A6AEF"/>
    <w:rsid w:val="001A70E2"/>
    <w:rsid w:val="001A7169"/>
    <w:rsid w:val="001A718F"/>
    <w:rsid w:val="001A71CD"/>
    <w:rsid w:val="001A730C"/>
    <w:rsid w:val="001A74DF"/>
    <w:rsid w:val="001A75F6"/>
    <w:rsid w:val="001A7811"/>
    <w:rsid w:val="001A79F0"/>
    <w:rsid w:val="001A7E59"/>
    <w:rsid w:val="001A7F66"/>
    <w:rsid w:val="001A7FBF"/>
    <w:rsid w:val="001B006C"/>
    <w:rsid w:val="001B0387"/>
    <w:rsid w:val="001B062A"/>
    <w:rsid w:val="001B076B"/>
    <w:rsid w:val="001B1660"/>
    <w:rsid w:val="001B1AC0"/>
    <w:rsid w:val="001B21A3"/>
    <w:rsid w:val="001B228A"/>
    <w:rsid w:val="001B2596"/>
    <w:rsid w:val="001B26A0"/>
    <w:rsid w:val="001B2B22"/>
    <w:rsid w:val="001B2C6C"/>
    <w:rsid w:val="001B2CC5"/>
    <w:rsid w:val="001B2D48"/>
    <w:rsid w:val="001B2E27"/>
    <w:rsid w:val="001B3183"/>
    <w:rsid w:val="001B3936"/>
    <w:rsid w:val="001B3C44"/>
    <w:rsid w:val="001B3F2A"/>
    <w:rsid w:val="001B43D0"/>
    <w:rsid w:val="001B49CB"/>
    <w:rsid w:val="001B538D"/>
    <w:rsid w:val="001B5B09"/>
    <w:rsid w:val="001B5E4A"/>
    <w:rsid w:val="001B5FC8"/>
    <w:rsid w:val="001B6695"/>
    <w:rsid w:val="001B6D94"/>
    <w:rsid w:val="001B6F66"/>
    <w:rsid w:val="001B7251"/>
    <w:rsid w:val="001B7480"/>
    <w:rsid w:val="001B75A0"/>
    <w:rsid w:val="001B7733"/>
    <w:rsid w:val="001B7781"/>
    <w:rsid w:val="001B7D8C"/>
    <w:rsid w:val="001C003A"/>
    <w:rsid w:val="001C0559"/>
    <w:rsid w:val="001C0C14"/>
    <w:rsid w:val="001C0D07"/>
    <w:rsid w:val="001C1044"/>
    <w:rsid w:val="001C10A7"/>
    <w:rsid w:val="001C1312"/>
    <w:rsid w:val="001C155F"/>
    <w:rsid w:val="001C1758"/>
    <w:rsid w:val="001C1873"/>
    <w:rsid w:val="001C1D78"/>
    <w:rsid w:val="001C1EB7"/>
    <w:rsid w:val="001C202B"/>
    <w:rsid w:val="001C2600"/>
    <w:rsid w:val="001C28F3"/>
    <w:rsid w:val="001C2BCE"/>
    <w:rsid w:val="001C32EF"/>
    <w:rsid w:val="001C34BA"/>
    <w:rsid w:val="001C3969"/>
    <w:rsid w:val="001C3ADA"/>
    <w:rsid w:val="001C40AD"/>
    <w:rsid w:val="001C40E0"/>
    <w:rsid w:val="001C4510"/>
    <w:rsid w:val="001C4D85"/>
    <w:rsid w:val="001C4E4D"/>
    <w:rsid w:val="001C4F50"/>
    <w:rsid w:val="001C535D"/>
    <w:rsid w:val="001C5384"/>
    <w:rsid w:val="001C5471"/>
    <w:rsid w:val="001C55A9"/>
    <w:rsid w:val="001C58B0"/>
    <w:rsid w:val="001C5976"/>
    <w:rsid w:val="001C5F6B"/>
    <w:rsid w:val="001C69E5"/>
    <w:rsid w:val="001C6EBD"/>
    <w:rsid w:val="001C6F4E"/>
    <w:rsid w:val="001C71D4"/>
    <w:rsid w:val="001C7232"/>
    <w:rsid w:val="001C728D"/>
    <w:rsid w:val="001C778C"/>
    <w:rsid w:val="001C77FE"/>
    <w:rsid w:val="001C7A38"/>
    <w:rsid w:val="001C7AB3"/>
    <w:rsid w:val="001C7B9C"/>
    <w:rsid w:val="001D028C"/>
    <w:rsid w:val="001D029E"/>
    <w:rsid w:val="001D02FD"/>
    <w:rsid w:val="001D0613"/>
    <w:rsid w:val="001D070D"/>
    <w:rsid w:val="001D0C07"/>
    <w:rsid w:val="001D1770"/>
    <w:rsid w:val="001D1C19"/>
    <w:rsid w:val="001D1D01"/>
    <w:rsid w:val="001D1FC5"/>
    <w:rsid w:val="001D2241"/>
    <w:rsid w:val="001D24C0"/>
    <w:rsid w:val="001D267F"/>
    <w:rsid w:val="001D26F0"/>
    <w:rsid w:val="001D29D2"/>
    <w:rsid w:val="001D308F"/>
    <w:rsid w:val="001D31BA"/>
    <w:rsid w:val="001D31DD"/>
    <w:rsid w:val="001D35FF"/>
    <w:rsid w:val="001D3707"/>
    <w:rsid w:val="001D3C36"/>
    <w:rsid w:val="001D3E45"/>
    <w:rsid w:val="001D3F99"/>
    <w:rsid w:val="001D4421"/>
    <w:rsid w:val="001D4B8F"/>
    <w:rsid w:val="001D4D9D"/>
    <w:rsid w:val="001D5582"/>
    <w:rsid w:val="001D566F"/>
    <w:rsid w:val="001D6391"/>
    <w:rsid w:val="001D66A5"/>
    <w:rsid w:val="001D6815"/>
    <w:rsid w:val="001D6E97"/>
    <w:rsid w:val="001D703B"/>
    <w:rsid w:val="001D72AA"/>
    <w:rsid w:val="001D7C59"/>
    <w:rsid w:val="001D7E21"/>
    <w:rsid w:val="001E0091"/>
    <w:rsid w:val="001E0A1D"/>
    <w:rsid w:val="001E0C6C"/>
    <w:rsid w:val="001E0CCD"/>
    <w:rsid w:val="001E0FCF"/>
    <w:rsid w:val="001E12C3"/>
    <w:rsid w:val="001E13EA"/>
    <w:rsid w:val="001E18D3"/>
    <w:rsid w:val="001E1D00"/>
    <w:rsid w:val="001E1F53"/>
    <w:rsid w:val="001E2399"/>
    <w:rsid w:val="001E23BE"/>
    <w:rsid w:val="001E2C9A"/>
    <w:rsid w:val="001E2D90"/>
    <w:rsid w:val="001E310B"/>
    <w:rsid w:val="001E3683"/>
    <w:rsid w:val="001E3724"/>
    <w:rsid w:val="001E3ADD"/>
    <w:rsid w:val="001E3C59"/>
    <w:rsid w:val="001E3F19"/>
    <w:rsid w:val="001E4AB7"/>
    <w:rsid w:val="001E4CF8"/>
    <w:rsid w:val="001E4D29"/>
    <w:rsid w:val="001E4DB3"/>
    <w:rsid w:val="001E4EC5"/>
    <w:rsid w:val="001E5111"/>
    <w:rsid w:val="001E5643"/>
    <w:rsid w:val="001E573D"/>
    <w:rsid w:val="001E5B06"/>
    <w:rsid w:val="001E5CC7"/>
    <w:rsid w:val="001E5DE8"/>
    <w:rsid w:val="001E5FCF"/>
    <w:rsid w:val="001E6066"/>
    <w:rsid w:val="001E6698"/>
    <w:rsid w:val="001E7E95"/>
    <w:rsid w:val="001F0356"/>
    <w:rsid w:val="001F0832"/>
    <w:rsid w:val="001F0889"/>
    <w:rsid w:val="001F093F"/>
    <w:rsid w:val="001F0A95"/>
    <w:rsid w:val="001F0EA8"/>
    <w:rsid w:val="001F10DD"/>
    <w:rsid w:val="001F1132"/>
    <w:rsid w:val="001F1337"/>
    <w:rsid w:val="001F13A6"/>
    <w:rsid w:val="001F1586"/>
    <w:rsid w:val="001F1C01"/>
    <w:rsid w:val="001F1E0A"/>
    <w:rsid w:val="001F25FA"/>
    <w:rsid w:val="001F2B4F"/>
    <w:rsid w:val="001F2DA2"/>
    <w:rsid w:val="001F3039"/>
    <w:rsid w:val="001F30B9"/>
    <w:rsid w:val="001F35DD"/>
    <w:rsid w:val="001F3BD9"/>
    <w:rsid w:val="001F422E"/>
    <w:rsid w:val="001F44B2"/>
    <w:rsid w:val="001F45B2"/>
    <w:rsid w:val="001F4E2A"/>
    <w:rsid w:val="001F5A36"/>
    <w:rsid w:val="001F5C00"/>
    <w:rsid w:val="001F5CDA"/>
    <w:rsid w:val="001F5D98"/>
    <w:rsid w:val="001F617B"/>
    <w:rsid w:val="001F61E6"/>
    <w:rsid w:val="001F6438"/>
    <w:rsid w:val="001F671C"/>
    <w:rsid w:val="001F67EA"/>
    <w:rsid w:val="001F6800"/>
    <w:rsid w:val="001F69B0"/>
    <w:rsid w:val="001F6A4B"/>
    <w:rsid w:val="001F6D7A"/>
    <w:rsid w:val="001F6D90"/>
    <w:rsid w:val="001F6EA7"/>
    <w:rsid w:val="001F7000"/>
    <w:rsid w:val="001F77FF"/>
    <w:rsid w:val="001F7DE7"/>
    <w:rsid w:val="00200498"/>
    <w:rsid w:val="00200683"/>
    <w:rsid w:val="00200819"/>
    <w:rsid w:val="00200A16"/>
    <w:rsid w:val="00200E9C"/>
    <w:rsid w:val="00201160"/>
    <w:rsid w:val="002013A0"/>
    <w:rsid w:val="002016D6"/>
    <w:rsid w:val="002016F8"/>
    <w:rsid w:val="00201AEF"/>
    <w:rsid w:val="00202918"/>
    <w:rsid w:val="00202B79"/>
    <w:rsid w:val="00202B88"/>
    <w:rsid w:val="00202BE6"/>
    <w:rsid w:val="00202D54"/>
    <w:rsid w:val="00203272"/>
    <w:rsid w:val="002040A2"/>
    <w:rsid w:val="00204213"/>
    <w:rsid w:val="002042F2"/>
    <w:rsid w:val="00204DC2"/>
    <w:rsid w:val="002052D8"/>
    <w:rsid w:val="00205440"/>
    <w:rsid w:val="00205471"/>
    <w:rsid w:val="00205524"/>
    <w:rsid w:val="00205531"/>
    <w:rsid w:val="00205B29"/>
    <w:rsid w:val="00205B2F"/>
    <w:rsid w:val="00205E2C"/>
    <w:rsid w:val="002066E4"/>
    <w:rsid w:val="00206B3F"/>
    <w:rsid w:val="00206FA6"/>
    <w:rsid w:val="0020714F"/>
    <w:rsid w:val="0020755C"/>
    <w:rsid w:val="0020796E"/>
    <w:rsid w:val="00207C54"/>
    <w:rsid w:val="00207F55"/>
    <w:rsid w:val="00210008"/>
    <w:rsid w:val="002102DA"/>
    <w:rsid w:val="002109B5"/>
    <w:rsid w:val="00210D91"/>
    <w:rsid w:val="0021105F"/>
    <w:rsid w:val="00211119"/>
    <w:rsid w:val="0021122D"/>
    <w:rsid w:val="00211467"/>
    <w:rsid w:val="002117D9"/>
    <w:rsid w:val="00212165"/>
    <w:rsid w:val="002125F7"/>
    <w:rsid w:val="00212C19"/>
    <w:rsid w:val="002132B6"/>
    <w:rsid w:val="002134FE"/>
    <w:rsid w:val="002139B7"/>
    <w:rsid w:val="00213AFA"/>
    <w:rsid w:val="0021457B"/>
    <w:rsid w:val="00214AAC"/>
    <w:rsid w:val="00214C6A"/>
    <w:rsid w:val="0021569D"/>
    <w:rsid w:val="0021596B"/>
    <w:rsid w:val="002159FB"/>
    <w:rsid w:val="00215BF9"/>
    <w:rsid w:val="00215E6E"/>
    <w:rsid w:val="00215FA4"/>
    <w:rsid w:val="00216173"/>
    <w:rsid w:val="002161C0"/>
    <w:rsid w:val="002161CE"/>
    <w:rsid w:val="002167F5"/>
    <w:rsid w:val="00216B05"/>
    <w:rsid w:val="00217035"/>
    <w:rsid w:val="00217E53"/>
    <w:rsid w:val="00217FD7"/>
    <w:rsid w:val="0022025A"/>
    <w:rsid w:val="00220308"/>
    <w:rsid w:val="00220383"/>
    <w:rsid w:val="00220450"/>
    <w:rsid w:val="002209B4"/>
    <w:rsid w:val="00220B0E"/>
    <w:rsid w:val="00220B37"/>
    <w:rsid w:val="002213B8"/>
    <w:rsid w:val="00221428"/>
    <w:rsid w:val="0022188F"/>
    <w:rsid w:val="002218C6"/>
    <w:rsid w:val="00221A2D"/>
    <w:rsid w:val="00221B7A"/>
    <w:rsid w:val="00222198"/>
    <w:rsid w:val="002224AC"/>
    <w:rsid w:val="00222A37"/>
    <w:rsid w:val="00222E45"/>
    <w:rsid w:val="002238F2"/>
    <w:rsid w:val="002239B5"/>
    <w:rsid w:val="00223B35"/>
    <w:rsid w:val="002245EB"/>
    <w:rsid w:val="00224D15"/>
    <w:rsid w:val="0022522D"/>
    <w:rsid w:val="00225918"/>
    <w:rsid w:val="00225A47"/>
    <w:rsid w:val="00225AED"/>
    <w:rsid w:val="00226215"/>
    <w:rsid w:val="002264E3"/>
    <w:rsid w:val="00227087"/>
    <w:rsid w:val="00227138"/>
    <w:rsid w:val="002273C9"/>
    <w:rsid w:val="00227879"/>
    <w:rsid w:val="00227AA9"/>
    <w:rsid w:val="00227AB2"/>
    <w:rsid w:val="00227C34"/>
    <w:rsid w:val="00227D0B"/>
    <w:rsid w:val="0023010F"/>
    <w:rsid w:val="00230370"/>
    <w:rsid w:val="0023038B"/>
    <w:rsid w:val="00230DE4"/>
    <w:rsid w:val="0023148A"/>
    <w:rsid w:val="00231F34"/>
    <w:rsid w:val="00232816"/>
    <w:rsid w:val="00232873"/>
    <w:rsid w:val="002328EA"/>
    <w:rsid w:val="00232C40"/>
    <w:rsid w:val="00233614"/>
    <w:rsid w:val="002338C9"/>
    <w:rsid w:val="0023394A"/>
    <w:rsid w:val="00233C7A"/>
    <w:rsid w:val="0023416B"/>
    <w:rsid w:val="002342C8"/>
    <w:rsid w:val="002349C5"/>
    <w:rsid w:val="0023509A"/>
    <w:rsid w:val="0023524F"/>
    <w:rsid w:val="00235636"/>
    <w:rsid w:val="002356FB"/>
    <w:rsid w:val="00235750"/>
    <w:rsid w:val="00235989"/>
    <w:rsid w:val="00235C0B"/>
    <w:rsid w:val="002362BF"/>
    <w:rsid w:val="00236D73"/>
    <w:rsid w:val="00236E0D"/>
    <w:rsid w:val="002370FE"/>
    <w:rsid w:val="00237383"/>
    <w:rsid w:val="00237872"/>
    <w:rsid w:val="00237941"/>
    <w:rsid w:val="00237C58"/>
    <w:rsid w:val="00237C85"/>
    <w:rsid w:val="00237D6F"/>
    <w:rsid w:val="00240111"/>
    <w:rsid w:val="00240299"/>
    <w:rsid w:val="002403A2"/>
    <w:rsid w:val="00240423"/>
    <w:rsid w:val="002405A8"/>
    <w:rsid w:val="00240A4A"/>
    <w:rsid w:val="00240DAC"/>
    <w:rsid w:val="002419B5"/>
    <w:rsid w:val="00241F3B"/>
    <w:rsid w:val="002421D0"/>
    <w:rsid w:val="00242264"/>
    <w:rsid w:val="0024254A"/>
    <w:rsid w:val="002427BA"/>
    <w:rsid w:val="002431E3"/>
    <w:rsid w:val="00243485"/>
    <w:rsid w:val="00243E5F"/>
    <w:rsid w:val="00243E85"/>
    <w:rsid w:val="00243F3B"/>
    <w:rsid w:val="00244C79"/>
    <w:rsid w:val="00245364"/>
    <w:rsid w:val="002453E1"/>
    <w:rsid w:val="002454F4"/>
    <w:rsid w:val="002455C0"/>
    <w:rsid w:val="00245861"/>
    <w:rsid w:val="00245934"/>
    <w:rsid w:val="002460F4"/>
    <w:rsid w:val="0024611B"/>
    <w:rsid w:val="002462C3"/>
    <w:rsid w:val="00246815"/>
    <w:rsid w:val="00246999"/>
    <w:rsid w:val="00247296"/>
    <w:rsid w:val="00247298"/>
    <w:rsid w:val="002476AF"/>
    <w:rsid w:val="002477B6"/>
    <w:rsid w:val="00247DAA"/>
    <w:rsid w:val="002504D2"/>
    <w:rsid w:val="00250583"/>
    <w:rsid w:val="0025064B"/>
    <w:rsid w:val="0025090D"/>
    <w:rsid w:val="00251680"/>
    <w:rsid w:val="00251E8A"/>
    <w:rsid w:val="002524CB"/>
    <w:rsid w:val="00252657"/>
    <w:rsid w:val="00252CB5"/>
    <w:rsid w:val="00253213"/>
    <w:rsid w:val="00253253"/>
    <w:rsid w:val="0025375C"/>
    <w:rsid w:val="00253D77"/>
    <w:rsid w:val="00254331"/>
    <w:rsid w:val="00254549"/>
    <w:rsid w:val="00254C96"/>
    <w:rsid w:val="00254F51"/>
    <w:rsid w:val="00254FCD"/>
    <w:rsid w:val="00255A83"/>
    <w:rsid w:val="00255BCA"/>
    <w:rsid w:val="00255E24"/>
    <w:rsid w:val="00255EBE"/>
    <w:rsid w:val="00256716"/>
    <w:rsid w:val="0025674D"/>
    <w:rsid w:val="00256CF3"/>
    <w:rsid w:val="00256E49"/>
    <w:rsid w:val="00256FA3"/>
    <w:rsid w:val="00257332"/>
    <w:rsid w:val="00257850"/>
    <w:rsid w:val="00257950"/>
    <w:rsid w:val="00257BE6"/>
    <w:rsid w:val="00260327"/>
    <w:rsid w:val="002603EA"/>
    <w:rsid w:val="0026056E"/>
    <w:rsid w:val="002607DA"/>
    <w:rsid w:val="00260D48"/>
    <w:rsid w:val="00260D5F"/>
    <w:rsid w:val="002614B2"/>
    <w:rsid w:val="002617D0"/>
    <w:rsid w:val="00261E0B"/>
    <w:rsid w:val="002620D8"/>
    <w:rsid w:val="0026217D"/>
    <w:rsid w:val="0026259A"/>
    <w:rsid w:val="00263261"/>
    <w:rsid w:val="0026368D"/>
    <w:rsid w:val="00263768"/>
    <w:rsid w:val="0026386F"/>
    <w:rsid w:val="00263934"/>
    <w:rsid w:val="00263C82"/>
    <w:rsid w:val="00264368"/>
    <w:rsid w:val="00264630"/>
    <w:rsid w:val="00264959"/>
    <w:rsid w:val="00264E23"/>
    <w:rsid w:val="00264F42"/>
    <w:rsid w:val="00265696"/>
    <w:rsid w:val="00265B7C"/>
    <w:rsid w:val="00266627"/>
    <w:rsid w:val="0026690F"/>
    <w:rsid w:val="00266B15"/>
    <w:rsid w:val="00266C53"/>
    <w:rsid w:val="00266CFF"/>
    <w:rsid w:val="00266D11"/>
    <w:rsid w:val="00266D16"/>
    <w:rsid w:val="00267DE2"/>
    <w:rsid w:val="00270075"/>
    <w:rsid w:val="00270F2B"/>
    <w:rsid w:val="00271836"/>
    <w:rsid w:val="002719FE"/>
    <w:rsid w:val="00271D68"/>
    <w:rsid w:val="00272109"/>
    <w:rsid w:val="0027211A"/>
    <w:rsid w:val="0027241E"/>
    <w:rsid w:val="002724A9"/>
    <w:rsid w:val="002727E0"/>
    <w:rsid w:val="00273A8B"/>
    <w:rsid w:val="00274051"/>
    <w:rsid w:val="00274A83"/>
    <w:rsid w:val="00274D30"/>
    <w:rsid w:val="00275301"/>
    <w:rsid w:val="002755B0"/>
    <w:rsid w:val="002757FA"/>
    <w:rsid w:val="00275E1C"/>
    <w:rsid w:val="00276312"/>
    <w:rsid w:val="00276D76"/>
    <w:rsid w:val="0027742E"/>
    <w:rsid w:val="00277614"/>
    <w:rsid w:val="002776E7"/>
    <w:rsid w:val="00280330"/>
    <w:rsid w:val="0028035E"/>
    <w:rsid w:val="002803A0"/>
    <w:rsid w:val="00280572"/>
    <w:rsid w:val="00280AE9"/>
    <w:rsid w:val="00280CEE"/>
    <w:rsid w:val="00280DF5"/>
    <w:rsid w:val="0028126B"/>
    <w:rsid w:val="0028184A"/>
    <w:rsid w:val="00281C8C"/>
    <w:rsid w:val="00281D81"/>
    <w:rsid w:val="00281F15"/>
    <w:rsid w:val="0028207F"/>
    <w:rsid w:val="00282165"/>
    <w:rsid w:val="002829DB"/>
    <w:rsid w:val="00282CF4"/>
    <w:rsid w:val="00282F85"/>
    <w:rsid w:val="00283169"/>
    <w:rsid w:val="002834E0"/>
    <w:rsid w:val="002836DD"/>
    <w:rsid w:val="002838EA"/>
    <w:rsid w:val="0028410F"/>
    <w:rsid w:val="0028438B"/>
    <w:rsid w:val="00284A77"/>
    <w:rsid w:val="00284BB5"/>
    <w:rsid w:val="00284BF8"/>
    <w:rsid w:val="00284C60"/>
    <w:rsid w:val="00284D1A"/>
    <w:rsid w:val="00285136"/>
    <w:rsid w:val="002852D0"/>
    <w:rsid w:val="002852F6"/>
    <w:rsid w:val="00285780"/>
    <w:rsid w:val="002858B5"/>
    <w:rsid w:val="00285A26"/>
    <w:rsid w:val="00285A40"/>
    <w:rsid w:val="00285BBF"/>
    <w:rsid w:val="00285F6A"/>
    <w:rsid w:val="0028619E"/>
    <w:rsid w:val="0028744D"/>
    <w:rsid w:val="00287719"/>
    <w:rsid w:val="00287FEF"/>
    <w:rsid w:val="002905E6"/>
    <w:rsid w:val="0029073D"/>
    <w:rsid w:val="0029085F"/>
    <w:rsid w:val="00290867"/>
    <w:rsid w:val="00290FA9"/>
    <w:rsid w:val="00291127"/>
    <w:rsid w:val="00291236"/>
    <w:rsid w:val="002913AE"/>
    <w:rsid w:val="002913BB"/>
    <w:rsid w:val="00291469"/>
    <w:rsid w:val="002915E9"/>
    <w:rsid w:val="00291931"/>
    <w:rsid w:val="0029205B"/>
    <w:rsid w:val="0029218B"/>
    <w:rsid w:val="0029265F"/>
    <w:rsid w:val="00292A5D"/>
    <w:rsid w:val="00292B20"/>
    <w:rsid w:val="00292C1D"/>
    <w:rsid w:val="00292CA6"/>
    <w:rsid w:val="00292CAE"/>
    <w:rsid w:val="0029331C"/>
    <w:rsid w:val="00293483"/>
    <w:rsid w:val="0029388E"/>
    <w:rsid w:val="0029394C"/>
    <w:rsid w:val="00293B50"/>
    <w:rsid w:val="00293CD1"/>
    <w:rsid w:val="00293D34"/>
    <w:rsid w:val="00293EAD"/>
    <w:rsid w:val="00293F0A"/>
    <w:rsid w:val="00293F8C"/>
    <w:rsid w:val="002945D1"/>
    <w:rsid w:val="00294759"/>
    <w:rsid w:val="00294812"/>
    <w:rsid w:val="002949B9"/>
    <w:rsid w:val="00294A47"/>
    <w:rsid w:val="00294A79"/>
    <w:rsid w:val="00294C2C"/>
    <w:rsid w:val="00295026"/>
    <w:rsid w:val="002953BE"/>
    <w:rsid w:val="00296262"/>
    <w:rsid w:val="002965FE"/>
    <w:rsid w:val="00296F06"/>
    <w:rsid w:val="002970BD"/>
    <w:rsid w:val="00297158"/>
    <w:rsid w:val="0029777C"/>
    <w:rsid w:val="002978DC"/>
    <w:rsid w:val="00297CF9"/>
    <w:rsid w:val="00297DEA"/>
    <w:rsid w:val="00297F84"/>
    <w:rsid w:val="002A04B3"/>
    <w:rsid w:val="002A0DBC"/>
    <w:rsid w:val="002A15A5"/>
    <w:rsid w:val="002A17F3"/>
    <w:rsid w:val="002A1C87"/>
    <w:rsid w:val="002A1E89"/>
    <w:rsid w:val="002A3DCB"/>
    <w:rsid w:val="002A4883"/>
    <w:rsid w:val="002A496D"/>
    <w:rsid w:val="002A4C4B"/>
    <w:rsid w:val="002A4E34"/>
    <w:rsid w:val="002A4E90"/>
    <w:rsid w:val="002A53F0"/>
    <w:rsid w:val="002A5470"/>
    <w:rsid w:val="002A55A8"/>
    <w:rsid w:val="002A581E"/>
    <w:rsid w:val="002A589A"/>
    <w:rsid w:val="002A5930"/>
    <w:rsid w:val="002A5BA0"/>
    <w:rsid w:val="002A6EB9"/>
    <w:rsid w:val="002A6ECD"/>
    <w:rsid w:val="002A7041"/>
    <w:rsid w:val="002A7415"/>
    <w:rsid w:val="002A7634"/>
    <w:rsid w:val="002A7651"/>
    <w:rsid w:val="002A77F1"/>
    <w:rsid w:val="002B1107"/>
    <w:rsid w:val="002B14CF"/>
    <w:rsid w:val="002B1565"/>
    <w:rsid w:val="002B1845"/>
    <w:rsid w:val="002B1F0D"/>
    <w:rsid w:val="002B210B"/>
    <w:rsid w:val="002B236E"/>
    <w:rsid w:val="002B26EC"/>
    <w:rsid w:val="002B28A2"/>
    <w:rsid w:val="002B3117"/>
    <w:rsid w:val="002B33FA"/>
    <w:rsid w:val="002B3EB4"/>
    <w:rsid w:val="002B40AA"/>
    <w:rsid w:val="002B40B9"/>
    <w:rsid w:val="002B44F8"/>
    <w:rsid w:val="002B4BA0"/>
    <w:rsid w:val="002B4C58"/>
    <w:rsid w:val="002B5C53"/>
    <w:rsid w:val="002B60E5"/>
    <w:rsid w:val="002B6690"/>
    <w:rsid w:val="002B669B"/>
    <w:rsid w:val="002B6920"/>
    <w:rsid w:val="002B6BA2"/>
    <w:rsid w:val="002B6E9A"/>
    <w:rsid w:val="002B7762"/>
    <w:rsid w:val="002B787B"/>
    <w:rsid w:val="002B7A61"/>
    <w:rsid w:val="002C0213"/>
    <w:rsid w:val="002C19E7"/>
    <w:rsid w:val="002C22D7"/>
    <w:rsid w:val="002C24C8"/>
    <w:rsid w:val="002C26B8"/>
    <w:rsid w:val="002C276F"/>
    <w:rsid w:val="002C2EEF"/>
    <w:rsid w:val="002C33D2"/>
    <w:rsid w:val="002C3490"/>
    <w:rsid w:val="002C36E7"/>
    <w:rsid w:val="002C3782"/>
    <w:rsid w:val="002C39DF"/>
    <w:rsid w:val="002C3F42"/>
    <w:rsid w:val="002C40C3"/>
    <w:rsid w:val="002C4546"/>
    <w:rsid w:val="002C4787"/>
    <w:rsid w:val="002C47C1"/>
    <w:rsid w:val="002C4DC2"/>
    <w:rsid w:val="002C4FF7"/>
    <w:rsid w:val="002C50B8"/>
    <w:rsid w:val="002C5666"/>
    <w:rsid w:val="002C5DFD"/>
    <w:rsid w:val="002C6136"/>
    <w:rsid w:val="002C63BC"/>
    <w:rsid w:val="002C6661"/>
    <w:rsid w:val="002C66F4"/>
    <w:rsid w:val="002C712E"/>
    <w:rsid w:val="002C71BC"/>
    <w:rsid w:val="002C762E"/>
    <w:rsid w:val="002C765A"/>
    <w:rsid w:val="002C7702"/>
    <w:rsid w:val="002C7F9C"/>
    <w:rsid w:val="002D043B"/>
    <w:rsid w:val="002D056A"/>
    <w:rsid w:val="002D0BCD"/>
    <w:rsid w:val="002D0D96"/>
    <w:rsid w:val="002D0E0E"/>
    <w:rsid w:val="002D1237"/>
    <w:rsid w:val="002D17FF"/>
    <w:rsid w:val="002D1A38"/>
    <w:rsid w:val="002D2307"/>
    <w:rsid w:val="002D2419"/>
    <w:rsid w:val="002D24EE"/>
    <w:rsid w:val="002D25FA"/>
    <w:rsid w:val="002D274E"/>
    <w:rsid w:val="002D2829"/>
    <w:rsid w:val="002D2A3C"/>
    <w:rsid w:val="002D2A53"/>
    <w:rsid w:val="002D30FA"/>
    <w:rsid w:val="002D32E4"/>
    <w:rsid w:val="002D37BD"/>
    <w:rsid w:val="002D3878"/>
    <w:rsid w:val="002D3ACE"/>
    <w:rsid w:val="002D3EC3"/>
    <w:rsid w:val="002D40A2"/>
    <w:rsid w:val="002D4185"/>
    <w:rsid w:val="002D42B8"/>
    <w:rsid w:val="002D44CD"/>
    <w:rsid w:val="002D477A"/>
    <w:rsid w:val="002D4796"/>
    <w:rsid w:val="002D4A0B"/>
    <w:rsid w:val="002D4C61"/>
    <w:rsid w:val="002D4C73"/>
    <w:rsid w:val="002D4F05"/>
    <w:rsid w:val="002D4F8D"/>
    <w:rsid w:val="002D4FC6"/>
    <w:rsid w:val="002D5930"/>
    <w:rsid w:val="002D5E26"/>
    <w:rsid w:val="002D628F"/>
    <w:rsid w:val="002D62B5"/>
    <w:rsid w:val="002D6323"/>
    <w:rsid w:val="002D6D41"/>
    <w:rsid w:val="002D7319"/>
    <w:rsid w:val="002D7819"/>
    <w:rsid w:val="002E019C"/>
    <w:rsid w:val="002E0363"/>
    <w:rsid w:val="002E1072"/>
    <w:rsid w:val="002E1309"/>
    <w:rsid w:val="002E17B9"/>
    <w:rsid w:val="002E19CF"/>
    <w:rsid w:val="002E246E"/>
    <w:rsid w:val="002E2475"/>
    <w:rsid w:val="002E26EE"/>
    <w:rsid w:val="002E281B"/>
    <w:rsid w:val="002E282F"/>
    <w:rsid w:val="002E2A73"/>
    <w:rsid w:val="002E2C77"/>
    <w:rsid w:val="002E2DE4"/>
    <w:rsid w:val="002E32A3"/>
    <w:rsid w:val="002E3326"/>
    <w:rsid w:val="002E3934"/>
    <w:rsid w:val="002E3B5F"/>
    <w:rsid w:val="002E3B80"/>
    <w:rsid w:val="002E3DD1"/>
    <w:rsid w:val="002E3FA6"/>
    <w:rsid w:val="002E42E0"/>
    <w:rsid w:val="002E448A"/>
    <w:rsid w:val="002E466F"/>
    <w:rsid w:val="002E4693"/>
    <w:rsid w:val="002E4DFD"/>
    <w:rsid w:val="002E507C"/>
    <w:rsid w:val="002E5164"/>
    <w:rsid w:val="002E53B4"/>
    <w:rsid w:val="002E5448"/>
    <w:rsid w:val="002E5C89"/>
    <w:rsid w:val="002E6219"/>
    <w:rsid w:val="002E638E"/>
    <w:rsid w:val="002E63CC"/>
    <w:rsid w:val="002E66D2"/>
    <w:rsid w:val="002E6AEF"/>
    <w:rsid w:val="002E6DAF"/>
    <w:rsid w:val="002E6FF3"/>
    <w:rsid w:val="002E774B"/>
    <w:rsid w:val="002E777B"/>
    <w:rsid w:val="002F01C6"/>
    <w:rsid w:val="002F0215"/>
    <w:rsid w:val="002F0356"/>
    <w:rsid w:val="002F0617"/>
    <w:rsid w:val="002F07F0"/>
    <w:rsid w:val="002F0B1E"/>
    <w:rsid w:val="002F0CAF"/>
    <w:rsid w:val="002F100D"/>
    <w:rsid w:val="002F10B3"/>
    <w:rsid w:val="002F15DA"/>
    <w:rsid w:val="002F1666"/>
    <w:rsid w:val="002F17EC"/>
    <w:rsid w:val="002F17EF"/>
    <w:rsid w:val="002F18B6"/>
    <w:rsid w:val="002F1B6E"/>
    <w:rsid w:val="002F1D12"/>
    <w:rsid w:val="002F2071"/>
    <w:rsid w:val="002F2667"/>
    <w:rsid w:val="002F2748"/>
    <w:rsid w:val="002F279B"/>
    <w:rsid w:val="002F29A7"/>
    <w:rsid w:val="002F2C43"/>
    <w:rsid w:val="002F2F79"/>
    <w:rsid w:val="002F2FC1"/>
    <w:rsid w:val="002F33E2"/>
    <w:rsid w:val="002F3400"/>
    <w:rsid w:val="002F344D"/>
    <w:rsid w:val="002F359E"/>
    <w:rsid w:val="002F35D5"/>
    <w:rsid w:val="002F3750"/>
    <w:rsid w:val="002F54AE"/>
    <w:rsid w:val="002F64CB"/>
    <w:rsid w:val="002F7ED9"/>
    <w:rsid w:val="00300DA2"/>
    <w:rsid w:val="00300E17"/>
    <w:rsid w:val="00300E3A"/>
    <w:rsid w:val="0030155C"/>
    <w:rsid w:val="00301A9D"/>
    <w:rsid w:val="00301C0A"/>
    <w:rsid w:val="00301FA4"/>
    <w:rsid w:val="003021AE"/>
    <w:rsid w:val="00302207"/>
    <w:rsid w:val="0030225B"/>
    <w:rsid w:val="0030227F"/>
    <w:rsid w:val="0030236C"/>
    <w:rsid w:val="0030264B"/>
    <w:rsid w:val="00302CD8"/>
    <w:rsid w:val="00302FC5"/>
    <w:rsid w:val="0030330A"/>
    <w:rsid w:val="00303422"/>
    <w:rsid w:val="003037CF"/>
    <w:rsid w:val="0030399B"/>
    <w:rsid w:val="00303B02"/>
    <w:rsid w:val="00303DAB"/>
    <w:rsid w:val="00303F64"/>
    <w:rsid w:val="00304924"/>
    <w:rsid w:val="003055B3"/>
    <w:rsid w:val="00305616"/>
    <w:rsid w:val="0030582E"/>
    <w:rsid w:val="00305A92"/>
    <w:rsid w:val="00305D1F"/>
    <w:rsid w:val="00305D60"/>
    <w:rsid w:val="00305DB1"/>
    <w:rsid w:val="00305EBE"/>
    <w:rsid w:val="00305F6D"/>
    <w:rsid w:val="00306461"/>
    <w:rsid w:val="00306645"/>
    <w:rsid w:val="00306779"/>
    <w:rsid w:val="003068B1"/>
    <w:rsid w:val="003069C4"/>
    <w:rsid w:val="00306C7C"/>
    <w:rsid w:val="0030710B"/>
    <w:rsid w:val="00307240"/>
    <w:rsid w:val="003074FA"/>
    <w:rsid w:val="00307C03"/>
    <w:rsid w:val="00310885"/>
    <w:rsid w:val="00310997"/>
    <w:rsid w:val="00310A4E"/>
    <w:rsid w:val="00310BFD"/>
    <w:rsid w:val="00310CB4"/>
    <w:rsid w:val="0031102D"/>
    <w:rsid w:val="0031129E"/>
    <w:rsid w:val="0031132C"/>
    <w:rsid w:val="00311EFA"/>
    <w:rsid w:val="00312107"/>
    <w:rsid w:val="0031227D"/>
    <w:rsid w:val="00312604"/>
    <w:rsid w:val="00312708"/>
    <w:rsid w:val="0031313F"/>
    <w:rsid w:val="003132C8"/>
    <w:rsid w:val="00313487"/>
    <w:rsid w:val="003136F1"/>
    <w:rsid w:val="00314339"/>
    <w:rsid w:val="00314372"/>
    <w:rsid w:val="003143EC"/>
    <w:rsid w:val="00314A2A"/>
    <w:rsid w:val="00314B76"/>
    <w:rsid w:val="00314EE7"/>
    <w:rsid w:val="003152FA"/>
    <w:rsid w:val="003158F2"/>
    <w:rsid w:val="00315D5E"/>
    <w:rsid w:val="0031680F"/>
    <w:rsid w:val="00316A42"/>
    <w:rsid w:val="003170D2"/>
    <w:rsid w:val="0031721D"/>
    <w:rsid w:val="00317691"/>
    <w:rsid w:val="00317722"/>
    <w:rsid w:val="003178B8"/>
    <w:rsid w:val="00317A5A"/>
    <w:rsid w:val="00317BAB"/>
    <w:rsid w:val="00320467"/>
    <w:rsid w:val="00320470"/>
    <w:rsid w:val="00320DAF"/>
    <w:rsid w:val="00320FD9"/>
    <w:rsid w:val="003212C6"/>
    <w:rsid w:val="00321427"/>
    <w:rsid w:val="003216FA"/>
    <w:rsid w:val="00321700"/>
    <w:rsid w:val="0032174B"/>
    <w:rsid w:val="00321929"/>
    <w:rsid w:val="003225BD"/>
    <w:rsid w:val="0032283C"/>
    <w:rsid w:val="0032299E"/>
    <w:rsid w:val="00322A2F"/>
    <w:rsid w:val="00323468"/>
    <w:rsid w:val="00323563"/>
    <w:rsid w:val="0032394C"/>
    <w:rsid w:val="00323A86"/>
    <w:rsid w:val="0032418D"/>
    <w:rsid w:val="0032442A"/>
    <w:rsid w:val="003249F5"/>
    <w:rsid w:val="00324FEC"/>
    <w:rsid w:val="003255D3"/>
    <w:rsid w:val="00325788"/>
    <w:rsid w:val="00325D05"/>
    <w:rsid w:val="00325DEC"/>
    <w:rsid w:val="003262E1"/>
    <w:rsid w:val="00326F92"/>
    <w:rsid w:val="00327048"/>
    <w:rsid w:val="003271A0"/>
    <w:rsid w:val="003276F9"/>
    <w:rsid w:val="00327A3E"/>
    <w:rsid w:val="00327C1E"/>
    <w:rsid w:val="00327DF8"/>
    <w:rsid w:val="00327DF9"/>
    <w:rsid w:val="00327FC5"/>
    <w:rsid w:val="0033009B"/>
    <w:rsid w:val="003304BC"/>
    <w:rsid w:val="003310A2"/>
    <w:rsid w:val="003314F2"/>
    <w:rsid w:val="00331539"/>
    <w:rsid w:val="0033183F"/>
    <w:rsid w:val="00331C8B"/>
    <w:rsid w:val="00331EC7"/>
    <w:rsid w:val="00331FC3"/>
    <w:rsid w:val="00331FD5"/>
    <w:rsid w:val="0033206F"/>
    <w:rsid w:val="003321BD"/>
    <w:rsid w:val="003322B4"/>
    <w:rsid w:val="00332598"/>
    <w:rsid w:val="003325B7"/>
    <w:rsid w:val="00332904"/>
    <w:rsid w:val="00333246"/>
    <w:rsid w:val="00333692"/>
    <w:rsid w:val="00333A81"/>
    <w:rsid w:val="00333AEC"/>
    <w:rsid w:val="00333E62"/>
    <w:rsid w:val="00334002"/>
    <w:rsid w:val="00334170"/>
    <w:rsid w:val="00334667"/>
    <w:rsid w:val="00334A08"/>
    <w:rsid w:val="00334D3A"/>
    <w:rsid w:val="00334E2E"/>
    <w:rsid w:val="00334FB3"/>
    <w:rsid w:val="0033539D"/>
    <w:rsid w:val="003354F5"/>
    <w:rsid w:val="00335A05"/>
    <w:rsid w:val="003363AD"/>
    <w:rsid w:val="00336413"/>
    <w:rsid w:val="00336477"/>
    <w:rsid w:val="00336542"/>
    <w:rsid w:val="00336690"/>
    <w:rsid w:val="00336745"/>
    <w:rsid w:val="00336854"/>
    <w:rsid w:val="00336CF7"/>
    <w:rsid w:val="00337410"/>
    <w:rsid w:val="003377DB"/>
    <w:rsid w:val="00337E50"/>
    <w:rsid w:val="00337F4D"/>
    <w:rsid w:val="00340058"/>
    <w:rsid w:val="003400E7"/>
    <w:rsid w:val="003408DF"/>
    <w:rsid w:val="00340AF5"/>
    <w:rsid w:val="00340AFC"/>
    <w:rsid w:val="00340D2E"/>
    <w:rsid w:val="00340D47"/>
    <w:rsid w:val="00340E96"/>
    <w:rsid w:val="00341115"/>
    <w:rsid w:val="0034129E"/>
    <w:rsid w:val="003414D1"/>
    <w:rsid w:val="00341EB5"/>
    <w:rsid w:val="003422AF"/>
    <w:rsid w:val="003423C2"/>
    <w:rsid w:val="0034285E"/>
    <w:rsid w:val="0034290B"/>
    <w:rsid w:val="003429A8"/>
    <w:rsid w:val="00342AC6"/>
    <w:rsid w:val="00342D2D"/>
    <w:rsid w:val="00343745"/>
    <w:rsid w:val="00343AD1"/>
    <w:rsid w:val="003441AB"/>
    <w:rsid w:val="003444F6"/>
    <w:rsid w:val="003445EC"/>
    <w:rsid w:val="00344AD9"/>
    <w:rsid w:val="00344AE6"/>
    <w:rsid w:val="00344B4A"/>
    <w:rsid w:val="00345741"/>
    <w:rsid w:val="003460F7"/>
    <w:rsid w:val="003465A0"/>
    <w:rsid w:val="0034661F"/>
    <w:rsid w:val="003469DC"/>
    <w:rsid w:val="00346A53"/>
    <w:rsid w:val="00346B8E"/>
    <w:rsid w:val="00346BBF"/>
    <w:rsid w:val="003479CA"/>
    <w:rsid w:val="00347D30"/>
    <w:rsid w:val="00347DC2"/>
    <w:rsid w:val="00347F18"/>
    <w:rsid w:val="003500C3"/>
    <w:rsid w:val="00350187"/>
    <w:rsid w:val="0035043B"/>
    <w:rsid w:val="003506AD"/>
    <w:rsid w:val="003508C6"/>
    <w:rsid w:val="00350B42"/>
    <w:rsid w:val="00350CFB"/>
    <w:rsid w:val="003515D1"/>
    <w:rsid w:val="00351A7F"/>
    <w:rsid w:val="00351BD3"/>
    <w:rsid w:val="00351E34"/>
    <w:rsid w:val="00353006"/>
    <w:rsid w:val="003531CC"/>
    <w:rsid w:val="003533A0"/>
    <w:rsid w:val="003536CB"/>
    <w:rsid w:val="00353B71"/>
    <w:rsid w:val="00353BC9"/>
    <w:rsid w:val="00353C6B"/>
    <w:rsid w:val="00353D44"/>
    <w:rsid w:val="00353E56"/>
    <w:rsid w:val="00354018"/>
    <w:rsid w:val="003545B5"/>
    <w:rsid w:val="003545E1"/>
    <w:rsid w:val="0035509F"/>
    <w:rsid w:val="00355497"/>
    <w:rsid w:val="003557FB"/>
    <w:rsid w:val="00355A85"/>
    <w:rsid w:val="00355F17"/>
    <w:rsid w:val="00355FAE"/>
    <w:rsid w:val="0035606C"/>
    <w:rsid w:val="003561E3"/>
    <w:rsid w:val="00356B10"/>
    <w:rsid w:val="00356B2A"/>
    <w:rsid w:val="00356D1C"/>
    <w:rsid w:val="003576DE"/>
    <w:rsid w:val="003607BF"/>
    <w:rsid w:val="00360EDB"/>
    <w:rsid w:val="00360F1B"/>
    <w:rsid w:val="003616BF"/>
    <w:rsid w:val="00362DD2"/>
    <w:rsid w:val="00363229"/>
    <w:rsid w:val="0036332A"/>
    <w:rsid w:val="00363EBB"/>
    <w:rsid w:val="00363F0F"/>
    <w:rsid w:val="003640CA"/>
    <w:rsid w:val="00364391"/>
    <w:rsid w:val="00364417"/>
    <w:rsid w:val="003649EF"/>
    <w:rsid w:val="00364A97"/>
    <w:rsid w:val="00365702"/>
    <w:rsid w:val="00365D8B"/>
    <w:rsid w:val="00365DD5"/>
    <w:rsid w:val="00365F06"/>
    <w:rsid w:val="00365FFE"/>
    <w:rsid w:val="003662F5"/>
    <w:rsid w:val="00366734"/>
    <w:rsid w:val="0036685F"/>
    <w:rsid w:val="00366E49"/>
    <w:rsid w:val="003675CE"/>
    <w:rsid w:val="00367769"/>
    <w:rsid w:val="00367C78"/>
    <w:rsid w:val="0037084F"/>
    <w:rsid w:val="003709DE"/>
    <w:rsid w:val="00370B45"/>
    <w:rsid w:val="003711B9"/>
    <w:rsid w:val="00371404"/>
    <w:rsid w:val="0037153C"/>
    <w:rsid w:val="00371912"/>
    <w:rsid w:val="00371AD4"/>
    <w:rsid w:val="00371CB3"/>
    <w:rsid w:val="00371D9F"/>
    <w:rsid w:val="0037226C"/>
    <w:rsid w:val="00372902"/>
    <w:rsid w:val="0037298A"/>
    <w:rsid w:val="003729B1"/>
    <w:rsid w:val="00372C16"/>
    <w:rsid w:val="00372CE5"/>
    <w:rsid w:val="003732F2"/>
    <w:rsid w:val="00373403"/>
    <w:rsid w:val="00373A07"/>
    <w:rsid w:val="00373B5C"/>
    <w:rsid w:val="00373E67"/>
    <w:rsid w:val="0037467B"/>
    <w:rsid w:val="00374A91"/>
    <w:rsid w:val="00374AC7"/>
    <w:rsid w:val="00374E70"/>
    <w:rsid w:val="00375898"/>
    <w:rsid w:val="00375CB5"/>
    <w:rsid w:val="00375F66"/>
    <w:rsid w:val="003765EE"/>
    <w:rsid w:val="0037663B"/>
    <w:rsid w:val="00376DF5"/>
    <w:rsid w:val="003775DE"/>
    <w:rsid w:val="00377E81"/>
    <w:rsid w:val="00380173"/>
    <w:rsid w:val="003801CF"/>
    <w:rsid w:val="00380511"/>
    <w:rsid w:val="00380575"/>
    <w:rsid w:val="003808E9"/>
    <w:rsid w:val="00380AD7"/>
    <w:rsid w:val="00380AFF"/>
    <w:rsid w:val="00380C05"/>
    <w:rsid w:val="00380C9D"/>
    <w:rsid w:val="00381BFA"/>
    <w:rsid w:val="00381FD3"/>
    <w:rsid w:val="0038233D"/>
    <w:rsid w:val="0038240C"/>
    <w:rsid w:val="00382526"/>
    <w:rsid w:val="00382CB5"/>
    <w:rsid w:val="00382D10"/>
    <w:rsid w:val="00383A07"/>
    <w:rsid w:val="00383C42"/>
    <w:rsid w:val="00384774"/>
    <w:rsid w:val="00384B45"/>
    <w:rsid w:val="00384C0A"/>
    <w:rsid w:val="00384E83"/>
    <w:rsid w:val="00384F32"/>
    <w:rsid w:val="00385EA5"/>
    <w:rsid w:val="00385EB8"/>
    <w:rsid w:val="00385F69"/>
    <w:rsid w:val="0038609E"/>
    <w:rsid w:val="0038653F"/>
    <w:rsid w:val="0038657A"/>
    <w:rsid w:val="00386C71"/>
    <w:rsid w:val="003874FA"/>
    <w:rsid w:val="003876B3"/>
    <w:rsid w:val="00387AE1"/>
    <w:rsid w:val="00387BF3"/>
    <w:rsid w:val="003904DD"/>
    <w:rsid w:val="00390545"/>
    <w:rsid w:val="00390712"/>
    <w:rsid w:val="00390CD1"/>
    <w:rsid w:val="00390E4B"/>
    <w:rsid w:val="003910EB"/>
    <w:rsid w:val="003914BD"/>
    <w:rsid w:val="003917D0"/>
    <w:rsid w:val="00391830"/>
    <w:rsid w:val="00391B90"/>
    <w:rsid w:val="00392018"/>
    <w:rsid w:val="00392019"/>
    <w:rsid w:val="00392409"/>
    <w:rsid w:val="00392736"/>
    <w:rsid w:val="003927C4"/>
    <w:rsid w:val="00392869"/>
    <w:rsid w:val="00392DFA"/>
    <w:rsid w:val="00393132"/>
    <w:rsid w:val="00393149"/>
    <w:rsid w:val="00393385"/>
    <w:rsid w:val="00393572"/>
    <w:rsid w:val="00393612"/>
    <w:rsid w:val="00393782"/>
    <w:rsid w:val="00393822"/>
    <w:rsid w:val="00393B2D"/>
    <w:rsid w:val="00393D38"/>
    <w:rsid w:val="00394D4E"/>
    <w:rsid w:val="00395668"/>
    <w:rsid w:val="00395714"/>
    <w:rsid w:val="00395D50"/>
    <w:rsid w:val="00395E5B"/>
    <w:rsid w:val="003961CA"/>
    <w:rsid w:val="0039622C"/>
    <w:rsid w:val="003965B4"/>
    <w:rsid w:val="003967DE"/>
    <w:rsid w:val="00396A1B"/>
    <w:rsid w:val="00396B01"/>
    <w:rsid w:val="00396DF6"/>
    <w:rsid w:val="003973F1"/>
    <w:rsid w:val="00397413"/>
    <w:rsid w:val="0039746D"/>
    <w:rsid w:val="00397FA6"/>
    <w:rsid w:val="003A026F"/>
    <w:rsid w:val="003A1041"/>
    <w:rsid w:val="003A13CF"/>
    <w:rsid w:val="003A1515"/>
    <w:rsid w:val="003A15A7"/>
    <w:rsid w:val="003A1E09"/>
    <w:rsid w:val="003A2174"/>
    <w:rsid w:val="003A32A8"/>
    <w:rsid w:val="003A3418"/>
    <w:rsid w:val="003A3518"/>
    <w:rsid w:val="003A359E"/>
    <w:rsid w:val="003A3998"/>
    <w:rsid w:val="003A3E4C"/>
    <w:rsid w:val="003A3E7F"/>
    <w:rsid w:val="003A4009"/>
    <w:rsid w:val="003A40FD"/>
    <w:rsid w:val="003A43AC"/>
    <w:rsid w:val="003A48D2"/>
    <w:rsid w:val="003A4BFA"/>
    <w:rsid w:val="003A53E7"/>
    <w:rsid w:val="003A56DA"/>
    <w:rsid w:val="003A5922"/>
    <w:rsid w:val="003A5C8D"/>
    <w:rsid w:val="003A5E30"/>
    <w:rsid w:val="003A5FEE"/>
    <w:rsid w:val="003A67C9"/>
    <w:rsid w:val="003A6867"/>
    <w:rsid w:val="003A6890"/>
    <w:rsid w:val="003A68C0"/>
    <w:rsid w:val="003A68D5"/>
    <w:rsid w:val="003A7004"/>
    <w:rsid w:val="003A7162"/>
    <w:rsid w:val="003A7455"/>
    <w:rsid w:val="003A746A"/>
    <w:rsid w:val="003A7785"/>
    <w:rsid w:val="003A7936"/>
    <w:rsid w:val="003A7B65"/>
    <w:rsid w:val="003A7CAE"/>
    <w:rsid w:val="003A7EDF"/>
    <w:rsid w:val="003B01D4"/>
    <w:rsid w:val="003B0367"/>
    <w:rsid w:val="003B051E"/>
    <w:rsid w:val="003B062B"/>
    <w:rsid w:val="003B07EB"/>
    <w:rsid w:val="003B082B"/>
    <w:rsid w:val="003B0B05"/>
    <w:rsid w:val="003B0C3D"/>
    <w:rsid w:val="003B0E42"/>
    <w:rsid w:val="003B1A08"/>
    <w:rsid w:val="003B2703"/>
    <w:rsid w:val="003B289E"/>
    <w:rsid w:val="003B2A1F"/>
    <w:rsid w:val="003B2BC8"/>
    <w:rsid w:val="003B2F7A"/>
    <w:rsid w:val="003B3058"/>
    <w:rsid w:val="003B30CA"/>
    <w:rsid w:val="003B3494"/>
    <w:rsid w:val="003B3651"/>
    <w:rsid w:val="003B36A7"/>
    <w:rsid w:val="003B3712"/>
    <w:rsid w:val="003B39AB"/>
    <w:rsid w:val="003B3B9D"/>
    <w:rsid w:val="003B3E34"/>
    <w:rsid w:val="003B3E66"/>
    <w:rsid w:val="003B4429"/>
    <w:rsid w:val="003B482A"/>
    <w:rsid w:val="003B4838"/>
    <w:rsid w:val="003B4E6F"/>
    <w:rsid w:val="003B507F"/>
    <w:rsid w:val="003B5348"/>
    <w:rsid w:val="003B5B1A"/>
    <w:rsid w:val="003B5EBB"/>
    <w:rsid w:val="003B641C"/>
    <w:rsid w:val="003B64F7"/>
    <w:rsid w:val="003B6924"/>
    <w:rsid w:val="003B70DF"/>
    <w:rsid w:val="003B72E8"/>
    <w:rsid w:val="003B73ED"/>
    <w:rsid w:val="003B7B4A"/>
    <w:rsid w:val="003B7E39"/>
    <w:rsid w:val="003C02D9"/>
    <w:rsid w:val="003C045F"/>
    <w:rsid w:val="003C0609"/>
    <w:rsid w:val="003C0749"/>
    <w:rsid w:val="003C097A"/>
    <w:rsid w:val="003C16E7"/>
    <w:rsid w:val="003C17A2"/>
    <w:rsid w:val="003C18E2"/>
    <w:rsid w:val="003C1DC9"/>
    <w:rsid w:val="003C1F61"/>
    <w:rsid w:val="003C21F4"/>
    <w:rsid w:val="003C2247"/>
    <w:rsid w:val="003C238B"/>
    <w:rsid w:val="003C243B"/>
    <w:rsid w:val="003C291D"/>
    <w:rsid w:val="003C30C6"/>
    <w:rsid w:val="003C3666"/>
    <w:rsid w:val="003C3792"/>
    <w:rsid w:val="003C3EF5"/>
    <w:rsid w:val="003C431B"/>
    <w:rsid w:val="003C455C"/>
    <w:rsid w:val="003C4AEF"/>
    <w:rsid w:val="003C4BDD"/>
    <w:rsid w:val="003C5197"/>
    <w:rsid w:val="003C5608"/>
    <w:rsid w:val="003C56B4"/>
    <w:rsid w:val="003C56EB"/>
    <w:rsid w:val="003C6327"/>
    <w:rsid w:val="003C642E"/>
    <w:rsid w:val="003C6A3E"/>
    <w:rsid w:val="003C6D92"/>
    <w:rsid w:val="003C7A76"/>
    <w:rsid w:val="003C7BD6"/>
    <w:rsid w:val="003C7C16"/>
    <w:rsid w:val="003C7E73"/>
    <w:rsid w:val="003C7F1A"/>
    <w:rsid w:val="003D01A2"/>
    <w:rsid w:val="003D02B6"/>
    <w:rsid w:val="003D0307"/>
    <w:rsid w:val="003D0401"/>
    <w:rsid w:val="003D058C"/>
    <w:rsid w:val="003D0A78"/>
    <w:rsid w:val="003D0D0A"/>
    <w:rsid w:val="003D0E24"/>
    <w:rsid w:val="003D0ED2"/>
    <w:rsid w:val="003D1004"/>
    <w:rsid w:val="003D1226"/>
    <w:rsid w:val="003D12CA"/>
    <w:rsid w:val="003D1909"/>
    <w:rsid w:val="003D2633"/>
    <w:rsid w:val="003D26DF"/>
    <w:rsid w:val="003D3918"/>
    <w:rsid w:val="003D39BF"/>
    <w:rsid w:val="003D3C16"/>
    <w:rsid w:val="003D3CD0"/>
    <w:rsid w:val="003D41D2"/>
    <w:rsid w:val="003D4311"/>
    <w:rsid w:val="003D45FB"/>
    <w:rsid w:val="003D461C"/>
    <w:rsid w:val="003D47D3"/>
    <w:rsid w:val="003D4A96"/>
    <w:rsid w:val="003D4DAE"/>
    <w:rsid w:val="003D4FF2"/>
    <w:rsid w:val="003D50E9"/>
    <w:rsid w:val="003D521D"/>
    <w:rsid w:val="003D541D"/>
    <w:rsid w:val="003D55C9"/>
    <w:rsid w:val="003D55EB"/>
    <w:rsid w:val="003D5654"/>
    <w:rsid w:val="003D5AF3"/>
    <w:rsid w:val="003D61C8"/>
    <w:rsid w:val="003D6512"/>
    <w:rsid w:val="003D6A71"/>
    <w:rsid w:val="003D6FE5"/>
    <w:rsid w:val="003D71CB"/>
    <w:rsid w:val="003D75BB"/>
    <w:rsid w:val="003D7CE5"/>
    <w:rsid w:val="003D7DC5"/>
    <w:rsid w:val="003D7F34"/>
    <w:rsid w:val="003D7FCD"/>
    <w:rsid w:val="003E0164"/>
    <w:rsid w:val="003E04C1"/>
    <w:rsid w:val="003E077B"/>
    <w:rsid w:val="003E0DCB"/>
    <w:rsid w:val="003E1287"/>
    <w:rsid w:val="003E14C2"/>
    <w:rsid w:val="003E1856"/>
    <w:rsid w:val="003E1892"/>
    <w:rsid w:val="003E18ED"/>
    <w:rsid w:val="003E2218"/>
    <w:rsid w:val="003E264E"/>
    <w:rsid w:val="003E2B2A"/>
    <w:rsid w:val="003E334D"/>
    <w:rsid w:val="003E35D4"/>
    <w:rsid w:val="003E3605"/>
    <w:rsid w:val="003E4EAB"/>
    <w:rsid w:val="003E504F"/>
    <w:rsid w:val="003E52C3"/>
    <w:rsid w:val="003E5858"/>
    <w:rsid w:val="003E598C"/>
    <w:rsid w:val="003E5A74"/>
    <w:rsid w:val="003E5CE6"/>
    <w:rsid w:val="003E5E8D"/>
    <w:rsid w:val="003E5EF0"/>
    <w:rsid w:val="003E5F33"/>
    <w:rsid w:val="003E75C6"/>
    <w:rsid w:val="003E77B1"/>
    <w:rsid w:val="003E7824"/>
    <w:rsid w:val="003E7E69"/>
    <w:rsid w:val="003F0186"/>
    <w:rsid w:val="003F0409"/>
    <w:rsid w:val="003F0701"/>
    <w:rsid w:val="003F0AA5"/>
    <w:rsid w:val="003F0B9A"/>
    <w:rsid w:val="003F0F60"/>
    <w:rsid w:val="003F1016"/>
    <w:rsid w:val="003F14CF"/>
    <w:rsid w:val="003F2276"/>
    <w:rsid w:val="003F26BA"/>
    <w:rsid w:val="003F2716"/>
    <w:rsid w:val="003F27CB"/>
    <w:rsid w:val="003F2807"/>
    <w:rsid w:val="003F2BEE"/>
    <w:rsid w:val="003F2CD5"/>
    <w:rsid w:val="003F3340"/>
    <w:rsid w:val="003F345B"/>
    <w:rsid w:val="003F354C"/>
    <w:rsid w:val="003F3612"/>
    <w:rsid w:val="003F3647"/>
    <w:rsid w:val="003F374C"/>
    <w:rsid w:val="003F3796"/>
    <w:rsid w:val="003F391B"/>
    <w:rsid w:val="003F39C0"/>
    <w:rsid w:val="003F39C5"/>
    <w:rsid w:val="003F3B8F"/>
    <w:rsid w:val="003F3F06"/>
    <w:rsid w:val="003F4031"/>
    <w:rsid w:val="003F405E"/>
    <w:rsid w:val="003F4384"/>
    <w:rsid w:val="003F46D4"/>
    <w:rsid w:val="003F4BBC"/>
    <w:rsid w:val="003F5005"/>
    <w:rsid w:val="003F52E3"/>
    <w:rsid w:val="003F59CE"/>
    <w:rsid w:val="003F5BDC"/>
    <w:rsid w:val="003F66EB"/>
    <w:rsid w:val="003F6F38"/>
    <w:rsid w:val="003F764D"/>
    <w:rsid w:val="003F777A"/>
    <w:rsid w:val="003F7ABC"/>
    <w:rsid w:val="0040050E"/>
    <w:rsid w:val="00401B7A"/>
    <w:rsid w:val="0040229B"/>
    <w:rsid w:val="00402623"/>
    <w:rsid w:val="00402C29"/>
    <w:rsid w:val="00402E83"/>
    <w:rsid w:val="00402EC2"/>
    <w:rsid w:val="00403029"/>
    <w:rsid w:val="004036FC"/>
    <w:rsid w:val="00403760"/>
    <w:rsid w:val="004038B2"/>
    <w:rsid w:val="00403D10"/>
    <w:rsid w:val="00404011"/>
    <w:rsid w:val="004040AA"/>
    <w:rsid w:val="004044EE"/>
    <w:rsid w:val="00404659"/>
    <w:rsid w:val="004047D9"/>
    <w:rsid w:val="004048A7"/>
    <w:rsid w:val="00404D96"/>
    <w:rsid w:val="0040529E"/>
    <w:rsid w:val="004059B8"/>
    <w:rsid w:val="004060B6"/>
    <w:rsid w:val="00406CB5"/>
    <w:rsid w:val="00406CDE"/>
    <w:rsid w:val="0040735E"/>
    <w:rsid w:val="00407504"/>
    <w:rsid w:val="0040792A"/>
    <w:rsid w:val="00410A56"/>
    <w:rsid w:val="00410F46"/>
    <w:rsid w:val="004113DF"/>
    <w:rsid w:val="00411491"/>
    <w:rsid w:val="00411658"/>
    <w:rsid w:val="004119AD"/>
    <w:rsid w:val="0041256B"/>
    <w:rsid w:val="004125F0"/>
    <w:rsid w:val="00412948"/>
    <w:rsid w:val="004129FB"/>
    <w:rsid w:val="004134CF"/>
    <w:rsid w:val="004138ED"/>
    <w:rsid w:val="00413C9A"/>
    <w:rsid w:val="00414B61"/>
    <w:rsid w:val="00415ABA"/>
    <w:rsid w:val="00415C87"/>
    <w:rsid w:val="00415D63"/>
    <w:rsid w:val="0041616E"/>
    <w:rsid w:val="0041682E"/>
    <w:rsid w:val="00416D2C"/>
    <w:rsid w:val="00416F20"/>
    <w:rsid w:val="004173A2"/>
    <w:rsid w:val="00417A02"/>
    <w:rsid w:val="00417DB6"/>
    <w:rsid w:val="00417E7D"/>
    <w:rsid w:val="004204AD"/>
    <w:rsid w:val="004207DA"/>
    <w:rsid w:val="004207DF"/>
    <w:rsid w:val="004208DA"/>
    <w:rsid w:val="00420966"/>
    <w:rsid w:val="00420B3C"/>
    <w:rsid w:val="00420CB3"/>
    <w:rsid w:val="00420D33"/>
    <w:rsid w:val="0042107D"/>
    <w:rsid w:val="004210DB"/>
    <w:rsid w:val="00421101"/>
    <w:rsid w:val="00421600"/>
    <w:rsid w:val="00421932"/>
    <w:rsid w:val="00421A5C"/>
    <w:rsid w:val="00421AD8"/>
    <w:rsid w:val="00421F55"/>
    <w:rsid w:val="00421FB2"/>
    <w:rsid w:val="004221AE"/>
    <w:rsid w:val="00422264"/>
    <w:rsid w:val="004224FF"/>
    <w:rsid w:val="004227E2"/>
    <w:rsid w:val="00422838"/>
    <w:rsid w:val="00422F45"/>
    <w:rsid w:val="0042303C"/>
    <w:rsid w:val="00423602"/>
    <w:rsid w:val="00423767"/>
    <w:rsid w:val="00423889"/>
    <w:rsid w:val="00423B4F"/>
    <w:rsid w:val="00423D84"/>
    <w:rsid w:val="004240AF"/>
    <w:rsid w:val="004240B6"/>
    <w:rsid w:val="004240E0"/>
    <w:rsid w:val="004243EA"/>
    <w:rsid w:val="00424774"/>
    <w:rsid w:val="00424AB7"/>
    <w:rsid w:val="00424DC5"/>
    <w:rsid w:val="004255E8"/>
    <w:rsid w:val="0042570B"/>
    <w:rsid w:val="00425891"/>
    <w:rsid w:val="00425EA7"/>
    <w:rsid w:val="00425FC6"/>
    <w:rsid w:val="004261F4"/>
    <w:rsid w:val="004267E3"/>
    <w:rsid w:val="00426E30"/>
    <w:rsid w:val="00427029"/>
    <w:rsid w:val="00427055"/>
    <w:rsid w:val="0042707A"/>
    <w:rsid w:val="004271B2"/>
    <w:rsid w:val="0042785C"/>
    <w:rsid w:val="004279CA"/>
    <w:rsid w:val="00427DBF"/>
    <w:rsid w:val="00427E54"/>
    <w:rsid w:val="00427E90"/>
    <w:rsid w:val="00427E94"/>
    <w:rsid w:val="0043004A"/>
    <w:rsid w:val="004300A1"/>
    <w:rsid w:val="004302B8"/>
    <w:rsid w:val="0043070A"/>
    <w:rsid w:val="0043079F"/>
    <w:rsid w:val="00431335"/>
    <w:rsid w:val="00431506"/>
    <w:rsid w:val="00431B46"/>
    <w:rsid w:val="00431BF2"/>
    <w:rsid w:val="00431E38"/>
    <w:rsid w:val="00431E3D"/>
    <w:rsid w:val="00431F0D"/>
    <w:rsid w:val="0043225A"/>
    <w:rsid w:val="00432304"/>
    <w:rsid w:val="00432894"/>
    <w:rsid w:val="00432C82"/>
    <w:rsid w:val="00433488"/>
    <w:rsid w:val="00433C85"/>
    <w:rsid w:val="0043427B"/>
    <w:rsid w:val="004342AF"/>
    <w:rsid w:val="00434CCB"/>
    <w:rsid w:val="00434FB7"/>
    <w:rsid w:val="00434FD0"/>
    <w:rsid w:val="0043506D"/>
    <w:rsid w:val="00435357"/>
    <w:rsid w:val="004354F1"/>
    <w:rsid w:val="00435800"/>
    <w:rsid w:val="0043585E"/>
    <w:rsid w:val="0043670C"/>
    <w:rsid w:val="00436B6D"/>
    <w:rsid w:val="00436B73"/>
    <w:rsid w:val="00436D1F"/>
    <w:rsid w:val="00436FBC"/>
    <w:rsid w:val="00437081"/>
    <w:rsid w:val="004373F1"/>
    <w:rsid w:val="00437EAB"/>
    <w:rsid w:val="00440211"/>
    <w:rsid w:val="004403A1"/>
    <w:rsid w:val="0044054A"/>
    <w:rsid w:val="00440D24"/>
    <w:rsid w:val="004417E9"/>
    <w:rsid w:val="00441927"/>
    <w:rsid w:val="00441EB2"/>
    <w:rsid w:val="00441F31"/>
    <w:rsid w:val="00442229"/>
    <w:rsid w:val="0044231A"/>
    <w:rsid w:val="0044334C"/>
    <w:rsid w:val="0044356A"/>
    <w:rsid w:val="004439ED"/>
    <w:rsid w:val="00443A90"/>
    <w:rsid w:val="00443B8E"/>
    <w:rsid w:val="00443C13"/>
    <w:rsid w:val="00443E59"/>
    <w:rsid w:val="004448BB"/>
    <w:rsid w:val="00445601"/>
    <w:rsid w:val="00445924"/>
    <w:rsid w:val="00445B9A"/>
    <w:rsid w:val="0044600A"/>
    <w:rsid w:val="004466A3"/>
    <w:rsid w:val="00446B67"/>
    <w:rsid w:val="00446EBB"/>
    <w:rsid w:val="004471BF"/>
    <w:rsid w:val="0044746F"/>
    <w:rsid w:val="004474E4"/>
    <w:rsid w:val="00447A95"/>
    <w:rsid w:val="00447BAA"/>
    <w:rsid w:val="00447CFE"/>
    <w:rsid w:val="00447E76"/>
    <w:rsid w:val="004503FC"/>
    <w:rsid w:val="00450BC7"/>
    <w:rsid w:val="00450BE2"/>
    <w:rsid w:val="00451005"/>
    <w:rsid w:val="004513F0"/>
    <w:rsid w:val="004514E5"/>
    <w:rsid w:val="004516BA"/>
    <w:rsid w:val="004518F6"/>
    <w:rsid w:val="0045196E"/>
    <w:rsid w:val="004519C0"/>
    <w:rsid w:val="004519C1"/>
    <w:rsid w:val="00451D27"/>
    <w:rsid w:val="00451D31"/>
    <w:rsid w:val="00451F47"/>
    <w:rsid w:val="004520A6"/>
    <w:rsid w:val="00452172"/>
    <w:rsid w:val="0045226C"/>
    <w:rsid w:val="00452BC8"/>
    <w:rsid w:val="00452D9F"/>
    <w:rsid w:val="00453001"/>
    <w:rsid w:val="0045302C"/>
    <w:rsid w:val="00453038"/>
    <w:rsid w:val="00453094"/>
    <w:rsid w:val="004530C1"/>
    <w:rsid w:val="004532A7"/>
    <w:rsid w:val="00453B4D"/>
    <w:rsid w:val="00453CC5"/>
    <w:rsid w:val="00453CEC"/>
    <w:rsid w:val="0045419C"/>
    <w:rsid w:val="0045426C"/>
    <w:rsid w:val="004542BF"/>
    <w:rsid w:val="004547E7"/>
    <w:rsid w:val="00454BA5"/>
    <w:rsid w:val="00454E51"/>
    <w:rsid w:val="00455075"/>
    <w:rsid w:val="0045513A"/>
    <w:rsid w:val="00455213"/>
    <w:rsid w:val="0045557D"/>
    <w:rsid w:val="004555D3"/>
    <w:rsid w:val="00455826"/>
    <w:rsid w:val="004558DF"/>
    <w:rsid w:val="004559F5"/>
    <w:rsid w:val="00455A47"/>
    <w:rsid w:val="00455C33"/>
    <w:rsid w:val="00455C6B"/>
    <w:rsid w:val="00455E21"/>
    <w:rsid w:val="004566BC"/>
    <w:rsid w:val="00456922"/>
    <w:rsid w:val="00456A07"/>
    <w:rsid w:val="00456B32"/>
    <w:rsid w:val="00456CC9"/>
    <w:rsid w:val="00456FBF"/>
    <w:rsid w:val="00457583"/>
    <w:rsid w:val="00457695"/>
    <w:rsid w:val="004578BC"/>
    <w:rsid w:val="00457F3B"/>
    <w:rsid w:val="00460915"/>
    <w:rsid w:val="00460CE2"/>
    <w:rsid w:val="004615E5"/>
    <w:rsid w:val="004619D2"/>
    <w:rsid w:val="004621A3"/>
    <w:rsid w:val="004623C3"/>
    <w:rsid w:val="00462555"/>
    <w:rsid w:val="00462F9B"/>
    <w:rsid w:val="00463152"/>
    <w:rsid w:val="0046330A"/>
    <w:rsid w:val="004637F5"/>
    <w:rsid w:val="00463DB1"/>
    <w:rsid w:val="00463DC0"/>
    <w:rsid w:val="00463FD0"/>
    <w:rsid w:val="00464635"/>
    <w:rsid w:val="004646A2"/>
    <w:rsid w:val="004648A8"/>
    <w:rsid w:val="00464D38"/>
    <w:rsid w:val="00465466"/>
    <w:rsid w:val="00465486"/>
    <w:rsid w:val="00465F38"/>
    <w:rsid w:val="00466211"/>
    <w:rsid w:val="00466B94"/>
    <w:rsid w:val="00466D72"/>
    <w:rsid w:val="00466DB0"/>
    <w:rsid w:val="004675C4"/>
    <w:rsid w:val="0046790E"/>
    <w:rsid w:val="00467E26"/>
    <w:rsid w:val="00467FC6"/>
    <w:rsid w:val="00470016"/>
    <w:rsid w:val="0047048E"/>
    <w:rsid w:val="0047092F"/>
    <w:rsid w:val="00470EC7"/>
    <w:rsid w:val="00470FE9"/>
    <w:rsid w:val="00471110"/>
    <w:rsid w:val="00471322"/>
    <w:rsid w:val="00471733"/>
    <w:rsid w:val="00471E2B"/>
    <w:rsid w:val="0047259D"/>
    <w:rsid w:val="004726B7"/>
    <w:rsid w:val="00472709"/>
    <w:rsid w:val="00472A4C"/>
    <w:rsid w:val="004735C0"/>
    <w:rsid w:val="004737E8"/>
    <w:rsid w:val="004738D0"/>
    <w:rsid w:val="00473971"/>
    <w:rsid w:val="00473B5F"/>
    <w:rsid w:val="00473BF8"/>
    <w:rsid w:val="00473F85"/>
    <w:rsid w:val="004742BC"/>
    <w:rsid w:val="00474737"/>
    <w:rsid w:val="00474B81"/>
    <w:rsid w:val="00474DFB"/>
    <w:rsid w:val="00474EBB"/>
    <w:rsid w:val="00475233"/>
    <w:rsid w:val="0047545F"/>
    <w:rsid w:val="004758BD"/>
    <w:rsid w:val="00475D74"/>
    <w:rsid w:val="00475E1F"/>
    <w:rsid w:val="00475FF1"/>
    <w:rsid w:val="0047619D"/>
    <w:rsid w:val="00476933"/>
    <w:rsid w:val="00476A6C"/>
    <w:rsid w:val="00476C9D"/>
    <w:rsid w:val="00476DC6"/>
    <w:rsid w:val="00477379"/>
    <w:rsid w:val="0048044F"/>
    <w:rsid w:val="00480652"/>
    <w:rsid w:val="0048143F"/>
    <w:rsid w:val="004818B0"/>
    <w:rsid w:val="00481B06"/>
    <w:rsid w:val="00481EA7"/>
    <w:rsid w:val="004829BA"/>
    <w:rsid w:val="00482C69"/>
    <w:rsid w:val="00483393"/>
    <w:rsid w:val="00483AA1"/>
    <w:rsid w:val="00483CEE"/>
    <w:rsid w:val="00484F78"/>
    <w:rsid w:val="00485025"/>
    <w:rsid w:val="00485242"/>
    <w:rsid w:val="00485388"/>
    <w:rsid w:val="0048559C"/>
    <w:rsid w:val="0048654F"/>
    <w:rsid w:val="00486627"/>
    <w:rsid w:val="00486655"/>
    <w:rsid w:val="00486A5A"/>
    <w:rsid w:val="00487394"/>
    <w:rsid w:val="004873A1"/>
    <w:rsid w:val="0048742A"/>
    <w:rsid w:val="004875D0"/>
    <w:rsid w:val="00487BE9"/>
    <w:rsid w:val="00487C18"/>
    <w:rsid w:val="00490116"/>
    <w:rsid w:val="0049017D"/>
    <w:rsid w:val="0049039E"/>
    <w:rsid w:val="00490A50"/>
    <w:rsid w:val="0049125E"/>
    <w:rsid w:val="00491B19"/>
    <w:rsid w:val="00491DA1"/>
    <w:rsid w:val="00491E10"/>
    <w:rsid w:val="00491EFB"/>
    <w:rsid w:val="00491F84"/>
    <w:rsid w:val="0049269A"/>
    <w:rsid w:val="004928CE"/>
    <w:rsid w:val="00492F69"/>
    <w:rsid w:val="0049354E"/>
    <w:rsid w:val="00493601"/>
    <w:rsid w:val="00493865"/>
    <w:rsid w:val="00493AFF"/>
    <w:rsid w:val="004945D9"/>
    <w:rsid w:val="00494ADA"/>
    <w:rsid w:val="00494D4A"/>
    <w:rsid w:val="00494FDB"/>
    <w:rsid w:val="0049550F"/>
    <w:rsid w:val="004955CF"/>
    <w:rsid w:val="00495E3D"/>
    <w:rsid w:val="00495E4B"/>
    <w:rsid w:val="00495F5F"/>
    <w:rsid w:val="00496109"/>
    <w:rsid w:val="004962F8"/>
    <w:rsid w:val="004963E2"/>
    <w:rsid w:val="00496A5C"/>
    <w:rsid w:val="00496A71"/>
    <w:rsid w:val="00496AC7"/>
    <w:rsid w:val="00497303"/>
    <w:rsid w:val="00497778"/>
    <w:rsid w:val="00497A27"/>
    <w:rsid w:val="00497B54"/>
    <w:rsid w:val="00497CFE"/>
    <w:rsid w:val="004A0245"/>
    <w:rsid w:val="004A0572"/>
    <w:rsid w:val="004A0DC6"/>
    <w:rsid w:val="004A0EC0"/>
    <w:rsid w:val="004A13BB"/>
    <w:rsid w:val="004A143A"/>
    <w:rsid w:val="004A1A15"/>
    <w:rsid w:val="004A1C73"/>
    <w:rsid w:val="004A1FBB"/>
    <w:rsid w:val="004A24E7"/>
    <w:rsid w:val="004A2536"/>
    <w:rsid w:val="004A2A02"/>
    <w:rsid w:val="004A2ADF"/>
    <w:rsid w:val="004A2B68"/>
    <w:rsid w:val="004A2FE5"/>
    <w:rsid w:val="004A30FA"/>
    <w:rsid w:val="004A33E9"/>
    <w:rsid w:val="004A390C"/>
    <w:rsid w:val="004A3C00"/>
    <w:rsid w:val="004A3C9C"/>
    <w:rsid w:val="004A3E9C"/>
    <w:rsid w:val="004A3EFC"/>
    <w:rsid w:val="004A434D"/>
    <w:rsid w:val="004A4474"/>
    <w:rsid w:val="004A48D6"/>
    <w:rsid w:val="004A4F49"/>
    <w:rsid w:val="004A5360"/>
    <w:rsid w:val="004A53A7"/>
    <w:rsid w:val="004A541B"/>
    <w:rsid w:val="004A551C"/>
    <w:rsid w:val="004A5714"/>
    <w:rsid w:val="004A5753"/>
    <w:rsid w:val="004A5E03"/>
    <w:rsid w:val="004A5F3B"/>
    <w:rsid w:val="004A6073"/>
    <w:rsid w:val="004A6084"/>
    <w:rsid w:val="004A6191"/>
    <w:rsid w:val="004A65C1"/>
    <w:rsid w:val="004A6996"/>
    <w:rsid w:val="004A6C5B"/>
    <w:rsid w:val="004A6EBC"/>
    <w:rsid w:val="004A74BF"/>
    <w:rsid w:val="004A7728"/>
    <w:rsid w:val="004A77D9"/>
    <w:rsid w:val="004A7FC6"/>
    <w:rsid w:val="004A7FF7"/>
    <w:rsid w:val="004B0067"/>
    <w:rsid w:val="004B00AC"/>
    <w:rsid w:val="004B02DF"/>
    <w:rsid w:val="004B031E"/>
    <w:rsid w:val="004B03DB"/>
    <w:rsid w:val="004B040D"/>
    <w:rsid w:val="004B0AA6"/>
    <w:rsid w:val="004B1444"/>
    <w:rsid w:val="004B16B8"/>
    <w:rsid w:val="004B1796"/>
    <w:rsid w:val="004B1C0E"/>
    <w:rsid w:val="004B1EBD"/>
    <w:rsid w:val="004B2205"/>
    <w:rsid w:val="004B226A"/>
    <w:rsid w:val="004B24DD"/>
    <w:rsid w:val="004B2B58"/>
    <w:rsid w:val="004B2DE0"/>
    <w:rsid w:val="004B2FBC"/>
    <w:rsid w:val="004B3858"/>
    <w:rsid w:val="004B40F1"/>
    <w:rsid w:val="004B42E4"/>
    <w:rsid w:val="004B4538"/>
    <w:rsid w:val="004B4569"/>
    <w:rsid w:val="004B4999"/>
    <w:rsid w:val="004B4BAF"/>
    <w:rsid w:val="004B598C"/>
    <w:rsid w:val="004B5BBE"/>
    <w:rsid w:val="004B5BCE"/>
    <w:rsid w:val="004B5DE1"/>
    <w:rsid w:val="004B61F9"/>
    <w:rsid w:val="004B6D7C"/>
    <w:rsid w:val="004B6E16"/>
    <w:rsid w:val="004B70D6"/>
    <w:rsid w:val="004B72A2"/>
    <w:rsid w:val="004B76ED"/>
    <w:rsid w:val="004B7870"/>
    <w:rsid w:val="004B79CA"/>
    <w:rsid w:val="004B7A93"/>
    <w:rsid w:val="004B7B4E"/>
    <w:rsid w:val="004B7F45"/>
    <w:rsid w:val="004C060A"/>
    <w:rsid w:val="004C067A"/>
    <w:rsid w:val="004C0736"/>
    <w:rsid w:val="004C086F"/>
    <w:rsid w:val="004C0B88"/>
    <w:rsid w:val="004C0BF8"/>
    <w:rsid w:val="004C0C5A"/>
    <w:rsid w:val="004C0DEB"/>
    <w:rsid w:val="004C1BC2"/>
    <w:rsid w:val="004C1C28"/>
    <w:rsid w:val="004C1E7A"/>
    <w:rsid w:val="004C1F1C"/>
    <w:rsid w:val="004C2040"/>
    <w:rsid w:val="004C2211"/>
    <w:rsid w:val="004C23B8"/>
    <w:rsid w:val="004C25DC"/>
    <w:rsid w:val="004C2A5B"/>
    <w:rsid w:val="004C2ACC"/>
    <w:rsid w:val="004C2C08"/>
    <w:rsid w:val="004C322D"/>
    <w:rsid w:val="004C34BC"/>
    <w:rsid w:val="004C387D"/>
    <w:rsid w:val="004C3D26"/>
    <w:rsid w:val="004C3E6C"/>
    <w:rsid w:val="004C3FEE"/>
    <w:rsid w:val="004C4174"/>
    <w:rsid w:val="004C49C5"/>
    <w:rsid w:val="004C49DC"/>
    <w:rsid w:val="004C4A24"/>
    <w:rsid w:val="004C541D"/>
    <w:rsid w:val="004C5474"/>
    <w:rsid w:val="004C568C"/>
    <w:rsid w:val="004C5940"/>
    <w:rsid w:val="004C598C"/>
    <w:rsid w:val="004C5C42"/>
    <w:rsid w:val="004C5C7E"/>
    <w:rsid w:val="004C5DB9"/>
    <w:rsid w:val="004C617B"/>
    <w:rsid w:val="004C63AA"/>
    <w:rsid w:val="004C7158"/>
    <w:rsid w:val="004C7502"/>
    <w:rsid w:val="004C7543"/>
    <w:rsid w:val="004C7694"/>
    <w:rsid w:val="004C7B6D"/>
    <w:rsid w:val="004C7EE3"/>
    <w:rsid w:val="004D0225"/>
    <w:rsid w:val="004D0544"/>
    <w:rsid w:val="004D0632"/>
    <w:rsid w:val="004D0A00"/>
    <w:rsid w:val="004D0A8B"/>
    <w:rsid w:val="004D0DCA"/>
    <w:rsid w:val="004D0EBA"/>
    <w:rsid w:val="004D1659"/>
    <w:rsid w:val="004D16AE"/>
    <w:rsid w:val="004D1796"/>
    <w:rsid w:val="004D1798"/>
    <w:rsid w:val="004D1898"/>
    <w:rsid w:val="004D1A95"/>
    <w:rsid w:val="004D1BEC"/>
    <w:rsid w:val="004D1C24"/>
    <w:rsid w:val="004D2302"/>
    <w:rsid w:val="004D2661"/>
    <w:rsid w:val="004D27C1"/>
    <w:rsid w:val="004D2918"/>
    <w:rsid w:val="004D2CB0"/>
    <w:rsid w:val="004D2DEC"/>
    <w:rsid w:val="004D2E2D"/>
    <w:rsid w:val="004D3247"/>
    <w:rsid w:val="004D36FC"/>
    <w:rsid w:val="004D4002"/>
    <w:rsid w:val="004D408B"/>
    <w:rsid w:val="004D44DA"/>
    <w:rsid w:val="004D468E"/>
    <w:rsid w:val="004D4696"/>
    <w:rsid w:val="004D4875"/>
    <w:rsid w:val="004D4E73"/>
    <w:rsid w:val="004D56B4"/>
    <w:rsid w:val="004D57F7"/>
    <w:rsid w:val="004D5838"/>
    <w:rsid w:val="004D5C2C"/>
    <w:rsid w:val="004D5DFD"/>
    <w:rsid w:val="004D6067"/>
    <w:rsid w:val="004D653D"/>
    <w:rsid w:val="004D6886"/>
    <w:rsid w:val="004D73E7"/>
    <w:rsid w:val="004D770E"/>
    <w:rsid w:val="004D773D"/>
    <w:rsid w:val="004D7B0A"/>
    <w:rsid w:val="004D7E68"/>
    <w:rsid w:val="004E00AC"/>
    <w:rsid w:val="004E040E"/>
    <w:rsid w:val="004E057D"/>
    <w:rsid w:val="004E05B5"/>
    <w:rsid w:val="004E0CA1"/>
    <w:rsid w:val="004E15B7"/>
    <w:rsid w:val="004E17DC"/>
    <w:rsid w:val="004E18A0"/>
    <w:rsid w:val="004E1AD6"/>
    <w:rsid w:val="004E1B82"/>
    <w:rsid w:val="004E1DAB"/>
    <w:rsid w:val="004E1EC4"/>
    <w:rsid w:val="004E21E8"/>
    <w:rsid w:val="004E22BF"/>
    <w:rsid w:val="004E22D3"/>
    <w:rsid w:val="004E26AB"/>
    <w:rsid w:val="004E28CD"/>
    <w:rsid w:val="004E2D4C"/>
    <w:rsid w:val="004E31FD"/>
    <w:rsid w:val="004E34EC"/>
    <w:rsid w:val="004E370E"/>
    <w:rsid w:val="004E3730"/>
    <w:rsid w:val="004E37BC"/>
    <w:rsid w:val="004E3D56"/>
    <w:rsid w:val="004E4825"/>
    <w:rsid w:val="004E4854"/>
    <w:rsid w:val="004E4D41"/>
    <w:rsid w:val="004E4ECA"/>
    <w:rsid w:val="004E4ECD"/>
    <w:rsid w:val="004E5337"/>
    <w:rsid w:val="004E549C"/>
    <w:rsid w:val="004E5D9F"/>
    <w:rsid w:val="004E5F7B"/>
    <w:rsid w:val="004E5FD6"/>
    <w:rsid w:val="004E615B"/>
    <w:rsid w:val="004E61E9"/>
    <w:rsid w:val="004E6C4D"/>
    <w:rsid w:val="004E6F3D"/>
    <w:rsid w:val="004E72DB"/>
    <w:rsid w:val="004E7E51"/>
    <w:rsid w:val="004F0741"/>
    <w:rsid w:val="004F09CB"/>
    <w:rsid w:val="004F0AA5"/>
    <w:rsid w:val="004F0D12"/>
    <w:rsid w:val="004F1048"/>
    <w:rsid w:val="004F1550"/>
    <w:rsid w:val="004F16AB"/>
    <w:rsid w:val="004F16F4"/>
    <w:rsid w:val="004F19AF"/>
    <w:rsid w:val="004F1A5C"/>
    <w:rsid w:val="004F1D42"/>
    <w:rsid w:val="004F1D6E"/>
    <w:rsid w:val="004F23F7"/>
    <w:rsid w:val="004F24B6"/>
    <w:rsid w:val="004F29F3"/>
    <w:rsid w:val="004F373B"/>
    <w:rsid w:val="004F3BE8"/>
    <w:rsid w:val="004F3F77"/>
    <w:rsid w:val="004F3FA9"/>
    <w:rsid w:val="004F40DA"/>
    <w:rsid w:val="004F41A8"/>
    <w:rsid w:val="004F41C2"/>
    <w:rsid w:val="004F44B2"/>
    <w:rsid w:val="004F493B"/>
    <w:rsid w:val="004F4CF3"/>
    <w:rsid w:val="004F4F0F"/>
    <w:rsid w:val="004F52B7"/>
    <w:rsid w:val="004F5A0B"/>
    <w:rsid w:val="004F5A0F"/>
    <w:rsid w:val="004F5A28"/>
    <w:rsid w:val="004F6822"/>
    <w:rsid w:val="004F6B16"/>
    <w:rsid w:val="004F6F62"/>
    <w:rsid w:val="004F71D8"/>
    <w:rsid w:val="004F7900"/>
    <w:rsid w:val="004F7B9A"/>
    <w:rsid w:val="005000E8"/>
    <w:rsid w:val="00500788"/>
    <w:rsid w:val="005008F9"/>
    <w:rsid w:val="00500917"/>
    <w:rsid w:val="00500967"/>
    <w:rsid w:val="00500B09"/>
    <w:rsid w:val="00500C36"/>
    <w:rsid w:val="00501050"/>
    <w:rsid w:val="005013A5"/>
    <w:rsid w:val="005014FB"/>
    <w:rsid w:val="00501551"/>
    <w:rsid w:val="0050162C"/>
    <w:rsid w:val="00501C24"/>
    <w:rsid w:val="00501C52"/>
    <w:rsid w:val="00501CED"/>
    <w:rsid w:val="00502060"/>
    <w:rsid w:val="005020AE"/>
    <w:rsid w:val="00502CAC"/>
    <w:rsid w:val="00502E1F"/>
    <w:rsid w:val="00502E53"/>
    <w:rsid w:val="00502F12"/>
    <w:rsid w:val="00503052"/>
    <w:rsid w:val="00503757"/>
    <w:rsid w:val="00503C94"/>
    <w:rsid w:val="00504256"/>
    <w:rsid w:val="00504B82"/>
    <w:rsid w:val="00504F8E"/>
    <w:rsid w:val="00505391"/>
    <w:rsid w:val="005054BB"/>
    <w:rsid w:val="0050564D"/>
    <w:rsid w:val="00505E0F"/>
    <w:rsid w:val="00506040"/>
    <w:rsid w:val="0050616C"/>
    <w:rsid w:val="0050617C"/>
    <w:rsid w:val="00506494"/>
    <w:rsid w:val="00506660"/>
    <w:rsid w:val="005066A7"/>
    <w:rsid w:val="0050689A"/>
    <w:rsid w:val="0050719E"/>
    <w:rsid w:val="005071E0"/>
    <w:rsid w:val="00507259"/>
    <w:rsid w:val="0050726F"/>
    <w:rsid w:val="005073B1"/>
    <w:rsid w:val="00507493"/>
    <w:rsid w:val="00507599"/>
    <w:rsid w:val="005077E9"/>
    <w:rsid w:val="00507CDF"/>
    <w:rsid w:val="00507DA9"/>
    <w:rsid w:val="0051010E"/>
    <w:rsid w:val="00510137"/>
    <w:rsid w:val="0051044E"/>
    <w:rsid w:val="005106B5"/>
    <w:rsid w:val="005107ED"/>
    <w:rsid w:val="00510B07"/>
    <w:rsid w:val="00510D07"/>
    <w:rsid w:val="00510DEE"/>
    <w:rsid w:val="00510EC2"/>
    <w:rsid w:val="0051100B"/>
    <w:rsid w:val="0051143A"/>
    <w:rsid w:val="00511B89"/>
    <w:rsid w:val="005128B8"/>
    <w:rsid w:val="00512ADB"/>
    <w:rsid w:val="00513311"/>
    <w:rsid w:val="00513B06"/>
    <w:rsid w:val="00513E3B"/>
    <w:rsid w:val="00513FBD"/>
    <w:rsid w:val="005141EA"/>
    <w:rsid w:val="005141EB"/>
    <w:rsid w:val="00515088"/>
    <w:rsid w:val="00515DAB"/>
    <w:rsid w:val="00515DBE"/>
    <w:rsid w:val="00515E74"/>
    <w:rsid w:val="005166E0"/>
    <w:rsid w:val="0051695E"/>
    <w:rsid w:val="00516C8F"/>
    <w:rsid w:val="00516D15"/>
    <w:rsid w:val="00516F1A"/>
    <w:rsid w:val="0051749E"/>
    <w:rsid w:val="00517AD2"/>
    <w:rsid w:val="0052000B"/>
    <w:rsid w:val="0052039A"/>
    <w:rsid w:val="005203E3"/>
    <w:rsid w:val="00520A5A"/>
    <w:rsid w:val="00520AC7"/>
    <w:rsid w:val="005210FA"/>
    <w:rsid w:val="005212AD"/>
    <w:rsid w:val="0052143A"/>
    <w:rsid w:val="005219D3"/>
    <w:rsid w:val="00521A67"/>
    <w:rsid w:val="00521D21"/>
    <w:rsid w:val="00521D5E"/>
    <w:rsid w:val="00521E6B"/>
    <w:rsid w:val="00522198"/>
    <w:rsid w:val="005223AE"/>
    <w:rsid w:val="0052260A"/>
    <w:rsid w:val="0052276D"/>
    <w:rsid w:val="00523035"/>
    <w:rsid w:val="00523177"/>
    <w:rsid w:val="005231D3"/>
    <w:rsid w:val="0052327E"/>
    <w:rsid w:val="0052362C"/>
    <w:rsid w:val="0052382C"/>
    <w:rsid w:val="00523C8B"/>
    <w:rsid w:val="0052424E"/>
    <w:rsid w:val="00524331"/>
    <w:rsid w:val="00524E8D"/>
    <w:rsid w:val="00525118"/>
    <w:rsid w:val="00525549"/>
    <w:rsid w:val="00525844"/>
    <w:rsid w:val="005258A3"/>
    <w:rsid w:val="00525D19"/>
    <w:rsid w:val="00526178"/>
    <w:rsid w:val="00526689"/>
    <w:rsid w:val="005267EF"/>
    <w:rsid w:val="00526ABC"/>
    <w:rsid w:val="00526D6D"/>
    <w:rsid w:val="00526DC1"/>
    <w:rsid w:val="00526F41"/>
    <w:rsid w:val="00527141"/>
    <w:rsid w:val="005272F1"/>
    <w:rsid w:val="005272F5"/>
    <w:rsid w:val="005275A7"/>
    <w:rsid w:val="00527E1F"/>
    <w:rsid w:val="00527F30"/>
    <w:rsid w:val="005302E5"/>
    <w:rsid w:val="005306C8"/>
    <w:rsid w:val="00530C5E"/>
    <w:rsid w:val="00530FCE"/>
    <w:rsid w:val="0053140C"/>
    <w:rsid w:val="00531488"/>
    <w:rsid w:val="00531D40"/>
    <w:rsid w:val="00532023"/>
    <w:rsid w:val="005321DC"/>
    <w:rsid w:val="00532217"/>
    <w:rsid w:val="00532242"/>
    <w:rsid w:val="00532A07"/>
    <w:rsid w:val="00532B3E"/>
    <w:rsid w:val="00532E06"/>
    <w:rsid w:val="00533809"/>
    <w:rsid w:val="00533CF3"/>
    <w:rsid w:val="00533D2D"/>
    <w:rsid w:val="00534035"/>
    <w:rsid w:val="005340B2"/>
    <w:rsid w:val="005348D1"/>
    <w:rsid w:val="00534B4B"/>
    <w:rsid w:val="00535105"/>
    <w:rsid w:val="00535355"/>
    <w:rsid w:val="0053558F"/>
    <w:rsid w:val="00535677"/>
    <w:rsid w:val="0053584C"/>
    <w:rsid w:val="00535914"/>
    <w:rsid w:val="00535950"/>
    <w:rsid w:val="00535BB4"/>
    <w:rsid w:val="005360E4"/>
    <w:rsid w:val="0053619C"/>
    <w:rsid w:val="005366D5"/>
    <w:rsid w:val="00536B8C"/>
    <w:rsid w:val="00536FAA"/>
    <w:rsid w:val="0053720C"/>
    <w:rsid w:val="0053748F"/>
    <w:rsid w:val="00537768"/>
    <w:rsid w:val="00537830"/>
    <w:rsid w:val="00537935"/>
    <w:rsid w:val="0053794B"/>
    <w:rsid w:val="00537A82"/>
    <w:rsid w:val="00537B26"/>
    <w:rsid w:val="00537E2B"/>
    <w:rsid w:val="005409BD"/>
    <w:rsid w:val="00540E9B"/>
    <w:rsid w:val="005410C9"/>
    <w:rsid w:val="005411AC"/>
    <w:rsid w:val="005411F2"/>
    <w:rsid w:val="0054122A"/>
    <w:rsid w:val="00541679"/>
    <w:rsid w:val="005416E2"/>
    <w:rsid w:val="00541A30"/>
    <w:rsid w:val="00541AE1"/>
    <w:rsid w:val="005421D0"/>
    <w:rsid w:val="00542555"/>
    <w:rsid w:val="00542B23"/>
    <w:rsid w:val="00542E37"/>
    <w:rsid w:val="005431CE"/>
    <w:rsid w:val="00543295"/>
    <w:rsid w:val="005432AB"/>
    <w:rsid w:val="0054390C"/>
    <w:rsid w:val="00543ADC"/>
    <w:rsid w:val="00543BCF"/>
    <w:rsid w:val="00543C65"/>
    <w:rsid w:val="00543DE9"/>
    <w:rsid w:val="005443F3"/>
    <w:rsid w:val="00544483"/>
    <w:rsid w:val="00544B51"/>
    <w:rsid w:val="00544D37"/>
    <w:rsid w:val="0054504D"/>
    <w:rsid w:val="00545AFB"/>
    <w:rsid w:val="00545C99"/>
    <w:rsid w:val="00545DCB"/>
    <w:rsid w:val="0054709E"/>
    <w:rsid w:val="005473D7"/>
    <w:rsid w:val="0054747F"/>
    <w:rsid w:val="00547C5F"/>
    <w:rsid w:val="00547F75"/>
    <w:rsid w:val="005500E7"/>
    <w:rsid w:val="00550556"/>
    <w:rsid w:val="00550619"/>
    <w:rsid w:val="005507F7"/>
    <w:rsid w:val="00550A69"/>
    <w:rsid w:val="00550C00"/>
    <w:rsid w:val="00550EB4"/>
    <w:rsid w:val="005510AB"/>
    <w:rsid w:val="005513CD"/>
    <w:rsid w:val="00551F5D"/>
    <w:rsid w:val="00552091"/>
    <w:rsid w:val="00552280"/>
    <w:rsid w:val="00552343"/>
    <w:rsid w:val="00552424"/>
    <w:rsid w:val="005525F2"/>
    <w:rsid w:val="00552789"/>
    <w:rsid w:val="00552BBE"/>
    <w:rsid w:val="00553068"/>
    <w:rsid w:val="005538FF"/>
    <w:rsid w:val="00554679"/>
    <w:rsid w:val="0055474B"/>
    <w:rsid w:val="00554854"/>
    <w:rsid w:val="005549F6"/>
    <w:rsid w:val="00554BBE"/>
    <w:rsid w:val="00554E7E"/>
    <w:rsid w:val="005555AB"/>
    <w:rsid w:val="00555995"/>
    <w:rsid w:val="00555BA1"/>
    <w:rsid w:val="0055610D"/>
    <w:rsid w:val="005567E6"/>
    <w:rsid w:val="005579B7"/>
    <w:rsid w:val="00557AAF"/>
    <w:rsid w:val="00560569"/>
    <w:rsid w:val="005606B8"/>
    <w:rsid w:val="00561662"/>
    <w:rsid w:val="005616E6"/>
    <w:rsid w:val="00561862"/>
    <w:rsid w:val="0056197A"/>
    <w:rsid w:val="00561AFC"/>
    <w:rsid w:val="00561FE4"/>
    <w:rsid w:val="00562077"/>
    <w:rsid w:val="005620FE"/>
    <w:rsid w:val="0056213E"/>
    <w:rsid w:val="005633A5"/>
    <w:rsid w:val="00563C02"/>
    <w:rsid w:val="00563D1F"/>
    <w:rsid w:val="00563D33"/>
    <w:rsid w:val="00563DEA"/>
    <w:rsid w:val="00563E8D"/>
    <w:rsid w:val="00563EFD"/>
    <w:rsid w:val="00563FE6"/>
    <w:rsid w:val="005643DC"/>
    <w:rsid w:val="0056448C"/>
    <w:rsid w:val="00564509"/>
    <w:rsid w:val="00564516"/>
    <w:rsid w:val="005645F9"/>
    <w:rsid w:val="00564681"/>
    <w:rsid w:val="00564718"/>
    <w:rsid w:val="00564F54"/>
    <w:rsid w:val="00564F6E"/>
    <w:rsid w:val="0056508B"/>
    <w:rsid w:val="0056530B"/>
    <w:rsid w:val="00565F98"/>
    <w:rsid w:val="005660A6"/>
    <w:rsid w:val="00566125"/>
    <w:rsid w:val="0056622B"/>
    <w:rsid w:val="005663C6"/>
    <w:rsid w:val="00566547"/>
    <w:rsid w:val="00566722"/>
    <w:rsid w:val="0056678A"/>
    <w:rsid w:val="00566A64"/>
    <w:rsid w:val="00566BD1"/>
    <w:rsid w:val="00566E26"/>
    <w:rsid w:val="005673B3"/>
    <w:rsid w:val="005676E0"/>
    <w:rsid w:val="0056780C"/>
    <w:rsid w:val="00567936"/>
    <w:rsid w:val="00567B97"/>
    <w:rsid w:val="00567E2B"/>
    <w:rsid w:val="00567F4F"/>
    <w:rsid w:val="00567FF3"/>
    <w:rsid w:val="00570400"/>
    <w:rsid w:val="0057065F"/>
    <w:rsid w:val="0057076D"/>
    <w:rsid w:val="00570CC0"/>
    <w:rsid w:val="005715D0"/>
    <w:rsid w:val="005716D6"/>
    <w:rsid w:val="005719FF"/>
    <w:rsid w:val="00571A95"/>
    <w:rsid w:val="00571ABA"/>
    <w:rsid w:val="00571C1C"/>
    <w:rsid w:val="00571C4F"/>
    <w:rsid w:val="00571CC4"/>
    <w:rsid w:val="00571D07"/>
    <w:rsid w:val="00571F53"/>
    <w:rsid w:val="00572377"/>
    <w:rsid w:val="005727B9"/>
    <w:rsid w:val="00572BD5"/>
    <w:rsid w:val="00572DFF"/>
    <w:rsid w:val="00572E53"/>
    <w:rsid w:val="0057340B"/>
    <w:rsid w:val="00573686"/>
    <w:rsid w:val="00574550"/>
    <w:rsid w:val="00574A0B"/>
    <w:rsid w:val="00574AD3"/>
    <w:rsid w:val="00574EDE"/>
    <w:rsid w:val="00574EF4"/>
    <w:rsid w:val="00575405"/>
    <w:rsid w:val="00575505"/>
    <w:rsid w:val="005757D6"/>
    <w:rsid w:val="00575896"/>
    <w:rsid w:val="00575C5D"/>
    <w:rsid w:val="00575E76"/>
    <w:rsid w:val="0057612C"/>
    <w:rsid w:val="0057673F"/>
    <w:rsid w:val="005768CD"/>
    <w:rsid w:val="00576924"/>
    <w:rsid w:val="005779B3"/>
    <w:rsid w:val="00577A13"/>
    <w:rsid w:val="00577CC1"/>
    <w:rsid w:val="00577ED6"/>
    <w:rsid w:val="00577FAA"/>
    <w:rsid w:val="005800DE"/>
    <w:rsid w:val="005806F2"/>
    <w:rsid w:val="005808E4"/>
    <w:rsid w:val="00580A48"/>
    <w:rsid w:val="00580B6E"/>
    <w:rsid w:val="00580E11"/>
    <w:rsid w:val="005810EA"/>
    <w:rsid w:val="005811EC"/>
    <w:rsid w:val="00581648"/>
    <w:rsid w:val="005816A9"/>
    <w:rsid w:val="0058178E"/>
    <w:rsid w:val="005818B8"/>
    <w:rsid w:val="005819FA"/>
    <w:rsid w:val="00581F18"/>
    <w:rsid w:val="00582579"/>
    <w:rsid w:val="00582AB4"/>
    <w:rsid w:val="005830D7"/>
    <w:rsid w:val="00583AC4"/>
    <w:rsid w:val="00583D13"/>
    <w:rsid w:val="0058466E"/>
    <w:rsid w:val="0058494A"/>
    <w:rsid w:val="005849C9"/>
    <w:rsid w:val="005854FA"/>
    <w:rsid w:val="00585878"/>
    <w:rsid w:val="0058590C"/>
    <w:rsid w:val="005860D1"/>
    <w:rsid w:val="005868B0"/>
    <w:rsid w:val="00586C7F"/>
    <w:rsid w:val="00586FD2"/>
    <w:rsid w:val="005873C1"/>
    <w:rsid w:val="00587DDF"/>
    <w:rsid w:val="00590052"/>
    <w:rsid w:val="005901C7"/>
    <w:rsid w:val="00590389"/>
    <w:rsid w:val="00590C86"/>
    <w:rsid w:val="005912A3"/>
    <w:rsid w:val="00591467"/>
    <w:rsid w:val="00591558"/>
    <w:rsid w:val="005916D3"/>
    <w:rsid w:val="00591D6C"/>
    <w:rsid w:val="00592975"/>
    <w:rsid w:val="00592B93"/>
    <w:rsid w:val="00592CB0"/>
    <w:rsid w:val="005934C0"/>
    <w:rsid w:val="005935FE"/>
    <w:rsid w:val="00593B76"/>
    <w:rsid w:val="0059403E"/>
    <w:rsid w:val="00594206"/>
    <w:rsid w:val="005948E0"/>
    <w:rsid w:val="00594D35"/>
    <w:rsid w:val="00595208"/>
    <w:rsid w:val="00595A6C"/>
    <w:rsid w:val="00595CCA"/>
    <w:rsid w:val="00596D88"/>
    <w:rsid w:val="0059709A"/>
    <w:rsid w:val="00597341"/>
    <w:rsid w:val="005976EF"/>
    <w:rsid w:val="005978E7"/>
    <w:rsid w:val="005A0575"/>
    <w:rsid w:val="005A0721"/>
    <w:rsid w:val="005A0928"/>
    <w:rsid w:val="005A0B68"/>
    <w:rsid w:val="005A18F2"/>
    <w:rsid w:val="005A1932"/>
    <w:rsid w:val="005A1F59"/>
    <w:rsid w:val="005A23EC"/>
    <w:rsid w:val="005A2707"/>
    <w:rsid w:val="005A28AC"/>
    <w:rsid w:val="005A2AFD"/>
    <w:rsid w:val="005A2B7A"/>
    <w:rsid w:val="005A2BAA"/>
    <w:rsid w:val="005A2CA6"/>
    <w:rsid w:val="005A2EC0"/>
    <w:rsid w:val="005A321C"/>
    <w:rsid w:val="005A326F"/>
    <w:rsid w:val="005A352C"/>
    <w:rsid w:val="005A35FA"/>
    <w:rsid w:val="005A380B"/>
    <w:rsid w:val="005A387E"/>
    <w:rsid w:val="005A3C72"/>
    <w:rsid w:val="005A3CDB"/>
    <w:rsid w:val="005A4061"/>
    <w:rsid w:val="005A42A3"/>
    <w:rsid w:val="005A46E5"/>
    <w:rsid w:val="005A4751"/>
    <w:rsid w:val="005A4CAD"/>
    <w:rsid w:val="005A4CEE"/>
    <w:rsid w:val="005A5806"/>
    <w:rsid w:val="005A5A5D"/>
    <w:rsid w:val="005A5DD6"/>
    <w:rsid w:val="005A609C"/>
    <w:rsid w:val="005A61AD"/>
    <w:rsid w:val="005A6568"/>
    <w:rsid w:val="005A69AA"/>
    <w:rsid w:val="005A6A68"/>
    <w:rsid w:val="005A6C4E"/>
    <w:rsid w:val="005A6CC4"/>
    <w:rsid w:val="005A7020"/>
    <w:rsid w:val="005A7219"/>
    <w:rsid w:val="005A7255"/>
    <w:rsid w:val="005A7950"/>
    <w:rsid w:val="005A7E1A"/>
    <w:rsid w:val="005B0732"/>
    <w:rsid w:val="005B094A"/>
    <w:rsid w:val="005B0F52"/>
    <w:rsid w:val="005B125F"/>
    <w:rsid w:val="005B1881"/>
    <w:rsid w:val="005B193E"/>
    <w:rsid w:val="005B1EC7"/>
    <w:rsid w:val="005B2619"/>
    <w:rsid w:val="005B2EAE"/>
    <w:rsid w:val="005B3338"/>
    <w:rsid w:val="005B39EE"/>
    <w:rsid w:val="005B3A5C"/>
    <w:rsid w:val="005B3C0D"/>
    <w:rsid w:val="005B42D0"/>
    <w:rsid w:val="005B49CA"/>
    <w:rsid w:val="005B5353"/>
    <w:rsid w:val="005B564F"/>
    <w:rsid w:val="005B5742"/>
    <w:rsid w:val="005B5843"/>
    <w:rsid w:val="005B5872"/>
    <w:rsid w:val="005B5903"/>
    <w:rsid w:val="005B5C0F"/>
    <w:rsid w:val="005B602B"/>
    <w:rsid w:val="005B606F"/>
    <w:rsid w:val="005B63BE"/>
    <w:rsid w:val="005B6434"/>
    <w:rsid w:val="005B64E1"/>
    <w:rsid w:val="005B7203"/>
    <w:rsid w:val="005B76AA"/>
    <w:rsid w:val="005B799A"/>
    <w:rsid w:val="005C010A"/>
    <w:rsid w:val="005C04F9"/>
    <w:rsid w:val="005C0CA9"/>
    <w:rsid w:val="005C1227"/>
    <w:rsid w:val="005C133A"/>
    <w:rsid w:val="005C13C4"/>
    <w:rsid w:val="005C2114"/>
    <w:rsid w:val="005C231C"/>
    <w:rsid w:val="005C303D"/>
    <w:rsid w:val="005C3EEF"/>
    <w:rsid w:val="005C45B1"/>
    <w:rsid w:val="005C4771"/>
    <w:rsid w:val="005C4A5B"/>
    <w:rsid w:val="005C4FFC"/>
    <w:rsid w:val="005C5014"/>
    <w:rsid w:val="005C5D21"/>
    <w:rsid w:val="005C6A29"/>
    <w:rsid w:val="005C6A7B"/>
    <w:rsid w:val="005C6B2E"/>
    <w:rsid w:val="005C6D70"/>
    <w:rsid w:val="005C722A"/>
    <w:rsid w:val="005C7404"/>
    <w:rsid w:val="005C7445"/>
    <w:rsid w:val="005C7AAE"/>
    <w:rsid w:val="005C7E4A"/>
    <w:rsid w:val="005C7F7A"/>
    <w:rsid w:val="005D029C"/>
    <w:rsid w:val="005D02ED"/>
    <w:rsid w:val="005D0CE8"/>
    <w:rsid w:val="005D0F17"/>
    <w:rsid w:val="005D1022"/>
    <w:rsid w:val="005D1B42"/>
    <w:rsid w:val="005D1E0E"/>
    <w:rsid w:val="005D212E"/>
    <w:rsid w:val="005D2229"/>
    <w:rsid w:val="005D2596"/>
    <w:rsid w:val="005D28D6"/>
    <w:rsid w:val="005D3558"/>
    <w:rsid w:val="005D35EE"/>
    <w:rsid w:val="005D4071"/>
    <w:rsid w:val="005D42A0"/>
    <w:rsid w:val="005D4577"/>
    <w:rsid w:val="005D4B26"/>
    <w:rsid w:val="005D4DB3"/>
    <w:rsid w:val="005D4DBA"/>
    <w:rsid w:val="005D5618"/>
    <w:rsid w:val="005D5776"/>
    <w:rsid w:val="005D5887"/>
    <w:rsid w:val="005D5E2A"/>
    <w:rsid w:val="005D5E87"/>
    <w:rsid w:val="005D5FE5"/>
    <w:rsid w:val="005D60BE"/>
    <w:rsid w:val="005D67D0"/>
    <w:rsid w:val="005D70DB"/>
    <w:rsid w:val="005D712C"/>
    <w:rsid w:val="005D725B"/>
    <w:rsid w:val="005D7554"/>
    <w:rsid w:val="005D7B1C"/>
    <w:rsid w:val="005E0094"/>
    <w:rsid w:val="005E0765"/>
    <w:rsid w:val="005E0779"/>
    <w:rsid w:val="005E0CDE"/>
    <w:rsid w:val="005E122D"/>
    <w:rsid w:val="005E1D78"/>
    <w:rsid w:val="005E1EA8"/>
    <w:rsid w:val="005E23D7"/>
    <w:rsid w:val="005E25D0"/>
    <w:rsid w:val="005E28B7"/>
    <w:rsid w:val="005E2C9F"/>
    <w:rsid w:val="005E315A"/>
    <w:rsid w:val="005E348B"/>
    <w:rsid w:val="005E3518"/>
    <w:rsid w:val="005E36AC"/>
    <w:rsid w:val="005E3B0C"/>
    <w:rsid w:val="005E4518"/>
    <w:rsid w:val="005E4592"/>
    <w:rsid w:val="005E4796"/>
    <w:rsid w:val="005E5181"/>
    <w:rsid w:val="005E5847"/>
    <w:rsid w:val="005E61AD"/>
    <w:rsid w:val="005E62F6"/>
    <w:rsid w:val="005E64AD"/>
    <w:rsid w:val="005E68BF"/>
    <w:rsid w:val="005E6A54"/>
    <w:rsid w:val="005E6AF2"/>
    <w:rsid w:val="005E6B06"/>
    <w:rsid w:val="005E6D25"/>
    <w:rsid w:val="005E749F"/>
    <w:rsid w:val="005E7813"/>
    <w:rsid w:val="005F071A"/>
    <w:rsid w:val="005F0CD3"/>
    <w:rsid w:val="005F125F"/>
    <w:rsid w:val="005F1312"/>
    <w:rsid w:val="005F150D"/>
    <w:rsid w:val="005F160E"/>
    <w:rsid w:val="005F169A"/>
    <w:rsid w:val="005F1A3E"/>
    <w:rsid w:val="005F1EBD"/>
    <w:rsid w:val="005F2030"/>
    <w:rsid w:val="005F2676"/>
    <w:rsid w:val="005F270E"/>
    <w:rsid w:val="005F292A"/>
    <w:rsid w:val="005F2970"/>
    <w:rsid w:val="005F2A89"/>
    <w:rsid w:val="005F347B"/>
    <w:rsid w:val="005F34D8"/>
    <w:rsid w:val="005F34EC"/>
    <w:rsid w:val="005F37E4"/>
    <w:rsid w:val="005F39AC"/>
    <w:rsid w:val="005F4486"/>
    <w:rsid w:val="005F4591"/>
    <w:rsid w:val="005F45D9"/>
    <w:rsid w:val="005F46BF"/>
    <w:rsid w:val="005F48FB"/>
    <w:rsid w:val="005F4A71"/>
    <w:rsid w:val="005F4AC0"/>
    <w:rsid w:val="005F5098"/>
    <w:rsid w:val="005F523C"/>
    <w:rsid w:val="005F545E"/>
    <w:rsid w:val="005F55A2"/>
    <w:rsid w:val="005F55AF"/>
    <w:rsid w:val="005F5B12"/>
    <w:rsid w:val="005F622A"/>
    <w:rsid w:val="005F6262"/>
    <w:rsid w:val="005F6932"/>
    <w:rsid w:val="005F6ABB"/>
    <w:rsid w:val="005F704A"/>
    <w:rsid w:val="005F70D3"/>
    <w:rsid w:val="005F7496"/>
    <w:rsid w:val="006000A4"/>
    <w:rsid w:val="00600117"/>
    <w:rsid w:val="00600736"/>
    <w:rsid w:val="00600A19"/>
    <w:rsid w:val="00600A79"/>
    <w:rsid w:val="00600B56"/>
    <w:rsid w:val="00600DAB"/>
    <w:rsid w:val="00600DCA"/>
    <w:rsid w:val="0060256E"/>
    <w:rsid w:val="00602AE5"/>
    <w:rsid w:val="00602E5E"/>
    <w:rsid w:val="00603D30"/>
    <w:rsid w:val="00603E19"/>
    <w:rsid w:val="00603E30"/>
    <w:rsid w:val="00603E40"/>
    <w:rsid w:val="00603ECD"/>
    <w:rsid w:val="006043B2"/>
    <w:rsid w:val="00604760"/>
    <w:rsid w:val="00604D16"/>
    <w:rsid w:val="00604F04"/>
    <w:rsid w:val="00604F2D"/>
    <w:rsid w:val="0060500B"/>
    <w:rsid w:val="00605301"/>
    <w:rsid w:val="006053F3"/>
    <w:rsid w:val="00605B12"/>
    <w:rsid w:val="00606070"/>
    <w:rsid w:val="006067A4"/>
    <w:rsid w:val="00606F81"/>
    <w:rsid w:val="0060742E"/>
    <w:rsid w:val="00607858"/>
    <w:rsid w:val="0060794F"/>
    <w:rsid w:val="006079E4"/>
    <w:rsid w:val="00610D95"/>
    <w:rsid w:val="0061119B"/>
    <w:rsid w:val="006111A3"/>
    <w:rsid w:val="006118F1"/>
    <w:rsid w:val="00611B3F"/>
    <w:rsid w:val="0061202A"/>
    <w:rsid w:val="006127A5"/>
    <w:rsid w:val="006129EF"/>
    <w:rsid w:val="00612A58"/>
    <w:rsid w:val="00612A81"/>
    <w:rsid w:val="00612B78"/>
    <w:rsid w:val="00612D24"/>
    <w:rsid w:val="00613415"/>
    <w:rsid w:val="006134A7"/>
    <w:rsid w:val="00613526"/>
    <w:rsid w:val="0061365A"/>
    <w:rsid w:val="00613D3C"/>
    <w:rsid w:val="00613DCB"/>
    <w:rsid w:val="00613EEA"/>
    <w:rsid w:val="00613F74"/>
    <w:rsid w:val="006146FC"/>
    <w:rsid w:val="006149DC"/>
    <w:rsid w:val="00615211"/>
    <w:rsid w:val="006153E2"/>
    <w:rsid w:val="006154BF"/>
    <w:rsid w:val="00615725"/>
    <w:rsid w:val="006159FD"/>
    <w:rsid w:val="0061663E"/>
    <w:rsid w:val="006166B8"/>
    <w:rsid w:val="00616F06"/>
    <w:rsid w:val="00617011"/>
    <w:rsid w:val="006170CD"/>
    <w:rsid w:val="00617409"/>
    <w:rsid w:val="0061740E"/>
    <w:rsid w:val="0061795A"/>
    <w:rsid w:val="00617DA0"/>
    <w:rsid w:val="00617F4D"/>
    <w:rsid w:val="00620223"/>
    <w:rsid w:val="006202BC"/>
    <w:rsid w:val="00620533"/>
    <w:rsid w:val="00620556"/>
    <w:rsid w:val="0062071E"/>
    <w:rsid w:val="006209A4"/>
    <w:rsid w:val="006209CE"/>
    <w:rsid w:val="00620CA5"/>
    <w:rsid w:val="006214D5"/>
    <w:rsid w:val="0062166A"/>
    <w:rsid w:val="00621677"/>
    <w:rsid w:val="00621904"/>
    <w:rsid w:val="0062197D"/>
    <w:rsid w:val="00621AF6"/>
    <w:rsid w:val="00621C55"/>
    <w:rsid w:val="00621ECF"/>
    <w:rsid w:val="00621EEB"/>
    <w:rsid w:val="0062211E"/>
    <w:rsid w:val="0062219F"/>
    <w:rsid w:val="006225CB"/>
    <w:rsid w:val="006225F7"/>
    <w:rsid w:val="00622AC1"/>
    <w:rsid w:val="00622E1B"/>
    <w:rsid w:val="00622EF4"/>
    <w:rsid w:val="0062337F"/>
    <w:rsid w:val="00623C4A"/>
    <w:rsid w:val="00623E87"/>
    <w:rsid w:val="0062415B"/>
    <w:rsid w:val="006241FE"/>
    <w:rsid w:val="00624843"/>
    <w:rsid w:val="00624E97"/>
    <w:rsid w:val="006252B4"/>
    <w:rsid w:val="00625E47"/>
    <w:rsid w:val="0062628C"/>
    <w:rsid w:val="00627993"/>
    <w:rsid w:val="00627D72"/>
    <w:rsid w:val="00630943"/>
    <w:rsid w:val="00630BB8"/>
    <w:rsid w:val="006313C7"/>
    <w:rsid w:val="00631AA3"/>
    <w:rsid w:val="00631C4A"/>
    <w:rsid w:val="00631F67"/>
    <w:rsid w:val="00631FE0"/>
    <w:rsid w:val="00632112"/>
    <w:rsid w:val="0063211E"/>
    <w:rsid w:val="0063238E"/>
    <w:rsid w:val="006325B8"/>
    <w:rsid w:val="00632BF4"/>
    <w:rsid w:val="00633044"/>
    <w:rsid w:val="006331A3"/>
    <w:rsid w:val="006331AF"/>
    <w:rsid w:val="00633549"/>
    <w:rsid w:val="006335A1"/>
    <w:rsid w:val="00633628"/>
    <w:rsid w:val="00633E32"/>
    <w:rsid w:val="00633ECD"/>
    <w:rsid w:val="00634287"/>
    <w:rsid w:val="0063430F"/>
    <w:rsid w:val="006343AB"/>
    <w:rsid w:val="006344AB"/>
    <w:rsid w:val="00634590"/>
    <w:rsid w:val="00634828"/>
    <w:rsid w:val="00635298"/>
    <w:rsid w:val="006354DB"/>
    <w:rsid w:val="006356BB"/>
    <w:rsid w:val="00635C2D"/>
    <w:rsid w:val="00635DE6"/>
    <w:rsid w:val="006367B1"/>
    <w:rsid w:val="00636B48"/>
    <w:rsid w:val="00636D96"/>
    <w:rsid w:val="00637392"/>
    <w:rsid w:val="00637466"/>
    <w:rsid w:val="00640456"/>
    <w:rsid w:val="006404B4"/>
    <w:rsid w:val="00640575"/>
    <w:rsid w:val="00640987"/>
    <w:rsid w:val="006409F1"/>
    <w:rsid w:val="00640A03"/>
    <w:rsid w:val="00640C47"/>
    <w:rsid w:val="00640CFD"/>
    <w:rsid w:val="00640EA0"/>
    <w:rsid w:val="006411E5"/>
    <w:rsid w:val="006415D1"/>
    <w:rsid w:val="00641745"/>
    <w:rsid w:val="0064183E"/>
    <w:rsid w:val="00641848"/>
    <w:rsid w:val="00641C3E"/>
    <w:rsid w:val="00641EF4"/>
    <w:rsid w:val="00642379"/>
    <w:rsid w:val="00642524"/>
    <w:rsid w:val="00642954"/>
    <w:rsid w:val="00642A3E"/>
    <w:rsid w:val="00642E0B"/>
    <w:rsid w:val="006431B3"/>
    <w:rsid w:val="006434EA"/>
    <w:rsid w:val="00643C66"/>
    <w:rsid w:val="00644786"/>
    <w:rsid w:val="006448E1"/>
    <w:rsid w:val="00644ABA"/>
    <w:rsid w:val="00644B31"/>
    <w:rsid w:val="00644F08"/>
    <w:rsid w:val="006450F4"/>
    <w:rsid w:val="006452BB"/>
    <w:rsid w:val="00645A4E"/>
    <w:rsid w:val="00645ACA"/>
    <w:rsid w:val="00645C84"/>
    <w:rsid w:val="00645EE5"/>
    <w:rsid w:val="006468A2"/>
    <w:rsid w:val="00646AC5"/>
    <w:rsid w:val="00646BB5"/>
    <w:rsid w:val="00646D6E"/>
    <w:rsid w:val="00647A6D"/>
    <w:rsid w:val="00650318"/>
    <w:rsid w:val="006508DC"/>
    <w:rsid w:val="00650904"/>
    <w:rsid w:val="00650E8E"/>
    <w:rsid w:val="0065124F"/>
    <w:rsid w:val="00651BAA"/>
    <w:rsid w:val="00651C99"/>
    <w:rsid w:val="00652400"/>
    <w:rsid w:val="0065247D"/>
    <w:rsid w:val="00652509"/>
    <w:rsid w:val="0065250E"/>
    <w:rsid w:val="006526D8"/>
    <w:rsid w:val="00652ADD"/>
    <w:rsid w:val="00652B8D"/>
    <w:rsid w:val="006530C6"/>
    <w:rsid w:val="006534F4"/>
    <w:rsid w:val="0065362E"/>
    <w:rsid w:val="00653E02"/>
    <w:rsid w:val="00653E13"/>
    <w:rsid w:val="00653E32"/>
    <w:rsid w:val="0065416B"/>
    <w:rsid w:val="006541F7"/>
    <w:rsid w:val="00654228"/>
    <w:rsid w:val="00654DDC"/>
    <w:rsid w:val="00655CC1"/>
    <w:rsid w:val="00655FE6"/>
    <w:rsid w:val="006562D1"/>
    <w:rsid w:val="00656D43"/>
    <w:rsid w:val="0065701A"/>
    <w:rsid w:val="006571EE"/>
    <w:rsid w:val="0065727E"/>
    <w:rsid w:val="0065730E"/>
    <w:rsid w:val="0065779D"/>
    <w:rsid w:val="00657C29"/>
    <w:rsid w:val="00660FEA"/>
    <w:rsid w:val="0066105B"/>
    <w:rsid w:val="0066167D"/>
    <w:rsid w:val="00662081"/>
    <w:rsid w:val="00662624"/>
    <w:rsid w:val="00662A79"/>
    <w:rsid w:val="00662A92"/>
    <w:rsid w:val="00662E66"/>
    <w:rsid w:val="00663E78"/>
    <w:rsid w:val="0066435E"/>
    <w:rsid w:val="00664CB8"/>
    <w:rsid w:val="006652F0"/>
    <w:rsid w:val="00665877"/>
    <w:rsid w:val="006658F7"/>
    <w:rsid w:val="006663B7"/>
    <w:rsid w:val="00666C62"/>
    <w:rsid w:val="006678F2"/>
    <w:rsid w:val="006703DB"/>
    <w:rsid w:val="00670A67"/>
    <w:rsid w:val="00670ADC"/>
    <w:rsid w:val="0067116C"/>
    <w:rsid w:val="00671200"/>
    <w:rsid w:val="006712D3"/>
    <w:rsid w:val="006713F3"/>
    <w:rsid w:val="006718D5"/>
    <w:rsid w:val="00671A1F"/>
    <w:rsid w:val="00671CC0"/>
    <w:rsid w:val="00672195"/>
    <w:rsid w:val="00672224"/>
    <w:rsid w:val="00672277"/>
    <w:rsid w:val="00672858"/>
    <w:rsid w:val="00672A88"/>
    <w:rsid w:val="00672C9C"/>
    <w:rsid w:val="00672FCD"/>
    <w:rsid w:val="006731B7"/>
    <w:rsid w:val="00673231"/>
    <w:rsid w:val="006738BD"/>
    <w:rsid w:val="00673A45"/>
    <w:rsid w:val="00673A75"/>
    <w:rsid w:val="00673A93"/>
    <w:rsid w:val="00673DC8"/>
    <w:rsid w:val="00673E61"/>
    <w:rsid w:val="006746D8"/>
    <w:rsid w:val="00674A06"/>
    <w:rsid w:val="00674A72"/>
    <w:rsid w:val="00674D19"/>
    <w:rsid w:val="006751AC"/>
    <w:rsid w:val="0067523D"/>
    <w:rsid w:val="00675B3D"/>
    <w:rsid w:val="00675CE1"/>
    <w:rsid w:val="00676416"/>
    <w:rsid w:val="00676CE8"/>
    <w:rsid w:val="0067716F"/>
    <w:rsid w:val="006776E4"/>
    <w:rsid w:val="00677A4B"/>
    <w:rsid w:val="006800B1"/>
    <w:rsid w:val="00680198"/>
    <w:rsid w:val="0068030E"/>
    <w:rsid w:val="006805AC"/>
    <w:rsid w:val="006806FB"/>
    <w:rsid w:val="0068099D"/>
    <w:rsid w:val="00680DF0"/>
    <w:rsid w:val="00681612"/>
    <w:rsid w:val="006822D8"/>
    <w:rsid w:val="006824EC"/>
    <w:rsid w:val="00682687"/>
    <w:rsid w:val="0068278C"/>
    <w:rsid w:val="006828E0"/>
    <w:rsid w:val="00683005"/>
    <w:rsid w:val="006833BF"/>
    <w:rsid w:val="006837F2"/>
    <w:rsid w:val="00683A7B"/>
    <w:rsid w:val="00683AE4"/>
    <w:rsid w:val="00683FBE"/>
    <w:rsid w:val="0068446E"/>
    <w:rsid w:val="0068469E"/>
    <w:rsid w:val="006847F0"/>
    <w:rsid w:val="00684AA3"/>
    <w:rsid w:val="00684AA9"/>
    <w:rsid w:val="00684F7C"/>
    <w:rsid w:val="0068529C"/>
    <w:rsid w:val="006855EA"/>
    <w:rsid w:val="006858BD"/>
    <w:rsid w:val="00685D38"/>
    <w:rsid w:val="0068629A"/>
    <w:rsid w:val="00686479"/>
    <w:rsid w:val="00686816"/>
    <w:rsid w:val="00686936"/>
    <w:rsid w:val="00686ADA"/>
    <w:rsid w:val="00686BD0"/>
    <w:rsid w:val="00686CCA"/>
    <w:rsid w:val="00686D67"/>
    <w:rsid w:val="00687735"/>
    <w:rsid w:val="006878DE"/>
    <w:rsid w:val="00687D8F"/>
    <w:rsid w:val="006901B1"/>
    <w:rsid w:val="006903A6"/>
    <w:rsid w:val="00690AB4"/>
    <w:rsid w:val="0069109D"/>
    <w:rsid w:val="0069125B"/>
    <w:rsid w:val="006913C4"/>
    <w:rsid w:val="00691643"/>
    <w:rsid w:val="00692040"/>
    <w:rsid w:val="006921AA"/>
    <w:rsid w:val="00692F87"/>
    <w:rsid w:val="00692FBD"/>
    <w:rsid w:val="00692FDE"/>
    <w:rsid w:val="006934ED"/>
    <w:rsid w:val="0069355C"/>
    <w:rsid w:val="00693606"/>
    <w:rsid w:val="00693AA2"/>
    <w:rsid w:val="00693E90"/>
    <w:rsid w:val="006941A9"/>
    <w:rsid w:val="00694269"/>
    <w:rsid w:val="00694853"/>
    <w:rsid w:val="006948A6"/>
    <w:rsid w:val="006949A9"/>
    <w:rsid w:val="00694C70"/>
    <w:rsid w:val="00695B47"/>
    <w:rsid w:val="00695C7D"/>
    <w:rsid w:val="00695CA6"/>
    <w:rsid w:val="006960DC"/>
    <w:rsid w:val="00696607"/>
    <w:rsid w:val="0069667F"/>
    <w:rsid w:val="006968DA"/>
    <w:rsid w:val="00696A53"/>
    <w:rsid w:val="00696CD4"/>
    <w:rsid w:val="00696D53"/>
    <w:rsid w:val="00697B35"/>
    <w:rsid w:val="00697C9A"/>
    <w:rsid w:val="00697E27"/>
    <w:rsid w:val="00697E63"/>
    <w:rsid w:val="006A0023"/>
    <w:rsid w:val="006A01EE"/>
    <w:rsid w:val="006A0738"/>
    <w:rsid w:val="006A0766"/>
    <w:rsid w:val="006A07B0"/>
    <w:rsid w:val="006A0AB6"/>
    <w:rsid w:val="006A0C33"/>
    <w:rsid w:val="006A0EEC"/>
    <w:rsid w:val="006A13C4"/>
    <w:rsid w:val="006A1B9B"/>
    <w:rsid w:val="006A1CD8"/>
    <w:rsid w:val="006A2089"/>
    <w:rsid w:val="006A2812"/>
    <w:rsid w:val="006A2954"/>
    <w:rsid w:val="006A2DA9"/>
    <w:rsid w:val="006A2FE1"/>
    <w:rsid w:val="006A3178"/>
    <w:rsid w:val="006A317D"/>
    <w:rsid w:val="006A32DC"/>
    <w:rsid w:val="006A3446"/>
    <w:rsid w:val="006A37C1"/>
    <w:rsid w:val="006A38F7"/>
    <w:rsid w:val="006A3B5B"/>
    <w:rsid w:val="006A3CB5"/>
    <w:rsid w:val="006A3E0C"/>
    <w:rsid w:val="006A3FD9"/>
    <w:rsid w:val="006A4483"/>
    <w:rsid w:val="006A501E"/>
    <w:rsid w:val="006A524E"/>
    <w:rsid w:val="006A5392"/>
    <w:rsid w:val="006A54A7"/>
    <w:rsid w:val="006A577A"/>
    <w:rsid w:val="006A6575"/>
    <w:rsid w:val="006A65FD"/>
    <w:rsid w:val="006A663F"/>
    <w:rsid w:val="006A6CAC"/>
    <w:rsid w:val="006A6F4A"/>
    <w:rsid w:val="006A780B"/>
    <w:rsid w:val="006B0365"/>
    <w:rsid w:val="006B0D45"/>
    <w:rsid w:val="006B0F4F"/>
    <w:rsid w:val="006B1156"/>
    <w:rsid w:val="006B208E"/>
    <w:rsid w:val="006B210C"/>
    <w:rsid w:val="006B2A51"/>
    <w:rsid w:val="006B3266"/>
    <w:rsid w:val="006B3A72"/>
    <w:rsid w:val="006B4034"/>
    <w:rsid w:val="006B41CE"/>
    <w:rsid w:val="006B4633"/>
    <w:rsid w:val="006B4C10"/>
    <w:rsid w:val="006B4E47"/>
    <w:rsid w:val="006B5054"/>
    <w:rsid w:val="006B53A6"/>
    <w:rsid w:val="006B5780"/>
    <w:rsid w:val="006B5A3E"/>
    <w:rsid w:val="006B5A71"/>
    <w:rsid w:val="006B5DF6"/>
    <w:rsid w:val="006B5F6B"/>
    <w:rsid w:val="006B6340"/>
    <w:rsid w:val="006B6674"/>
    <w:rsid w:val="006B6722"/>
    <w:rsid w:val="006B69FF"/>
    <w:rsid w:val="006B6A67"/>
    <w:rsid w:val="006B6C5A"/>
    <w:rsid w:val="006B6DA5"/>
    <w:rsid w:val="006B70BC"/>
    <w:rsid w:val="006B7269"/>
    <w:rsid w:val="006B7310"/>
    <w:rsid w:val="006B7B33"/>
    <w:rsid w:val="006B7BF7"/>
    <w:rsid w:val="006C00E7"/>
    <w:rsid w:val="006C0496"/>
    <w:rsid w:val="006C04B4"/>
    <w:rsid w:val="006C0757"/>
    <w:rsid w:val="006C0826"/>
    <w:rsid w:val="006C0E05"/>
    <w:rsid w:val="006C0EC9"/>
    <w:rsid w:val="006C126F"/>
    <w:rsid w:val="006C12E3"/>
    <w:rsid w:val="006C139A"/>
    <w:rsid w:val="006C1483"/>
    <w:rsid w:val="006C14B3"/>
    <w:rsid w:val="006C15C6"/>
    <w:rsid w:val="006C19AF"/>
    <w:rsid w:val="006C211E"/>
    <w:rsid w:val="006C21DD"/>
    <w:rsid w:val="006C2B67"/>
    <w:rsid w:val="006C2C64"/>
    <w:rsid w:val="006C2C77"/>
    <w:rsid w:val="006C2D2D"/>
    <w:rsid w:val="006C303A"/>
    <w:rsid w:val="006C3243"/>
    <w:rsid w:val="006C32C3"/>
    <w:rsid w:val="006C333A"/>
    <w:rsid w:val="006C3413"/>
    <w:rsid w:val="006C36ED"/>
    <w:rsid w:val="006C39C2"/>
    <w:rsid w:val="006C4040"/>
    <w:rsid w:val="006C41DC"/>
    <w:rsid w:val="006C4F6E"/>
    <w:rsid w:val="006C5401"/>
    <w:rsid w:val="006C5AF5"/>
    <w:rsid w:val="006C5BC1"/>
    <w:rsid w:val="006C6011"/>
    <w:rsid w:val="006C60B1"/>
    <w:rsid w:val="006C6EEA"/>
    <w:rsid w:val="006C70A6"/>
    <w:rsid w:val="006C71CD"/>
    <w:rsid w:val="006C7A4C"/>
    <w:rsid w:val="006C7B31"/>
    <w:rsid w:val="006C7C33"/>
    <w:rsid w:val="006C7C66"/>
    <w:rsid w:val="006C7D21"/>
    <w:rsid w:val="006C7E8D"/>
    <w:rsid w:val="006D000D"/>
    <w:rsid w:val="006D0049"/>
    <w:rsid w:val="006D0980"/>
    <w:rsid w:val="006D09BD"/>
    <w:rsid w:val="006D0AD0"/>
    <w:rsid w:val="006D0C94"/>
    <w:rsid w:val="006D0CB4"/>
    <w:rsid w:val="006D1707"/>
    <w:rsid w:val="006D1879"/>
    <w:rsid w:val="006D1929"/>
    <w:rsid w:val="006D1CFA"/>
    <w:rsid w:val="006D21FE"/>
    <w:rsid w:val="006D23CE"/>
    <w:rsid w:val="006D23FB"/>
    <w:rsid w:val="006D250F"/>
    <w:rsid w:val="006D25AC"/>
    <w:rsid w:val="006D2615"/>
    <w:rsid w:val="006D26A9"/>
    <w:rsid w:val="006D2805"/>
    <w:rsid w:val="006D3F99"/>
    <w:rsid w:val="006D4D39"/>
    <w:rsid w:val="006D4DD0"/>
    <w:rsid w:val="006D4FDA"/>
    <w:rsid w:val="006D4FF5"/>
    <w:rsid w:val="006D4FFF"/>
    <w:rsid w:val="006D57E5"/>
    <w:rsid w:val="006D581B"/>
    <w:rsid w:val="006D5AFD"/>
    <w:rsid w:val="006D604B"/>
    <w:rsid w:val="006D615C"/>
    <w:rsid w:val="006D6981"/>
    <w:rsid w:val="006D6C42"/>
    <w:rsid w:val="006D74EE"/>
    <w:rsid w:val="006D773F"/>
    <w:rsid w:val="006D7B42"/>
    <w:rsid w:val="006D7E5A"/>
    <w:rsid w:val="006D7F1E"/>
    <w:rsid w:val="006E0108"/>
    <w:rsid w:val="006E0208"/>
    <w:rsid w:val="006E05AC"/>
    <w:rsid w:val="006E0F71"/>
    <w:rsid w:val="006E1043"/>
    <w:rsid w:val="006E1192"/>
    <w:rsid w:val="006E11D0"/>
    <w:rsid w:val="006E15E0"/>
    <w:rsid w:val="006E219B"/>
    <w:rsid w:val="006E21CA"/>
    <w:rsid w:val="006E24EB"/>
    <w:rsid w:val="006E27BF"/>
    <w:rsid w:val="006E34E4"/>
    <w:rsid w:val="006E3716"/>
    <w:rsid w:val="006E379D"/>
    <w:rsid w:val="006E3ADE"/>
    <w:rsid w:val="006E4004"/>
    <w:rsid w:val="006E4356"/>
    <w:rsid w:val="006E4740"/>
    <w:rsid w:val="006E5765"/>
    <w:rsid w:val="006E5775"/>
    <w:rsid w:val="006E57A0"/>
    <w:rsid w:val="006E5AFC"/>
    <w:rsid w:val="006E5B4C"/>
    <w:rsid w:val="006E5E19"/>
    <w:rsid w:val="006E6D3E"/>
    <w:rsid w:val="006E70AB"/>
    <w:rsid w:val="006E70D2"/>
    <w:rsid w:val="006E76E0"/>
    <w:rsid w:val="006E7F5A"/>
    <w:rsid w:val="006F03A8"/>
    <w:rsid w:val="006F0A4A"/>
    <w:rsid w:val="006F0C01"/>
    <w:rsid w:val="006F1399"/>
    <w:rsid w:val="006F162E"/>
    <w:rsid w:val="006F185F"/>
    <w:rsid w:val="006F18EA"/>
    <w:rsid w:val="006F1C17"/>
    <w:rsid w:val="006F1D03"/>
    <w:rsid w:val="006F21FB"/>
    <w:rsid w:val="006F24ED"/>
    <w:rsid w:val="006F2A83"/>
    <w:rsid w:val="006F2E4A"/>
    <w:rsid w:val="006F3091"/>
    <w:rsid w:val="006F3213"/>
    <w:rsid w:val="006F38F2"/>
    <w:rsid w:val="006F38F8"/>
    <w:rsid w:val="006F3BCD"/>
    <w:rsid w:val="006F3EB1"/>
    <w:rsid w:val="006F3F1C"/>
    <w:rsid w:val="006F3F2D"/>
    <w:rsid w:val="006F3F43"/>
    <w:rsid w:val="006F44C2"/>
    <w:rsid w:val="006F4A81"/>
    <w:rsid w:val="006F508F"/>
    <w:rsid w:val="006F50CA"/>
    <w:rsid w:val="006F50DA"/>
    <w:rsid w:val="006F510F"/>
    <w:rsid w:val="006F5219"/>
    <w:rsid w:val="006F58E9"/>
    <w:rsid w:val="006F595E"/>
    <w:rsid w:val="006F59C3"/>
    <w:rsid w:val="006F5E4D"/>
    <w:rsid w:val="006F637B"/>
    <w:rsid w:val="006F661F"/>
    <w:rsid w:val="006F67BF"/>
    <w:rsid w:val="006F685A"/>
    <w:rsid w:val="006F68B9"/>
    <w:rsid w:val="006F6D7F"/>
    <w:rsid w:val="006F7256"/>
    <w:rsid w:val="006F76E1"/>
    <w:rsid w:val="006F7779"/>
    <w:rsid w:val="006F7C21"/>
    <w:rsid w:val="006F7C84"/>
    <w:rsid w:val="00700050"/>
    <w:rsid w:val="00700405"/>
    <w:rsid w:val="007007C4"/>
    <w:rsid w:val="00700DDE"/>
    <w:rsid w:val="0070105A"/>
    <w:rsid w:val="0070129C"/>
    <w:rsid w:val="0070250B"/>
    <w:rsid w:val="00702524"/>
    <w:rsid w:val="00702622"/>
    <w:rsid w:val="00702860"/>
    <w:rsid w:val="007028AB"/>
    <w:rsid w:val="0070301F"/>
    <w:rsid w:val="00703F1D"/>
    <w:rsid w:val="0070401D"/>
    <w:rsid w:val="00704181"/>
    <w:rsid w:val="007041E6"/>
    <w:rsid w:val="00704891"/>
    <w:rsid w:val="00704FDC"/>
    <w:rsid w:val="00705551"/>
    <w:rsid w:val="00707453"/>
    <w:rsid w:val="0070747C"/>
    <w:rsid w:val="00707AFC"/>
    <w:rsid w:val="00707B7F"/>
    <w:rsid w:val="00710034"/>
    <w:rsid w:val="007100A7"/>
    <w:rsid w:val="007101C0"/>
    <w:rsid w:val="00710715"/>
    <w:rsid w:val="00710D08"/>
    <w:rsid w:val="00710EDA"/>
    <w:rsid w:val="00710EFF"/>
    <w:rsid w:val="00711219"/>
    <w:rsid w:val="00711669"/>
    <w:rsid w:val="007117D1"/>
    <w:rsid w:val="00711A8C"/>
    <w:rsid w:val="00711AFA"/>
    <w:rsid w:val="00711B7E"/>
    <w:rsid w:val="00711C81"/>
    <w:rsid w:val="00712055"/>
    <w:rsid w:val="007126CD"/>
    <w:rsid w:val="007129A2"/>
    <w:rsid w:val="00712B08"/>
    <w:rsid w:val="00713CB1"/>
    <w:rsid w:val="00714344"/>
    <w:rsid w:val="00714721"/>
    <w:rsid w:val="007147F0"/>
    <w:rsid w:val="007148F8"/>
    <w:rsid w:val="007153D0"/>
    <w:rsid w:val="00715564"/>
    <w:rsid w:val="007155B0"/>
    <w:rsid w:val="007156B1"/>
    <w:rsid w:val="00715AE8"/>
    <w:rsid w:val="00715B6C"/>
    <w:rsid w:val="00716328"/>
    <w:rsid w:val="00716440"/>
    <w:rsid w:val="0071667E"/>
    <w:rsid w:val="0071687A"/>
    <w:rsid w:val="007169EB"/>
    <w:rsid w:val="00716C46"/>
    <w:rsid w:val="00716CBB"/>
    <w:rsid w:val="00717519"/>
    <w:rsid w:val="00717571"/>
    <w:rsid w:val="007175E9"/>
    <w:rsid w:val="00717B9F"/>
    <w:rsid w:val="00717BB8"/>
    <w:rsid w:val="00720A83"/>
    <w:rsid w:val="00721C1F"/>
    <w:rsid w:val="00721CA0"/>
    <w:rsid w:val="00721D29"/>
    <w:rsid w:val="007224AB"/>
    <w:rsid w:val="00722653"/>
    <w:rsid w:val="00722847"/>
    <w:rsid w:val="00722BFB"/>
    <w:rsid w:val="007236F8"/>
    <w:rsid w:val="0072394B"/>
    <w:rsid w:val="00723B48"/>
    <w:rsid w:val="00723E63"/>
    <w:rsid w:val="00724003"/>
    <w:rsid w:val="0072403D"/>
    <w:rsid w:val="00724665"/>
    <w:rsid w:val="00724B00"/>
    <w:rsid w:val="00724B36"/>
    <w:rsid w:val="00724B7E"/>
    <w:rsid w:val="00724EA5"/>
    <w:rsid w:val="00724F5D"/>
    <w:rsid w:val="0072530F"/>
    <w:rsid w:val="00725DD3"/>
    <w:rsid w:val="0072646E"/>
    <w:rsid w:val="00726937"/>
    <w:rsid w:val="00726AAE"/>
    <w:rsid w:val="0072718E"/>
    <w:rsid w:val="00727220"/>
    <w:rsid w:val="0072757F"/>
    <w:rsid w:val="007275E4"/>
    <w:rsid w:val="0072774E"/>
    <w:rsid w:val="00730705"/>
    <w:rsid w:val="00730CC8"/>
    <w:rsid w:val="007310A9"/>
    <w:rsid w:val="007311CF"/>
    <w:rsid w:val="007311E2"/>
    <w:rsid w:val="007316EF"/>
    <w:rsid w:val="00731EF0"/>
    <w:rsid w:val="007320C7"/>
    <w:rsid w:val="0073268E"/>
    <w:rsid w:val="007326D5"/>
    <w:rsid w:val="00732DFC"/>
    <w:rsid w:val="0073345F"/>
    <w:rsid w:val="0073394E"/>
    <w:rsid w:val="00733DC2"/>
    <w:rsid w:val="00733FD1"/>
    <w:rsid w:val="0073436A"/>
    <w:rsid w:val="00734567"/>
    <w:rsid w:val="00734AFA"/>
    <w:rsid w:val="00734DF3"/>
    <w:rsid w:val="0073509B"/>
    <w:rsid w:val="007352EE"/>
    <w:rsid w:val="0073564C"/>
    <w:rsid w:val="0073565B"/>
    <w:rsid w:val="00735969"/>
    <w:rsid w:val="0073596F"/>
    <w:rsid w:val="00735F0A"/>
    <w:rsid w:val="007363E8"/>
    <w:rsid w:val="007363F4"/>
    <w:rsid w:val="007364EA"/>
    <w:rsid w:val="00736D5C"/>
    <w:rsid w:val="007371AE"/>
    <w:rsid w:val="00737500"/>
    <w:rsid w:val="00737883"/>
    <w:rsid w:val="00737DA9"/>
    <w:rsid w:val="00737E70"/>
    <w:rsid w:val="0074042A"/>
    <w:rsid w:val="00740D0E"/>
    <w:rsid w:val="007411F5"/>
    <w:rsid w:val="007413FA"/>
    <w:rsid w:val="00741618"/>
    <w:rsid w:val="0074177B"/>
    <w:rsid w:val="00741DF0"/>
    <w:rsid w:val="00741FEB"/>
    <w:rsid w:val="0074217F"/>
    <w:rsid w:val="007426AD"/>
    <w:rsid w:val="007428EA"/>
    <w:rsid w:val="00742E67"/>
    <w:rsid w:val="00743167"/>
    <w:rsid w:val="0074363D"/>
    <w:rsid w:val="007439D0"/>
    <w:rsid w:val="00743A58"/>
    <w:rsid w:val="00743FD2"/>
    <w:rsid w:val="00743FDF"/>
    <w:rsid w:val="00744278"/>
    <w:rsid w:val="007449E2"/>
    <w:rsid w:val="00744A30"/>
    <w:rsid w:val="00744C46"/>
    <w:rsid w:val="00744DD5"/>
    <w:rsid w:val="00744E9C"/>
    <w:rsid w:val="00744ED7"/>
    <w:rsid w:val="00744FFA"/>
    <w:rsid w:val="00745377"/>
    <w:rsid w:val="00745508"/>
    <w:rsid w:val="00745D02"/>
    <w:rsid w:val="0074636F"/>
    <w:rsid w:val="00746428"/>
    <w:rsid w:val="007464A9"/>
    <w:rsid w:val="007478EE"/>
    <w:rsid w:val="007479C9"/>
    <w:rsid w:val="00747ACE"/>
    <w:rsid w:val="00750656"/>
    <w:rsid w:val="00750BBB"/>
    <w:rsid w:val="00750D7A"/>
    <w:rsid w:val="007511D3"/>
    <w:rsid w:val="00751539"/>
    <w:rsid w:val="0075159B"/>
    <w:rsid w:val="00752777"/>
    <w:rsid w:val="00752782"/>
    <w:rsid w:val="00752C52"/>
    <w:rsid w:val="00752FBE"/>
    <w:rsid w:val="007536B4"/>
    <w:rsid w:val="00753B0F"/>
    <w:rsid w:val="00753B3B"/>
    <w:rsid w:val="00753E2E"/>
    <w:rsid w:val="00753FC1"/>
    <w:rsid w:val="00754065"/>
    <w:rsid w:val="00754318"/>
    <w:rsid w:val="00754941"/>
    <w:rsid w:val="00754B98"/>
    <w:rsid w:val="00754BAB"/>
    <w:rsid w:val="00754DD9"/>
    <w:rsid w:val="00755207"/>
    <w:rsid w:val="007556F4"/>
    <w:rsid w:val="0075617D"/>
    <w:rsid w:val="00756454"/>
    <w:rsid w:val="00756477"/>
    <w:rsid w:val="00756855"/>
    <w:rsid w:val="007570E5"/>
    <w:rsid w:val="00757231"/>
    <w:rsid w:val="0075733F"/>
    <w:rsid w:val="0075762E"/>
    <w:rsid w:val="00757BBA"/>
    <w:rsid w:val="00757EEA"/>
    <w:rsid w:val="00760117"/>
    <w:rsid w:val="007603FE"/>
    <w:rsid w:val="00760831"/>
    <w:rsid w:val="007608A7"/>
    <w:rsid w:val="007608F2"/>
    <w:rsid w:val="00760B61"/>
    <w:rsid w:val="00761148"/>
    <w:rsid w:val="00761164"/>
    <w:rsid w:val="00761DD4"/>
    <w:rsid w:val="007621D4"/>
    <w:rsid w:val="00762537"/>
    <w:rsid w:val="007630F1"/>
    <w:rsid w:val="007641E8"/>
    <w:rsid w:val="00764999"/>
    <w:rsid w:val="00764C4B"/>
    <w:rsid w:val="00764DAC"/>
    <w:rsid w:val="00765412"/>
    <w:rsid w:val="00765539"/>
    <w:rsid w:val="00765715"/>
    <w:rsid w:val="00765B1B"/>
    <w:rsid w:val="00766078"/>
    <w:rsid w:val="00766420"/>
    <w:rsid w:val="007666BF"/>
    <w:rsid w:val="00766909"/>
    <w:rsid w:val="00766923"/>
    <w:rsid w:val="007674CE"/>
    <w:rsid w:val="00767558"/>
    <w:rsid w:val="007675D6"/>
    <w:rsid w:val="007678CF"/>
    <w:rsid w:val="007679DC"/>
    <w:rsid w:val="0077013D"/>
    <w:rsid w:val="007701E2"/>
    <w:rsid w:val="00770908"/>
    <w:rsid w:val="00770C31"/>
    <w:rsid w:val="00770D37"/>
    <w:rsid w:val="00771065"/>
    <w:rsid w:val="007711D2"/>
    <w:rsid w:val="00771DB3"/>
    <w:rsid w:val="0077211F"/>
    <w:rsid w:val="00772445"/>
    <w:rsid w:val="00772C18"/>
    <w:rsid w:val="00772C2A"/>
    <w:rsid w:val="007731AF"/>
    <w:rsid w:val="00773ACC"/>
    <w:rsid w:val="00773D8B"/>
    <w:rsid w:val="00773F13"/>
    <w:rsid w:val="0077405B"/>
    <w:rsid w:val="00774EF3"/>
    <w:rsid w:val="00775399"/>
    <w:rsid w:val="0077548F"/>
    <w:rsid w:val="00775B74"/>
    <w:rsid w:val="00775B85"/>
    <w:rsid w:val="00775D51"/>
    <w:rsid w:val="00776143"/>
    <w:rsid w:val="0077623B"/>
    <w:rsid w:val="00776793"/>
    <w:rsid w:val="00776885"/>
    <w:rsid w:val="00777265"/>
    <w:rsid w:val="00777834"/>
    <w:rsid w:val="007803AB"/>
    <w:rsid w:val="00780975"/>
    <w:rsid w:val="00780B84"/>
    <w:rsid w:val="00780DD9"/>
    <w:rsid w:val="00780DFE"/>
    <w:rsid w:val="0078144F"/>
    <w:rsid w:val="007817CD"/>
    <w:rsid w:val="00781BC0"/>
    <w:rsid w:val="00781D0F"/>
    <w:rsid w:val="00782398"/>
    <w:rsid w:val="0078243F"/>
    <w:rsid w:val="00782655"/>
    <w:rsid w:val="00782973"/>
    <w:rsid w:val="00782A65"/>
    <w:rsid w:val="0078329A"/>
    <w:rsid w:val="0078389A"/>
    <w:rsid w:val="007838EC"/>
    <w:rsid w:val="007839B8"/>
    <w:rsid w:val="00783A69"/>
    <w:rsid w:val="007848BC"/>
    <w:rsid w:val="00784C09"/>
    <w:rsid w:val="00784CD9"/>
    <w:rsid w:val="00784EB2"/>
    <w:rsid w:val="00785151"/>
    <w:rsid w:val="007852B7"/>
    <w:rsid w:val="0078566D"/>
    <w:rsid w:val="00785D34"/>
    <w:rsid w:val="00785D3D"/>
    <w:rsid w:val="00785EAC"/>
    <w:rsid w:val="007864C2"/>
    <w:rsid w:val="007868DA"/>
    <w:rsid w:val="00786B3F"/>
    <w:rsid w:val="00786DA6"/>
    <w:rsid w:val="00786FDF"/>
    <w:rsid w:val="00787201"/>
    <w:rsid w:val="00787406"/>
    <w:rsid w:val="007877A0"/>
    <w:rsid w:val="007878F0"/>
    <w:rsid w:val="00787959"/>
    <w:rsid w:val="00787AD9"/>
    <w:rsid w:val="00787D65"/>
    <w:rsid w:val="007907EB"/>
    <w:rsid w:val="00790BE8"/>
    <w:rsid w:val="00790D99"/>
    <w:rsid w:val="007910AA"/>
    <w:rsid w:val="007910AF"/>
    <w:rsid w:val="007915FB"/>
    <w:rsid w:val="00791982"/>
    <w:rsid w:val="00791BDA"/>
    <w:rsid w:val="00792085"/>
    <w:rsid w:val="007920E7"/>
    <w:rsid w:val="0079241A"/>
    <w:rsid w:val="00792826"/>
    <w:rsid w:val="0079332F"/>
    <w:rsid w:val="007934CE"/>
    <w:rsid w:val="007937F8"/>
    <w:rsid w:val="0079386A"/>
    <w:rsid w:val="00793AB8"/>
    <w:rsid w:val="00793B12"/>
    <w:rsid w:val="00794041"/>
    <w:rsid w:val="007940F0"/>
    <w:rsid w:val="007941D7"/>
    <w:rsid w:val="0079423C"/>
    <w:rsid w:val="0079475F"/>
    <w:rsid w:val="0079491B"/>
    <w:rsid w:val="00794BCC"/>
    <w:rsid w:val="00794C7C"/>
    <w:rsid w:val="00795082"/>
    <w:rsid w:val="007950AA"/>
    <w:rsid w:val="00795137"/>
    <w:rsid w:val="007956D2"/>
    <w:rsid w:val="00795855"/>
    <w:rsid w:val="007958AE"/>
    <w:rsid w:val="00795C5C"/>
    <w:rsid w:val="00795CB3"/>
    <w:rsid w:val="0079600D"/>
    <w:rsid w:val="007964B3"/>
    <w:rsid w:val="007964E3"/>
    <w:rsid w:val="0079651B"/>
    <w:rsid w:val="0079662A"/>
    <w:rsid w:val="0079695D"/>
    <w:rsid w:val="00796E47"/>
    <w:rsid w:val="00797467"/>
    <w:rsid w:val="0079795F"/>
    <w:rsid w:val="00797B76"/>
    <w:rsid w:val="007A00F4"/>
    <w:rsid w:val="007A0BC6"/>
    <w:rsid w:val="007A115C"/>
    <w:rsid w:val="007A155D"/>
    <w:rsid w:val="007A18DC"/>
    <w:rsid w:val="007A19D9"/>
    <w:rsid w:val="007A19E1"/>
    <w:rsid w:val="007A270D"/>
    <w:rsid w:val="007A28CC"/>
    <w:rsid w:val="007A2CED"/>
    <w:rsid w:val="007A300B"/>
    <w:rsid w:val="007A33F6"/>
    <w:rsid w:val="007A3490"/>
    <w:rsid w:val="007A3701"/>
    <w:rsid w:val="007A40B7"/>
    <w:rsid w:val="007A4186"/>
    <w:rsid w:val="007A426E"/>
    <w:rsid w:val="007A4441"/>
    <w:rsid w:val="007A4B2C"/>
    <w:rsid w:val="007A52A3"/>
    <w:rsid w:val="007A53AA"/>
    <w:rsid w:val="007A5432"/>
    <w:rsid w:val="007A57A4"/>
    <w:rsid w:val="007A5ACD"/>
    <w:rsid w:val="007A5BE1"/>
    <w:rsid w:val="007A61CC"/>
    <w:rsid w:val="007A6234"/>
    <w:rsid w:val="007A65AE"/>
    <w:rsid w:val="007A6858"/>
    <w:rsid w:val="007A6F64"/>
    <w:rsid w:val="007A70DF"/>
    <w:rsid w:val="007A758B"/>
    <w:rsid w:val="007B01EB"/>
    <w:rsid w:val="007B07A0"/>
    <w:rsid w:val="007B0836"/>
    <w:rsid w:val="007B0DB0"/>
    <w:rsid w:val="007B0DEB"/>
    <w:rsid w:val="007B12A3"/>
    <w:rsid w:val="007B1383"/>
    <w:rsid w:val="007B13C1"/>
    <w:rsid w:val="007B1754"/>
    <w:rsid w:val="007B1CD3"/>
    <w:rsid w:val="007B20DB"/>
    <w:rsid w:val="007B291B"/>
    <w:rsid w:val="007B2A8C"/>
    <w:rsid w:val="007B2A8E"/>
    <w:rsid w:val="007B2C7D"/>
    <w:rsid w:val="007B2D67"/>
    <w:rsid w:val="007B3396"/>
    <w:rsid w:val="007B339A"/>
    <w:rsid w:val="007B3441"/>
    <w:rsid w:val="007B398B"/>
    <w:rsid w:val="007B49DA"/>
    <w:rsid w:val="007B4B5A"/>
    <w:rsid w:val="007B4C04"/>
    <w:rsid w:val="007B4E54"/>
    <w:rsid w:val="007B4F45"/>
    <w:rsid w:val="007B5427"/>
    <w:rsid w:val="007B54B6"/>
    <w:rsid w:val="007B5597"/>
    <w:rsid w:val="007B5C82"/>
    <w:rsid w:val="007B6250"/>
    <w:rsid w:val="007B6262"/>
    <w:rsid w:val="007B6AE5"/>
    <w:rsid w:val="007B70E6"/>
    <w:rsid w:val="007B730B"/>
    <w:rsid w:val="007B77E8"/>
    <w:rsid w:val="007B7AC3"/>
    <w:rsid w:val="007B7F1F"/>
    <w:rsid w:val="007C012E"/>
    <w:rsid w:val="007C0144"/>
    <w:rsid w:val="007C01B8"/>
    <w:rsid w:val="007C09DA"/>
    <w:rsid w:val="007C0EF1"/>
    <w:rsid w:val="007C0F0D"/>
    <w:rsid w:val="007C0FBC"/>
    <w:rsid w:val="007C1279"/>
    <w:rsid w:val="007C18CA"/>
    <w:rsid w:val="007C1ACC"/>
    <w:rsid w:val="007C1C46"/>
    <w:rsid w:val="007C25AD"/>
    <w:rsid w:val="007C2CD8"/>
    <w:rsid w:val="007C2D37"/>
    <w:rsid w:val="007C2FD0"/>
    <w:rsid w:val="007C2FEF"/>
    <w:rsid w:val="007C3079"/>
    <w:rsid w:val="007C3201"/>
    <w:rsid w:val="007C42A4"/>
    <w:rsid w:val="007C4B5C"/>
    <w:rsid w:val="007C50F4"/>
    <w:rsid w:val="007C517A"/>
    <w:rsid w:val="007C52CE"/>
    <w:rsid w:val="007C5396"/>
    <w:rsid w:val="007C5464"/>
    <w:rsid w:val="007C5AE9"/>
    <w:rsid w:val="007C5ECE"/>
    <w:rsid w:val="007C628B"/>
    <w:rsid w:val="007C6332"/>
    <w:rsid w:val="007C68B7"/>
    <w:rsid w:val="007C6981"/>
    <w:rsid w:val="007C6D82"/>
    <w:rsid w:val="007C771B"/>
    <w:rsid w:val="007C7CF6"/>
    <w:rsid w:val="007C7D34"/>
    <w:rsid w:val="007D01C2"/>
    <w:rsid w:val="007D036E"/>
    <w:rsid w:val="007D03B8"/>
    <w:rsid w:val="007D0454"/>
    <w:rsid w:val="007D15F2"/>
    <w:rsid w:val="007D19BC"/>
    <w:rsid w:val="007D1B47"/>
    <w:rsid w:val="007D1CC1"/>
    <w:rsid w:val="007D1E54"/>
    <w:rsid w:val="007D1F83"/>
    <w:rsid w:val="007D1FDD"/>
    <w:rsid w:val="007D2720"/>
    <w:rsid w:val="007D29E6"/>
    <w:rsid w:val="007D2FD0"/>
    <w:rsid w:val="007D3628"/>
    <w:rsid w:val="007D4938"/>
    <w:rsid w:val="007D4A7B"/>
    <w:rsid w:val="007D4E3B"/>
    <w:rsid w:val="007D4E67"/>
    <w:rsid w:val="007D563F"/>
    <w:rsid w:val="007D5833"/>
    <w:rsid w:val="007D6047"/>
    <w:rsid w:val="007D6917"/>
    <w:rsid w:val="007D6EC0"/>
    <w:rsid w:val="007D6F5D"/>
    <w:rsid w:val="007D6FFD"/>
    <w:rsid w:val="007D729D"/>
    <w:rsid w:val="007D7603"/>
    <w:rsid w:val="007D7BC6"/>
    <w:rsid w:val="007E06AB"/>
    <w:rsid w:val="007E0B8F"/>
    <w:rsid w:val="007E0B96"/>
    <w:rsid w:val="007E0DDD"/>
    <w:rsid w:val="007E149E"/>
    <w:rsid w:val="007E150B"/>
    <w:rsid w:val="007E1A2D"/>
    <w:rsid w:val="007E1C2F"/>
    <w:rsid w:val="007E20CF"/>
    <w:rsid w:val="007E220D"/>
    <w:rsid w:val="007E2303"/>
    <w:rsid w:val="007E2A58"/>
    <w:rsid w:val="007E3518"/>
    <w:rsid w:val="007E39C2"/>
    <w:rsid w:val="007E3CC6"/>
    <w:rsid w:val="007E3E9E"/>
    <w:rsid w:val="007E41A5"/>
    <w:rsid w:val="007E4403"/>
    <w:rsid w:val="007E46B6"/>
    <w:rsid w:val="007E4B34"/>
    <w:rsid w:val="007E569C"/>
    <w:rsid w:val="007E5830"/>
    <w:rsid w:val="007E59F9"/>
    <w:rsid w:val="007E5D01"/>
    <w:rsid w:val="007E6299"/>
    <w:rsid w:val="007E6369"/>
    <w:rsid w:val="007E6447"/>
    <w:rsid w:val="007E66E6"/>
    <w:rsid w:val="007E6756"/>
    <w:rsid w:val="007E72EC"/>
    <w:rsid w:val="007E74CF"/>
    <w:rsid w:val="007E7778"/>
    <w:rsid w:val="007E78EC"/>
    <w:rsid w:val="007E7A53"/>
    <w:rsid w:val="007E7C2A"/>
    <w:rsid w:val="007E7C73"/>
    <w:rsid w:val="007F00D8"/>
    <w:rsid w:val="007F010F"/>
    <w:rsid w:val="007F047E"/>
    <w:rsid w:val="007F0916"/>
    <w:rsid w:val="007F12B4"/>
    <w:rsid w:val="007F1978"/>
    <w:rsid w:val="007F1AA5"/>
    <w:rsid w:val="007F2806"/>
    <w:rsid w:val="007F2B85"/>
    <w:rsid w:val="007F2E74"/>
    <w:rsid w:val="007F31AD"/>
    <w:rsid w:val="007F36AE"/>
    <w:rsid w:val="007F38C1"/>
    <w:rsid w:val="007F3AEF"/>
    <w:rsid w:val="007F3F10"/>
    <w:rsid w:val="007F41B2"/>
    <w:rsid w:val="007F4B81"/>
    <w:rsid w:val="007F6040"/>
    <w:rsid w:val="007F6660"/>
    <w:rsid w:val="007F6AE3"/>
    <w:rsid w:val="007F6CDB"/>
    <w:rsid w:val="007F7176"/>
    <w:rsid w:val="007F73C3"/>
    <w:rsid w:val="007F7A5C"/>
    <w:rsid w:val="007F7AA2"/>
    <w:rsid w:val="0080001F"/>
    <w:rsid w:val="0080009D"/>
    <w:rsid w:val="008002E3"/>
    <w:rsid w:val="00800762"/>
    <w:rsid w:val="00800984"/>
    <w:rsid w:val="00800C57"/>
    <w:rsid w:val="00800F65"/>
    <w:rsid w:val="00800F84"/>
    <w:rsid w:val="00801195"/>
    <w:rsid w:val="00801BD8"/>
    <w:rsid w:val="00801E87"/>
    <w:rsid w:val="0080262F"/>
    <w:rsid w:val="008029AC"/>
    <w:rsid w:val="00802A95"/>
    <w:rsid w:val="00803073"/>
    <w:rsid w:val="0080334E"/>
    <w:rsid w:val="00803415"/>
    <w:rsid w:val="00803833"/>
    <w:rsid w:val="00803B67"/>
    <w:rsid w:val="00803B96"/>
    <w:rsid w:val="0080458C"/>
    <w:rsid w:val="00804744"/>
    <w:rsid w:val="00804E24"/>
    <w:rsid w:val="00804F32"/>
    <w:rsid w:val="00805146"/>
    <w:rsid w:val="008056D3"/>
    <w:rsid w:val="008056EC"/>
    <w:rsid w:val="00805958"/>
    <w:rsid w:val="00805963"/>
    <w:rsid w:val="00805B2C"/>
    <w:rsid w:val="00805EFA"/>
    <w:rsid w:val="008061B5"/>
    <w:rsid w:val="00806240"/>
    <w:rsid w:val="008062C8"/>
    <w:rsid w:val="008070D7"/>
    <w:rsid w:val="008075D3"/>
    <w:rsid w:val="0081023F"/>
    <w:rsid w:val="0081025B"/>
    <w:rsid w:val="00810640"/>
    <w:rsid w:val="00810A7E"/>
    <w:rsid w:val="00810FA8"/>
    <w:rsid w:val="00811916"/>
    <w:rsid w:val="00812377"/>
    <w:rsid w:val="00812C05"/>
    <w:rsid w:val="00813383"/>
    <w:rsid w:val="0081410A"/>
    <w:rsid w:val="00814249"/>
    <w:rsid w:val="008147B0"/>
    <w:rsid w:val="008149DF"/>
    <w:rsid w:val="00814B5B"/>
    <w:rsid w:val="00814E44"/>
    <w:rsid w:val="00814ED6"/>
    <w:rsid w:val="008153F0"/>
    <w:rsid w:val="008154A6"/>
    <w:rsid w:val="00815589"/>
    <w:rsid w:val="00815612"/>
    <w:rsid w:val="0081570D"/>
    <w:rsid w:val="00815B96"/>
    <w:rsid w:val="00815FE7"/>
    <w:rsid w:val="00816035"/>
    <w:rsid w:val="008163DD"/>
    <w:rsid w:val="0081644B"/>
    <w:rsid w:val="00816570"/>
    <w:rsid w:val="008167FC"/>
    <w:rsid w:val="00816BAF"/>
    <w:rsid w:val="008177F6"/>
    <w:rsid w:val="00817A86"/>
    <w:rsid w:val="00817C98"/>
    <w:rsid w:val="00817E64"/>
    <w:rsid w:val="008203DB"/>
    <w:rsid w:val="00820668"/>
    <w:rsid w:val="00821191"/>
    <w:rsid w:val="0082128E"/>
    <w:rsid w:val="008215B7"/>
    <w:rsid w:val="008218B2"/>
    <w:rsid w:val="00821BC2"/>
    <w:rsid w:val="00822186"/>
    <w:rsid w:val="00822245"/>
    <w:rsid w:val="0082227F"/>
    <w:rsid w:val="008226AE"/>
    <w:rsid w:val="00822D6C"/>
    <w:rsid w:val="00822EDA"/>
    <w:rsid w:val="0082303C"/>
    <w:rsid w:val="008231B9"/>
    <w:rsid w:val="00823206"/>
    <w:rsid w:val="008232AD"/>
    <w:rsid w:val="00823808"/>
    <w:rsid w:val="00823B4C"/>
    <w:rsid w:val="00823D9E"/>
    <w:rsid w:val="00824791"/>
    <w:rsid w:val="008247B7"/>
    <w:rsid w:val="00824804"/>
    <w:rsid w:val="00824F00"/>
    <w:rsid w:val="00824F2B"/>
    <w:rsid w:val="00825100"/>
    <w:rsid w:val="0082516A"/>
    <w:rsid w:val="008251CE"/>
    <w:rsid w:val="00825567"/>
    <w:rsid w:val="00825BC4"/>
    <w:rsid w:val="00825FC7"/>
    <w:rsid w:val="00826377"/>
    <w:rsid w:val="00826785"/>
    <w:rsid w:val="00826935"/>
    <w:rsid w:val="00826CA6"/>
    <w:rsid w:val="0082704B"/>
    <w:rsid w:val="00827450"/>
    <w:rsid w:val="008276F4"/>
    <w:rsid w:val="008276F8"/>
    <w:rsid w:val="008278C4"/>
    <w:rsid w:val="00827A0A"/>
    <w:rsid w:val="0083019F"/>
    <w:rsid w:val="00830313"/>
    <w:rsid w:val="0083078B"/>
    <w:rsid w:val="008308AF"/>
    <w:rsid w:val="00830A29"/>
    <w:rsid w:val="00830DD9"/>
    <w:rsid w:val="00831A7E"/>
    <w:rsid w:val="00831C09"/>
    <w:rsid w:val="00831FFD"/>
    <w:rsid w:val="008325AC"/>
    <w:rsid w:val="00832F0A"/>
    <w:rsid w:val="00833181"/>
    <w:rsid w:val="008333A6"/>
    <w:rsid w:val="0083376B"/>
    <w:rsid w:val="00833B72"/>
    <w:rsid w:val="00833C17"/>
    <w:rsid w:val="00833F75"/>
    <w:rsid w:val="008342D8"/>
    <w:rsid w:val="0083437D"/>
    <w:rsid w:val="00834EA8"/>
    <w:rsid w:val="00834F3C"/>
    <w:rsid w:val="0083538D"/>
    <w:rsid w:val="00835DCF"/>
    <w:rsid w:val="0083646A"/>
    <w:rsid w:val="008365DE"/>
    <w:rsid w:val="008366DB"/>
    <w:rsid w:val="008367E5"/>
    <w:rsid w:val="00836A2B"/>
    <w:rsid w:val="00836ADC"/>
    <w:rsid w:val="00836B52"/>
    <w:rsid w:val="00836DE6"/>
    <w:rsid w:val="00836DE9"/>
    <w:rsid w:val="00837CE9"/>
    <w:rsid w:val="00837F93"/>
    <w:rsid w:val="00840172"/>
    <w:rsid w:val="008407BC"/>
    <w:rsid w:val="008408A8"/>
    <w:rsid w:val="00840CA9"/>
    <w:rsid w:val="00841072"/>
    <w:rsid w:val="008412AE"/>
    <w:rsid w:val="00841437"/>
    <w:rsid w:val="008417B9"/>
    <w:rsid w:val="008417C6"/>
    <w:rsid w:val="00841B72"/>
    <w:rsid w:val="00842225"/>
    <w:rsid w:val="00842647"/>
    <w:rsid w:val="0084269D"/>
    <w:rsid w:val="00842F3E"/>
    <w:rsid w:val="008441A6"/>
    <w:rsid w:val="00844280"/>
    <w:rsid w:val="008442B7"/>
    <w:rsid w:val="00844371"/>
    <w:rsid w:val="008443A0"/>
    <w:rsid w:val="00844B51"/>
    <w:rsid w:val="00844D87"/>
    <w:rsid w:val="00845277"/>
    <w:rsid w:val="00845661"/>
    <w:rsid w:val="008457FD"/>
    <w:rsid w:val="008459A9"/>
    <w:rsid w:val="00845CEE"/>
    <w:rsid w:val="00845E95"/>
    <w:rsid w:val="008460B1"/>
    <w:rsid w:val="008460F5"/>
    <w:rsid w:val="008467B7"/>
    <w:rsid w:val="0084690D"/>
    <w:rsid w:val="00847084"/>
    <w:rsid w:val="0084709B"/>
    <w:rsid w:val="00847F0A"/>
    <w:rsid w:val="008503DA"/>
    <w:rsid w:val="00850D8B"/>
    <w:rsid w:val="00850ED7"/>
    <w:rsid w:val="00851013"/>
    <w:rsid w:val="00851390"/>
    <w:rsid w:val="00851B36"/>
    <w:rsid w:val="00851F49"/>
    <w:rsid w:val="008520FB"/>
    <w:rsid w:val="00852C02"/>
    <w:rsid w:val="00852D63"/>
    <w:rsid w:val="00853013"/>
    <w:rsid w:val="008531B6"/>
    <w:rsid w:val="008538F6"/>
    <w:rsid w:val="00853CA7"/>
    <w:rsid w:val="00853D25"/>
    <w:rsid w:val="008547E9"/>
    <w:rsid w:val="00854B80"/>
    <w:rsid w:val="00854C11"/>
    <w:rsid w:val="00854D3C"/>
    <w:rsid w:val="008554DC"/>
    <w:rsid w:val="008556AD"/>
    <w:rsid w:val="00855C30"/>
    <w:rsid w:val="00855C92"/>
    <w:rsid w:val="00856284"/>
    <w:rsid w:val="00856711"/>
    <w:rsid w:val="0085679E"/>
    <w:rsid w:val="00856951"/>
    <w:rsid w:val="00856E58"/>
    <w:rsid w:val="00856F05"/>
    <w:rsid w:val="00857426"/>
    <w:rsid w:val="00857A7F"/>
    <w:rsid w:val="00857C71"/>
    <w:rsid w:val="00857E50"/>
    <w:rsid w:val="008600B6"/>
    <w:rsid w:val="00860330"/>
    <w:rsid w:val="00860792"/>
    <w:rsid w:val="00860958"/>
    <w:rsid w:val="00861066"/>
    <w:rsid w:val="008614E7"/>
    <w:rsid w:val="00861890"/>
    <w:rsid w:val="00861996"/>
    <w:rsid w:val="0086236B"/>
    <w:rsid w:val="008624C0"/>
    <w:rsid w:val="008626F0"/>
    <w:rsid w:val="00862B6E"/>
    <w:rsid w:val="00862D20"/>
    <w:rsid w:val="00862F85"/>
    <w:rsid w:val="00863640"/>
    <w:rsid w:val="00863B27"/>
    <w:rsid w:val="00863DBA"/>
    <w:rsid w:val="00863FE0"/>
    <w:rsid w:val="0086407D"/>
    <w:rsid w:val="0086425A"/>
    <w:rsid w:val="00864449"/>
    <w:rsid w:val="008648D3"/>
    <w:rsid w:val="00864EF1"/>
    <w:rsid w:val="008652A3"/>
    <w:rsid w:val="0086535C"/>
    <w:rsid w:val="008655F8"/>
    <w:rsid w:val="0086591D"/>
    <w:rsid w:val="00865C89"/>
    <w:rsid w:val="00866282"/>
    <w:rsid w:val="0086646A"/>
    <w:rsid w:val="00866672"/>
    <w:rsid w:val="008666E2"/>
    <w:rsid w:val="008669B3"/>
    <w:rsid w:val="00866A14"/>
    <w:rsid w:val="00867366"/>
    <w:rsid w:val="0086785E"/>
    <w:rsid w:val="00867C48"/>
    <w:rsid w:val="00867C60"/>
    <w:rsid w:val="00867D27"/>
    <w:rsid w:val="00867DD1"/>
    <w:rsid w:val="0087028A"/>
    <w:rsid w:val="00870701"/>
    <w:rsid w:val="008717EA"/>
    <w:rsid w:val="0087209A"/>
    <w:rsid w:val="008720C5"/>
    <w:rsid w:val="0087241E"/>
    <w:rsid w:val="00872956"/>
    <w:rsid w:val="00872B59"/>
    <w:rsid w:val="00873805"/>
    <w:rsid w:val="00873822"/>
    <w:rsid w:val="00873BCF"/>
    <w:rsid w:val="00873F8A"/>
    <w:rsid w:val="00874DF9"/>
    <w:rsid w:val="00874FE6"/>
    <w:rsid w:val="0087543B"/>
    <w:rsid w:val="0087574C"/>
    <w:rsid w:val="0087576E"/>
    <w:rsid w:val="00875809"/>
    <w:rsid w:val="0087582F"/>
    <w:rsid w:val="00875DC9"/>
    <w:rsid w:val="0087606C"/>
    <w:rsid w:val="0087629B"/>
    <w:rsid w:val="00876813"/>
    <w:rsid w:val="008768BC"/>
    <w:rsid w:val="008769F7"/>
    <w:rsid w:val="00876B1D"/>
    <w:rsid w:val="00876D3B"/>
    <w:rsid w:val="00876E69"/>
    <w:rsid w:val="008770E8"/>
    <w:rsid w:val="008772B7"/>
    <w:rsid w:val="0087769B"/>
    <w:rsid w:val="008776CA"/>
    <w:rsid w:val="00877A49"/>
    <w:rsid w:val="00877AA6"/>
    <w:rsid w:val="00877AFF"/>
    <w:rsid w:val="008806CF"/>
    <w:rsid w:val="00880BCB"/>
    <w:rsid w:val="00880E31"/>
    <w:rsid w:val="00881348"/>
    <w:rsid w:val="00881CBE"/>
    <w:rsid w:val="00881DD5"/>
    <w:rsid w:val="00881EF5"/>
    <w:rsid w:val="00882515"/>
    <w:rsid w:val="008826DE"/>
    <w:rsid w:val="008828A5"/>
    <w:rsid w:val="008828A8"/>
    <w:rsid w:val="00883378"/>
    <w:rsid w:val="0088368D"/>
    <w:rsid w:val="00883908"/>
    <w:rsid w:val="00883AB1"/>
    <w:rsid w:val="00884622"/>
    <w:rsid w:val="0088505C"/>
    <w:rsid w:val="00885107"/>
    <w:rsid w:val="00885184"/>
    <w:rsid w:val="0088545B"/>
    <w:rsid w:val="008856BF"/>
    <w:rsid w:val="00885E09"/>
    <w:rsid w:val="00886161"/>
    <w:rsid w:val="0088633E"/>
    <w:rsid w:val="008866A3"/>
    <w:rsid w:val="00886A74"/>
    <w:rsid w:val="00886D77"/>
    <w:rsid w:val="00886E49"/>
    <w:rsid w:val="00887358"/>
    <w:rsid w:val="0088774D"/>
    <w:rsid w:val="00887B26"/>
    <w:rsid w:val="00887B7A"/>
    <w:rsid w:val="00887F3B"/>
    <w:rsid w:val="0089035C"/>
    <w:rsid w:val="00890E9C"/>
    <w:rsid w:val="008916BD"/>
    <w:rsid w:val="00892285"/>
    <w:rsid w:val="00892737"/>
    <w:rsid w:val="00892AF0"/>
    <w:rsid w:val="00893330"/>
    <w:rsid w:val="00893512"/>
    <w:rsid w:val="008938D3"/>
    <w:rsid w:val="0089397C"/>
    <w:rsid w:val="00893F96"/>
    <w:rsid w:val="00894355"/>
    <w:rsid w:val="008944C1"/>
    <w:rsid w:val="00894DD9"/>
    <w:rsid w:val="008951E5"/>
    <w:rsid w:val="0089526A"/>
    <w:rsid w:val="008955AF"/>
    <w:rsid w:val="008963C2"/>
    <w:rsid w:val="00896489"/>
    <w:rsid w:val="008964B9"/>
    <w:rsid w:val="00896787"/>
    <w:rsid w:val="00896EB3"/>
    <w:rsid w:val="00897B1F"/>
    <w:rsid w:val="00897C68"/>
    <w:rsid w:val="00897DEE"/>
    <w:rsid w:val="008A002E"/>
    <w:rsid w:val="008A03F7"/>
    <w:rsid w:val="008A04F0"/>
    <w:rsid w:val="008A0AAA"/>
    <w:rsid w:val="008A13E7"/>
    <w:rsid w:val="008A1482"/>
    <w:rsid w:val="008A1665"/>
    <w:rsid w:val="008A18EE"/>
    <w:rsid w:val="008A1989"/>
    <w:rsid w:val="008A1BC7"/>
    <w:rsid w:val="008A1BE6"/>
    <w:rsid w:val="008A2089"/>
    <w:rsid w:val="008A282D"/>
    <w:rsid w:val="008A2EC4"/>
    <w:rsid w:val="008A321F"/>
    <w:rsid w:val="008A3584"/>
    <w:rsid w:val="008A35ED"/>
    <w:rsid w:val="008A3B1B"/>
    <w:rsid w:val="008A3C1F"/>
    <w:rsid w:val="008A3F5F"/>
    <w:rsid w:val="008A400A"/>
    <w:rsid w:val="008A4282"/>
    <w:rsid w:val="008A4286"/>
    <w:rsid w:val="008A430B"/>
    <w:rsid w:val="008A45CD"/>
    <w:rsid w:val="008A57C7"/>
    <w:rsid w:val="008A596C"/>
    <w:rsid w:val="008A5CE3"/>
    <w:rsid w:val="008A5FF1"/>
    <w:rsid w:val="008A600C"/>
    <w:rsid w:val="008A614A"/>
    <w:rsid w:val="008A69A0"/>
    <w:rsid w:val="008A6DF0"/>
    <w:rsid w:val="008A6EAB"/>
    <w:rsid w:val="008A712B"/>
    <w:rsid w:val="008A760F"/>
    <w:rsid w:val="008A7626"/>
    <w:rsid w:val="008B0026"/>
    <w:rsid w:val="008B01BC"/>
    <w:rsid w:val="008B03E9"/>
    <w:rsid w:val="008B05D7"/>
    <w:rsid w:val="008B05F8"/>
    <w:rsid w:val="008B08E2"/>
    <w:rsid w:val="008B08E4"/>
    <w:rsid w:val="008B108F"/>
    <w:rsid w:val="008B115B"/>
    <w:rsid w:val="008B130D"/>
    <w:rsid w:val="008B1480"/>
    <w:rsid w:val="008B16F7"/>
    <w:rsid w:val="008B17FB"/>
    <w:rsid w:val="008B1C68"/>
    <w:rsid w:val="008B1DD7"/>
    <w:rsid w:val="008B21DE"/>
    <w:rsid w:val="008B2C79"/>
    <w:rsid w:val="008B2D59"/>
    <w:rsid w:val="008B2E83"/>
    <w:rsid w:val="008B3253"/>
    <w:rsid w:val="008B3588"/>
    <w:rsid w:val="008B3635"/>
    <w:rsid w:val="008B3D04"/>
    <w:rsid w:val="008B42EC"/>
    <w:rsid w:val="008B4813"/>
    <w:rsid w:val="008B4D17"/>
    <w:rsid w:val="008B4D96"/>
    <w:rsid w:val="008B5A28"/>
    <w:rsid w:val="008B5A75"/>
    <w:rsid w:val="008B5CF9"/>
    <w:rsid w:val="008B5E8C"/>
    <w:rsid w:val="008B6505"/>
    <w:rsid w:val="008B691D"/>
    <w:rsid w:val="008B706A"/>
    <w:rsid w:val="008B785D"/>
    <w:rsid w:val="008B7B8C"/>
    <w:rsid w:val="008B7F48"/>
    <w:rsid w:val="008C0138"/>
    <w:rsid w:val="008C0499"/>
    <w:rsid w:val="008C0AEB"/>
    <w:rsid w:val="008C0C86"/>
    <w:rsid w:val="008C13DB"/>
    <w:rsid w:val="008C16EB"/>
    <w:rsid w:val="008C182E"/>
    <w:rsid w:val="008C1990"/>
    <w:rsid w:val="008C1A68"/>
    <w:rsid w:val="008C1E6D"/>
    <w:rsid w:val="008C2598"/>
    <w:rsid w:val="008C2885"/>
    <w:rsid w:val="008C29D7"/>
    <w:rsid w:val="008C2B48"/>
    <w:rsid w:val="008C2B62"/>
    <w:rsid w:val="008C2EEF"/>
    <w:rsid w:val="008C2EF5"/>
    <w:rsid w:val="008C2FCF"/>
    <w:rsid w:val="008C3101"/>
    <w:rsid w:val="008C3309"/>
    <w:rsid w:val="008C36BC"/>
    <w:rsid w:val="008C3CCE"/>
    <w:rsid w:val="008C44F2"/>
    <w:rsid w:val="008C484E"/>
    <w:rsid w:val="008C50D8"/>
    <w:rsid w:val="008C56AB"/>
    <w:rsid w:val="008C5A8B"/>
    <w:rsid w:val="008C5B68"/>
    <w:rsid w:val="008C5F0C"/>
    <w:rsid w:val="008C5F49"/>
    <w:rsid w:val="008C5FEA"/>
    <w:rsid w:val="008C6568"/>
    <w:rsid w:val="008C706B"/>
    <w:rsid w:val="008C7335"/>
    <w:rsid w:val="008C7D0E"/>
    <w:rsid w:val="008C7D5C"/>
    <w:rsid w:val="008C7E5F"/>
    <w:rsid w:val="008D0302"/>
    <w:rsid w:val="008D0885"/>
    <w:rsid w:val="008D0999"/>
    <w:rsid w:val="008D0A80"/>
    <w:rsid w:val="008D111D"/>
    <w:rsid w:val="008D1255"/>
    <w:rsid w:val="008D1B7E"/>
    <w:rsid w:val="008D1D2B"/>
    <w:rsid w:val="008D27C7"/>
    <w:rsid w:val="008D2AFC"/>
    <w:rsid w:val="008D2DDA"/>
    <w:rsid w:val="008D31D1"/>
    <w:rsid w:val="008D3949"/>
    <w:rsid w:val="008D3A21"/>
    <w:rsid w:val="008D3B86"/>
    <w:rsid w:val="008D429C"/>
    <w:rsid w:val="008D456D"/>
    <w:rsid w:val="008D47D4"/>
    <w:rsid w:val="008D4EE1"/>
    <w:rsid w:val="008D59FC"/>
    <w:rsid w:val="008D642D"/>
    <w:rsid w:val="008D650E"/>
    <w:rsid w:val="008D6903"/>
    <w:rsid w:val="008D6A4F"/>
    <w:rsid w:val="008D6C28"/>
    <w:rsid w:val="008D710E"/>
    <w:rsid w:val="008D71AA"/>
    <w:rsid w:val="008D729C"/>
    <w:rsid w:val="008D76F0"/>
    <w:rsid w:val="008D7740"/>
    <w:rsid w:val="008D7965"/>
    <w:rsid w:val="008D7B31"/>
    <w:rsid w:val="008E0364"/>
    <w:rsid w:val="008E03AF"/>
    <w:rsid w:val="008E074A"/>
    <w:rsid w:val="008E07AB"/>
    <w:rsid w:val="008E0BD6"/>
    <w:rsid w:val="008E0D8A"/>
    <w:rsid w:val="008E0E7B"/>
    <w:rsid w:val="008E1142"/>
    <w:rsid w:val="008E1563"/>
    <w:rsid w:val="008E15D3"/>
    <w:rsid w:val="008E17B6"/>
    <w:rsid w:val="008E1809"/>
    <w:rsid w:val="008E1C9B"/>
    <w:rsid w:val="008E20A7"/>
    <w:rsid w:val="008E220D"/>
    <w:rsid w:val="008E27F8"/>
    <w:rsid w:val="008E2870"/>
    <w:rsid w:val="008E2A84"/>
    <w:rsid w:val="008E2C48"/>
    <w:rsid w:val="008E2FAD"/>
    <w:rsid w:val="008E359F"/>
    <w:rsid w:val="008E3A5A"/>
    <w:rsid w:val="008E432B"/>
    <w:rsid w:val="008E4483"/>
    <w:rsid w:val="008E4C03"/>
    <w:rsid w:val="008E4D40"/>
    <w:rsid w:val="008E4DAA"/>
    <w:rsid w:val="008E5038"/>
    <w:rsid w:val="008E58A0"/>
    <w:rsid w:val="008E5A2A"/>
    <w:rsid w:val="008E5F51"/>
    <w:rsid w:val="008E5FE2"/>
    <w:rsid w:val="008E6171"/>
    <w:rsid w:val="008E618D"/>
    <w:rsid w:val="008E6718"/>
    <w:rsid w:val="008E6D1D"/>
    <w:rsid w:val="008E708F"/>
    <w:rsid w:val="008E763C"/>
    <w:rsid w:val="008E7B18"/>
    <w:rsid w:val="008E7B52"/>
    <w:rsid w:val="008E7EDB"/>
    <w:rsid w:val="008F018D"/>
    <w:rsid w:val="008F1236"/>
    <w:rsid w:val="008F1691"/>
    <w:rsid w:val="008F187B"/>
    <w:rsid w:val="008F1BAD"/>
    <w:rsid w:val="008F1D8E"/>
    <w:rsid w:val="008F1DAD"/>
    <w:rsid w:val="008F2079"/>
    <w:rsid w:val="008F21F5"/>
    <w:rsid w:val="008F299F"/>
    <w:rsid w:val="008F2E7E"/>
    <w:rsid w:val="008F3482"/>
    <w:rsid w:val="008F37B9"/>
    <w:rsid w:val="008F3B50"/>
    <w:rsid w:val="008F3D10"/>
    <w:rsid w:val="008F40BB"/>
    <w:rsid w:val="008F4880"/>
    <w:rsid w:val="008F4A0A"/>
    <w:rsid w:val="008F4A59"/>
    <w:rsid w:val="008F50B0"/>
    <w:rsid w:val="008F55BF"/>
    <w:rsid w:val="008F5AF5"/>
    <w:rsid w:val="008F652C"/>
    <w:rsid w:val="008F65D1"/>
    <w:rsid w:val="008F69E9"/>
    <w:rsid w:val="008F6CB1"/>
    <w:rsid w:val="008F72D5"/>
    <w:rsid w:val="008F72F8"/>
    <w:rsid w:val="008F7DCA"/>
    <w:rsid w:val="008F7FC2"/>
    <w:rsid w:val="00900546"/>
    <w:rsid w:val="0090105B"/>
    <w:rsid w:val="0090114B"/>
    <w:rsid w:val="00901BB3"/>
    <w:rsid w:val="00901D27"/>
    <w:rsid w:val="00902A32"/>
    <w:rsid w:val="00902FC2"/>
    <w:rsid w:val="009030C3"/>
    <w:rsid w:val="0090316F"/>
    <w:rsid w:val="009036FD"/>
    <w:rsid w:val="00903B71"/>
    <w:rsid w:val="00903C39"/>
    <w:rsid w:val="00904122"/>
    <w:rsid w:val="00904408"/>
    <w:rsid w:val="009044A6"/>
    <w:rsid w:val="00904575"/>
    <w:rsid w:val="00904DE2"/>
    <w:rsid w:val="00904E0D"/>
    <w:rsid w:val="00904E93"/>
    <w:rsid w:val="009052D4"/>
    <w:rsid w:val="00905A2E"/>
    <w:rsid w:val="00905D43"/>
    <w:rsid w:val="00905FDF"/>
    <w:rsid w:val="00906077"/>
    <w:rsid w:val="009061D8"/>
    <w:rsid w:val="009061F7"/>
    <w:rsid w:val="00906330"/>
    <w:rsid w:val="009063A7"/>
    <w:rsid w:val="009063B1"/>
    <w:rsid w:val="00906672"/>
    <w:rsid w:val="009067C0"/>
    <w:rsid w:val="009068EE"/>
    <w:rsid w:val="00907207"/>
    <w:rsid w:val="009072EA"/>
    <w:rsid w:val="00907A55"/>
    <w:rsid w:val="00907DC4"/>
    <w:rsid w:val="00907EE5"/>
    <w:rsid w:val="0091004A"/>
    <w:rsid w:val="009101E0"/>
    <w:rsid w:val="00910A99"/>
    <w:rsid w:val="00910CBF"/>
    <w:rsid w:val="00910FF4"/>
    <w:rsid w:val="0091115D"/>
    <w:rsid w:val="0091159D"/>
    <w:rsid w:val="00911FD9"/>
    <w:rsid w:val="00912134"/>
    <w:rsid w:val="00912472"/>
    <w:rsid w:val="00912480"/>
    <w:rsid w:val="0091272F"/>
    <w:rsid w:val="009128F8"/>
    <w:rsid w:val="00912930"/>
    <w:rsid w:val="00912BB0"/>
    <w:rsid w:val="00912F73"/>
    <w:rsid w:val="00912FF7"/>
    <w:rsid w:val="009131CE"/>
    <w:rsid w:val="00913498"/>
    <w:rsid w:val="009135F6"/>
    <w:rsid w:val="00913AF8"/>
    <w:rsid w:val="00914291"/>
    <w:rsid w:val="009144D3"/>
    <w:rsid w:val="00914910"/>
    <w:rsid w:val="00914B49"/>
    <w:rsid w:val="00915207"/>
    <w:rsid w:val="00915374"/>
    <w:rsid w:val="0091553D"/>
    <w:rsid w:val="00915BAD"/>
    <w:rsid w:val="0091630B"/>
    <w:rsid w:val="00916331"/>
    <w:rsid w:val="009163AF"/>
    <w:rsid w:val="009166DE"/>
    <w:rsid w:val="009167BA"/>
    <w:rsid w:val="00916AE1"/>
    <w:rsid w:val="00916C01"/>
    <w:rsid w:val="00916CDB"/>
    <w:rsid w:val="00917059"/>
    <w:rsid w:val="009170D2"/>
    <w:rsid w:val="009175DE"/>
    <w:rsid w:val="009179ED"/>
    <w:rsid w:val="00917AFF"/>
    <w:rsid w:val="00917E09"/>
    <w:rsid w:val="00917FAE"/>
    <w:rsid w:val="009200C1"/>
    <w:rsid w:val="009203EF"/>
    <w:rsid w:val="00920FD6"/>
    <w:rsid w:val="00921057"/>
    <w:rsid w:val="00921103"/>
    <w:rsid w:val="0092117A"/>
    <w:rsid w:val="009217F0"/>
    <w:rsid w:val="00921A92"/>
    <w:rsid w:val="00921B03"/>
    <w:rsid w:val="00921F02"/>
    <w:rsid w:val="00922808"/>
    <w:rsid w:val="00922A6F"/>
    <w:rsid w:val="00922B08"/>
    <w:rsid w:val="00922BEC"/>
    <w:rsid w:val="00922C89"/>
    <w:rsid w:val="009231EF"/>
    <w:rsid w:val="0092333A"/>
    <w:rsid w:val="009233E7"/>
    <w:rsid w:val="0092347F"/>
    <w:rsid w:val="00923C63"/>
    <w:rsid w:val="00923ED9"/>
    <w:rsid w:val="009242AB"/>
    <w:rsid w:val="0092482D"/>
    <w:rsid w:val="009249E1"/>
    <w:rsid w:val="009253C2"/>
    <w:rsid w:val="00925F99"/>
    <w:rsid w:val="00926742"/>
    <w:rsid w:val="009269A1"/>
    <w:rsid w:val="00926D99"/>
    <w:rsid w:val="00927189"/>
    <w:rsid w:val="00927266"/>
    <w:rsid w:val="009277A9"/>
    <w:rsid w:val="00927FA2"/>
    <w:rsid w:val="009301E3"/>
    <w:rsid w:val="00930424"/>
    <w:rsid w:val="009305D4"/>
    <w:rsid w:val="00930C98"/>
    <w:rsid w:val="009312C5"/>
    <w:rsid w:val="009313F2"/>
    <w:rsid w:val="009315DE"/>
    <w:rsid w:val="009323A0"/>
    <w:rsid w:val="0093252E"/>
    <w:rsid w:val="0093270D"/>
    <w:rsid w:val="00932E84"/>
    <w:rsid w:val="00932E97"/>
    <w:rsid w:val="00933317"/>
    <w:rsid w:val="00933B49"/>
    <w:rsid w:val="00933B62"/>
    <w:rsid w:val="00933B67"/>
    <w:rsid w:val="00933C25"/>
    <w:rsid w:val="00933C2F"/>
    <w:rsid w:val="00933E2F"/>
    <w:rsid w:val="00933E7A"/>
    <w:rsid w:val="0093474E"/>
    <w:rsid w:val="00934EFF"/>
    <w:rsid w:val="00934F55"/>
    <w:rsid w:val="00935079"/>
    <w:rsid w:val="009351D4"/>
    <w:rsid w:val="0093567C"/>
    <w:rsid w:val="00935E10"/>
    <w:rsid w:val="00935F08"/>
    <w:rsid w:val="009364EB"/>
    <w:rsid w:val="00937353"/>
    <w:rsid w:val="009376C4"/>
    <w:rsid w:val="00937A60"/>
    <w:rsid w:val="00940207"/>
    <w:rsid w:val="0094066F"/>
    <w:rsid w:val="009406DA"/>
    <w:rsid w:val="00940DBE"/>
    <w:rsid w:val="00940F4E"/>
    <w:rsid w:val="00941099"/>
    <w:rsid w:val="009410F4"/>
    <w:rsid w:val="00941459"/>
    <w:rsid w:val="009417DA"/>
    <w:rsid w:val="00941886"/>
    <w:rsid w:val="00941C4A"/>
    <w:rsid w:val="00941D8F"/>
    <w:rsid w:val="00942138"/>
    <w:rsid w:val="009422A2"/>
    <w:rsid w:val="00942360"/>
    <w:rsid w:val="00942807"/>
    <w:rsid w:val="00942A76"/>
    <w:rsid w:val="00942F79"/>
    <w:rsid w:val="0094378E"/>
    <w:rsid w:val="00943C76"/>
    <w:rsid w:val="009440BC"/>
    <w:rsid w:val="0094422D"/>
    <w:rsid w:val="0094470D"/>
    <w:rsid w:val="00944802"/>
    <w:rsid w:val="009450AF"/>
    <w:rsid w:val="00945405"/>
    <w:rsid w:val="0094540C"/>
    <w:rsid w:val="00945BB2"/>
    <w:rsid w:val="00946246"/>
    <w:rsid w:val="009463C7"/>
    <w:rsid w:val="00947EA5"/>
    <w:rsid w:val="00947EC3"/>
    <w:rsid w:val="00950011"/>
    <w:rsid w:val="0095016B"/>
    <w:rsid w:val="00950CBC"/>
    <w:rsid w:val="00950DB2"/>
    <w:rsid w:val="00950DC1"/>
    <w:rsid w:val="009511C8"/>
    <w:rsid w:val="00952406"/>
    <w:rsid w:val="009528EC"/>
    <w:rsid w:val="00952902"/>
    <w:rsid w:val="00952FBE"/>
    <w:rsid w:val="00953141"/>
    <w:rsid w:val="00953714"/>
    <w:rsid w:val="00953E19"/>
    <w:rsid w:val="009540FB"/>
    <w:rsid w:val="00954527"/>
    <w:rsid w:val="009548AF"/>
    <w:rsid w:val="00954EB8"/>
    <w:rsid w:val="0095539D"/>
    <w:rsid w:val="0095607A"/>
    <w:rsid w:val="009562ED"/>
    <w:rsid w:val="009563DE"/>
    <w:rsid w:val="0095659C"/>
    <w:rsid w:val="00956639"/>
    <w:rsid w:val="0095671B"/>
    <w:rsid w:val="00956A2A"/>
    <w:rsid w:val="00956B4E"/>
    <w:rsid w:val="00956D9D"/>
    <w:rsid w:val="00956DFE"/>
    <w:rsid w:val="00957041"/>
    <w:rsid w:val="0095706B"/>
    <w:rsid w:val="009574E5"/>
    <w:rsid w:val="00957713"/>
    <w:rsid w:val="00957857"/>
    <w:rsid w:val="00957977"/>
    <w:rsid w:val="00957E19"/>
    <w:rsid w:val="00957EA8"/>
    <w:rsid w:val="00957FD2"/>
    <w:rsid w:val="0096026C"/>
    <w:rsid w:val="00960C87"/>
    <w:rsid w:val="0096116F"/>
    <w:rsid w:val="009615D8"/>
    <w:rsid w:val="00962215"/>
    <w:rsid w:val="009627B0"/>
    <w:rsid w:val="00962CC7"/>
    <w:rsid w:val="00963B11"/>
    <w:rsid w:val="00963D3B"/>
    <w:rsid w:val="00963E33"/>
    <w:rsid w:val="00963EE0"/>
    <w:rsid w:val="00963FC4"/>
    <w:rsid w:val="00964083"/>
    <w:rsid w:val="00964212"/>
    <w:rsid w:val="009648C0"/>
    <w:rsid w:val="00964DA8"/>
    <w:rsid w:val="00964DD9"/>
    <w:rsid w:val="00964F17"/>
    <w:rsid w:val="00965660"/>
    <w:rsid w:val="009658D9"/>
    <w:rsid w:val="00965CB1"/>
    <w:rsid w:val="00966280"/>
    <w:rsid w:val="00966ACE"/>
    <w:rsid w:val="00966FC2"/>
    <w:rsid w:val="009670D9"/>
    <w:rsid w:val="00967616"/>
    <w:rsid w:val="00967703"/>
    <w:rsid w:val="00967B55"/>
    <w:rsid w:val="00970784"/>
    <w:rsid w:val="00970B57"/>
    <w:rsid w:val="00970B78"/>
    <w:rsid w:val="00970CBD"/>
    <w:rsid w:val="00970DED"/>
    <w:rsid w:val="0097127C"/>
    <w:rsid w:val="00971389"/>
    <w:rsid w:val="009713C3"/>
    <w:rsid w:val="00971441"/>
    <w:rsid w:val="0097150C"/>
    <w:rsid w:val="00971844"/>
    <w:rsid w:val="00971CAD"/>
    <w:rsid w:val="00971D1D"/>
    <w:rsid w:val="00972026"/>
    <w:rsid w:val="00972213"/>
    <w:rsid w:val="00972435"/>
    <w:rsid w:val="009725A9"/>
    <w:rsid w:val="00972E2A"/>
    <w:rsid w:val="0097320B"/>
    <w:rsid w:val="0097329B"/>
    <w:rsid w:val="00973327"/>
    <w:rsid w:val="00973455"/>
    <w:rsid w:val="009738A9"/>
    <w:rsid w:val="009739BE"/>
    <w:rsid w:val="00974220"/>
    <w:rsid w:val="009744BA"/>
    <w:rsid w:val="009747BB"/>
    <w:rsid w:val="00974CAB"/>
    <w:rsid w:val="0097593D"/>
    <w:rsid w:val="00975EAE"/>
    <w:rsid w:val="00975FCF"/>
    <w:rsid w:val="009761A9"/>
    <w:rsid w:val="00976774"/>
    <w:rsid w:val="00976DFF"/>
    <w:rsid w:val="00976FA6"/>
    <w:rsid w:val="009774A2"/>
    <w:rsid w:val="0097797B"/>
    <w:rsid w:val="00977B38"/>
    <w:rsid w:val="00977BC1"/>
    <w:rsid w:val="00977BEC"/>
    <w:rsid w:val="00977D0C"/>
    <w:rsid w:val="00980333"/>
    <w:rsid w:val="0098050A"/>
    <w:rsid w:val="0098056C"/>
    <w:rsid w:val="009806F5"/>
    <w:rsid w:val="009808F0"/>
    <w:rsid w:val="00980EA1"/>
    <w:rsid w:val="00980F85"/>
    <w:rsid w:val="0098159F"/>
    <w:rsid w:val="00981AD5"/>
    <w:rsid w:val="00981D76"/>
    <w:rsid w:val="0098232D"/>
    <w:rsid w:val="00982DE4"/>
    <w:rsid w:val="0098330F"/>
    <w:rsid w:val="00983373"/>
    <w:rsid w:val="009833B6"/>
    <w:rsid w:val="0098345C"/>
    <w:rsid w:val="00983612"/>
    <w:rsid w:val="009836C8"/>
    <w:rsid w:val="00983EF3"/>
    <w:rsid w:val="00984523"/>
    <w:rsid w:val="00984915"/>
    <w:rsid w:val="009856F2"/>
    <w:rsid w:val="009858A4"/>
    <w:rsid w:val="009858BE"/>
    <w:rsid w:val="00985D08"/>
    <w:rsid w:val="00985F17"/>
    <w:rsid w:val="00986C3A"/>
    <w:rsid w:val="00986D0F"/>
    <w:rsid w:val="00986F60"/>
    <w:rsid w:val="00986F7B"/>
    <w:rsid w:val="00987299"/>
    <w:rsid w:val="00987AB1"/>
    <w:rsid w:val="00987FD2"/>
    <w:rsid w:val="00990E78"/>
    <w:rsid w:val="00990F0D"/>
    <w:rsid w:val="0099113D"/>
    <w:rsid w:val="0099119B"/>
    <w:rsid w:val="00991495"/>
    <w:rsid w:val="0099206F"/>
    <w:rsid w:val="009921B8"/>
    <w:rsid w:val="0099272C"/>
    <w:rsid w:val="009928B4"/>
    <w:rsid w:val="009929A1"/>
    <w:rsid w:val="00992E28"/>
    <w:rsid w:val="00992E5B"/>
    <w:rsid w:val="00993507"/>
    <w:rsid w:val="00993AE0"/>
    <w:rsid w:val="00993E87"/>
    <w:rsid w:val="00993F31"/>
    <w:rsid w:val="00994114"/>
    <w:rsid w:val="00994582"/>
    <w:rsid w:val="00994708"/>
    <w:rsid w:val="009950DE"/>
    <w:rsid w:val="00995AB4"/>
    <w:rsid w:val="00995CC1"/>
    <w:rsid w:val="009966D0"/>
    <w:rsid w:val="00996B79"/>
    <w:rsid w:val="00996C0F"/>
    <w:rsid w:val="00996CA6"/>
    <w:rsid w:val="00996DC2"/>
    <w:rsid w:val="009970F6"/>
    <w:rsid w:val="009972C7"/>
    <w:rsid w:val="00997862"/>
    <w:rsid w:val="00997A65"/>
    <w:rsid w:val="00997D7F"/>
    <w:rsid w:val="009A056E"/>
    <w:rsid w:val="009A081E"/>
    <w:rsid w:val="009A0B3B"/>
    <w:rsid w:val="009A0BFF"/>
    <w:rsid w:val="009A150E"/>
    <w:rsid w:val="009A1632"/>
    <w:rsid w:val="009A18AC"/>
    <w:rsid w:val="009A1AAF"/>
    <w:rsid w:val="009A1C69"/>
    <w:rsid w:val="009A1DD4"/>
    <w:rsid w:val="009A2273"/>
    <w:rsid w:val="009A2296"/>
    <w:rsid w:val="009A2817"/>
    <w:rsid w:val="009A282D"/>
    <w:rsid w:val="009A2CFA"/>
    <w:rsid w:val="009A304D"/>
    <w:rsid w:val="009A313F"/>
    <w:rsid w:val="009A3156"/>
    <w:rsid w:val="009A31DA"/>
    <w:rsid w:val="009A352F"/>
    <w:rsid w:val="009A384B"/>
    <w:rsid w:val="009A3978"/>
    <w:rsid w:val="009A39DB"/>
    <w:rsid w:val="009A4031"/>
    <w:rsid w:val="009A4649"/>
    <w:rsid w:val="009A49C6"/>
    <w:rsid w:val="009A4A2D"/>
    <w:rsid w:val="009A4A59"/>
    <w:rsid w:val="009A4F4C"/>
    <w:rsid w:val="009A52EF"/>
    <w:rsid w:val="009A5707"/>
    <w:rsid w:val="009A586D"/>
    <w:rsid w:val="009A590E"/>
    <w:rsid w:val="009A5B07"/>
    <w:rsid w:val="009A5DC6"/>
    <w:rsid w:val="009A601A"/>
    <w:rsid w:val="009A602B"/>
    <w:rsid w:val="009A6229"/>
    <w:rsid w:val="009A637D"/>
    <w:rsid w:val="009A6B45"/>
    <w:rsid w:val="009A6BD0"/>
    <w:rsid w:val="009A71AA"/>
    <w:rsid w:val="009A7ACE"/>
    <w:rsid w:val="009A7CAD"/>
    <w:rsid w:val="009B0013"/>
    <w:rsid w:val="009B02E2"/>
    <w:rsid w:val="009B0787"/>
    <w:rsid w:val="009B0AAD"/>
    <w:rsid w:val="009B0CD0"/>
    <w:rsid w:val="009B24E0"/>
    <w:rsid w:val="009B2613"/>
    <w:rsid w:val="009B2862"/>
    <w:rsid w:val="009B2EDE"/>
    <w:rsid w:val="009B3262"/>
    <w:rsid w:val="009B36A8"/>
    <w:rsid w:val="009B3771"/>
    <w:rsid w:val="009B3DD7"/>
    <w:rsid w:val="009B3F03"/>
    <w:rsid w:val="009B3FCA"/>
    <w:rsid w:val="009B4B69"/>
    <w:rsid w:val="009B5158"/>
    <w:rsid w:val="009B51CD"/>
    <w:rsid w:val="009B52C4"/>
    <w:rsid w:val="009B56F0"/>
    <w:rsid w:val="009B57A4"/>
    <w:rsid w:val="009B5963"/>
    <w:rsid w:val="009B5DC2"/>
    <w:rsid w:val="009B635D"/>
    <w:rsid w:val="009B6708"/>
    <w:rsid w:val="009B67B3"/>
    <w:rsid w:val="009B6B18"/>
    <w:rsid w:val="009B6F06"/>
    <w:rsid w:val="009B6F87"/>
    <w:rsid w:val="009B740E"/>
    <w:rsid w:val="009B7454"/>
    <w:rsid w:val="009B79AC"/>
    <w:rsid w:val="009B79B1"/>
    <w:rsid w:val="009B7B71"/>
    <w:rsid w:val="009B7BC5"/>
    <w:rsid w:val="009C011D"/>
    <w:rsid w:val="009C01C0"/>
    <w:rsid w:val="009C025B"/>
    <w:rsid w:val="009C09AF"/>
    <w:rsid w:val="009C0CE3"/>
    <w:rsid w:val="009C112F"/>
    <w:rsid w:val="009C13D2"/>
    <w:rsid w:val="009C1CCA"/>
    <w:rsid w:val="009C26C7"/>
    <w:rsid w:val="009C272E"/>
    <w:rsid w:val="009C29CA"/>
    <w:rsid w:val="009C2B00"/>
    <w:rsid w:val="009C2CD7"/>
    <w:rsid w:val="009C3554"/>
    <w:rsid w:val="009C3BE4"/>
    <w:rsid w:val="009C44C7"/>
    <w:rsid w:val="009C4829"/>
    <w:rsid w:val="009C4A98"/>
    <w:rsid w:val="009C4AF6"/>
    <w:rsid w:val="009C5077"/>
    <w:rsid w:val="009C5F77"/>
    <w:rsid w:val="009C6324"/>
    <w:rsid w:val="009C64C7"/>
    <w:rsid w:val="009C6C9A"/>
    <w:rsid w:val="009C701E"/>
    <w:rsid w:val="009C7084"/>
    <w:rsid w:val="009C7128"/>
    <w:rsid w:val="009C7698"/>
    <w:rsid w:val="009C7E7F"/>
    <w:rsid w:val="009D02BC"/>
    <w:rsid w:val="009D04D8"/>
    <w:rsid w:val="009D06AA"/>
    <w:rsid w:val="009D0891"/>
    <w:rsid w:val="009D1315"/>
    <w:rsid w:val="009D1AC3"/>
    <w:rsid w:val="009D1B53"/>
    <w:rsid w:val="009D1B6E"/>
    <w:rsid w:val="009D1D07"/>
    <w:rsid w:val="009D2340"/>
    <w:rsid w:val="009D2490"/>
    <w:rsid w:val="009D2582"/>
    <w:rsid w:val="009D258F"/>
    <w:rsid w:val="009D3726"/>
    <w:rsid w:val="009D377F"/>
    <w:rsid w:val="009D39D7"/>
    <w:rsid w:val="009D3B73"/>
    <w:rsid w:val="009D3C2D"/>
    <w:rsid w:val="009D3EFD"/>
    <w:rsid w:val="009D4204"/>
    <w:rsid w:val="009D42AA"/>
    <w:rsid w:val="009D44BF"/>
    <w:rsid w:val="009D47EE"/>
    <w:rsid w:val="009D540C"/>
    <w:rsid w:val="009D56C5"/>
    <w:rsid w:val="009D677B"/>
    <w:rsid w:val="009D688F"/>
    <w:rsid w:val="009D6949"/>
    <w:rsid w:val="009D6B01"/>
    <w:rsid w:val="009D6B6F"/>
    <w:rsid w:val="009D6B80"/>
    <w:rsid w:val="009D6BE2"/>
    <w:rsid w:val="009D6D81"/>
    <w:rsid w:val="009D75BE"/>
    <w:rsid w:val="009D7947"/>
    <w:rsid w:val="009D7EB6"/>
    <w:rsid w:val="009E035A"/>
    <w:rsid w:val="009E04E7"/>
    <w:rsid w:val="009E098A"/>
    <w:rsid w:val="009E0C29"/>
    <w:rsid w:val="009E0D93"/>
    <w:rsid w:val="009E0FB0"/>
    <w:rsid w:val="009E10E7"/>
    <w:rsid w:val="009E1389"/>
    <w:rsid w:val="009E140C"/>
    <w:rsid w:val="009E1D55"/>
    <w:rsid w:val="009E23FF"/>
    <w:rsid w:val="009E25D9"/>
    <w:rsid w:val="009E260B"/>
    <w:rsid w:val="009E2B2C"/>
    <w:rsid w:val="009E2D4F"/>
    <w:rsid w:val="009E32D7"/>
    <w:rsid w:val="009E3364"/>
    <w:rsid w:val="009E36DC"/>
    <w:rsid w:val="009E36EA"/>
    <w:rsid w:val="009E3744"/>
    <w:rsid w:val="009E3B5B"/>
    <w:rsid w:val="009E3C86"/>
    <w:rsid w:val="009E3E3B"/>
    <w:rsid w:val="009E4358"/>
    <w:rsid w:val="009E4425"/>
    <w:rsid w:val="009E4A58"/>
    <w:rsid w:val="009E5556"/>
    <w:rsid w:val="009E5796"/>
    <w:rsid w:val="009E585C"/>
    <w:rsid w:val="009E5D15"/>
    <w:rsid w:val="009E6883"/>
    <w:rsid w:val="009E688D"/>
    <w:rsid w:val="009E6B44"/>
    <w:rsid w:val="009E6EAF"/>
    <w:rsid w:val="009E6F69"/>
    <w:rsid w:val="009E72BA"/>
    <w:rsid w:val="009E79B3"/>
    <w:rsid w:val="009F0034"/>
    <w:rsid w:val="009F07AE"/>
    <w:rsid w:val="009F0975"/>
    <w:rsid w:val="009F0CF9"/>
    <w:rsid w:val="009F0E37"/>
    <w:rsid w:val="009F0F68"/>
    <w:rsid w:val="009F14A1"/>
    <w:rsid w:val="009F19EE"/>
    <w:rsid w:val="009F1B4E"/>
    <w:rsid w:val="009F1BE7"/>
    <w:rsid w:val="009F1CAE"/>
    <w:rsid w:val="009F1EA0"/>
    <w:rsid w:val="009F1F4F"/>
    <w:rsid w:val="009F211F"/>
    <w:rsid w:val="009F21A5"/>
    <w:rsid w:val="009F2290"/>
    <w:rsid w:val="009F27B8"/>
    <w:rsid w:val="009F2AAA"/>
    <w:rsid w:val="009F2BB8"/>
    <w:rsid w:val="009F2C5F"/>
    <w:rsid w:val="009F2FEA"/>
    <w:rsid w:val="009F30BD"/>
    <w:rsid w:val="009F3DFC"/>
    <w:rsid w:val="009F3E77"/>
    <w:rsid w:val="009F4091"/>
    <w:rsid w:val="009F410C"/>
    <w:rsid w:val="009F4187"/>
    <w:rsid w:val="009F435E"/>
    <w:rsid w:val="009F4578"/>
    <w:rsid w:val="009F4AE8"/>
    <w:rsid w:val="009F4CE7"/>
    <w:rsid w:val="009F5129"/>
    <w:rsid w:val="009F529C"/>
    <w:rsid w:val="009F545C"/>
    <w:rsid w:val="009F5499"/>
    <w:rsid w:val="009F5D34"/>
    <w:rsid w:val="009F6110"/>
    <w:rsid w:val="009F6268"/>
    <w:rsid w:val="009F62E9"/>
    <w:rsid w:val="009F6B57"/>
    <w:rsid w:val="009F6D08"/>
    <w:rsid w:val="009F6ED7"/>
    <w:rsid w:val="009F7070"/>
    <w:rsid w:val="009F7DFE"/>
    <w:rsid w:val="009F7E85"/>
    <w:rsid w:val="00A007A6"/>
    <w:rsid w:val="00A007F4"/>
    <w:rsid w:val="00A00C32"/>
    <w:rsid w:val="00A00FAD"/>
    <w:rsid w:val="00A00FD8"/>
    <w:rsid w:val="00A01548"/>
    <w:rsid w:val="00A01834"/>
    <w:rsid w:val="00A02522"/>
    <w:rsid w:val="00A02FCA"/>
    <w:rsid w:val="00A03303"/>
    <w:rsid w:val="00A033EE"/>
    <w:rsid w:val="00A03420"/>
    <w:rsid w:val="00A039C3"/>
    <w:rsid w:val="00A03BAD"/>
    <w:rsid w:val="00A0403C"/>
    <w:rsid w:val="00A04469"/>
    <w:rsid w:val="00A0461B"/>
    <w:rsid w:val="00A04996"/>
    <w:rsid w:val="00A0587E"/>
    <w:rsid w:val="00A063E0"/>
    <w:rsid w:val="00A068D5"/>
    <w:rsid w:val="00A06984"/>
    <w:rsid w:val="00A06CB8"/>
    <w:rsid w:val="00A06CDB"/>
    <w:rsid w:val="00A06F9D"/>
    <w:rsid w:val="00A074C8"/>
    <w:rsid w:val="00A07AEE"/>
    <w:rsid w:val="00A07C1E"/>
    <w:rsid w:val="00A07FDE"/>
    <w:rsid w:val="00A10074"/>
    <w:rsid w:val="00A10087"/>
    <w:rsid w:val="00A10617"/>
    <w:rsid w:val="00A106E3"/>
    <w:rsid w:val="00A1075E"/>
    <w:rsid w:val="00A10B99"/>
    <w:rsid w:val="00A10BC7"/>
    <w:rsid w:val="00A10CBA"/>
    <w:rsid w:val="00A11A7C"/>
    <w:rsid w:val="00A11C1C"/>
    <w:rsid w:val="00A11C64"/>
    <w:rsid w:val="00A122E4"/>
    <w:rsid w:val="00A12B81"/>
    <w:rsid w:val="00A12BC2"/>
    <w:rsid w:val="00A13184"/>
    <w:rsid w:val="00A1397E"/>
    <w:rsid w:val="00A1397F"/>
    <w:rsid w:val="00A143B1"/>
    <w:rsid w:val="00A14943"/>
    <w:rsid w:val="00A158A4"/>
    <w:rsid w:val="00A15C69"/>
    <w:rsid w:val="00A16093"/>
    <w:rsid w:val="00A1658D"/>
    <w:rsid w:val="00A16907"/>
    <w:rsid w:val="00A16CBB"/>
    <w:rsid w:val="00A17490"/>
    <w:rsid w:val="00A17C79"/>
    <w:rsid w:val="00A17E48"/>
    <w:rsid w:val="00A17EE8"/>
    <w:rsid w:val="00A208BC"/>
    <w:rsid w:val="00A20A56"/>
    <w:rsid w:val="00A21883"/>
    <w:rsid w:val="00A21992"/>
    <w:rsid w:val="00A21AFA"/>
    <w:rsid w:val="00A21C8E"/>
    <w:rsid w:val="00A22138"/>
    <w:rsid w:val="00A22560"/>
    <w:rsid w:val="00A2285B"/>
    <w:rsid w:val="00A230A8"/>
    <w:rsid w:val="00A2369B"/>
    <w:rsid w:val="00A23A7B"/>
    <w:rsid w:val="00A2437B"/>
    <w:rsid w:val="00A2438B"/>
    <w:rsid w:val="00A244FE"/>
    <w:rsid w:val="00A245BC"/>
    <w:rsid w:val="00A24ABB"/>
    <w:rsid w:val="00A2506C"/>
    <w:rsid w:val="00A251AC"/>
    <w:rsid w:val="00A25F0A"/>
    <w:rsid w:val="00A261DB"/>
    <w:rsid w:val="00A2664A"/>
    <w:rsid w:val="00A26962"/>
    <w:rsid w:val="00A2697E"/>
    <w:rsid w:val="00A26B52"/>
    <w:rsid w:val="00A26EF4"/>
    <w:rsid w:val="00A27178"/>
    <w:rsid w:val="00A2725E"/>
    <w:rsid w:val="00A273DE"/>
    <w:rsid w:val="00A27A2C"/>
    <w:rsid w:val="00A27BDA"/>
    <w:rsid w:val="00A27FB3"/>
    <w:rsid w:val="00A3005D"/>
    <w:rsid w:val="00A31372"/>
    <w:rsid w:val="00A314A4"/>
    <w:rsid w:val="00A3186D"/>
    <w:rsid w:val="00A31C4C"/>
    <w:rsid w:val="00A32130"/>
    <w:rsid w:val="00A32246"/>
    <w:rsid w:val="00A32398"/>
    <w:rsid w:val="00A32464"/>
    <w:rsid w:val="00A32664"/>
    <w:rsid w:val="00A326B8"/>
    <w:rsid w:val="00A331C4"/>
    <w:rsid w:val="00A332BA"/>
    <w:rsid w:val="00A33886"/>
    <w:rsid w:val="00A33BA5"/>
    <w:rsid w:val="00A340DE"/>
    <w:rsid w:val="00A3430A"/>
    <w:rsid w:val="00A34382"/>
    <w:rsid w:val="00A34620"/>
    <w:rsid w:val="00A34A32"/>
    <w:rsid w:val="00A34A3D"/>
    <w:rsid w:val="00A34BDF"/>
    <w:rsid w:val="00A34BF7"/>
    <w:rsid w:val="00A34E32"/>
    <w:rsid w:val="00A35BD4"/>
    <w:rsid w:val="00A36089"/>
    <w:rsid w:val="00A36205"/>
    <w:rsid w:val="00A365A8"/>
    <w:rsid w:val="00A3669B"/>
    <w:rsid w:val="00A36716"/>
    <w:rsid w:val="00A368B2"/>
    <w:rsid w:val="00A37638"/>
    <w:rsid w:val="00A400A3"/>
    <w:rsid w:val="00A40417"/>
    <w:rsid w:val="00A4044E"/>
    <w:rsid w:val="00A40478"/>
    <w:rsid w:val="00A404C6"/>
    <w:rsid w:val="00A407EA"/>
    <w:rsid w:val="00A40913"/>
    <w:rsid w:val="00A41A03"/>
    <w:rsid w:val="00A41B2F"/>
    <w:rsid w:val="00A41CBE"/>
    <w:rsid w:val="00A41E4C"/>
    <w:rsid w:val="00A428E9"/>
    <w:rsid w:val="00A42D56"/>
    <w:rsid w:val="00A42ECB"/>
    <w:rsid w:val="00A43009"/>
    <w:rsid w:val="00A4310C"/>
    <w:rsid w:val="00A4312C"/>
    <w:rsid w:val="00A43506"/>
    <w:rsid w:val="00A4388A"/>
    <w:rsid w:val="00A43D03"/>
    <w:rsid w:val="00A43DC7"/>
    <w:rsid w:val="00A43E8B"/>
    <w:rsid w:val="00A43F7E"/>
    <w:rsid w:val="00A44066"/>
    <w:rsid w:val="00A44155"/>
    <w:rsid w:val="00A44A46"/>
    <w:rsid w:val="00A44A77"/>
    <w:rsid w:val="00A44F1F"/>
    <w:rsid w:val="00A45195"/>
    <w:rsid w:val="00A45D14"/>
    <w:rsid w:val="00A46818"/>
    <w:rsid w:val="00A46B7A"/>
    <w:rsid w:val="00A46C42"/>
    <w:rsid w:val="00A46C44"/>
    <w:rsid w:val="00A4727E"/>
    <w:rsid w:val="00A47741"/>
    <w:rsid w:val="00A47A5F"/>
    <w:rsid w:val="00A47B3A"/>
    <w:rsid w:val="00A47CB4"/>
    <w:rsid w:val="00A47F2E"/>
    <w:rsid w:val="00A5020F"/>
    <w:rsid w:val="00A50464"/>
    <w:rsid w:val="00A50A83"/>
    <w:rsid w:val="00A50E50"/>
    <w:rsid w:val="00A50FD2"/>
    <w:rsid w:val="00A5135E"/>
    <w:rsid w:val="00A51895"/>
    <w:rsid w:val="00A51BDB"/>
    <w:rsid w:val="00A5202D"/>
    <w:rsid w:val="00A527CC"/>
    <w:rsid w:val="00A52860"/>
    <w:rsid w:val="00A52A3B"/>
    <w:rsid w:val="00A52C90"/>
    <w:rsid w:val="00A5310A"/>
    <w:rsid w:val="00A53A31"/>
    <w:rsid w:val="00A53C1C"/>
    <w:rsid w:val="00A53FC8"/>
    <w:rsid w:val="00A547AF"/>
    <w:rsid w:val="00A54871"/>
    <w:rsid w:val="00A549F6"/>
    <w:rsid w:val="00A54E78"/>
    <w:rsid w:val="00A54E8B"/>
    <w:rsid w:val="00A552DF"/>
    <w:rsid w:val="00A555E9"/>
    <w:rsid w:val="00A556C2"/>
    <w:rsid w:val="00A55E65"/>
    <w:rsid w:val="00A55EB7"/>
    <w:rsid w:val="00A561B1"/>
    <w:rsid w:val="00A567C9"/>
    <w:rsid w:val="00A568D5"/>
    <w:rsid w:val="00A56999"/>
    <w:rsid w:val="00A56EAB"/>
    <w:rsid w:val="00A5703B"/>
    <w:rsid w:val="00A57429"/>
    <w:rsid w:val="00A5757A"/>
    <w:rsid w:val="00A57808"/>
    <w:rsid w:val="00A57B52"/>
    <w:rsid w:val="00A601DF"/>
    <w:rsid w:val="00A60652"/>
    <w:rsid w:val="00A60963"/>
    <w:rsid w:val="00A60B4E"/>
    <w:rsid w:val="00A60C48"/>
    <w:rsid w:val="00A60DCE"/>
    <w:rsid w:val="00A60DDE"/>
    <w:rsid w:val="00A6156B"/>
    <w:rsid w:val="00A61E59"/>
    <w:rsid w:val="00A61F8F"/>
    <w:rsid w:val="00A620F5"/>
    <w:rsid w:val="00A62B07"/>
    <w:rsid w:val="00A62B1C"/>
    <w:rsid w:val="00A62B6A"/>
    <w:rsid w:val="00A63005"/>
    <w:rsid w:val="00A63304"/>
    <w:rsid w:val="00A63572"/>
    <w:rsid w:val="00A635FE"/>
    <w:rsid w:val="00A63E86"/>
    <w:rsid w:val="00A64000"/>
    <w:rsid w:val="00A64067"/>
    <w:rsid w:val="00A64229"/>
    <w:rsid w:val="00A64297"/>
    <w:rsid w:val="00A6467C"/>
    <w:rsid w:val="00A64A14"/>
    <w:rsid w:val="00A64BEE"/>
    <w:rsid w:val="00A64C13"/>
    <w:rsid w:val="00A652FE"/>
    <w:rsid w:val="00A654BD"/>
    <w:rsid w:val="00A654D3"/>
    <w:rsid w:val="00A657F8"/>
    <w:rsid w:val="00A65870"/>
    <w:rsid w:val="00A65B47"/>
    <w:rsid w:val="00A65D9F"/>
    <w:rsid w:val="00A65E58"/>
    <w:rsid w:val="00A6651A"/>
    <w:rsid w:val="00A66A57"/>
    <w:rsid w:val="00A66CC6"/>
    <w:rsid w:val="00A66FF3"/>
    <w:rsid w:val="00A6714F"/>
    <w:rsid w:val="00A67BCF"/>
    <w:rsid w:val="00A67EC8"/>
    <w:rsid w:val="00A67F1A"/>
    <w:rsid w:val="00A70467"/>
    <w:rsid w:val="00A70A00"/>
    <w:rsid w:val="00A70D93"/>
    <w:rsid w:val="00A71181"/>
    <w:rsid w:val="00A712DC"/>
    <w:rsid w:val="00A71ACE"/>
    <w:rsid w:val="00A71AF7"/>
    <w:rsid w:val="00A72270"/>
    <w:rsid w:val="00A7275B"/>
    <w:rsid w:val="00A72A03"/>
    <w:rsid w:val="00A72EBE"/>
    <w:rsid w:val="00A7320B"/>
    <w:rsid w:val="00A737A2"/>
    <w:rsid w:val="00A737BE"/>
    <w:rsid w:val="00A73948"/>
    <w:rsid w:val="00A73A83"/>
    <w:rsid w:val="00A73E9E"/>
    <w:rsid w:val="00A744C9"/>
    <w:rsid w:val="00A749E6"/>
    <w:rsid w:val="00A74B1F"/>
    <w:rsid w:val="00A752B4"/>
    <w:rsid w:val="00A752FF"/>
    <w:rsid w:val="00A7558E"/>
    <w:rsid w:val="00A75B70"/>
    <w:rsid w:val="00A75F5D"/>
    <w:rsid w:val="00A7623F"/>
    <w:rsid w:val="00A76302"/>
    <w:rsid w:val="00A76869"/>
    <w:rsid w:val="00A76CC7"/>
    <w:rsid w:val="00A76EAF"/>
    <w:rsid w:val="00A77396"/>
    <w:rsid w:val="00A7743A"/>
    <w:rsid w:val="00A7794C"/>
    <w:rsid w:val="00A779F8"/>
    <w:rsid w:val="00A801E6"/>
    <w:rsid w:val="00A80713"/>
    <w:rsid w:val="00A8095E"/>
    <w:rsid w:val="00A80D51"/>
    <w:rsid w:val="00A80D76"/>
    <w:rsid w:val="00A80E1D"/>
    <w:rsid w:val="00A81437"/>
    <w:rsid w:val="00A81570"/>
    <w:rsid w:val="00A8228E"/>
    <w:rsid w:val="00A8258D"/>
    <w:rsid w:val="00A826CF"/>
    <w:rsid w:val="00A83385"/>
    <w:rsid w:val="00A83566"/>
    <w:rsid w:val="00A835E9"/>
    <w:rsid w:val="00A838C2"/>
    <w:rsid w:val="00A83C92"/>
    <w:rsid w:val="00A83D2C"/>
    <w:rsid w:val="00A83F95"/>
    <w:rsid w:val="00A84488"/>
    <w:rsid w:val="00A846C8"/>
    <w:rsid w:val="00A859B0"/>
    <w:rsid w:val="00A85F6F"/>
    <w:rsid w:val="00A8603F"/>
    <w:rsid w:val="00A86196"/>
    <w:rsid w:val="00A86834"/>
    <w:rsid w:val="00A86FB1"/>
    <w:rsid w:val="00A870AC"/>
    <w:rsid w:val="00A87295"/>
    <w:rsid w:val="00A87B14"/>
    <w:rsid w:val="00A87B99"/>
    <w:rsid w:val="00A87C14"/>
    <w:rsid w:val="00A87C62"/>
    <w:rsid w:val="00A87D86"/>
    <w:rsid w:val="00A87DBE"/>
    <w:rsid w:val="00A87E04"/>
    <w:rsid w:val="00A87F9B"/>
    <w:rsid w:val="00A90B10"/>
    <w:rsid w:val="00A90B3A"/>
    <w:rsid w:val="00A90D8A"/>
    <w:rsid w:val="00A90E1A"/>
    <w:rsid w:val="00A90F56"/>
    <w:rsid w:val="00A914B8"/>
    <w:rsid w:val="00A91999"/>
    <w:rsid w:val="00A919B9"/>
    <w:rsid w:val="00A92605"/>
    <w:rsid w:val="00A929B5"/>
    <w:rsid w:val="00A92FFE"/>
    <w:rsid w:val="00A93077"/>
    <w:rsid w:val="00A93201"/>
    <w:rsid w:val="00A93412"/>
    <w:rsid w:val="00A9393E"/>
    <w:rsid w:val="00A93AD2"/>
    <w:rsid w:val="00A93FDB"/>
    <w:rsid w:val="00A94979"/>
    <w:rsid w:val="00A94A6B"/>
    <w:rsid w:val="00A94B16"/>
    <w:rsid w:val="00A94B48"/>
    <w:rsid w:val="00A953AB"/>
    <w:rsid w:val="00A95489"/>
    <w:rsid w:val="00A955E2"/>
    <w:rsid w:val="00A9606F"/>
    <w:rsid w:val="00A96867"/>
    <w:rsid w:val="00A97381"/>
    <w:rsid w:val="00A9794D"/>
    <w:rsid w:val="00AA0ED6"/>
    <w:rsid w:val="00AA10E1"/>
    <w:rsid w:val="00AA1170"/>
    <w:rsid w:val="00AA1760"/>
    <w:rsid w:val="00AA1A78"/>
    <w:rsid w:val="00AA1C82"/>
    <w:rsid w:val="00AA1E52"/>
    <w:rsid w:val="00AA2227"/>
    <w:rsid w:val="00AA24EE"/>
    <w:rsid w:val="00AA2CCA"/>
    <w:rsid w:val="00AA36D4"/>
    <w:rsid w:val="00AA38B6"/>
    <w:rsid w:val="00AA3EC1"/>
    <w:rsid w:val="00AA3F65"/>
    <w:rsid w:val="00AA42C2"/>
    <w:rsid w:val="00AA4440"/>
    <w:rsid w:val="00AA4A20"/>
    <w:rsid w:val="00AA4B71"/>
    <w:rsid w:val="00AA4C9A"/>
    <w:rsid w:val="00AA59D2"/>
    <w:rsid w:val="00AA5ABA"/>
    <w:rsid w:val="00AA5BC0"/>
    <w:rsid w:val="00AA5D49"/>
    <w:rsid w:val="00AA60C1"/>
    <w:rsid w:val="00AA62DF"/>
    <w:rsid w:val="00AA634B"/>
    <w:rsid w:val="00AA6552"/>
    <w:rsid w:val="00AA6967"/>
    <w:rsid w:val="00AA6BA2"/>
    <w:rsid w:val="00AA719E"/>
    <w:rsid w:val="00AA72F6"/>
    <w:rsid w:val="00AA75A6"/>
    <w:rsid w:val="00AA772F"/>
    <w:rsid w:val="00AA778C"/>
    <w:rsid w:val="00AA7A66"/>
    <w:rsid w:val="00AB026B"/>
    <w:rsid w:val="00AB05A7"/>
    <w:rsid w:val="00AB05B4"/>
    <w:rsid w:val="00AB11D9"/>
    <w:rsid w:val="00AB1372"/>
    <w:rsid w:val="00AB1A66"/>
    <w:rsid w:val="00AB1D60"/>
    <w:rsid w:val="00AB1FB6"/>
    <w:rsid w:val="00AB1FBB"/>
    <w:rsid w:val="00AB21B2"/>
    <w:rsid w:val="00AB21C8"/>
    <w:rsid w:val="00AB2564"/>
    <w:rsid w:val="00AB274E"/>
    <w:rsid w:val="00AB2B31"/>
    <w:rsid w:val="00AB3A74"/>
    <w:rsid w:val="00AB3E8F"/>
    <w:rsid w:val="00AB3FE5"/>
    <w:rsid w:val="00AB422E"/>
    <w:rsid w:val="00AB43B5"/>
    <w:rsid w:val="00AB477F"/>
    <w:rsid w:val="00AB4885"/>
    <w:rsid w:val="00AB4DA7"/>
    <w:rsid w:val="00AB4DE0"/>
    <w:rsid w:val="00AB5123"/>
    <w:rsid w:val="00AB52B8"/>
    <w:rsid w:val="00AB54CE"/>
    <w:rsid w:val="00AB5639"/>
    <w:rsid w:val="00AB587E"/>
    <w:rsid w:val="00AB60ED"/>
    <w:rsid w:val="00AB618E"/>
    <w:rsid w:val="00AB651E"/>
    <w:rsid w:val="00AB675B"/>
    <w:rsid w:val="00AB6E7F"/>
    <w:rsid w:val="00AB7152"/>
    <w:rsid w:val="00AC0200"/>
    <w:rsid w:val="00AC027E"/>
    <w:rsid w:val="00AC06EB"/>
    <w:rsid w:val="00AC077D"/>
    <w:rsid w:val="00AC0C26"/>
    <w:rsid w:val="00AC11AE"/>
    <w:rsid w:val="00AC1510"/>
    <w:rsid w:val="00AC151A"/>
    <w:rsid w:val="00AC18FE"/>
    <w:rsid w:val="00AC1FCA"/>
    <w:rsid w:val="00AC2135"/>
    <w:rsid w:val="00AC2B1D"/>
    <w:rsid w:val="00AC3746"/>
    <w:rsid w:val="00AC3842"/>
    <w:rsid w:val="00AC397D"/>
    <w:rsid w:val="00AC3B29"/>
    <w:rsid w:val="00AC3EE3"/>
    <w:rsid w:val="00AC4078"/>
    <w:rsid w:val="00AC4625"/>
    <w:rsid w:val="00AC4713"/>
    <w:rsid w:val="00AC47BC"/>
    <w:rsid w:val="00AC4FA3"/>
    <w:rsid w:val="00AC4FA8"/>
    <w:rsid w:val="00AC5472"/>
    <w:rsid w:val="00AC5550"/>
    <w:rsid w:val="00AC67AC"/>
    <w:rsid w:val="00AC6863"/>
    <w:rsid w:val="00AC6947"/>
    <w:rsid w:val="00AC69BF"/>
    <w:rsid w:val="00AC6A1E"/>
    <w:rsid w:val="00AC6A42"/>
    <w:rsid w:val="00AC6D13"/>
    <w:rsid w:val="00AC6D9D"/>
    <w:rsid w:val="00AC6DF9"/>
    <w:rsid w:val="00AC7398"/>
    <w:rsid w:val="00AC7798"/>
    <w:rsid w:val="00AC7CBD"/>
    <w:rsid w:val="00AD0A71"/>
    <w:rsid w:val="00AD0AEE"/>
    <w:rsid w:val="00AD0F70"/>
    <w:rsid w:val="00AD10A4"/>
    <w:rsid w:val="00AD129C"/>
    <w:rsid w:val="00AD17B6"/>
    <w:rsid w:val="00AD1CBC"/>
    <w:rsid w:val="00AD2170"/>
    <w:rsid w:val="00AD2C5D"/>
    <w:rsid w:val="00AD308E"/>
    <w:rsid w:val="00AD31D2"/>
    <w:rsid w:val="00AD32E3"/>
    <w:rsid w:val="00AD3466"/>
    <w:rsid w:val="00AD4326"/>
    <w:rsid w:val="00AD450E"/>
    <w:rsid w:val="00AD45B0"/>
    <w:rsid w:val="00AD4628"/>
    <w:rsid w:val="00AD5331"/>
    <w:rsid w:val="00AD539F"/>
    <w:rsid w:val="00AD53BE"/>
    <w:rsid w:val="00AD54C2"/>
    <w:rsid w:val="00AD57DF"/>
    <w:rsid w:val="00AD5A87"/>
    <w:rsid w:val="00AD5EC7"/>
    <w:rsid w:val="00AD6203"/>
    <w:rsid w:val="00AD64EE"/>
    <w:rsid w:val="00AD6F57"/>
    <w:rsid w:val="00AD7238"/>
    <w:rsid w:val="00AD7958"/>
    <w:rsid w:val="00AE0043"/>
    <w:rsid w:val="00AE0C7A"/>
    <w:rsid w:val="00AE0CF5"/>
    <w:rsid w:val="00AE0FB9"/>
    <w:rsid w:val="00AE127C"/>
    <w:rsid w:val="00AE1474"/>
    <w:rsid w:val="00AE1576"/>
    <w:rsid w:val="00AE1BC3"/>
    <w:rsid w:val="00AE1C50"/>
    <w:rsid w:val="00AE22E5"/>
    <w:rsid w:val="00AE2386"/>
    <w:rsid w:val="00AE2475"/>
    <w:rsid w:val="00AE2A18"/>
    <w:rsid w:val="00AE2C54"/>
    <w:rsid w:val="00AE32E5"/>
    <w:rsid w:val="00AE339E"/>
    <w:rsid w:val="00AE386F"/>
    <w:rsid w:val="00AE3F78"/>
    <w:rsid w:val="00AE43E9"/>
    <w:rsid w:val="00AE4951"/>
    <w:rsid w:val="00AE4EA7"/>
    <w:rsid w:val="00AE56B6"/>
    <w:rsid w:val="00AE604F"/>
    <w:rsid w:val="00AE61F1"/>
    <w:rsid w:val="00AE67B1"/>
    <w:rsid w:val="00AE6E03"/>
    <w:rsid w:val="00AE758C"/>
    <w:rsid w:val="00AF011C"/>
    <w:rsid w:val="00AF0159"/>
    <w:rsid w:val="00AF06AA"/>
    <w:rsid w:val="00AF0D7B"/>
    <w:rsid w:val="00AF14AE"/>
    <w:rsid w:val="00AF175C"/>
    <w:rsid w:val="00AF1B43"/>
    <w:rsid w:val="00AF1DB5"/>
    <w:rsid w:val="00AF20C9"/>
    <w:rsid w:val="00AF24BA"/>
    <w:rsid w:val="00AF2617"/>
    <w:rsid w:val="00AF297C"/>
    <w:rsid w:val="00AF29F8"/>
    <w:rsid w:val="00AF2BFA"/>
    <w:rsid w:val="00AF2CAB"/>
    <w:rsid w:val="00AF2CFF"/>
    <w:rsid w:val="00AF3B79"/>
    <w:rsid w:val="00AF3C6E"/>
    <w:rsid w:val="00AF3D30"/>
    <w:rsid w:val="00AF4611"/>
    <w:rsid w:val="00AF46E5"/>
    <w:rsid w:val="00AF48FC"/>
    <w:rsid w:val="00AF4EE5"/>
    <w:rsid w:val="00AF50ED"/>
    <w:rsid w:val="00AF540E"/>
    <w:rsid w:val="00AF5E16"/>
    <w:rsid w:val="00AF61ED"/>
    <w:rsid w:val="00AF6999"/>
    <w:rsid w:val="00AF6CA9"/>
    <w:rsid w:val="00AF7008"/>
    <w:rsid w:val="00AF70CB"/>
    <w:rsid w:val="00AF739B"/>
    <w:rsid w:val="00AF76CE"/>
    <w:rsid w:val="00AF7B76"/>
    <w:rsid w:val="00B00397"/>
    <w:rsid w:val="00B00B9E"/>
    <w:rsid w:val="00B01505"/>
    <w:rsid w:val="00B01802"/>
    <w:rsid w:val="00B01ED6"/>
    <w:rsid w:val="00B02568"/>
    <w:rsid w:val="00B02730"/>
    <w:rsid w:val="00B02E22"/>
    <w:rsid w:val="00B02F21"/>
    <w:rsid w:val="00B0322B"/>
    <w:rsid w:val="00B038EF"/>
    <w:rsid w:val="00B03BA6"/>
    <w:rsid w:val="00B03E69"/>
    <w:rsid w:val="00B044DF"/>
    <w:rsid w:val="00B04C5F"/>
    <w:rsid w:val="00B04F81"/>
    <w:rsid w:val="00B0564B"/>
    <w:rsid w:val="00B0565B"/>
    <w:rsid w:val="00B056D1"/>
    <w:rsid w:val="00B0577B"/>
    <w:rsid w:val="00B06DC5"/>
    <w:rsid w:val="00B06DEC"/>
    <w:rsid w:val="00B06F3D"/>
    <w:rsid w:val="00B071E6"/>
    <w:rsid w:val="00B0741A"/>
    <w:rsid w:val="00B07467"/>
    <w:rsid w:val="00B0782B"/>
    <w:rsid w:val="00B07CBF"/>
    <w:rsid w:val="00B10465"/>
    <w:rsid w:val="00B10A01"/>
    <w:rsid w:val="00B10B02"/>
    <w:rsid w:val="00B10D68"/>
    <w:rsid w:val="00B11065"/>
    <w:rsid w:val="00B111D5"/>
    <w:rsid w:val="00B1173D"/>
    <w:rsid w:val="00B11A51"/>
    <w:rsid w:val="00B11AF0"/>
    <w:rsid w:val="00B11BD0"/>
    <w:rsid w:val="00B11ED7"/>
    <w:rsid w:val="00B11F10"/>
    <w:rsid w:val="00B12131"/>
    <w:rsid w:val="00B12329"/>
    <w:rsid w:val="00B12B22"/>
    <w:rsid w:val="00B12CC7"/>
    <w:rsid w:val="00B12E84"/>
    <w:rsid w:val="00B1304D"/>
    <w:rsid w:val="00B1316C"/>
    <w:rsid w:val="00B139C5"/>
    <w:rsid w:val="00B13C1A"/>
    <w:rsid w:val="00B141CD"/>
    <w:rsid w:val="00B14808"/>
    <w:rsid w:val="00B149DA"/>
    <w:rsid w:val="00B14D38"/>
    <w:rsid w:val="00B14E16"/>
    <w:rsid w:val="00B153A3"/>
    <w:rsid w:val="00B15866"/>
    <w:rsid w:val="00B15D56"/>
    <w:rsid w:val="00B16212"/>
    <w:rsid w:val="00B16623"/>
    <w:rsid w:val="00B16B41"/>
    <w:rsid w:val="00B170F4"/>
    <w:rsid w:val="00B17189"/>
    <w:rsid w:val="00B173A6"/>
    <w:rsid w:val="00B173C0"/>
    <w:rsid w:val="00B17563"/>
    <w:rsid w:val="00B176B0"/>
    <w:rsid w:val="00B177D4"/>
    <w:rsid w:val="00B17AAF"/>
    <w:rsid w:val="00B200F9"/>
    <w:rsid w:val="00B203A4"/>
    <w:rsid w:val="00B203D9"/>
    <w:rsid w:val="00B2052C"/>
    <w:rsid w:val="00B20F65"/>
    <w:rsid w:val="00B20F72"/>
    <w:rsid w:val="00B2144F"/>
    <w:rsid w:val="00B21C2D"/>
    <w:rsid w:val="00B21DA0"/>
    <w:rsid w:val="00B21F6C"/>
    <w:rsid w:val="00B22061"/>
    <w:rsid w:val="00B224AA"/>
    <w:rsid w:val="00B22592"/>
    <w:rsid w:val="00B234EF"/>
    <w:rsid w:val="00B23690"/>
    <w:rsid w:val="00B23810"/>
    <w:rsid w:val="00B23A16"/>
    <w:rsid w:val="00B23A2A"/>
    <w:rsid w:val="00B23AED"/>
    <w:rsid w:val="00B23E99"/>
    <w:rsid w:val="00B241E0"/>
    <w:rsid w:val="00B24308"/>
    <w:rsid w:val="00B24685"/>
    <w:rsid w:val="00B24C13"/>
    <w:rsid w:val="00B25087"/>
    <w:rsid w:val="00B252B6"/>
    <w:rsid w:val="00B254E4"/>
    <w:rsid w:val="00B25574"/>
    <w:rsid w:val="00B25894"/>
    <w:rsid w:val="00B25D5E"/>
    <w:rsid w:val="00B25E52"/>
    <w:rsid w:val="00B26208"/>
    <w:rsid w:val="00B26302"/>
    <w:rsid w:val="00B26EDA"/>
    <w:rsid w:val="00B275B2"/>
    <w:rsid w:val="00B279E2"/>
    <w:rsid w:val="00B27BD8"/>
    <w:rsid w:val="00B30B3B"/>
    <w:rsid w:val="00B30E1A"/>
    <w:rsid w:val="00B30F95"/>
    <w:rsid w:val="00B3149A"/>
    <w:rsid w:val="00B315E1"/>
    <w:rsid w:val="00B31A5C"/>
    <w:rsid w:val="00B320F8"/>
    <w:rsid w:val="00B32102"/>
    <w:rsid w:val="00B32314"/>
    <w:rsid w:val="00B32714"/>
    <w:rsid w:val="00B329E0"/>
    <w:rsid w:val="00B32E78"/>
    <w:rsid w:val="00B33D00"/>
    <w:rsid w:val="00B33EF6"/>
    <w:rsid w:val="00B33F2D"/>
    <w:rsid w:val="00B340D0"/>
    <w:rsid w:val="00B3423A"/>
    <w:rsid w:val="00B346CF"/>
    <w:rsid w:val="00B3470A"/>
    <w:rsid w:val="00B34862"/>
    <w:rsid w:val="00B348F6"/>
    <w:rsid w:val="00B34F60"/>
    <w:rsid w:val="00B354A0"/>
    <w:rsid w:val="00B35600"/>
    <w:rsid w:val="00B360CD"/>
    <w:rsid w:val="00B36272"/>
    <w:rsid w:val="00B365A0"/>
    <w:rsid w:val="00B36703"/>
    <w:rsid w:val="00B367B7"/>
    <w:rsid w:val="00B36B55"/>
    <w:rsid w:val="00B36DF5"/>
    <w:rsid w:val="00B36E2C"/>
    <w:rsid w:val="00B370DE"/>
    <w:rsid w:val="00B3711B"/>
    <w:rsid w:val="00B372C8"/>
    <w:rsid w:val="00B37605"/>
    <w:rsid w:val="00B37A62"/>
    <w:rsid w:val="00B37AC0"/>
    <w:rsid w:val="00B37B6D"/>
    <w:rsid w:val="00B37B88"/>
    <w:rsid w:val="00B37C94"/>
    <w:rsid w:val="00B37D37"/>
    <w:rsid w:val="00B37DCC"/>
    <w:rsid w:val="00B4005E"/>
    <w:rsid w:val="00B403F6"/>
    <w:rsid w:val="00B40A63"/>
    <w:rsid w:val="00B40B73"/>
    <w:rsid w:val="00B40E08"/>
    <w:rsid w:val="00B41477"/>
    <w:rsid w:val="00B416A9"/>
    <w:rsid w:val="00B41817"/>
    <w:rsid w:val="00B4182F"/>
    <w:rsid w:val="00B41900"/>
    <w:rsid w:val="00B419C7"/>
    <w:rsid w:val="00B41F1B"/>
    <w:rsid w:val="00B41F93"/>
    <w:rsid w:val="00B4250E"/>
    <w:rsid w:val="00B42747"/>
    <w:rsid w:val="00B42793"/>
    <w:rsid w:val="00B429D7"/>
    <w:rsid w:val="00B43359"/>
    <w:rsid w:val="00B435A2"/>
    <w:rsid w:val="00B43771"/>
    <w:rsid w:val="00B43BDC"/>
    <w:rsid w:val="00B43F23"/>
    <w:rsid w:val="00B449A5"/>
    <w:rsid w:val="00B44BFF"/>
    <w:rsid w:val="00B44EA6"/>
    <w:rsid w:val="00B45AC2"/>
    <w:rsid w:val="00B45E2D"/>
    <w:rsid w:val="00B45F7D"/>
    <w:rsid w:val="00B460D8"/>
    <w:rsid w:val="00B46122"/>
    <w:rsid w:val="00B4621B"/>
    <w:rsid w:val="00B46A62"/>
    <w:rsid w:val="00B46F5E"/>
    <w:rsid w:val="00B4705A"/>
    <w:rsid w:val="00B47574"/>
    <w:rsid w:val="00B475BC"/>
    <w:rsid w:val="00B47BEB"/>
    <w:rsid w:val="00B47D07"/>
    <w:rsid w:val="00B47F24"/>
    <w:rsid w:val="00B50078"/>
    <w:rsid w:val="00B5008B"/>
    <w:rsid w:val="00B504E0"/>
    <w:rsid w:val="00B5068C"/>
    <w:rsid w:val="00B50740"/>
    <w:rsid w:val="00B50862"/>
    <w:rsid w:val="00B50CB5"/>
    <w:rsid w:val="00B50EB3"/>
    <w:rsid w:val="00B51906"/>
    <w:rsid w:val="00B51913"/>
    <w:rsid w:val="00B51B43"/>
    <w:rsid w:val="00B51D53"/>
    <w:rsid w:val="00B51EB0"/>
    <w:rsid w:val="00B523A0"/>
    <w:rsid w:val="00B52559"/>
    <w:rsid w:val="00B52941"/>
    <w:rsid w:val="00B52DF0"/>
    <w:rsid w:val="00B52FA5"/>
    <w:rsid w:val="00B530CA"/>
    <w:rsid w:val="00B5363E"/>
    <w:rsid w:val="00B53732"/>
    <w:rsid w:val="00B53776"/>
    <w:rsid w:val="00B53CF1"/>
    <w:rsid w:val="00B5405B"/>
    <w:rsid w:val="00B54424"/>
    <w:rsid w:val="00B547E5"/>
    <w:rsid w:val="00B54DB3"/>
    <w:rsid w:val="00B5510A"/>
    <w:rsid w:val="00B55412"/>
    <w:rsid w:val="00B55A59"/>
    <w:rsid w:val="00B55FEC"/>
    <w:rsid w:val="00B56398"/>
    <w:rsid w:val="00B5644C"/>
    <w:rsid w:val="00B56B60"/>
    <w:rsid w:val="00B56BB7"/>
    <w:rsid w:val="00B5726D"/>
    <w:rsid w:val="00B57590"/>
    <w:rsid w:val="00B577F6"/>
    <w:rsid w:val="00B57846"/>
    <w:rsid w:val="00B57BF7"/>
    <w:rsid w:val="00B60135"/>
    <w:rsid w:val="00B60346"/>
    <w:rsid w:val="00B60836"/>
    <w:rsid w:val="00B60BC1"/>
    <w:rsid w:val="00B61495"/>
    <w:rsid w:val="00B6167A"/>
    <w:rsid w:val="00B6180D"/>
    <w:rsid w:val="00B61C06"/>
    <w:rsid w:val="00B62B35"/>
    <w:rsid w:val="00B62DCB"/>
    <w:rsid w:val="00B63414"/>
    <w:rsid w:val="00B634EB"/>
    <w:rsid w:val="00B63970"/>
    <w:rsid w:val="00B64619"/>
    <w:rsid w:val="00B64A11"/>
    <w:rsid w:val="00B64B9C"/>
    <w:rsid w:val="00B64EDD"/>
    <w:rsid w:val="00B6500F"/>
    <w:rsid w:val="00B65626"/>
    <w:rsid w:val="00B65D6D"/>
    <w:rsid w:val="00B660FB"/>
    <w:rsid w:val="00B6629E"/>
    <w:rsid w:val="00B668FB"/>
    <w:rsid w:val="00B66BCD"/>
    <w:rsid w:val="00B66D42"/>
    <w:rsid w:val="00B66E11"/>
    <w:rsid w:val="00B6729A"/>
    <w:rsid w:val="00B67A32"/>
    <w:rsid w:val="00B67BD3"/>
    <w:rsid w:val="00B67E29"/>
    <w:rsid w:val="00B7022C"/>
    <w:rsid w:val="00B70825"/>
    <w:rsid w:val="00B70F33"/>
    <w:rsid w:val="00B71679"/>
    <w:rsid w:val="00B719CF"/>
    <w:rsid w:val="00B723FB"/>
    <w:rsid w:val="00B72557"/>
    <w:rsid w:val="00B725BF"/>
    <w:rsid w:val="00B7269B"/>
    <w:rsid w:val="00B7359A"/>
    <w:rsid w:val="00B73725"/>
    <w:rsid w:val="00B73810"/>
    <w:rsid w:val="00B73DEC"/>
    <w:rsid w:val="00B745AB"/>
    <w:rsid w:val="00B74C98"/>
    <w:rsid w:val="00B74CF3"/>
    <w:rsid w:val="00B75358"/>
    <w:rsid w:val="00B756C7"/>
    <w:rsid w:val="00B75B6D"/>
    <w:rsid w:val="00B75B99"/>
    <w:rsid w:val="00B75C0D"/>
    <w:rsid w:val="00B75C49"/>
    <w:rsid w:val="00B75E4C"/>
    <w:rsid w:val="00B75FB9"/>
    <w:rsid w:val="00B76AF7"/>
    <w:rsid w:val="00B776BF"/>
    <w:rsid w:val="00B80193"/>
    <w:rsid w:val="00B80233"/>
    <w:rsid w:val="00B805E7"/>
    <w:rsid w:val="00B80E39"/>
    <w:rsid w:val="00B80E44"/>
    <w:rsid w:val="00B810C8"/>
    <w:rsid w:val="00B81148"/>
    <w:rsid w:val="00B81468"/>
    <w:rsid w:val="00B8155E"/>
    <w:rsid w:val="00B8165B"/>
    <w:rsid w:val="00B81B32"/>
    <w:rsid w:val="00B81C73"/>
    <w:rsid w:val="00B81CA7"/>
    <w:rsid w:val="00B824FC"/>
    <w:rsid w:val="00B828C5"/>
    <w:rsid w:val="00B82A95"/>
    <w:rsid w:val="00B82CF2"/>
    <w:rsid w:val="00B82F29"/>
    <w:rsid w:val="00B8306B"/>
    <w:rsid w:val="00B83232"/>
    <w:rsid w:val="00B837DD"/>
    <w:rsid w:val="00B83938"/>
    <w:rsid w:val="00B83DEB"/>
    <w:rsid w:val="00B83EE2"/>
    <w:rsid w:val="00B8419E"/>
    <w:rsid w:val="00B8457F"/>
    <w:rsid w:val="00B84584"/>
    <w:rsid w:val="00B84B02"/>
    <w:rsid w:val="00B84E87"/>
    <w:rsid w:val="00B85453"/>
    <w:rsid w:val="00B86123"/>
    <w:rsid w:val="00B861D8"/>
    <w:rsid w:val="00B868C0"/>
    <w:rsid w:val="00B86C63"/>
    <w:rsid w:val="00B8705C"/>
    <w:rsid w:val="00B872CC"/>
    <w:rsid w:val="00B87868"/>
    <w:rsid w:val="00B87D1B"/>
    <w:rsid w:val="00B87EAF"/>
    <w:rsid w:val="00B901D5"/>
    <w:rsid w:val="00B9053B"/>
    <w:rsid w:val="00B90669"/>
    <w:rsid w:val="00B908B4"/>
    <w:rsid w:val="00B911B2"/>
    <w:rsid w:val="00B91254"/>
    <w:rsid w:val="00B91BF6"/>
    <w:rsid w:val="00B92022"/>
    <w:rsid w:val="00B92128"/>
    <w:rsid w:val="00B9233C"/>
    <w:rsid w:val="00B92590"/>
    <w:rsid w:val="00B92AB0"/>
    <w:rsid w:val="00B9305C"/>
    <w:rsid w:val="00B93206"/>
    <w:rsid w:val="00B93213"/>
    <w:rsid w:val="00B9393D"/>
    <w:rsid w:val="00B939CF"/>
    <w:rsid w:val="00B93D64"/>
    <w:rsid w:val="00B93F21"/>
    <w:rsid w:val="00B9407A"/>
    <w:rsid w:val="00B94B98"/>
    <w:rsid w:val="00B94BC0"/>
    <w:rsid w:val="00B94BF1"/>
    <w:rsid w:val="00B94CDD"/>
    <w:rsid w:val="00B94ED1"/>
    <w:rsid w:val="00B950A6"/>
    <w:rsid w:val="00B957DB"/>
    <w:rsid w:val="00B95BCE"/>
    <w:rsid w:val="00B95F33"/>
    <w:rsid w:val="00B960B5"/>
    <w:rsid w:val="00B9613E"/>
    <w:rsid w:val="00B9619F"/>
    <w:rsid w:val="00B9627A"/>
    <w:rsid w:val="00B966BF"/>
    <w:rsid w:val="00B966C5"/>
    <w:rsid w:val="00B967EF"/>
    <w:rsid w:val="00B969F8"/>
    <w:rsid w:val="00B96AF9"/>
    <w:rsid w:val="00B96FE0"/>
    <w:rsid w:val="00B97259"/>
    <w:rsid w:val="00B9735F"/>
    <w:rsid w:val="00B97519"/>
    <w:rsid w:val="00B975DC"/>
    <w:rsid w:val="00B97BBF"/>
    <w:rsid w:val="00BA00BD"/>
    <w:rsid w:val="00BA031B"/>
    <w:rsid w:val="00BA0B01"/>
    <w:rsid w:val="00BA0B06"/>
    <w:rsid w:val="00BA0BFF"/>
    <w:rsid w:val="00BA17AE"/>
    <w:rsid w:val="00BA1B8B"/>
    <w:rsid w:val="00BA1C53"/>
    <w:rsid w:val="00BA1D61"/>
    <w:rsid w:val="00BA25F5"/>
    <w:rsid w:val="00BA26EE"/>
    <w:rsid w:val="00BA270C"/>
    <w:rsid w:val="00BA270D"/>
    <w:rsid w:val="00BA27AA"/>
    <w:rsid w:val="00BA289D"/>
    <w:rsid w:val="00BA2C69"/>
    <w:rsid w:val="00BA2ED4"/>
    <w:rsid w:val="00BA31F4"/>
    <w:rsid w:val="00BA3424"/>
    <w:rsid w:val="00BA35A8"/>
    <w:rsid w:val="00BA3E28"/>
    <w:rsid w:val="00BA426C"/>
    <w:rsid w:val="00BA4A15"/>
    <w:rsid w:val="00BA4AC7"/>
    <w:rsid w:val="00BA4D70"/>
    <w:rsid w:val="00BA4DE9"/>
    <w:rsid w:val="00BA4DF5"/>
    <w:rsid w:val="00BA4E00"/>
    <w:rsid w:val="00BA4E0C"/>
    <w:rsid w:val="00BA4F4B"/>
    <w:rsid w:val="00BA54F2"/>
    <w:rsid w:val="00BA56B8"/>
    <w:rsid w:val="00BA5783"/>
    <w:rsid w:val="00BA58FC"/>
    <w:rsid w:val="00BA61DD"/>
    <w:rsid w:val="00BA63BA"/>
    <w:rsid w:val="00BA65DC"/>
    <w:rsid w:val="00BA68F2"/>
    <w:rsid w:val="00BA6911"/>
    <w:rsid w:val="00BA6B35"/>
    <w:rsid w:val="00BA6C75"/>
    <w:rsid w:val="00BA706B"/>
    <w:rsid w:val="00BA7158"/>
    <w:rsid w:val="00BA73B9"/>
    <w:rsid w:val="00BA77F9"/>
    <w:rsid w:val="00BA790F"/>
    <w:rsid w:val="00BA7AEF"/>
    <w:rsid w:val="00BA7D7F"/>
    <w:rsid w:val="00BA7DA5"/>
    <w:rsid w:val="00BB121D"/>
    <w:rsid w:val="00BB1695"/>
    <w:rsid w:val="00BB1824"/>
    <w:rsid w:val="00BB1B1E"/>
    <w:rsid w:val="00BB1FC9"/>
    <w:rsid w:val="00BB2B5D"/>
    <w:rsid w:val="00BB2D58"/>
    <w:rsid w:val="00BB2E84"/>
    <w:rsid w:val="00BB3770"/>
    <w:rsid w:val="00BB38ED"/>
    <w:rsid w:val="00BB39B6"/>
    <w:rsid w:val="00BB3ED2"/>
    <w:rsid w:val="00BB44AE"/>
    <w:rsid w:val="00BB49EA"/>
    <w:rsid w:val="00BB4CF5"/>
    <w:rsid w:val="00BB4D00"/>
    <w:rsid w:val="00BB4E6A"/>
    <w:rsid w:val="00BB508F"/>
    <w:rsid w:val="00BB5599"/>
    <w:rsid w:val="00BB5984"/>
    <w:rsid w:val="00BB5FA4"/>
    <w:rsid w:val="00BB7101"/>
    <w:rsid w:val="00BB7227"/>
    <w:rsid w:val="00BB77B5"/>
    <w:rsid w:val="00BB79E8"/>
    <w:rsid w:val="00BB7ACD"/>
    <w:rsid w:val="00BC02AF"/>
    <w:rsid w:val="00BC02EF"/>
    <w:rsid w:val="00BC0401"/>
    <w:rsid w:val="00BC051F"/>
    <w:rsid w:val="00BC05BB"/>
    <w:rsid w:val="00BC0952"/>
    <w:rsid w:val="00BC107C"/>
    <w:rsid w:val="00BC12FF"/>
    <w:rsid w:val="00BC137B"/>
    <w:rsid w:val="00BC1383"/>
    <w:rsid w:val="00BC15FD"/>
    <w:rsid w:val="00BC1BE5"/>
    <w:rsid w:val="00BC1F99"/>
    <w:rsid w:val="00BC21DF"/>
    <w:rsid w:val="00BC22C2"/>
    <w:rsid w:val="00BC23E7"/>
    <w:rsid w:val="00BC240D"/>
    <w:rsid w:val="00BC2562"/>
    <w:rsid w:val="00BC2713"/>
    <w:rsid w:val="00BC31CC"/>
    <w:rsid w:val="00BC33AD"/>
    <w:rsid w:val="00BC3756"/>
    <w:rsid w:val="00BC3E91"/>
    <w:rsid w:val="00BC4488"/>
    <w:rsid w:val="00BC497E"/>
    <w:rsid w:val="00BC4AFC"/>
    <w:rsid w:val="00BC4B7A"/>
    <w:rsid w:val="00BC545D"/>
    <w:rsid w:val="00BC5655"/>
    <w:rsid w:val="00BC577A"/>
    <w:rsid w:val="00BC5C48"/>
    <w:rsid w:val="00BC5CE6"/>
    <w:rsid w:val="00BC5E44"/>
    <w:rsid w:val="00BC61C3"/>
    <w:rsid w:val="00BC62FB"/>
    <w:rsid w:val="00BC6343"/>
    <w:rsid w:val="00BC6359"/>
    <w:rsid w:val="00BC6986"/>
    <w:rsid w:val="00BC699A"/>
    <w:rsid w:val="00BC7CE4"/>
    <w:rsid w:val="00BD01AB"/>
    <w:rsid w:val="00BD04E1"/>
    <w:rsid w:val="00BD0737"/>
    <w:rsid w:val="00BD09E8"/>
    <w:rsid w:val="00BD0A0F"/>
    <w:rsid w:val="00BD0C72"/>
    <w:rsid w:val="00BD0EE4"/>
    <w:rsid w:val="00BD1A6D"/>
    <w:rsid w:val="00BD1A7C"/>
    <w:rsid w:val="00BD1DDA"/>
    <w:rsid w:val="00BD1F3B"/>
    <w:rsid w:val="00BD27DB"/>
    <w:rsid w:val="00BD2BA2"/>
    <w:rsid w:val="00BD2CE1"/>
    <w:rsid w:val="00BD2DD7"/>
    <w:rsid w:val="00BD2DE1"/>
    <w:rsid w:val="00BD2DF0"/>
    <w:rsid w:val="00BD2FE4"/>
    <w:rsid w:val="00BD33A4"/>
    <w:rsid w:val="00BD3FF5"/>
    <w:rsid w:val="00BD417E"/>
    <w:rsid w:val="00BD47E8"/>
    <w:rsid w:val="00BD48C9"/>
    <w:rsid w:val="00BD4B31"/>
    <w:rsid w:val="00BD4B58"/>
    <w:rsid w:val="00BD4C0F"/>
    <w:rsid w:val="00BD5016"/>
    <w:rsid w:val="00BD503A"/>
    <w:rsid w:val="00BD5169"/>
    <w:rsid w:val="00BD54B0"/>
    <w:rsid w:val="00BD562E"/>
    <w:rsid w:val="00BD568A"/>
    <w:rsid w:val="00BD570E"/>
    <w:rsid w:val="00BD5D56"/>
    <w:rsid w:val="00BD65F8"/>
    <w:rsid w:val="00BD66E6"/>
    <w:rsid w:val="00BD6758"/>
    <w:rsid w:val="00BD6FC0"/>
    <w:rsid w:val="00BD7061"/>
    <w:rsid w:val="00BD70A9"/>
    <w:rsid w:val="00BD788F"/>
    <w:rsid w:val="00BD79FB"/>
    <w:rsid w:val="00BD7C8A"/>
    <w:rsid w:val="00BE02EB"/>
    <w:rsid w:val="00BE034C"/>
    <w:rsid w:val="00BE0D91"/>
    <w:rsid w:val="00BE1646"/>
    <w:rsid w:val="00BE172B"/>
    <w:rsid w:val="00BE1998"/>
    <w:rsid w:val="00BE2010"/>
    <w:rsid w:val="00BE2076"/>
    <w:rsid w:val="00BE22AA"/>
    <w:rsid w:val="00BE22C9"/>
    <w:rsid w:val="00BE2587"/>
    <w:rsid w:val="00BE27A1"/>
    <w:rsid w:val="00BE2B18"/>
    <w:rsid w:val="00BE2C2A"/>
    <w:rsid w:val="00BE2F77"/>
    <w:rsid w:val="00BE318A"/>
    <w:rsid w:val="00BE33EC"/>
    <w:rsid w:val="00BE35CC"/>
    <w:rsid w:val="00BE361B"/>
    <w:rsid w:val="00BE3873"/>
    <w:rsid w:val="00BE3C32"/>
    <w:rsid w:val="00BE3F59"/>
    <w:rsid w:val="00BE404D"/>
    <w:rsid w:val="00BE41AF"/>
    <w:rsid w:val="00BE42C4"/>
    <w:rsid w:val="00BE4B0B"/>
    <w:rsid w:val="00BE4D66"/>
    <w:rsid w:val="00BE5109"/>
    <w:rsid w:val="00BE5209"/>
    <w:rsid w:val="00BE5479"/>
    <w:rsid w:val="00BE560D"/>
    <w:rsid w:val="00BE573F"/>
    <w:rsid w:val="00BE5920"/>
    <w:rsid w:val="00BE5DCD"/>
    <w:rsid w:val="00BE5E17"/>
    <w:rsid w:val="00BE609B"/>
    <w:rsid w:val="00BE60F8"/>
    <w:rsid w:val="00BE628F"/>
    <w:rsid w:val="00BE654E"/>
    <w:rsid w:val="00BE68D5"/>
    <w:rsid w:val="00BE6AC3"/>
    <w:rsid w:val="00BE6C37"/>
    <w:rsid w:val="00BE6D03"/>
    <w:rsid w:val="00BE6F6B"/>
    <w:rsid w:val="00BE6F74"/>
    <w:rsid w:val="00BE787F"/>
    <w:rsid w:val="00BE7D40"/>
    <w:rsid w:val="00BE7DBC"/>
    <w:rsid w:val="00BE7DC4"/>
    <w:rsid w:val="00BF0B29"/>
    <w:rsid w:val="00BF0D08"/>
    <w:rsid w:val="00BF1761"/>
    <w:rsid w:val="00BF18D0"/>
    <w:rsid w:val="00BF2102"/>
    <w:rsid w:val="00BF21A6"/>
    <w:rsid w:val="00BF2A72"/>
    <w:rsid w:val="00BF2B01"/>
    <w:rsid w:val="00BF2F8A"/>
    <w:rsid w:val="00BF3456"/>
    <w:rsid w:val="00BF38F8"/>
    <w:rsid w:val="00BF5754"/>
    <w:rsid w:val="00BF5D56"/>
    <w:rsid w:val="00BF5F96"/>
    <w:rsid w:val="00BF65C0"/>
    <w:rsid w:val="00BF6A0B"/>
    <w:rsid w:val="00BF6E0C"/>
    <w:rsid w:val="00BF6EC1"/>
    <w:rsid w:val="00BF74E6"/>
    <w:rsid w:val="00BF74E9"/>
    <w:rsid w:val="00BF74F7"/>
    <w:rsid w:val="00BF778D"/>
    <w:rsid w:val="00C0011F"/>
    <w:rsid w:val="00C0014F"/>
    <w:rsid w:val="00C003B1"/>
    <w:rsid w:val="00C009C3"/>
    <w:rsid w:val="00C00B70"/>
    <w:rsid w:val="00C01013"/>
    <w:rsid w:val="00C01314"/>
    <w:rsid w:val="00C01474"/>
    <w:rsid w:val="00C01E5C"/>
    <w:rsid w:val="00C0223A"/>
    <w:rsid w:val="00C02592"/>
    <w:rsid w:val="00C02795"/>
    <w:rsid w:val="00C029E2"/>
    <w:rsid w:val="00C02B71"/>
    <w:rsid w:val="00C03424"/>
    <w:rsid w:val="00C034BA"/>
    <w:rsid w:val="00C038F7"/>
    <w:rsid w:val="00C03901"/>
    <w:rsid w:val="00C0434B"/>
    <w:rsid w:val="00C043BB"/>
    <w:rsid w:val="00C047E6"/>
    <w:rsid w:val="00C04C46"/>
    <w:rsid w:val="00C04CFA"/>
    <w:rsid w:val="00C04E24"/>
    <w:rsid w:val="00C04E7C"/>
    <w:rsid w:val="00C04FB6"/>
    <w:rsid w:val="00C05019"/>
    <w:rsid w:val="00C055E7"/>
    <w:rsid w:val="00C05730"/>
    <w:rsid w:val="00C059FE"/>
    <w:rsid w:val="00C05B3D"/>
    <w:rsid w:val="00C05C24"/>
    <w:rsid w:val="00C05D67"/>
    <w:rsid w:val="00C0612F"/>
    <w:rsid w:val="00C06361"/>
    <w:rsid w:val="00C06711"/>
    <w:rsid w:val="00C07113"/>
    <w:rsid w:val="00C07330"/>
    <w:rsid w:val="00C0743E"/>
    <w:rsid w:val="00C07497"/>
    <w:rsid w:val="00C07A88"/>
    <w:rsid w:val="00C10271"/>
    <w:rsid w:val="00C1055F"/>
    <w:rsid w:val="00C107BD"/>
    <w:rsid w:val="00C10B6E"/>
    <w:rsid w:val="00C1271D"/>
    <w:rsid w:val="00C12E18"/>
    <w:rsid w:val="00C12E1E"/>
    <w:rsid w:val="00C13076"/>
    <w:rsid w:val="00C14390"/>
    <w:rsid w:val="00C14408"/>
    <w:rsid w:val="00C149A5"/>
    <w:rsid w:val="00C14FBA"/>
    <w:rsid w:val="00C15191"/>
    <w:rsid w:val="00C15606"/>
    <w:rsid w:val="00C158EE"/>
    <w:rsid w:val="00C15A3A"/>
    <w:rsid w:val="00C15AC8"/>
    <w:rsid w:val="00C16160"/>
    <w:rsid w:val="00C174C0"/>
    <w:rsid w:val="00C17655"/>
    <w:rsid w:val="00C178B4"/>
    <w:rsid w:val="00C17921"/>
    <w:rsid w:val="00C17AFA"/>
    <w:rsid w:val="00C202E8"/>
    <w:rsid w:val="00C202EF"/>
    <w:rsid w:val="00C2056E"/>
    <w:rsid w:val="00C206DD"/>
    <w:rsid w:val="00C215DC"/>
    <w:rsid w:val="00C2182D"/>
    <w:rsid w:val="00C219D8"/>
    <w:rsid w:val="00C21A48"/>
    <w:rsid w:val="00C21F3C"/>
    <w:rsid w:val="00C220A2"/>
    <w:rsid w:val="00C225E3"/>
    <w:rsid w:val="00C227AE"/>
    <w:rsid w:val="00C227D6"/>
    <w:rsid w:val="00C22BC3"/>
    <w:rsid w:val="00C22CC0"/>
    <w:rsid w:val="00C23251"/>
    <w:rsid w:val="00C23DF3"/>
    <w:rsid w:val="00C240B9"/>
    <w:rsid w:val="00C2412A"/>
    <w:rsid w:val="00C24584"/>
    <w:rsid w:val="00C247AF"/>
    <w:rsid w:val="00C24B24"/>
    <w:rsid w:val="00C24B79"/>
    <w:rsid w:val="00C24D59"/>
    <w:rsid w:val="00C24D9B"/>
    <w:rsid w:val="00C25021"/>
    <w:rsid w:val="00C25490"/>
    <w:rsid w:val="00C254EF"/>
    <w:rsid w:val="00C258D5"/>
    <w:rsid w:val="00C25A08"/>
    <w:rsid w:val="00C25F1A"/>
    <w:rsid w:val="00C25F93"/>
    <w:rsid w:val="00C261FC"/>
    <w:rsid w:val="00C2699C"/>
    <w:rsid w:val="00C26A44"/>
    <w:rsid w:val="00C26E10"/>
    <w:rsid w:val="00C270FC"/>
    <w:rsid w:val="00C27162"/>
    <w:rsid w:val="00C271EE"/>
    <w:rsid w:val="00C275FC"/>
    <w:rsid w:val="00C277CA"/>
    <w:rsid w:val="00C2790F"/>
    <w:rsid w:val="00C30EC4"/>
    <w:rsid w:val="00C319C5"/>
    <w:rsid w:val="00C31AFB"/>
    <w:rsid w:val="00C31E83"/>
    <w:rsid w:val="00C321D9"/>
    <w:rsid w:val="00C32310"/>
    <w:rsid w:val="00C32350"/>
    <w:rsid w:val="00C32396"/>
    <w:rsid w:val="00C324FF"/>
    <w:rsid w:val="00C32A13"/>
    <w:rsid w:val="00C32F51"/>
    <w:rsid w:val="00C32FD6"/>
    <w:rsid w:val="00C332EA"/>
    <w:rsid w:val="00C3337A"/>
    <w:rsid w:val="00C33392"/>
    <w:rsid w:val="00C334B9"/>
    <w:rsid w:val="00C33C0C"/>
    <w:rsid w:val="00C33E01"/>
    <w:rsid w:val="00C34051"/>
    <w:rsid w:val="00C34339"/>
    <w:rsid w:val="00C3436F"/>
    <w:rsid w:val="00C34463"/>
    <w:rsid w:val="00C344D1"/>
    <w:rsid w:val="00C34982"/>
    <w:rsid w:val="00C34B9E"/>
    <w:rsid w:val="00C34CF2"/>
    <w:rsid w:val="00C34CF8"/>
    <w:rsid w:val="00C34DA1"/>
    <w:rsid w:val="00C352EC"/>
    <w:rsid w:val="00C354F9"/>
    <w:rsid w:val="00C35620"/>
    <w:rsid w:val="00C357B1"/>
    <w:rsid w:val="00C359EB"/>
    <w:rsid w:val="00C35B5B"/>
    <w:rsid w:val="00C35C91"/>
    <w:rsid w:val="00C36267"/>
    <w:rsid w:val="00C366F8"/>
    <w:rsid w:val="00C375BC"/>
    <w:rsid w:val="00C376A7"/>
    <w:rsid w:val="00C37C7B"/>
    <w:rsid w:val="00C403C1"/>
    <w:rsid w:val="00C4064D"/>
    <w:rsid w:val="00C40978"/>
    <w:rsid w:val="00C409F9"/>
    <w:rsid w:val="00C40E0F"/>
    <w:rsid w:val="00C40FD6"/>
    <w:rsid w:val="00C417F7"/>
    <w:rsid w:val="00C41B5A"/>
    <w:rsid w:val="00C41E5A"/>
    <w:rsid w:val="00C41F05"/>
    <w:rsid w:val="00C420D9"/>
    <w:rsid w:val="00C4268D"/>
    <w:rsid w:val="00C426B5"/>
    <w:rsid w:val="00C42D1B"/>
    <w:rsid w:val="00C43002"/>
    <w:rsid w:val="00C4377C"/>
    <w:rsid w:val="00C43857"/>
    <w:rsid w:val="00C442E9"/>
    <w:rsid w:val="00C44436"/>
    <w:rsid w:val="00C445B0"/>
    <w:rsid w:val="00C44E0F"/>
    <w:rsid w:val="00C450FD"/>
    <w:rsid w:val="00C452AE"/>
    <w:rsid w:val="00C457F6"/>
    <w:rsid w:val="00C458A3"/>
    <w:rsid w:val="00C45A3D"/>
    <w:rsid w:val="00C45C9A"/>
    <w:rsid w:val="00C45E5E"/>
    <w:rsid w:val="00C46023"/>
    <w:rsid w:val="00C4626E"/>
    <w:rsid w:val="00C46464"/>
    <w:rsid w:val="00C46664"/>
    <w:rsid w:val="00C466C4"/>
    <w:rsid w:val="00C467A2"/>
    <w:rsid w:val="00C469DC"/>
    <w:rsid w:val="00C46A53"/>
    <w:rsid w:val="00C47122"/>
    <w:rsid w:val="00C47204"/>
    <w:rsid w:val="00C47243"/>
    <w:rsid w:val="00C4724B"/>
    <w:rsid w:val="00C47757"/>
    <w:rsid w:val="00C47C80"/>
    <w:rsid w:val="00C47EA5"/>
    <w:rsid w:val="00C5049B"/>
    <w:rsid w:val="00C50D7C"/>
    <w:rsid w:val="00C513BD"/>
    <w:rsid w:val="00C51974"/>
    <w:rsid w:val="00C51976"/>
    <w:rsid w:val="00C51BB5"/>
    <w:rsid w:val="00C51CAF"/>
    <w:rsid w:val="00C52383"/>
    <w:rsid w:val="00C52392"/>
    <w:rsid w:val="00C5241D"/>
    <w:rsid w:val="00C52689"/>
    <w:rsid w:val="00C52869"/>
    <w:rsid w:val="00C52AB6"/>
    <w:rsid w:val="00C52CDA"/>
    <w:rsid w:val="00C52D06"/>
    <w:rsid w:val="00C52F17"/>
    <w:rsid w:val="00C53183"/>
    <w:rsid w:val="00C53419"/>
    <w:rsid w:val="00C53B2B"/>
    <w:rsid w:val="00C53D2C"/>
    <w:rsid w:val="00C541AE"/>
    <w:rsid w:val="00C541D4"/>
    <w:rsid w:val="00C547A3"/>
    <w:rsid w:val="00C54811"/>
    <w:rsid w:val="00C54844"/>
    <w:rsid w:val="00C54AD2"/>
    <w:rsid w:val="00C54D61"/>
    <w:rsid w:val="00C54DEE"/>
    <w:rsid w:val="00C54FD0"/>
    <w:rsid w:val="00C553E7"/>
    <w:rsid w:val="00C5540E"/>
    <w:rsid w:val="00C55512"/>
    <w:rsid w:val="00C5572B"/>
    <w:rsid w:val="00C55A2D"/>
    <w:rsid w:val="00C55DB1"/>
    <w:rsid w:val="00C55E4D"/>
    <w:rsid w:val="00C56361"/>
    <w:rsid w:val="00C5651C"/>
    <w:rsid w:val="00C567C1"/>
    <w:rsid w:val="00C569BB"/>
    <w:rsid w:val="00C56A3C"/>
    <w:rsid w:val="00C56DE4"/>
    <w:rsid w:val="00C578CA"/>
    <w:rsid w:val="00C57DF3"/>
    <w:rsid w:val="00C600DA"/>
    <w:rsid w:val="00C60319"/>
    <w:rsid w:val="00C6085F"/>
    <w:rsid w:val="00C6086B"/>
    <w:rsid w:val="00C609EB"/>
    <w:rsid w:val="00C60CF5"/>
    <w:rsid w:val="00C60F1B"/>
    <w:rsid w:val="00C60F6B"/>
    <w:rsid w:val="00C61105"/>
    <w:rsid w:val="00C613B0"/>
    <w:rsid w:val="00C613E8"/>
    <w:rsid w:val="00C61780"/>
    <w:rsid w:val="00C61866"/>
    <w:rsid w:val="00C61ACB"/>
    <w:rsid w:val="00C61DC0"/>
    <w:rsid w:val="00C62009"/>
    <w:rsid w:val="00C625A2"/>
    <w:rsid w:val="00C628D9"/>
    <w:rsid w:val="00C62B8A"/>
    <w:rsid w:val="00C62BC1"/>
    <w:rsid w:val="00C6321C"/>
    <w:rsid w:val="00C636BB"/>
    <w:rsid w:val="00C63805"/>
    <w:rsid w:val="00C638EE"/>
    <w:rsid w:val="00C63A25"/>
    <w:rsid w:val="00C63F57"/>
    <w:rsid w:val="00C64388"/>
    <w:rsid w:val="00C64911"/>
    <w:rsid w:val="00C6499D"/>
    <w:rsid w:val="00C64E00"/>
    <w:rsid w:val="00C64EB4"/>
    <w:rsid w:val="00C65076"/>
    <w:rsid w:val="00C655CD"/>
    <w:rsid w:val="00C65971"/>
    <w:rsid w:val="00C65A1C"/>
    <w:rsid w:val="00C65C65"/>
    <w:rsid w:val="00C6680E"/>
    <w:rsid w:val="00C66F83"/>
    <w:rsid w:val="00C67BB7"/>
    <w:rsid w:val="00C67D7C"/>
    <w:rsid w:val="00C67D9D"/>
    <w:rsid w:val="00C67E76"/>
    <w:rsid w:val="00C7024E"/>
    <w:rsid w:val="00C705CE"/>
    <w:rsid w:val="00C7069A"/>
    <w:rsid w:val="00C707A7"/>
    <w:rsid w:val="00C7099F"/>
    <w:rsid w:val="00C70C0C"/>
    <w:rsid w:val="00C70DC0"/>
    <w:rsid w:val="00C70FF5"/>
    <w:rsid w:val="00C7101F"/>
    <w:rsid w:val="00C71488"/>
    <w:rsid w:val="00C7151E"/>
    <w:rsid w:val="00C71F53"/>
    <w:rsid w:val="00C72090"/>
    <w:rsid w:val="00C727BD"/>
    <w:rsid w:val="00C729C9"/>
    <w:rsid w:val="00C72C45"/>
    <w:rsid w:val="00C72E1B"/>
    <w:rsid w:val="00C73532"/>
    <w:rsid w:val="00C73DA6"/>
    <w:rsid w:val="00C743B0"/>
    <w:rsid w:val="00C74AC6"/>
    <w:rsid w:val="00C74D14"/>
    <w:rsid w:val="00C74DD6"/>
    <w:rsid w:val="00C75000"/>
    <w:rsid w:val="00C7529C"/>
    <w:rsid w:val="00C755A4"/>
    <w:rsid w:val="00C75C80"/>
    <w:rsid w:val="00C76131"/>
    <w:rsid w:val="00C76166"/>
    <w:rsid w:val="00C763EB"/>
    <w:rsid w:val="00C76526"/>
    <w:rsid w:val="00C7653B"/>
    <w:rsid w:val="00C76587"/>
    <w:rsid w:val="00C767FE"/>
    <w:rsid w:val="00C7682C"/>
    <w:rsid w:val="00C76FB7"/>
    <w:rsid w:val="00C772C7"/>
    <w:rsid w:val="00C77339"/>
    <w:rsid w:val="00C77620"/>
    <w:rsid w:val="00C80351"/>
    <w:rsid w:val="00C80397"/>
    <w:rsid w:val="00C813D6"/>
    <w:rsid w:val="00C81448"/>
    <w:rsid w:val="00C82270"/>
    <w:rsid w:val="00C824D6"/>
    <w:rsid w:val="00C824E0"/>
    <w:rsid w:val="00C82AC7"/>
    <w:rsid w:val="00C82FC8"/>
    <w:rsid w:val="00C83869"/>
    <w:rsid w:val="00C83E14"/>
    <w:rsid w:val="00C83FF0"/>
    <w:rsid w:val="00C8433A"/>
    <w:rsid w:val="00C843CE"/>
    <w:rsid w:val="00C84F31"/>
    <w:rsid w:val="00C84FD6"/>
    <w:rsid w:val="00C8541C"/>
    <w:rsid w:val="00C85541"/>
    <w:rsid w:val="00C8579B"/>
    <w:rsid w:val="00C85F14"/>
    <w:rsid w:val="00C863A3"/>
    <w:rsid w:val="00C86460"/>
    <w:rsid w:val="00C864CE"/>
    <w:rsid w:val="00C86A57"/>
    <w:rsid w:val="00C86B50"/>
    <w:rsid w:val="00C86EB8"/>
    <w:rsid w:val="00C870B5"/>
    <w:rsid w:val="00C8762E"/>
    <w:rsid w:val="00C87A3D"/>
    <w:rsid w:val="00C87D53"/>
    <w:rsid w:val="00C900A4"/>
    <w:rsid w:val="00C90129"/>
    <w:rsid w:val="00C90543"/>
    <w:rsid w:val="00C908B3"/>
    <w:rsid w:val="00C90A63"/>
    <w:rsid w:val="00C90BE8"/>
    <w:rsid w:val="00C90E73"/>
    <w:rsid w:val="00C90ECA"/>
    <w:rsid w:val="00C91363"/>
    <w:rsid w:val="00C916BF"/>
    <w:rsid w:val="00C916E6"/>
    <w:rsid w:val="00C918A7"/>
    <w:rsid w:val="00C918F1"/>
    <w:rsid w:val="00C91BFF"/>
    <w:rsid w:val="00C91F48"/>
    <w:rsid w:val="00C91FC3"/>
    <w:rsid w:val="00C926C2"/>
    <w:rsid w:val="00C92924"/>
    <w:rsid w:val="00C92BD9"/>
    <w:rsid w:val="00C94ADF"/>
    <w:rsid w:val="00C94CF0"/>
    <w:rsid w:val="00C957B0"/>
    <w:rsid w:val="00C95BF6"/>
    <w:rsid w:val="00C95D46"/>
    <w:rsid w:val="00C9641B"/>
    <w:rsid w:val="00C96602"/>
    <w:rsid w:val="00C970B1"/>
    <w:rsid w:val="00C970F5"/>
    <w:rsid w:val="00C976E9"/>
    <w:rsid w:val="00C976F8"/>
    <w:rsid w:val="00C97BF6"/>
    <w:rsid w:val="00CA0313"/>
    <w:rsid w:val="00CA0690"/>
    <w:rsid w:val="00CA0C3D"/>
    <w:rsid w:val="00CA0D9E"/>
    <w:rsid w:val="00CA0F56"/>
    <w:rsid w:val="00CA0F87"/>
    <w:rsid w:val="00CA17DC"/>
    <w:rsid w:val="00CA199D"/>
    <w:rsid w:val="00CA1AEF"/>
    <w:rsid w:val="00CA1DB7"/>
    <w:rsid w:val="00CA2110"/>
    <w:rsid w:val="00CA2552"/>
    <w:rsid w:val="00CA26AB"/>
    <w:rsid w:val="00CA2943"/>
    <w:rsid w:val="00CA2A57"/>
    <w:rsid w:val="00CA336A"/>
    <w:rsid w:val="00CA356D"/>
    <w:rsid w:val="00CA37CC"/>
    <w:rsid w:val="00CA3C49"/>
    <w:rsid w:val="00CA44AB"/>
    <w:rsid w:val="00CA47D5"/>
    <w:rsid w:val="00CA485C"/>
    <w:rsid w:val="00CA4BBC"/>
    <w:rsid w:val="00CA4D91"/>
    <w:rsid w:val="00CA4EB3"/>
    <w:rsid w:val="00CA5104"/>
    <w:rsid w:val="00CA55B6"/>
    <w:rsid w:val="00CA57DA"/>
    <w:rsid w:val="00CA595B"/>
    <w:rsid w:val="00CA5D5C"/>
    <w:rsid w:val="00CA5E66"/>
    <w:rsid w:val="00CA5F59"/>
    <w:rsid w:val="00CA62A2"/>
    <w:rsid w:val="00CA6529"/>
    <w:rsid w:val="00CA6867"/>
    <w:rsid w:val="00CA6986"/>
    <w:rsid w:val="00CA7389"/>
    <w:rsid w:val="00CA74C9"/>
    <w:rsid w:val="00CA7C0C"/>
    <w:rsid w:val="00CA7C4E"/>
    <w:rsid w:val="00CA7C71"/>
    <w:rsid w:val="00CB0478"/>
    <w:rsid w:val="00CB0881"/>
    <w:rsid w:val="00CB0D21"/>
    <w:rsid w:val="00CB0D5E"/>
    <w:rsid w:val="00CB110D"/>
    <w:rsid w:val="00CB1DB6"/>
    <w:rsid w:val="00CB2171"/>
    <w:rsid w:val="00CB2479"/>
    <w:rsid w:val="00CB29AA"/>
    <w:rsid w:val="00CB2B80"/>
    <w:rsid w:val="00CB2CAE"/>
    <w:rsid w:val="00CB2F3A"/>
    <w:rsid w:val="00CB31CE"/>
    <w:rsid w:val="00CB39C4"/>
    <w:rsid w:val="00CB3DE9"/>
    <w:rsid w:val="00CB42C8"/>
    <w:rsid w:val="00CB4339"/>
    <w:rsid w:val="00CB44E2"/>
    <w:rsid w:val="00CB4AAE"/>
    <w:rsid w:val="00CB4F8F"/>
    <w:rsid w:val="00CB531D"/>
    <w:rsid w:val="00CB533A"/>
    <w:rsid w:val="00CB54CD"/>
    <w:rsid w:val="00CB55C0"/>
    <w:rsid w:val="00CB5682"/>
    <w:rsid w:val="00CB57B3"/>
    <w:rsid w:val="00CB5870"/>
    <w:rsid w:val="00CB58C4"/>
    <w:rsid w:val="00CB5BD2"/>
    <w:rsid w:val="00CB5D75"/>
    <w:rsid w:val="00CB62AD"/>
    <w:rsid w:val="00CB637E"/>
    <w:rsid w:val="00CB63BC"/>
    <w:rsid w:val="00CB6849"/>
    <w:rsid w:val="00CB6A45"/>
    <w:rsid w:val="00CB6F08"/>
    <w:rsid w:val="00CB73B1"/>
    <w:rsid w:val="00CB73BB"/>
    <w:rsid w:val="00CB7980"/>
    <w:rsid w:val="00CB7DAF"/>
    <w:rsid w:val="00CB7DFB"/>
    <w:rsid w:val="00CB7E2F"/>
    <w:rsid w:val="00CC00D6"/>
    <w:rsid w:val="00CC0272"/>
    <w:rsid w:val="00CC0787"/>
    <w:rsid w:val="00CC0816"/>
    <w:rsid w:val="00CC0AED"/>
    <w:rsid w:val="00CC0DFB"/>
    <w:rsid w:val="00CC10B0"/>
    <w:rsid w:val="00CC1672"/>
    <w:rsid w:val="00CC19ED"/>
    <w:rsid w:val="00CC21CF"/>
    <w:rsid w:val="00CC24B0"/>
    <w:rsid w:val="00CC2501"/>
    <w:rsid w:val="00CC2794"/>
    <w:rsid w:val="00CC30D8"/>
    <w:rsid w:val="00CC319A"/>
    <w:rsid w:val="00CC393B"/>
    <w:rsid w:val="00CC39C5"/>
    <w:rsid w:val="00CC3AF2"/>
    <w:rsid w:val="00CC3DBE"/>
    <w:rsid w:val="00CC4334"/>
    <w:rsid w:val="00CC46FF"/>
    <w:rsid w:val="00CC484D"/>
    <w:rsid w:val="00CC4C87"/>
    <w:rsid w:val="00CC502E"/>
    <w:rsid w:val="00CC50E9"/>
    <w:rsid w:val="00CC5BD5"/>
    <w:rsid w:val="00CC6052"/>
    <w:rsid w:val="00CC660A"/>
    <w:rsid w:val="00CC7382"/>
    <w:rsid w:val="00CC79F5"/>
    <w:rsid w:val="00CC7AD8"/>
    <w:rsid w:val="00CC7BDB"/>
    <w:rsid w:val="00CC7E65"/>
    <w:rsid w:val="00CC7E83"/>
    <w:rsid w:val="00CD0080"/>
    <w:rsid w:val="00CD072C"/>
    <w:rsid w:val="00CD08E0"/>
    <w:rsid w:val="00CD0C42"/>
    <w:rsid w:val="00CD116B"/>
    <w:rsid w:val="00CD16CE"/>
    <w:rsid w:val="00CD1B60"/>
    <w:rsid w:val="00CD2017"/>
    <w:rsid w:val="00CD21EA"/>
    <w:rsid w:val="00CD23E9"/>
    <w:rsid w:val="00CD29E7"/>
    <w:rsid w:val="00CD2B3E"/>
    <w:rsid w:val="00CD2B45"/>
    <w:rsid w:val="00CD30E9"/>
    <w:rsid w:val="00CD3228"/>
    <w:rsid w:val="00CD3400"/>
    <w:rsid w:val="00CD3C57"/>
    <w:rsid w:val="00CD3D85"/>
    <w:rsid w:val="00CD3E53"/>
    <w:rsid w:val="00CD43AA"/>
    <w:rsid w:val="00CD4803"/>
    <w:rsid w:val="00CD4D82"/>
    <w:rsid w:val="00CD4ECB"/>
    <w:rsid w:val="00CD56F9"/>
    <w:rsid w:val="00CD6798"/>
    <w:rsid w:val="00CD6A4B"/>
    <w:rsid w:val="00CD6BD0"/>
    <w:rsid w:val="00CD6ECD"/>
    <w:rsid w:val="00CD6F18"/>
    <w:rsid w:val="00CD70FB"/>
    <w:rsid w:val="00CD7270"/>
    <w:rsid w:val="00CD7708"/>
    <w:rsid w:val="00CD78A1"/>
    <w:rsid w:val="00CD7990"/>
    <w:rsid w:val="00CD7D9B"/>
    <w:rsid w:val="00CE0260"/>
    <w:rsid w:val="00CE05B4"/>
    <w:rsid w:val="00CE0E81"/>
    <w:rsid w:val="00CE0FCD"/>
    <w:rsid w:val="00CE1A19"/>
    <w:rsid w:val="00CE1F39"/>
    <w:rsid w:val="00CE240A"/>
    <w:rsid w:val="00CE2937"/>
    <w:rsid w:val="00CE2A24"/>
    <w:rsid w:val="00CE2B4C"/>
    <w:rsid w:val="00CE2D58"/>
    <w:rsid w:val="00CE2FBD"/>
    <w:rsid w:val="00CE3118"/>
    <w:rsid w:val="00CE32D3"/>
    <w:rsid w:val="00CE3B05"/>
    <w:rsid w:val="00CE3EC8"/>
    <w:rsid w:val="00CE418A"/>
    <w:rsid w:val="00CE4251"/>
    <w:rsid w:val="00CE450D"/>
    <w:rsid w:val="00CE4911"/>
    <w:rsid w:val="00CE4C25"/>
    <w:rsid w:val="00CE4C4E"/>
    <w:rsid w:val="00CE4D90"/>
    <w:rsid w:val="00CE4F3D"/>
    <w:rsid w:val="00CE53F2"/>
    <w:rsid w:val="00CE5909"/>
    <w:rsid w:val="00CE5DD0"/>
    <w:rsid w:val="00CE5F9F"/>
    <w:rsid w:val="00CE6107"/>
    <w:rsid w:val="00CE6138"/>
    <w:rsid w:val="00CE65E4"/>
    <w:rsid w:val="00CE6C8C"/>
    <w:rsid w:val="00CE6E1B"/>
    <w:rsid w:val="00CE7561"/>
    <w:rsid w:val="00CE7DFD"/>
    <w:rsid w:val="00CF0013"/>
    <w:rsid w:val="00CF0366"/>
    <w:rsid w:val="00CF05E3"/>
    <w:rsid w:val="00CF07B6"/>
    <w:rsid w:val="00CF08C9"/>
    <w:rsid w:val="00CF0985"/>
    <w:rsid w:val="00CF0C2A"/>
    <w:rsid w:val="00CF0CFC"/>
    <w:rsid w:val="00CF17CD"/>
    <w:rsid w:val="00CF1911"/>
    <w:rsid w:val="00CF1B73"/>
    <w:rsid w:val="00CF1C27"/>
    <w:rsid w:val="00CF1CAF"/>
    <w:rsid w:val="00CF1E6B"/>
    <w:rsid w:val="00CF253E"/>
    <w:rsid w:val="00CF27A1"/>
    <w:rsid w:val="00CF2DDE"/>
    <w:rsid w:val="00CF2EEF"/>
    <w:rsid w:val="00CF3057"/>
    <w:rsid w:val="00CF3096"/>
    <w:rsid w:val="00CF34B5"/>
    <w:rsid w:val="00CF3512"/>
    <w:rsid w:val="00CF35CE"/>
    <w:rsid w:val="00CF37D4"/>
    <w:rsid w:val="00CF3D38"/>
    <w:rsid w:val="00CF4230"/>
    <w:rsid w:val="00CF42EC"/>
    <w:rsid w:val="00CF43E8"/>
    <w:rsid w:val="00CF43ED"/>
    <w:rsid w:val="00CF47E1"/>
    <w:rsid w:val="00CF482C"/>
    <w:rsid w:val="00CF48B9"/>
    <w:rsid w:val="00CF4B41"/>
    <w:rsid w:val="00CF53ED"/>
    <w:rsid w:val="00CF5515"/>
    <w:rsid w:val="00CF5B78"/>
    <w:rsid w:val="00CF61CC"/>
    <w:rsid w:val="00CF61F3"/>
    <w:rsid w:val="00CF634E"/>
    <w:rsid w:val="00CF64C8"/>
    <w:rsid w:val="00CF680C"/>
    <w:rsid w:val="00CF6824"/>
    <w:rsid w:val="00CF68A0"/>
    <w:rsid w:val="00CF6AD7"/>
    <w:rsid w:val="00CF6E75"/>
    <w:rsid w:val="00CF718E"/>
    <w:rsid w:val="00CF7245"/>
    <w:rsid w:val="00CF7455"/>
    <w:rsid w:val="00CF786F"/>
    <w:rsid w:val="00CF793F"/>
    <w:rsid w:val="00D00268"/>
    <w:rsid w:val="00D0051B"/>
    <w:rsid w:val="00D00E76"/>
    <w:rsid w:val="00D0110E"/>
    <w:rsid w:val="00D011A1"/>
    <w:rsid w:val="00D0132D"/>
    <w:rsid w:val="00D01835"/>
    <w:rsid w:val="00D0187D"/>
    <w:rsid w:val="00D01887"/>
    <w:rsid w:val="00D019B8"/>
    <w:rsid w:val="00D01A7C"/>
    <w:rsid w:val="00D02999"/>
    <w:rsid w:val="00D02B22"/>
    <w:rsid w:val="00D02CA1"/>
    <w:rsid w:val="00D02CA7"/>
    <w:rsid w:val="00D02E60"/>
    <w:rsid w:val="00D0379E"/>
    <w:rsid w:val="00D0382D"/>
    <w:rsid w:val="00D03B91"/>
    <w:rsid w:val="00D042F0"/>
    <w:rsid w:val="00D04634"/>
    <w:rsid w:val="00D046F6"/>
    <w:rsid w:val="00D04968"/>
    <w:rsid w:val="00D04C08"/>
    <w:rsid w:val="00D04D27"/>
    <w:rsid w:val="00D0529F"/>
    <w:rsid w:val="00D05907"/>
    <w:rsid w:val="00D06573"/>
    <w:rsid w:val="00D06BBE"/>
    <w:rsid w:val="00D0710A"/>
    <w:rsid w:val="00D079FA"/>
    <w:rsid w:val="00D07AD8"/>
    <w:rsid w:val="00D07C60"/>
    <w:rsid w:val="00D07DC0"/>
    <w:rsid w:val="00D07F18"/>
    <w:rsid w:val="00D1048F"/>
    <w:rsid w:val="00D10A1C"/>
    <w:rsid w:val="00D10F75"/>
    <w:rsid w:val="00D1100E"/>
    <w:rsid w:val="00D11694"/>
    <w:rsid w:val="00D11D34"/>
    <w:rsid w:val="00D11EBB"/>
    <w:rsid w:val="00D12164"/>
    <w:rsid w:val="00D1226B"/>
    <w:rsid w:val="00D122B8"/>
    <w:rsid w:val="00D12877"/>
    <w:rsid w:val="00D133EF"/>
    <w:rsid w:val="00D137A2"/>
    <w:rsid w:val="00D13945"/>
    <w:rsid w:val="00D13FC6"/>
    <w:rsid w:val="00D140FB"/>
    <w:rsid w:val="00D141F2"/>
    <w:rsid w:val="00D145BB"/>
    <w:rsid w:val="00D145DB"/>
    <w:rsid w:val="00D149E1"/>
    <w:rsid w:val="00D15152"/>
    <w:rsid w:val="00D1566A"/>
    <w:rsid w:val="00D156B0"/>
    <w:rsid w:val="00D15CB8"/>
    <w:rsid w:val="00D15EE5"/>
    <w:rsid w:val="00D1610A"/>
    <w:rsid w:val="00D165FC"/>
    <w:rsid w:val="00D17628"/>
    <w:rsid w:val="00D1764B"/>
    <w:rsid w:val="00D17F1E"/>
    <w:rsid w:val="00D207E4"/>
    <w:rsid w:val="00D20873"/>
    <w:rsid w:val="00D20E07"/>
    <w:rsid w:val="00D20F86"/>
    <w:rsid w:val="00D212BF"/>
    <w:rsid w:val="00D21323"/>
    <w:rsid w:val="00D2196B"/>
    <w:rsid w:val="00D2265E"/>
    <w:rsid w:val="00D22C51"/>
    <w:rsid w:val="00D22FA4"/>
    <w:rsid w:val="00D23051"/>
    <w:rsid w:val="00D2316B"/>
    <w:rsid w:val="00D2366B"/>
    <w:rsid w:val="00D23AC4"/>
    <w:rsid w:val="00D23C4C"/>
    <w:rsid w:val="00D24356"/>
    <w:rsid w:val="00D244B3"/>
    <w:rsid w:val="00D245F0"/>
    <w:rsid w:val="00D248B0"/>
    <w:rsid w:val="00D249D6"/>
    <w:rsid w:val="00D24BB6"/>
    <w:rsid w:val="00D252D8"/>
    <w:rsid w:val="00D25468"/>
    <w:rsid w:val="00D25518"/>
    <w:rsid w:val="00D25A37"/>
    <w:rsid w:val="00D26537"/>
    <w:rsid w:val="00D265E3"/>
    <w:rsid w:val="00D267C3"/>
    <w:rsid w:val="00D2695B"/>
    <w:rsid w:val="00D26AB5"/>
    <w:rsid w:val="00D26CF2"/>
    <w:rsid w:val="00D26F91"/>
    <w:rsid w:val="00D27060"/>
    <w:rsid w:val="00D27088"/>
    <w:rsid w:val="00D27238"/>
    <w:rsid w:val="00D27385"/>
    <w:rsid w:val="00D274AC"/>
    <w:rsid w:val="00D27791"/>
    <w:rsid w:val="00D27CE2"/>
    <w:rsid w:val="00D27CE7"/>
    <w:rsid w:val="00D27E05"/>
    <w:rsid w:val="00D3008A"/>
    <w:rsid w:val="00D30784"/>
    <w:rsid w:val="00D30945"/>
    <w:rsid w:val="00D30C27"/>
    <w:rsid w:val="00D30DF8"/>
    <w:rsid w:val="00D31124"/>
    <w:rsid w:val="00D31656"/>
    <w:rsid w:val="00D3193A"/>
    <w:rsid w:val="00D31A9D"/>
    <w:rsid w:val="00D31D97"/>
    <w:rsid w:val="00D31E24"/>
    <w:rsid w:val="00D31FF3"/>
    <w:rsid w:val="00D322DA"/>
    <w:rsid w:val="00D323A4"/>
    <w:rsid w:val="00D32E3C"/>
    <w:rsid w:val="00D331C1"/>
    <w:rsid w:val="00D338DA"/>
    <w:rsid w:val="00D33B99"/>
    <w:rsid w:val="00D3427E"/>
    <w:rsid w:val="00D34352"/>
    <w:rsid w:val="00D34493"/>
    <w:rsid w:val="00D347B6"/>
    <w:rsid w:val="00D34930"/>
    <w:rsid w:val="00D352C7"/>
    <w:rsid w:val="00D353ED"/>
    <w:rsid w:val="00D356C1"/>
    <w:rsid w:val="00D35705"/>
    <w:rsid w:val="00D35B09"/>
    <w:rsid w:val="00D360B5"/>
    <w:rsid w:val="00D36441"/>
    <w:rsid w:val="00D36471"/>
    <w:rsid w:val="00D3661D"/>
    <w:rsid w:val="00D36630"/>
    <w:rsid w:val="00D3697B"/>
    <w:rsid w:val="00D36A3B"/>
    <w:rsid w:val="00D37CDF"/>
    <w:rsid w:val="00D37D38"/>
    <w:rsid w:val="00D37DF6"/>
    <w:rsid w:val="00D37F51"/>
    <w:rsid w:val="00D400CD"/>
    <w:rsid w:val="00D40746"/>
    <w:rsid w:val="00D40861"/>
    <w:rsid w:val="00D40D38"/>
    <w:rsid w:val="00D40ED9"/>
    <w:rsid w:val="00D40F6C"/>
    <w:rsid w:val="00D410E5"/>
    <w:rsid w:val="00D41205"/>
    <w:rsid w:val="00D419D0"/>
    <w:rsid w:val="00D41D27"/>
    <w:rsid w:val="00D4235A"/>
    <w:rsid w:val="00D42B17"/>
    <w:rsid w:val="00D4308B"/>
    <w:rsid w:val="00D430E4"/>
    <w:rsid w:val="00D4315B"/>
    <w:rsid w:val="00D43990"/>
    <w:rsid w:val="00D43ADB"/>
    <w:rsid w:val="00D43FE6"/>
    <w:rsid w:val="00D440A4"/>
    <w:rsid w:val="00D45047"/>
    <w:rsid w:val="00D450A3"/>
    <w:rsid w:val="00D450AD"/>
    <w:rsid w:val="00D450DD"/>
    <w:rsid w:val="00D4551C"/>
    <w:rsid w:val="00D457E9"/>
    <w:rsid w:val="00D45ADC"/>
    <w:rsid w:val="00D45E9F"/>
    <w:rsid w:val="00D46EEB"/>
    <w:rsid w:val="00D47135"/>
    <w:rsid w:val="00D47243"/>
    <w:rsid w:val="00D47425"/>
    <w:rsid w:val="00D478E1"/>
    <w:rsid w:val="00D47CDD"/>
    <w:rsid w:val="00D47D10"/>
    <w:rsid w:val="00D47E1A"/>
    <w:rsid w:val="00D47F12"/>
    <w:rsid w:val="00D5023D"/>
    <w:rsid w:val="00D50297"/>
    <w:rsid w:val="00D50343"/>
    <w:rsid w:val="00D507E8"/>
    <w:rsid w:val="00D50EA5"/>
    <w:rsid w:val="00D51509"/>
    <w:rsid w:val="00D51559"/>
    <w:rsid w:val="00D5155E"/>
    <w:rsid w:val="00D515EC"/>
    <w:rsid w:val="00D5170E"/>
    <w:rsid w:val="00D51B42"/>
    <w:rsid w:val="00D52818"/>
    <w:rsid w:val="00D52834"/>
    <w:rsid w:val="00D53045"/>
    <w:rsid w:val="00D53216"/>
    <w:rsid w:val="00D532F8"/>
    <w:rsid w:val="00D535C9"/>
    <w:rsid w:val="00D53B21"/>
    <w:rsid w:val="00D54DAC"/>
    <w:rsid w:val="00D54ED8"/>
    <w:rsid w:val="00D55116"/>
    <w:rsid w:val="00D5555E"/>
    <w:rsid w:val="00D556BA"/>
    <w:rsid w:val="00D55730"/>
    <w:rsid w:val="00D558C2"/>
    <w:rsid w:val="00D55AB8"/>
    <w:rsid w:val="00D56376"/>
    <w:rsid w:val="00D563EE"/>
    <w:rsid w:val="00D564D4"/>
    <w:rsid w:val="00D5667F"/>
    <w:rsid w:val="00D568BE"/>
    <w:rsid w:val="00D56A53"/>
    <w:rsid w:val="00D56AAB"/>
    <w:rsid w:val="00D56AF9"/>
    <w:rsid w:val="00D56C06"/>
    <w:rsid w:val="00D56CE0"/>
    <w:rsid w:val="00D56E77"/>
    <w:rsid w:val="00D56F9E"/>
    <w:rsid w:val="00D57BBD"/>
    <w:rsid w:val="00D57BD6"/>
    <w:rsid w:val="00D57D23"/>
    <w:rsid w:val="00D60021"/>
    <w:rsid w:val="00D6005A"/>
    <w:rsid w:val="00D60112"/>
    <w:rsid w:val="00D60126"/>
    <w:rsid w:val="00D60A02"/>
    <w:rsid w:val="00D60ADA"/>
    <w:rsid w:val="00D611EF"/>
    <w:rsid w:val="00D618FB"/>
    <w:rsid w:val="00D623B8"/>
    <w:rsid w:val="00D624C7"/>
    <w:rsid w:val="00D626C0"/>
    <w:rsid w:val="00D6271A"/>
    <w:rsid w:val="00D629BA"/>
    <w:rsid w:val="00D62B5E"/>
    <w:rsid w:val="00D62D61"/>
    <w:rsid w:val="00D62DB9"/>
    <w:rsid w:val="00D63214"/>
    <w:rsid w:val="00D63456"/>
    <w:rsid w:val="00D634CB"/>
    <w:rsid w:val="00D64052"/>
    <w:rsid w:val="00D64107"/>
    <w:rsid w:val="00D64308"/>
    <w:rsid w:val="00D650A3"/>
    <w:rsid w:val="00D651E5"/>
    <w:rsid w:val="00D6588E"/>
    <w:rsid w:val="00D65A12"/>
    <w:rsid w:val="00D65D6F"/>
    <w:rsid w:val="00D65E2E"/>
    <w:rsid w:val="00D65E76"/>
    <w:rsid w:val="00D66267"/>
    <w:rsid w:val="00D66A8A"/>
    <w:rsid w:val="00D66B8A"/>
    <w:rsid w:val="00D66D20"/>
    <w:rsid w:val="00D66F69"/>
    <w:rsid w:val="00D67171"/>
    <w:rsid w:val="00D67190"/>
    <w:rsid w:val="00D677CF"/>
    <w:rsid w:val="00D67836"/>
    <w:rsid w:val="00D67938"/>
    <w:rsid w:val="00D70076"/>
    <w:rsid w:val="00D70565"/>
    <w:rsid w:val="00D70A6B"/>
    <w:rsid w:val="00D70AD3"/>
    <w:rsid w:val="00D70DAF"/>
    <w:rsid w:val="00D70F6C"/>
    <w:rsid w:val="00D710B5"/>
    <w:rsid w:val="00D7111B"/>
    <w:rsid w:val="00D7136C"/>
    <w:rsid w:val="00D7176A"/>
    <w:rsid w:val="00D7262B"/>
    <w:rsid w:val="00D7265A"/>
    <w:rsid w:val="00D72CBC"/>
    <w:rsid w:val="00D72FCB"/>
    <w:rsid w:val="00D72FE1"/>
    <w:rsid w:val="00D730C3"/>
    <w:rsid w:val="00D73588"/>
    <w:rsid w:val="00D737EE"/>
    <w:rsid w:val="00D73950"/>
    <w:rsid w:val="00D73B70"/>
    <w:rsid w:val="00D741BA"/>
    <w:rsid w:val="00D7431B"/>
    <w:rsid w:val="00D7439A"/>
    <w:rsid w:val="00D7471A"/>
    <w:rsid w:val="00D748AA"/>
    <w:rsid w:val="00D74DC9"/>
    <w:rsid w:val="00D75261"/>
    <w:rsid w:val="00D75782"/>
    <w:rsid w:val="00D75C10"/>
    <w:rsid w:val="00D75E15"/>
    <w:rsid w:val="00D764DA"/>
    <w:rsid w:val="00D76693"/>
    <w:rsid w:val="00D768F7"/>
    <w:rsid w:val="00D76A69"/>
    <w:rsid w:val="00D77155"/>
    <w:rsid w:val="00D778D0"/>
    <w:rsid w:val="00D77DA6"/>
    <w:rsid w:val="00D80159"/>
    <w:rsid w:val="00D80A1C"/>
    <w:rsid w:val="00D80D26"/>
    <w:rsid w:val="00D80DFE"/>
    <w:rsid w:val="00D81200"/>
    <w:rsid w:val="00D814D8"/>
    <w:rsid w:val="00D81A95"/>
    <w:rsid w:val="00D81C64"/>
    <w:rsid w:val="00D81E39"/>
    <w:rsid w:val="00D81EAC"/>
    <w:rsid w:val="00D820BA"/>
    <w:rsid w:val="00D821C4"/>
    <w:rsid w:val="00D82324"/>
    <w:rsid w:val="00D829A3"/>
    <w:rsid w:val="00D8357F"/>
    <w:rsid w:val="00D83790"/>
    <w:rsid w:val="00D83B43"/>
    <w:rsid w:val="00D841BB"/>
    <w:rsid w:val="00D843BE"/>
    <w:rsid w:val="00D843E0"/>
    <w:rsid w:val="00D84462"/>
    <w:rsid w:val="00D846F0"/>
    <w:rsid w:val="00D84980"/>
    <w:rsid w:val="00D85276"/>
    <w:rsid w:val="00D85732"/>
    <w:rsid w:val="00D8594D"/>
    <w:rsid w:val="00D85CAE"/>
    <w:rsid w:val="00D86684"/>
    <w:rsid w:val="00D86A59"/>
    <w:rsid w:val="00D86D04"/>
    <w:rsid w:val="00D86D0A"/>
    <w:rsid w:val="00D86D12"/>
    <w:rsid w:val="00D86DE1"/>
    <w:rsid w:val="00D8729B"/>
    <w:rsid w:val="00D8752C"/>
    <w:rsid w:val="00D878E4"/>
    <w:rsid w:val="00D87BDB"/>
    <w:rsid w:val="00D87C97"/>
    <w:rsid w:val="00D87DB5"/>
    <w:rsid w:val="00D90204"/>
    <w:rsid w:val="00D90218"/>
    <w:rsid w:val="00D9072B"/>
    <w:rsid w:val="00D90F11"/>
    <w:rsid w:val="00D90F12"/>
    <w:rsid w:val="00D90FBF"/>
    <w:rsid w:val="00D92698"/>
    <w:rsid w:val="00D92FF3"/>
    <w:rsid w:val="00D933D9"/>
    <w:rsid w:val="00D93410"/>
    <w:rsid w:val="00D93458"/>
    <w:rsid w:val="00D93675"/>
    <w:rsid w:val="00D9376E"/>
    <w:rsid w:val="00D9396A"/>
    <w:rsid w:val="00D93CB2"/>
    <w:rsid w:val="00D93D53"/>
    <w:rsid w:val="00D93E1F"/>
    <w:rsid w:val="00D94007"/>
    <w:rsid w:val="00D94507"/>
    <w:rsid w:val="00D94878"/>
    <w:rsid w:val="00D9493B"/>
    <w:rsid w:val="00D94C55"/>
    <w:rsid w:val="00D94D76"/>
    <w:rsid w:val="00D95009"/>
    <w:rsid w:val="00D9507C"/>
    <w:rsid w:val="00D95571"/>
    <w:rsid w:val="00D957D4"/>
    <w:rsid w:val="00D95DDA"/>
    <w:rsid w:val="00D95FF3"/>
    <w:rsid w:val="00D961FC"/>
    <w:rsid w:val="00D96648"/>
    <w:rsid w:val="00D96658"/>
    <w:rsid w:val="00D96905"/>
    <w:rsid w:val="00D96CDB"/>
    <w:rsid w:val="00D96FC2"/>
    <w:rsid w:val="00D9729C"/>
    <w:rsid w:val="00D978D1"/>
    <w:rsid w:val="00D979EE"/>
    <w:rsid w:val="00D97C1F"/>
    <w:rsid w:val="00D97CC6"/>
    <w:rsid w:val="00DA0C32"/>
    <w:rsid w:val="00DA129C"/>
    <w:rsid w:val="00DA133C"/>
    <w:rsid w:val="00DA1680"/>
    <w:rsid w:val="00DA17D0"/>
    <w:rsid w:val="00DA1AA4"/>
    <w:rsid w:val="00DA20C2"/>
    <w:rsid w:val="00DA233E"/>
    <w:rsid w:val="00DA23B2"/>
    <w:rsid w:val="00DA30D5"/>
    <w:rsid w:val="00DA348D"/>
    <w:rsid w:val="00DA35D9"/>
    <w:rsid w:val="00DA3950"/>
    <w:rsid w:val="00DA3DFC"/>
    <w:rsid w:val="00DA41CD"/>
    <w:rsid w:val="00DA499C"/>
    <w:rsid w:val="00DA4E9B"/>
    <w:rsid w:val="00DA519F"/>
    <w:rsid w:val="00DA531A"/>
    <w:rsid w:val="00DA562B"/>
    <w:rsid w:val="00DA56EF"/>
    <w:rsid w:val="00DA582E"/>
    <w:rsid w:val="00DA5E47"/>
    <w:rsid w:val="00DA6140"/>
    <w:rsid w:val="00DA64F9"/>
    <w:rsid w:val="00DA668D"/>
    <w:rsid w:val="00DA6E12"/>
    <w:rsid w:val="00DA77CE"/>
    <w:rsid w:val="00DA7EB3"/>
    <w:rsid w:val="00DB054E"/>
    <w:rsid w:val="00DB0771"/>
    <w:rsid w:val="00DB0B02"/>
    <w:rsid w:val="00DB0F92"/>
    <w:rsid w:val="00DB1129"/>
    <w:rsid w:val="00DB174D"/>
    <w:rsid w:val="00DB1923"/>
    <w:rsid w:val="00DB19BE"/>
    <w:rsid w:val="00DB1F47"/>
    <w:rsid w:val="00DB2292"/>
    <w:rsid w:val="00DB41BC"/>
    <w:rsid w:val="00DB459B"/>
    <w:rsid w:val="00DB4813"/>
    <w:rsid w:val="00DB4AAB"/>
    <w:rsid w:val="00DB4AC5"/>
    <w:rsid w:val="00DB4C72"/>
    <w:rsid w:val="00DB4ED0"/>
    <w:rsid w:val="00DB55EE"/>
    <w:rsid w:val="00DB6269"/>
    <w:rsid w:val="00DB66B7"/>
    <w:rsid w:val="00DB7363"/>
    <w:rsid w:val="00DB7794"/>
    <w:rsid w:val="00DB78AC"/>
    <w:rsid w:val="00DB79C3"/>
    <w:rsid w:val="00DB7B4D"/>
    <w:rsid w:val="00DB7BB6"/>
    <w:rsid w:val="00DC08A9"/>
    <w:rsid w:val="00DC0D73"/>
    <w:rsid w:val="00DC1164"/>
    <w:rsid w:val="00DC11AB"/>
    <w:rsid w:val="00DC1327"/>
    <w:rsid w:val="00DC16DC"/>
    <w:rsid w:val="00DC1AE0"/>
    <w:rsid w:val="00DC1E64"/>
    <w:rsid w:val="00DC22E9"/>
    <w:rsid w:val="00DC2F0E"/>
    <w:rsid w:val="00DC37AC"/>
    <w:rsid w:val="00DC389E"/>
    <w:rsid w:val="00DC3C80"/>
    <w:rsid w:val="00DC4E00"/>
    <w:rsid w:val="00DC56F2"/>
    <w:rsid w:val="00DC576B"/>
    <w:rsid w:val="00DC57E5"/>
    <w:rsid w:val="00DC5DCE"/>
    <w:rsid w:val="00DC6130"/>
    <w:rsid w:val="00DC6257"/>
    <w:rsid w:val="00DC63D3"/>
    <w:rsid w:val="00DC66D8"/>
    <w:rsid w:val="00DC6B71"/>
    <w:rsid w:val="00DC720A"/>
    <w:rsid w:val="00DC7CFD"/>
    <w:rsid w:val="00DC7D6E"/>
    <w:rsid w:val="00DD026E"/>
    <w:rsid w:val="00DD02DF"/>
    <w:rsid w:val="00DD05D2"/>
    <w:rsid w:val="00DD0AD8"/>
    <w:rsid w:val="00DD1502"/>
    <w:rsid w:val="00DD1776"/>
    <w:rsid w:val="00DD1E9A"/>
    <w:rsid w:val="00DD21A8"/>
    <w:rsid w:val="00DD22C9"/>
    <w:rsid w:val="00DD2731"/>
    <w:rsid w:val="00DD299B"/>
    <w:rsid w:val="00DD2F0E"/>
    <w:rsid w:val="00DD3AC5"/>
    <w:rsid w:val="00DD3B81"/>
    <w:rsid w:val="00DD3DAD"/>
    <w:rsid w:val="00DD3E5C"/>
    <w:rsid w:val="00DD411A"/>
    <w:rsid w:val="00DD414E"/>
    <w:rsid w:val="00DD4469"/>
    <w:rsid w:val="00DD4661"/>
    <w:rsid w:val="00DD49D8"/>
    <w:rsid w:val="00DD4AD3"/>
    <w:rsid w:val="00DD4E0B"/>
    <w:rsid w:val="00DD4F50"/>
    <w:rsid w:val="00DD5305"/>
    <w:rsid w:val="00DD534D"/>
    <w:rsid w:val="00DD53A8"/>
    <w:rsid w:val="00DD556F"/>
    <w:rsid w:val="00DD55BE"/>
    <w:rsid w:val="00DD59A9"/>
    <w:rsid w:val="00DD5AF9"/>
    <w:rsid w:val="00DD5D4F"/>
    <w:rsid w:val="00DD5EE1"/>
    <w:rsid w:val="00DD7064"/>
    <w:rsid w:val="00DD7194"/>
    <w:rsid w:val="00DD741B"/>
    <w:rsid w:val="00DD7DB5"/>
    <w:rsid w:val="00DE07BE"/>
    <w:rsid w:val="00DE0C6D"/>
    <w:rsid w:val="00DE0C7B"/>
    <w:rsid w:val="00DE0EB8"/>
    <w:rsid w:val="00DE13A0"/>
    <w:rsid w:val="00DE1C80"/>
    <w:rsid w:val="00DE2047"/>
    <w:rsid w:val="00DE28F1"/>
    <w:rsid w:val="00DE2E3E"/>
    <w:rsid w:val="00DE2F30"/>
    <w:rsid w:val="00DE2FCC"/>
    <w:rsid w:val="00DE36C2"/>
    <w:rsid w:val="00DE37CA"/>
    <w:rsid w:val="00DE3930"/>
    <w:rsid w:val="00DE3973"/>
    <w:rsid w:val="00DE39F4"/>
    <w:rsid w:val="00DE3AF8"/>
    <w:rsid w:val="00DE3B0C"/>
    <w:rsid w:val="00DE3F97"/>
    <w:rsid w:val="00DE442D"/>
    <w:rsid w:val="00DE4546"/>
    <w:rsid w:val="00DE46E6"/>
    <w:rsid w:val="00DE48AA"/>
    <w:rsid w:val="00DE4AB5"/>
    <w:rsid w:val="00DE4BE0"/>
    <w:rsid w:val="00DE4E5B"/>
    <w:rsid w:val="00DE5327"/>
    <w:rsid w:val="00DE5806"/>
    <w:rsid w:val="00DE5A61"/>
    <w:rsid w:val="00DE5AB6"/>
    <w:rsid w:val="00DE613D"/>
    <w:rsid w:val="00DE61BC"/>
    <w:rsid w:val="00DE63FF"/>
    <w:rsid w:val="00DE65DF"/>
    <w:rsid w:val="00DE65E7"/>
    <w:rsid w:val="00DE667F"/>
    <w:rsid w:val="00DE692B"/>
    <w:rsid w:val="00DE6B3F"/>
    <w:rsid w:val="00DE71D9"/>
    <w:rsid w:val="00DE7733"/>
    <w:rsid w:val="00DE78AF"/>
    <w:rsid w:val="00DE7B54"/>
    <w:rsid w:val="00DE7D0E"/>
    <w:rsid w:val="00DF0264"/>
    <w:rsid w:val="00DF0504"/>
    <w:rsid w:val="00DF1269"/>
    <w:rsid w:val="00DF1747"/>
    <w:rsid w:val="00DF1AB7"/>
    <w:rsid w:val="00DF21BB"/>
    <w:rsid w:val="00DF21C1"/>
    <w:rsid w:val="00DF2249"/>
    <w:rsid w:val="00DF22B8"/>
    <w:rsid w:val="00DF2805"/>
    <w:rsid w:val="00DF2DCD"/>
    <w:rsid w:val="00DF2E80"/>
    <w:rsid w:val="00DF30DF"/>
    <w:rsid w:val="00DF3554"/>
    <w:rsid w:val="00DF41AC"/>
    <w:rsid w:val="00DF4603"/>
    <w:rsid w:val="00DF4799"/>
    <w:rsid w:val="00DF497F"/>
    <w:rsid w:val="00DF4C0B"/>
    <w:rsid w:val="00DF4CA5"/>
    <w:rsid w:val="00DF501D"/>
    <w:rsid w:val="00DF524A"/>
    <w:rsid w:val="00DF52A1"/>
    <w:rsid w:val="00DF5405"/>
    <w:rsid w:val="00DF5557"/>
    <w:rsid w:val="00DF55C5"/>
    <w:rsid w:val="00DF5DA9"/>
    <w:rsid w:val="00DF6906"/>
    <w:rsid w:val="00DF69AE"/>
    <w:rsid w:val="00DF6BFE"/>
    <w:rsid w:val="00DF6C92"/>
    <w:rsid w:val="00DF6D8B"/>
    <w:rsid w:val="00DF6E69"/>
    <w:rsid w:val="00DF6FED"/>
    <w:rsid w:val="00DF713D"/>
    <w:rsid w:val="00DF71C9"/>
    <w:rsid w:val="00DF771F"/>
    <w:rsid w:val="00DF7803"/>
    <w:rsid w:val="00DF7A7B"/>
    <w:rsid w:val="00E0000E"/>
    <w:rsid w:val="00E00025"/>
    <w:rsid w:val="00E0111B"/>
    <w:rsid w:val="00E01172"/>
    <w:rsid w:val="00E012B0"/>
    <w:rsid w:val="00E013C8"/>
    <w:rsid w:val="00E01666"/>
    <w:rsid w:val="00E017E6"/>
    <w:rsid w:val="00E01801"/>
    <w:rsid w:val="00E01C33"/>
    <w:rsid w:val="00E01EEC"/>
    <w:rsid w:val="00E01EF0"/>
    <w:rsid w:val="00E0234C"/>
    <w:rsid w:val="00E0314F"/>
    <w:rsid w:val="00E031A7"/>
    <w:rsid w:val="00E03241"/>
    <w:rsid w:val="00E03504"/>
    <w:rsid w:val="00E03701"/>
    <w:rsid w:val="00E03967"/>
    <w:rsid w:val="00E03A61"/>
    <w:rsid w:val="00E03AAC"/>
    <w:rsid w:val="00E03D76"/>
    <w:rsid w:val="00E03ED3"/>
    <w:rsid w:val="00E03F1C"/>
    <w:rsid w:val="00E04076"/>
    <w:rsid w:val="00E04D25"/>
    <w:rsid w:val="00E051B7"/>
    <w:rsid w:val="00E0521D"/>
    <w:rsid w:val="00E05424"/>
    <w:rsid w:val="00E0592F"/>
    <w:rsid w:val="00E05DB5"/>
    <w:rsid w:val="00E05DF4"/>
    <w:rsid w:val="00E05DF9"/>
    <w:rsid w:val="00E05E77"/>
    <w:rsid w:val="00E060CF"/>
    <w:rsid w:val="00E06A3E"/>
    <w:rsid w:val="00E06C4B"/>
    <w:rsid w:val="00E06D55"/>
    <w:rsid w:val="00E07092"/>
    <w:rsid w:val="00E070A0"/>
    <w:rsid w:val="00E071C8"/>
    <w:rsid w:val="00E07AE0"/>
    <w:rsid w:val="00E07C9B"/>
    <w:rsid w:val="00E10027"/>
    <w:rsid w:val="00E10351"/>
    <w:rsid w:val="00E106B9"/>
    <w:rsid w:val="00E10D6C"/>
    <w:rsid w:val="00E11042"/>
    <w:rsid w:val="00E11281"/>
    <w:rsid w:val="00E1176C"/>
    <w:rsid w:val="00E118B7"/>
    <w:rsid w:val="00E119F4"/>
    <w:rsid w:val="00E11E39"/>
    <w:rsid w:val="00E11FCF"/>
    <w:rsid w:val="00E1207B"/>
    <w:rsid w:val="00E128E8"/>
    <w:rsid w:val="00E12A41"/>
    <w:rsid w:val="00E12C2C"/>
    <w:rsid w:val="00E1311F"/>
    <w:rsid w:val="00E1378D"/>
    <w:rsid w:val="00E13F65"/>
    <w:rsid w:val="00E14078"/>
    <w:rsid w:val="00E146BD"/>
    <w:rsid w:val="00E14921"/>
    <w:rsid w:val="00E14D35"/>
    <w:rsid w:val="00E14F0E"/>
    <w:rsid w:val="00E15029"/>
    <w:rsid w:val="00E154BD"/>
    <w:rsid w:val="00E157B2"/>
    <w:rsid w:val="00E15863"/>
    <w:rsid w:val="00E159F0"/>
    <w:rsid w:val="00E15A43"/>
    <w:rsid w:val="00E16382"/>
    <w:rsid w:val="00E163BD"/>
    <w:rsid w:val="00E1646E"/>
    <w:rsid w:val="00E1660E"/>
    <w:rsid w:val="00E16BE8"/>
    <w:rsid w:val="00E16C5C"/>
    <w:rsid w:val="00E17389"/>
    <w:rsid w:val="00E17782"/>
    <w:rsid w:val="00E1794A"/>
    <w:rsid w:val="00E179A0"/>
    <w:rsid w:val="00E179F5"/>
    <w:rsid w:val="00E17B77"/>
    <w:rsid w:val="00E17F8C"/>
    <w:rsid w:val="00E201D1"/>
    <w:rsid w:val="00E201D6"/>
    <w:rsid w:val="00E20273"/>
    <w:rsid w:val="00E202BD"/>
    <w:rsid w:val="00E211DF"/>
    <w:rsid w:val="00E2187E"/>
    <w:rsid w:val="00E21987"/>
    <w:rsid w:val="00E21FE3"/>
    <w:rsid w:val="00E21FEC"/>
    <w:rsid w:val="00E22052"/>
    <w:rsid w:val="00E22AAA"/>
    <w:rsid w:val="00E249C2"/>
    <w:rsid w:val="00E24CE7"/>
    <w:rsid w:val="00E25192"/>
    <w:rsid w:val="00E251F6"/>
    <w:rsid w:val="00E25308"/>
    <w:rsid w:val="00E25592"/>
    <w:rsid w:val="00E2624D"/>
    <w:rsid w:val="00E2667A"/>
    <w:rsid w:val="00E26821"/>
    <w:rsid w:val="00E26A80"/>
    <w:rsid w:val="00E27501"/>
    <w:rsid w:val="00E27534"/>
    <w:rsid w:val="00E27565"/>
    <w:rsid w:val="00E27799"/>
    <w:rsid w:val="00E27B97"/>
    <w:rsid w:val="00E27CDF"/>
    <w:rsid w:val="00E30503"/>
    <w:rsid w:val="00E3084D"/>
    <w:rsid w:val="00E31108"/>
    <w:rsid w:val="00E312B9"/>
    <w:rsid w:val="00E31501"/>
    <w:rsid w:val="00E31A52"/>
    <w:rsid w:val="00E31E8A"/>
    <w:rsid w:val="00E3217F"/>
    <w:rsid w:val="00E329FA"/>
    <w:rsid w:val="00E32B53"/>
    <w:rsid w:val="00E3346B"/>
    <w:rsid w:val="00E334D2"/>
    <w:rsid w:val="00E3371B"/>
    <w:rsid w:val="00E342B7"/>
    <w:rsid w:val="00E344B9"/>
    <w:rsid w:val="00E345C7"/>
    <w:rsid w:val="00E34CAF"/>
    <w:rsid w:val="00E3500B"/>
    <w:rsid w:val="00E3529B"/>
    <w:rsid w:val="00E354DB"/>
    <w:rsid w:val="00E35E49"/>
    <w:rsid w:val="00E361E4"/>
    <w:rsid w:val="00E365D9"/>
    <w:rsid w:val="00E36704"/>
    <w:rsid w:val="00E36729"/>
    <w:rsid w:val="00E36CEA"/>
    <w:rsid w:val="00E36D2E"/>
    <w:rsid w:val="00E3760F"/>
    <w:rsid w:val="00E379DE"/>
    <w:rsid w:val="00E37D28"/>
    <w:rsid w:val="00E40187"/>
    <w:rsid w:val="00E402C6"/>
    <w:rsid w:val="00E403E8"/>
    <w:rsid w:val="00E40560"/>
    <w:rsid w:val="00E40C0D"/>
    <w:rsid w:val="00E40DBF"/>
    <w:rsid w:val="00E41646"/>
    <w:rsid w:val="00E41E7B"/>
    <w:rsid w:val="00E42105"/>
    <w:rsid w:val="00E421EE"/>
    <w:rsid w:val="00E424D3"/>
    <w:rsid w:val="00E42A95"/>
    <w:rsid w:val="00E42F6E"/>
    <w:rsid w:val="00E431DC"/>
    <w:rsid w:val="00E43329"/>
    <w:rsid w:val="00E43728"/>
    <w:rsid w:val="00E43792"/>
    <w:rsid w:val="00E43D3E"/>
    <w:rsid w:val="00E4442A"/>
    <w:rsid w:val="00E44F08"/>
    <w:rsid w:val="00E450EE"/>
    <w:rsid w:val="00E45399"/>
    <w:rsid w:val="00E4566B"/>
    <w:rsid w:val="00E45B66"/>
    <w:rsid w:val="00E4631B"/>
    <w:rsid w:val="00E464E3"/>
    <w:rsid w:val="00E467E7"/>
    <w:rsid w:val="00E474F4"/>
    <w:rsid w:val="00E47558"/>
    <w:rsid w:val="00E47768"/>
    <w:rsid w:val="00E50213"/>
    <w:rsid w:val="00E50581"/>
    <w:rsid w:val="00E5078D"/>
    <w:rsid w:val="00E50BB5"/>
    <w:rsid w:val="00E50FDD"/>
    <w:rsid w:val="00E51208"/>
    <w:rsid w:val="00E5137D"/>
    <w:rsid w:val="00E51584"/>
    <w:rsid w:val="00E51B75"/>
    <w:rsid w:val="00E51BA8"/>
    <w:rsid w:val="00E51F5A"/>
    <w:rsid w:val="00E5212E"/>
    <w:rsid w:val="00E52BAC"/>
    <w:rsid w:val="00E530D2"/>
    <w:rsid w:val="00E53449"/>
    <w:rsid w:val="00E53F32"/>
    <w:rsid w:val="00E5411E"/>
    <w:rsid w:val="00E54722"/>
    <w:rsid w:val="00E54924"/>
    <w:rsid w:val="00E54A7D"/>
    <w:rsid w:val="00E54A8F"/>
    <w:rsid w:val="00E54C26"/>
    <w:rsid w:val="00E54E97"/>
    <w:rsid w:val="00E55018"/>
    <w:rsid w:val="00E55213"/>
    <w:rsid w:val="00E55683"/>
    <w:rsid w:val="00E55B0E"/>
    <w:rsid w:val="00E55FA6"/>
    <w:rsid w:val="00E56BCF"/>
    <w:rsid w:val="00E56F85"/>
    <w:rsid w:val="00E57D81"/>
    <w:rsid w:val="00E57F53"/>
    <w:rsid w:val="00E60092"/>
    <w:rsid w:val="00E605D4"/>
    <w:rsid w:val="00E607C3"/>
    <w:rsid w:val="00E60891"/>
    <w:rsid w:val="00E60B26"/>
    <w:rsid w:val="00E61297"/>
    <w:rsid w:val="00E615E3"/>
    <w:rsid w:val="00E61C74"/>
    <w:rsid w:val="00E62086"/>
    <w:rsid w:val="00E6211B"/>
    <w:rsid w:val="00E62290"/>
    <w:rsid w:val="00E62438"/>
    <w:rsid w:val="00E624F5"/>
    <w:rsid w:val="00E62E3B"/>
    <w:rsid w:val="00E632A7"/>
    <w:rsid w:val="00E63374"/>
    <w:rsid w:val="00E63921"/>
    <w:rsid w:val="00E63B64"/>
    <w:rsid w:val="00E63F38"/>
    <w:rsid w:val="00E642DD"/>
    <w:rsid w:val="00E6475A"/>
    <w:rsid w:val="00E64C25"/>
    <w:rsid w:val="00E654B3"/>
    <w:rsid w:val="00E6551E"/>
    <w:rsid w:val="00E65FEF"/>
    <w:rsid w:val="00E6628B"/>
    <w:rsid w:val="00E66576"/>
    <w:rsid w:val="00E665B8"/>
    <w:rsid w:val="00E666CF"/>
    <w:rsid w:val="00E66921"/>
    <w:rsid w:val="00E67030"/>
    <w:rsid w:val="00E6732A"/>
    <w:rsid w:val="00E67841"/>
    <w:rsid w:val="00E7029B"/>
    <w:rsid w:val="00E703D0"/>
    <w:rsid w:val="00E70972"/>
    <w:rsid w:val="00E7098A"/>
    <w:rsid w:val="00E70F49"/>
    <w:rsid w:val="00E71019"/>
    <w:rsid w:val="00E7131B"/>
    <w:rsid w:val="00E7168B"/>
    <w:rsid w:val="00E7199F"/>
    <w:rsid w:val="00E719B1"/>
    <w:rsid w:val="00E723DC"/>
    <w:rsid w:val="00E726CD"/>
    <w:rsid w:val="00E72CE9"/>
    <w:rsid w:val="00E72FB3"/>
    <w:rsid w:val="00E73109"/>
    <w:rsid w:val="00E7326C"/>
    <w:rsid w:val="00E73799"/>
    <w:rsid w:val="00E73A2C"/>
    <w:rsid w:val="00E73FF6"/>
    <w:rsid w:val="00E74A43"/>
    <w:rsid w:val="00E74A9F"/>
    <w:rsid w:val="00E74BFB"/>
    <w:rsid w:val="00E74D84"/>
    <w:rsid w:val="00E75222"/>
    <w:rsid w:val="00E75258"/>
    <w:rsid w:val="00E7526A"/>
    <w:rsid w:val="00E75330"/>
    <w:rsid w:val="00E75769"/>
    <w:rsid w:val="00E76066"/>
    <w:rsid w:val="00E7618C"/>
    <w:rsid w:val="00E76614"/>
    <w:rsid w:val="00E7674E"/>
    <w:rsid w:val="00E76A48"/>
    <w:rsid w:val="00E76B81"/>
    <w:rsid w:val="00E76C40"/>
    <w:rsid w:val="00E76E64"/>
    <w:rsid w:val="00E77676"/>
    <w:rsid w:val="00E777AE"/>
    <w:rsid w:val="00E801A7"/>
    <w:rsid w:val="00E803B5"/>
    <w:rsid w:val="00E80879"/>
    <w:rsid w:val="00E80ABF"/>
    <w:rsid w:val="00E80B70"/>
    <w:rsid w:val="00E80E31"/>
    <w:rsid w:val="00E8100A"/>
    <w:rsid w:val="00E8106A"/>
    <w:rsid w:val="00E8127B"/>
    <w:rsid w:val="00E81802"/>
    <w:rsid w:val="00E8180D"/>
    <w:rsid w:val="00E81828"/>
    <w:rsid w:val="00E81D42"/>
    <w:rsid w:val="00E820D0"/>
    <w:rsid w:val="00E8223A"/>
    <w:rsid w:val="00E824B1"/>
    <w:rsid w:val="00E825C0"/>
    <w:rsid w:val="00E829FB"/>
    <w:rsid w:val="00E82B01"/>
    <w:rsid w:val="00E82DAF"/>
    <w:rsid w:val="00E82EA7"/>
    <w:rsid w:val="00E83359"/>
    <w:rsid w:val="00E8377F"/>
    <w:rsid w:val="00E83B49"/>
    <w:rsid w:val="00E83B8F"/>
    <w:rsid w:val="00E840A9"/>
    <w:rsid w:val="00E84266"/>
    <w:rsid w:val="00E84344"/>
    <w:rsid w:val="00E846E1"/>
    <w:rsid w:val="00E8480B"/>
    <w:rsid w:val="00E84CDA"/>
    <w:rsid w:val="00E84F16"/>
    <w:rsid w:val="00E85400"/>
    <w:rsid w:val="00E85470"/>
    <w:rsid w:val="00E855A7"/>
    <w:rsid w:val="00E8563E"/>
    <w:rsid w:val="00E85AB0"/>
    <w:rsid w:val="00E85C1D"/>
    <w:rsid w:val="00E8618E"/>
    <w:rsid w:val="00E862D4"/>
    <w:rsid w:val="00E86693"/>
    <w:rsid w:val="00E868C5"/>
    <w:rsid w:val="00E86995"/>
    <w:rsid w:val="00E8710A"/>
    <w:rsid w:val="00E874FA"/>
    <w:rsid w:val="00E87874"/>
    <w:rsid w:val="00E87B89"/>
    <w:rsid w:val="00E9007B"/>
    <w:rsid w:val="00E90136"/>
    <w:rsid w:val="00E909EE"/>
    <w:rsid w:val="00E913A7"/>
    <w:rsid w:val="00E91453"/>
    <w:rsid w:val="00E9170A"/>
    <w:rsid w:val="00E91976"/>
    <w:rsid w:val="00E91AA3"/>
    <w:rsid w:val="00E91D70"/>
    <w:rsid w:val="00E920EB"/>
    <w:rsid w:val="00E92576"/>
    <w:rsid w:val="00E92DE3"/>
    <w:rsid w:val="00E9325E"/>
    <w:rsid w:val="00E93FD0"/>
    <w:rsid w:val="00E94836"/>
    <w:rsid w:val="00E95851"/>
    <w:rsid w:val="00E95AE4"/>
    <w:rsid w:val="00E95C32"/>
    <w:rsid w:val="00E95EF6"/>
    <w:rsid w:val="00E966B7"/>
    <w:rsid w:val="00E96E24"/>
    <w:rsid w:val="00E96F6A"/>
    <w:rsid w:val="00E97259"/>
    <w:rsid w:val="00E9730E"/>
    <w:rsid w:val="00E9745A"/>
    <w:rsid w:val="00E97514"/>
    <w:rsid w:val="00E97BB8"/>
    <w:rsid w:val="00E97C01"/>
    <w:rsid w:val="00E97D6A"/>
    <w:rsid w:val="00EA011C"/>
    <w:rsid w:val="00EA0222"/>
    <w:rsid w:val="00EA053D"/>
    <w:rsid w:val="00EA097F"/>
    <w:rsid w:val="00EA0A7C"/>
    <w:rsid w:val="00EA0B68"/>
    <w:rsid w:val="00EA1066"/>
    <w:rsid w:val="00EA118C"/>
    <w:rsid w:val="00EA1500"/>
    <w:rsid w:val="00EA15CE"/>
    <w:rsid w:val="00EA17E9"/>
    <w:rsid w:val="00EA1AD7"/>
    <w:rsid w:val="00EA1F04"/>
    <w:rsid w:val="00EA237C"/>
    <w:rsid w:val="00EA26FD"/>
    <w:rsid w:val="00EA2B4F"/>
    <w:rsid w:val="00EA2B68"/>
    <w:rsid w:val="00EA2D4A"/>
    <w:rsid w:val="00EA2E53"/>
    <w:rsid w:val="00EA2F9B"/>
    <w:rsid w:val="00EA37B2"/>
    <w:rsid w:val="00EA3853"/>
    <w:rsid w:val="00EA38AC"/>
    <w:rsid w:val="00EA399D"/>
    <w:rsid w:val="00EA3EA3"/>
    <w:rsid w:val="00EA3F75"/>
    <w:rsid w:val="00EA40AF"/>
    <w:rsid w:val="00EA4517"/>
    <w:rsid w:val="00EA4769"/>
    <w:rsid w:val="00EA4B89"/>
    <w:rsid w:val="00EA4DBB"/>
    <w:rsid w:val="00EA4F08"/>
    <w:rsid w:val="00EA58D2"/>
    <w:rsid w:val="00EA59D9"/>
    <w:rsid w:val="00EA5C7F"/>
    <w:rsid w:val="00EA5D38"/>
    <w:rsid w:val="00EA603C"/>
    <w:rsid w:val="00EA61E9"/>
    <w:rsid w:val="00EA640E"/>
    <w:rsid w:val="00EA6583"/>
    <w:rsid w:val="00EA6630"/>
    <w:rsid w:val="00EA6A11"/>
    <w:rsid w:val="00EA6A43"/>
    <w:rsid w:val="00EA6B08"/>
    <w:rsid w:val="00EA6B8B"/>
    <w:rsid w:val="00EA6DCC"/>
    <w:rsid w:val="00EA6EF4"/>
    <w:rsid w:val="00EA6F1C"/>
    <w:rsid w:val="00EA71FC"/>
    <w:rsid w:val="00EA744F"/>
    <w:rsid w:val="00EA776F"/>
    <w:rsid w:val="00EA78EE"/>
    <w:rsid w:val="00EB0025"/>
    <w:rsid w:val="00EB063A"/>
    <w:rsid w:val="00EB0666"/>
    <w:rsid w:val="00EB07AB"/>
    <w:rsid w:val="00EB085A"/>
    <w:rsid w:val="00EB0951"/>
    <w:rsid w:val="00EB0A37"/>
    <w:rsid w:val="00EB0D1B"/>
    <w:rsid w:val="00EB0D62"/>
    <w:rsid w:val="00EB0D84"/>
    <w:rsid w:val="00EB0F59"/>
    <w:rsid w:val="00EB1587"/>
    <w:rsid w:val="00EB1745"/>
    <w:rsid w:val="00EB1BC9"/>
    <w:rsid w:val="00EB1D66"/>
    <w:rsid w:val="00EB2059"/>
    <w:rsid w:val="00EB21B1"/>
    <w:rsid w:val="00EB2D12"/>
    <w:rsid w:val="00EB359A"/>
    <w:rsid w:val="00EB3C68"/>
    <w:rsid w:val="00EB3E14"/>
    <w:rsid w:val="00EB3E49"/>
    <w:rsid w:val="00EB41A1"/>
    <w:rsid w:val="00EB43A7"/>
    <w:rsid w:val="00EB4713"/>
    <w:rsid w:val="00EB4A6F"/>
    <w:rsid w:val="00EB4FB7"/>
    <w:rsid w:val="00EB54ED"/>
    <w:rsid w:val="00EB5614"/>
    <w:rsid w:val="00EB5C3A"/>
    <w:rsid w:val="00EB62E6"/>
    <w:rsid w:val="00EB6D44"/>
    <w:rsid w:val="00EB6DD5"/>
    <w:rsid w:val="00EB6E03"/>
    <w:rsid w:val="00EB6E2F"/>
    <w:rsid w:val="00EB70C4"/>
    <w:rsid w:val="00EB7738"/>
    <w:rsid w:val="00EB778D"/>
    <w:rsid w:val="00EB7C5E"/>
    <w:rsid w:val="00EB7D2D"/>
    <w:rsid w:val="00EB7F2F"/>
    <w:rsid w:val="00EC00FE"/>
    <w:rsid w:val="00EC01FA"/>
    <w:rsid w:val="00EC026F"/>
    <w:rsid w:val="00EC042C"/>
    <w:rsid w:val="00EC0620"/>
    <w:rsid w:val="00EC09CC"/>
    <w:rsid w:val="00EC0C4A"/>
    <w:rsid w:val="00EC0CAB"/>
    <w:rsid w:val="00EC1608"/>
    <w:rsid w:val="00EC1CA5"/>
    <w:rsid w:val="00EC1EA7"/>
    <w:rsid w:val="00EC2386"/>
    <w:rsid w:val="00EC251C"/>
    <w:rsid w:val="00EC27F4"/>
    <w:rsid w:val="00EC2CFB"/>
    <w:rsid w:val="00EC2D3D"/>
    <w:rsid w:val="00EC35B5"/>
    <w:rsid w:val="00EC3AEA"/>
    <w:rsid w:val="00EC3C17"/>
    <w:rsid w:val="00EC4188"/>
    <w:rsid w:val="00EC437E"/>
    <w:rsid w:val="00EC4554"/>
    <w:rsid w:val="00EC4C04"/>
    <w:rsid w:val="00EC52D0"/>
    <w:rsid w:val="00EC539C"/>
    <w:rsid w:val="00EC570C"/>
    <w:rsid w:val="00EC578B"/>
    <w:rsid w:val="00EC5839"/>
    <w:rsid w:val="00EC5A85"/>
    <w:rsid w:val="00EC668F"/>
    <w:rsid w:val="00EC6703"/>
    <w:rsid w:val="00EC68BC"/>
    <w:rsid w:val="00EC6AA3"/>
    <w:rsid w:val="00EC6C36"/>
    <w:rsid w:val="00EC6D59"/>
    <w:rsid w:val="00EC6DFA"/>
    <w:rsid w:val="00EC6F8C"/>
    <w:rsid w:val="00EC7075"/>
    <w:rsid w:val="00EC7686"/>
    <w:rsid w:val="00EC77B9"/>
    <w:rsid w:val="00ED00FD"/>
    <w:rsid w:val="00ED0264"/>
    <w:rsid w:val="00ED02C1"/>
    <w:rsid w:val="00ED07E5"/>
    <w:rsid w:val="00ED0C9C"/>
    <w:rsid w:val="00ED0CF9"/>
    <w:rsid w:val="00ED15D4"/>
    <w:rsid w:val="00ED1C3D"/>
    <w:rsid w:val="00ED1F22"/>
    <w:rsid w:val="00ED234E"/>
    <w:rsid w:val="00ED2834"/>
    <w:rsid w:val="00ED2E2E"/>
    <w:rsid w:val="00ED3081"/>
    <w:rsid w:val="00ED328E"/>
    <w:rsid w:val="00ED374E"/>
    <w:rsid w:val="00ED3963"/>
    <w:rsid w:val="00ED3C13"/>
    <w:rsid w:val="00ED43E0"/>
    <w:rsid w:val="00ED4A7C"/>
    <w:rsid w:val="00ED4B60"/>
    <w:rsid w:val="00ED521D"/>
    <w:rsid w:val="00ED52E8"/>
    <w:rsid w:val="00ED56A4"/>
    <w:rsid w:val="00ED5AF0"/>
    <w:rsid w:val="00ED5CB5"/>
    <w:rsid w:val="00ED6148"/>
    <w:rsid w:val="00ED65E5"/>
    <w:rsid w:val="00ED6DB3"/>
    <w:rsid w:val="00ED6EB8"/>
    <w:rsid w:val="00ED790E"/>
    <w:rsid w:val="00EE0300"/>
    <w:rsid w:val="00EE04EA"/>
    <w:rsid w:val="00EE0608"/>
    <w:rsid w:val="00EE094B"/>
    <w:rsid w:val="00EE0B24"/>
    <w:rsid w:val="00EE0B61"/>
    <w:rsid w:val="00EE177E"/>
    <w:rsid w:val="00EE18CF"/>
    <w:rsid w:val="00EE1921"/>
    <w:rsid w:val="00EE1CC2"/>
    <w:rsid w:val="00EE1D36"/>
    <w:rsid w:val="00EE1E70"/>
    <w:rsid w:val="00EE28A0"/>
    <w:rsid w:val="00EE2975"/>
    <w:rsid w:val="00EE2AFF"/>
    <w:rsid w:val="00EE3029"/>
    <w:rsid w:val="00EE318A"/>
    <w:rsid w:val="00EE33B1"/>
    <w:rsid w:val="00EE37AD"/>
    <w:rsid w:val="00EE3CD2"/>
    <w:rsid w:val="00EE47F3"/>
    <w:rsid w:val="00EE47F7"/>
    <w:rsid w:val="00EE494D"/>
    <w:rsid w:val="00EE4DF1"/>
    <w:rsid w:val="00EE4E33"/>
    <w:rsid w:val="00EE527C"/>
    <w:rsid w:val="00EE5D31"/>
    <w:rsid w:val="00EE6756"/>
    <w:rsid w:val="00EE697A"/>
    <w:rsid w:val="00EE6B46"/>
    <w:rsid w:val="00EE6D5E"/>
    <w:rsid w:val="00EE715D"/>
    <w:rsid w:val="00EE7272"/>
    <w:rsid w:val="00EE78C4"/>
    <w:rsid w:val="00EE7F01"/>
    <w:rsid w:val="00EF0170"/>
    <w:rsid w:val="00EF033A"/>
    <w:rsid w:val="00EF050D"/>
    <w:rsid w:val="00EF07A0"/>
    <w:rsid w:val="00EF0D32"/>
    <w:rsid w:val="00EF1301"/>
    <w:rsid w:val="00EF13D8"/>
    <w:rsid w:val="00EF13E9"/>
    <w:rsid w:val="00EF1536"/>
    <w:rsid w:val="00EF15AA"/>
    <w:rsid w:val="00EF1CE1"/>
    <w:rsid w:val="00EF2142"/>
    <w:rsid w:val="00EF2284"/>
    <w:rsid w:val="00EF25CF"/>
    <w:rsid w:val="00EF2684"/>
    <w:rsid w:val="00EF2E77"/>
    <w:rsid w:val="00EF2EEB"/>
    <w:rsid w:val="00EF30D9"/>
    <w:rsid w:val="00EF371D"/>
    <w:rsid w:val="00EF3839"/>
    <w:rsid w:val="00EF3D7B"/>
    <w:rsid w:val="00EF40B2"/>
    <w:rsid w:val="00EF415E"/>
    <w:rsid w:val="00EF418D"/>
    <w:rsid w:val="00EF49B2"/>
    <w:rsid w:val="00EF5762"/>
    <w:rsid w:val="00EF5BC5"/>
    <w:rsid w:val="00EF5FA7"/>
    <w:rsid w:val="00EF61D9"/>
    <w:rsid w:val="00EF6370"/>
    <w:rsid w:val="00EF6962"/>
    <w:rsid w:val="00EF6C07"/>
    <w:rsid w:val="00EF70DF"/>
    <w:rsid w:val="00EF73FB"/>
    <w:rsid w:val="00EF7698"/>
    <w:rsid w:val="00EF76D8"/>
    <w:rsid w:val="00EF7A50"/>
    <w:rsid w:val="00F000E6"/>
    <w:rsid w:val="00F00388"/>
    <w:rsid w:val="00F003E8"/>
    <w:rsid w:val="00F0053F"/>
    <w:rsid w:val="00F00583"/>
    <w:rsid w:val="00F00F38"/>
    <w:rsid w:val="00F0146E"/>
    <w:rsid w:val="00F01891"/>
    <w:rsid w:val="00F0197D"/>
    <w:rsid w:val="00F019A9"/>
    <w:rsid w:val="00F01A26"/>
    <w:rsid w:val="00F022C6"/>
    <w:rsid w:val="00F028D6"/>
    <w:rsid w:val="00F02982"/>
    <w:rsid w:val="00F0302B"/>
    <w:rsid w:val="00F03080"/>
    <w:rsid w:val="00F03218"/>
    <w:rsid w:val="00F0339F"/>
    <w:rsid w:val="00F03DE2"/>
    <w:rsid w:val="00F047FB"/>
    <w:rsid w:val="00F04CC0"/>
    <w:rsid w:val="00F04ED5"/>
    <w:rsid w:val="00F052DA"/>
    <w:rsid w:val="00F0556A"/>
    <w:rsid w:val="00F05587"/>
    <w:rsid w:val="00F056B8"/>
    <w:rsid w:val="00F058A1"/>
    <w:rsid w:val="00F058C6"/>
    <w:rsid w:val="00F05981"/>
    <w:rsid w:val="00F06380"/>
    <w:rsid w:val="00F063D4"/>
    <w:rsid w:val="00F06947"/>
    <w:rsid w:val="00F075E3"/>
    <w:rsid w:val="00F0771E"/>
    <w:rsid w:val="00F1041F"/>
    <w:rsid w:val="00F1088E"/>
    <w:rsid w:val="00F10B4B"/>
    <w:rsid w:val="00F10D47"/>
    <w:rsid w:val="00F1125B"/>
    <w:rsid w:val="00F117C3"/>
    <w:rsid w:val="00F12082"/>
    <w:rsid w:val="00F12083"/>
    <w:rsid w:val="00F12C90"/>
    <w:rsid w:val="00F12E6C"/>
    <w:rsid w:val="00F1337C"/>
    <w:rsid w:val="00F133AA"/>
    <w:rsid w:val="00F1341D"/>
    <w:rsid w:val="00F1386D"/>
    <w:rsid w:val="00F13B1F"/>
    <w:rsid w:val="00F13D4A"/>
    <w:rsid w:val="00F14052"/>
    <w:rsid w:val="00F141B0"/>
    <w:rsid w:val="00F14533"/>
    <w:rsid w:val="00F14C66"/>
    <w:rsid w:val="00F14C6F"/>
    <w:rsid w:val="00F1508A"/>
    <w:rsid w:val="00F15800"/>
    <w:rsid w:val="00F1582D"/>
    <w:rsid w:val="00F15F33"/>
    <w:rsid w:val="00F16778"/>
    <w:rsid w:val="00F16D86"/>
    <w:rsid w:val="00F16FAD"/>
    <w:rsid w:val="00F17021"/>
    <w:rsid w:val="00F171E4"/>
    <w:rsid w:val="00F17495"/>
    <w:rsid w:val="00F175B3"/>
    <w:rsid w:val="00F17751"/>
    <w:rsid w:val="00F17C5C"/>
    <w:rsid w:val="00F20305"/>
    <w:rsid w:val="00F20359"/>
    <w:rsid w:val="00F2037C"/>
    <w:rsid w:val="00F207C5"/>
    <w:rsid w:val="00F208CA"/>
    <w:rsid w:val="00F20A25"/>
    <w:rsid w:val="00F20A7C"/>
    <w:rsid w:val="00F21720"/>
    <w:rsid w:val="00F21A9C"/>
    <w:rsid w:val="00F21D8F"/>
    <w:rsid w:val="00F21DB1"/>
    <w:rsid w:val="00F22135"/>
    <w:rsid w:val="00F22179"/>
    <w:rsid w:val="00F22365"/>
    <w:rsid w:val="00F22640"/>
    <w:rsid w:val="00F2275E"/>
    <w:rsid w:val="00F22781"/>
    <w:rsid w:val="00F22CDB"/>
    <w:rsid w:val="00F22E50"/>
    <w:rsid w:val="00F23038"/>
    <w:rsid w:val="00F2309A"/>
    <w:rsid w:val="00F232C4"/>
    <w:rsid w:val="00F23878"/>
    <w:rsid w:val="00F23F26"/>
    <w:rsid w:val="00F240E8"/>
    <w:rsid w:val="00F24334"/>
    <w:rsid w:val="00F243E5"/>
    <w:rsid w:val="00F24689"/>
    <w:rsid w:val="00F24728"/>
    <w:rsid w:val="00F24CB0"/>
    <w:rsid w:val="00F24DBE"/>
    <w:rsid w:val="00F252AE"/>
    <w:rsid w:val="00F2552E"/>
    <w:rsid w:val="00F25B18"/>
    <w:rsid w:val="00F25EB9"/>
    <w:rsid w:val="00F26056"/>
    <w:rsid w:val="00F26106"/>
    <w:rsid w:val="00F26510"/>
    <w:rsid w:val="00F267D9"/>
    <w:rsid w:val="00F26A2E"/>
    <w:rsid w:val="00F26A4F"/>
    <w:rsid w:val="00F26E6D"/>
    <w:rsid w:val="00F26F2C"/>
    <w:rsid w:val="00F27640"/>
    <w:rsid w:val="00F2779E"/>
    <w:rsid w:val="00F27AB7"/>
    <w:rsid w:val="00F27B58"/>
    <w:rsid w:val="00F27BCB"/>
    <w:rsid w:val="00F30038"/>
    <w:rsid w:val="00F30452"/>
    <w:rsid w:val="00F3081A"/>
    <w:rsid w:val="00F30A8E"/>
    <w:rsid w:val="00F30CBB"/>
    <w:rsid w:val="00F30DB0"/>
    <w:rsid w:val="00F31726"/>
    <w:rsid w:val="00F31798"/>
    <w:rsid w:val="00F31A81"/>
    <w:rsid w:val="00F31F19"/>
    <w:rsid w:val="00F31F9E"/>
    <w:rsid w:val="00F3203D"/>
    <w:rsid w:val="00F32DF3"/>
    <w:rsid w:val="00F33025"/>
    <w:rsid w:val="00F3372E"/>
    <w:rsid w:val="00F33C1A"/>
    <w:rsid w:val="00F33CDB"/>
    <w:rsid w:val="00F33D78"/>
    <w:rsid w:val="00F33F4C"/>
    <w:rsid w:val="00F34105"/>
    <w:rsid w:val="00F34184"/>
    <w:rsid w:val="00F346AB"/>
    <w:rsid w:val="00F34743"/>
    <w:rsid w:val="00F34964"/>
    <w:rsid w:val="00F349FF"/>
    <w:rsid w:val="00F34A57"/>
    <w:rsid w:val="00F3516B"/>
    <w:rsid w:val="00F35218"/>
    <w:rsid w:val="00F352FD"/>
    <w:rsid w:val="00F35514"/>
    <w:rsid w:val="00F3579A"/>
    <w:rsid w:val="00F35880"/>
    <w:rsid w:val="00F35A78"/>
    <w:rsid w:val="00F35C8F"/>
    <w:rsid w:val="00F36256"/>
    <w:rsid w:val="00F3649F"/>
    <w:rsid w:val="00F364B2"/>
    <w:rsid w:val="00F36557"/>
    <w:rsid w:val="00F3660D"/>
    <w:rsid w:val="00F366E3"/>
    <w:rsid w:val="00F369E7"/>
    <w:rsid w:val="00F36AFE"/>
    <w:rsid w:val="00F36D4F"/>
    <w:rsid w:val="00F37805"/>
    <w:rsid w:val="00F37A58"/>
    <w:rsid w:val="00F37C85"/>
    <w:rsid w:val="00F37EE2"/>
    <w:rsid w:val="00F40077"/>
    <w:rsid w:val="00F401DB"/>
    <w:rsid w:val="00F403A7"/>
    <w:rsid w:val="00F403B9"/>
    <w:rsid w:val="00F40D5A"/>
    <w:rsid w:val="00F40D96"/>
    <w:rsid w:val="00F410C4"/>
    <w:rsid w:val="00F410F6"/>
    <w:rsid w:val="00F4152E"/>
    <w:rsid w:val="00F4157D"/>
    <w:rsid w:val="00F4162F"/>
    <w:rsid w:val="00F41A79"/>
    <w:rsid w:val="00F41D0F"/>
    <w:rsid w:val="00F42081"/>
    <w:rsid w:val="00F420A8"/>
    <w:rsid w:val="00F4244C"/>
    <w:rsid w:val="00F42A8E"/>
    <w:rsid w:val="00F42CBB"/>
    <w:rsid w:val="00F435CA"/>
    <w:rsid w:val="00F43CFE"/>
    <w:rsid w:val="00F43EF7"/>
    <w:rsid w:val="00F4406D"/>
    <w:rsid w:val="00F44702"/>
    <w:rsid w:val="00F44C06"/>
    <w:rsid w:val="00F44D42"/>
    <w:rsid w:val="00F45164"/>
    <w:rsid w:val="00F45756"/>
    <w:rsid w:val="00F4576D"/>
    <w:rsid w:val="00F457A8"/>
    <w:rsid w:val="00F45C04"/>
    <w:rsid w:val="00F45DA6"/>
    <w:rsid w:val="00F46183"/>
    <w:rsid w:val="00F46404"/>
    <w:rsid w:val="00F46517"/>
    <w:rsid w:val="00F465BD"/>
    <w:rsid w:val="00F46957"/>
    <w:rsid w:val="00F46CD9"/>
    <w:rsid w:val="00F473CC"/>
    <w:rsid w:val="00F47C4C"/>
    <w:rsid w:val="00F47E41"/>
    <w:rsid w:val="00F47F09"/>
    <w:rsid w:val="00F50302"/>
    <w:rsid w:val="00F50330"/>
    <w:rsid w:val="00F50C6D"/>
    <w:rsid w:val="00F50C7B"/>
    <w:rsid w:val="00F50F0E"/>
    <w:rsid w:val="00F510DC"/>
    <w:rsid w:val="00F516FE"/>
    <w:rsid w:val="00F518A3"/>
    <w:rsid w:val="00F51933"/>
    <w:rsid w:val="00F51CDD"/>
    <w:rsid w:val="00F51E38"/>
    <w:rsid w:val="00F51FC0"/>
    <w:rsid w:val="00F52108"/>
    <w:rsid w:val="00F52412"/>
    <w:rsid w:val="00F52B48"/>
    <w:rsid w:val="00F530BD"/>
    <w:rsid w:val="00F53439"/>
    <w:rsid w:val="00F535B1"/>
    <w:rsid w:val="00F5397B"/>
    <w:rsid w:val="00F53D2B"/>
    <w:rsid w:val="00F53D6A"/>
    <w:rsid w:val="00F53E00"/>
    <w:rsid w:val="00F540A2"/>
    <w:rsid w:val="00F54A67"/>
    <w:rsid w:val="00F54E0B"/>
    <w:rsid w:val="00F55360"/>
    <w:rsid w:val="00F557B1"/>
    <w:rsid w:val="00F55974"/>
    <w:rsid w:val="00F56622"/>
    <w:rsid w:val="00F5687D"/>
    <w:rsid w:val="00F56AB8"/>
    <w:rsid w:val="00F56F8D"/>
    <w:rsid w:val="00F56F9F"/>
    <w:rsid w:val="00F572B5"/>
    <w:rsid w:val="00F57348"/>
    <w:rsid w:val="00F57538"/>
    <w:rsid w:val="00F57975"/>
    <w:rsid w:val="00F57B53"/>
    <w:rsid w:val="00F57CC1"/>
    <w:rsid w:val="00F57F9B"/>
    <w:rsid w:val="00F6000E"/>
    <w:rsid w:val="00F601EE"/>
    <w:rsid w:val="00F602D8"/>
    <w:rsid w:val="00F60495"/>
    <w:rsid w:val="00F604AE"/>
    <w:rsid w:val="00F60886"/>
    <w:rsid w:val="00F60D77"/>
    <w:rsid w:val="00F60E1C"/>
    <w:rsid w:val="00F60F12"/>
    <w:rsid w:val="00F610AB"/>
    <w:rsid w:val="00F61FD0"/>
    <w:rsid w:val="00F62B3E"/>
    <w:rsid w:val="00F62BEE"/>
    <w:rsid w:val="00F63741"/>
    <w:rsid w:val="00F63C7A"/>
    <w:rsid w:val="00F63F33"/>
    <w:rsid w:val="00F6404C"/>
    <w:rsid w:val="00F640B1"/>
    <w:rsid w:val="00F640FD"/>
    <w:rsid w:val="00F64382"/>
    <w:rsid w:val="00F643F0"/>
    <w:rsid w:val="00F64481"/>
    <w:rsid w:val="00F64A52"/>
    <w:rsid w:val="00F64D41"/>
    <w:rsid w:val="00F64F2C"/>
    <w:rsid w:val="00F651C4"/>
    <w:rsid w:val="00F653D6"/>
    <w:rsid w:val="00F65707"/>
    <w:rsid w:val="00F658D7"/>
    <w:rsid w:val="00F65FA0"/>
    <w:rsid w:val="00F66BA0"/>
    <w:rsid w:val="00F66C5B"/>
    <w:rsid w:val="00F66E0D"/>
    <w:rsid w:val="00F6714B"/>
    <w:rsid w:val="00F67CC5"/>
    <w:rsid w:val="00F7097E"/>
    <w:rsid w:val="00F70B17"/>
    <w:rsid w:val="00F70EBB"/>
    <w:rsid w:val="00F71385"/>
    <w:rsid w:val="00F71BA9"/>
    <w:rsid w:val="00F71F97"/>
    <w:rsid w:val="00F720BC"/>
    <w:rsid w:val="00F723E9"/>
    <w:rsid w:val="00F7261A"/>
    <w:rsid w:val="00F72C8B"/>
    <w:rsid w:val="00F72F6C"/>
    <w:rsid w:val="00F7318A"/>
    <w:rsid w:val="00F7336C"/>
    <w:rsid w:val="00F73381"/>
    <w:rsid w:val="00F73475"/>
    <w:rsid w:val="00F7367E"/>
    <w:rsid w:val="00F73A28"/>
    <w:rsid w:val="00F73CA0"/>
    <w:rsid w:val="00F744EF"/>
    <w:rsid w:val="00F745F1"/>
    <w:rsid w:val="00F74973"/>
    <w:rsid w:val="00F755CD"/>
    <w:rsid w:val="00F75650"/>
    <w:rsid w:val="00F75777"/>
    <w:rsid w:val="00F7577D"/>
    <w:rsid w:val="00F75C05"/>
    <w:rsid w:val="00F75D7E"/>
    <w:rsid w:val="00F75FBD"/>
    <w:rsid w:val="00F75FCF"/>
    <w:rsid w:val="00F760DA"/>
    <w:rsid w:val="00F7693E"/>
    <w:rsid w:val="00F76FD8"/>
    <w:rsid w:val="00F771F9"/>
    <w:rsid w:val="00F77389"/>
    <w:rsid w:val="00F773F4"/>
    <w:rsid w:val="00F77679"/>
    <w:rsid w:val="00F77F8A"/>
    <w:rsid w:val="00F8014B"/>
    <w:rsid w:val="00F8074A"/>
    <w:rsid w:val="00F80A8C"/>
    <w:rsid w:val="00F80D8B"/>
    <w:rsid w:val="00F810B4"/>
    <w:rsid w:val="00F81128"/>
    <w:rsid w:val="00F81200"/>
    <w:rsid w:val="00F816A8"/>
    <w:rsid w:val="00F8179E"/>
    <w:rsid w:val="00F819E6"/>
    <w:rsid w:val="00F81C5E"/>
    <w:rsid w:val="00F81D41"/>
    <w:rsid w:val="00F820E1"/>
    <w:rsid w:val="00F82329"/>
    <w:rsid w:val="00F82575"/>
    <w:rsid w:val="00F82A10"/>
    <w:rsid w:val="00F82D4F"/>
    <w:rsid w:val="00F831EB"/>
    <w:rsid w:val="00F83220"/>
    <w:rsid w:val="00F833BA"/>
    <w:rsid w:val="00F83455"/>
    <w:rsid w:val="00F8347B"/>
    <w:rsid w:val="00F8373F"/>
    <w:rsid w:val="00F83DE1"/>
    <w:rsid w:val="00F84661"/>
    <w:rsid w:val="00F84E31"/>
    <w:rsid w:val="00F84E81"/>
    <w:rsid w:val="00F84EA4"/>
    <w:rsid w:val="00F85346"/>
    <w:rsid w:val="00F86398"/>
    <w:rsid w:val="00F86611"/>
    <w:rsid w:val="00F8675C"/>
    <w:rsid w:val="00F86A2A"/>
    <w:rsid w:val="00F86A77"/>
    <w:rsid w:val="00F86BA6"/>
    <w:rsid w:val="00F86F86"/>
    <w:rsid w:val="00F86FED"/>
    <w:rsid w:val="00F87083"/>
    <w:rsid w:val="00F872B1"/>
    <w:rsid w:val="00F875EF"/>
    <w:rsid w:val="00F877F3"/>
    <w:rsid w:val="00F87B18"/>
    <w:rsid w:val="00F9064F"/>
    <w:rsid w:val="00F90B92"/>
    <w:rsid w:val="00F90E0D"/>
    <w:rsid w:val="00F90F01"/>
    <w:rsid w:val="00F90F72"/>
    <w:rsid w:val="00F9108D"/>
    <w:rsid w:val="00F9122C"/>
    <w:rsid w:val="00F912AF"/>
    <w:rsid w:val="00F92247"/>
    <w:rsid w:val="00F92548"/>
    <w:rsid w:val="00F92BBA"/>
    <w:rsid w:val="00F92E12"/>
    <w:rsid w:val="00F93089"/>
    <w:rsid w:val="00F93273"/>
    <w:rsid w:val="00F93335"/>
    <w:rsid w:val="00F93DD8"/>
    <w:rsid w:val="00F9433A"/>
    <w:rsid w:val="00F944D8"/>
    <w:rsid w:val="00F94532"/>
    <w:rsid w:val="00F9460C"/>
    <w:rsid w:val="00F947AD"/>
    <w:rsid w:val="00F94D2D"/>
    <w:rsid w:val="00F94F09"/>
    <w:rsid w:val="00F9529B"/>
    <w:rsid w:val="00F960B0"/>
    <w:rsid w:val="00F964C2"/>
    <w:rsid w:val="00F9674A"/>
    <w:rsid w:val="00F969D0"/>
    <w:rsid w:val="00F96AAB"/>
    <w:rsid w:val="00F96CFA"/>
    <w:rsid w:val="00F97188"/>
    <w:rsid w:val="00F97266"/>
    <w:rsid w:val="00F973FE"/>
    <w:rsid w:val="00F97871"/>
    <w:rsid w:val="00F97AB6"/>
    <w:rsid w:val="00FA078F"/>
    <w:rsid w:val="00FA0AD9"/>
    <w:rsid w:val="00FA0B31"/>
    <w:rsid w:val="00FA1352"/>
    <w:rsid w:val="00FA156D"/>
    <w:rsid w:val="00FA160F"/>
    <w:rsid w:val="00FA16DE"/>
    <w:rsid w:val="00FA1889"/>
    <w:rsid w:val="00FA1916"/>
    <w:rsid w:val="00FA1D0A"/>
    <w:rsid w:val="00FA1DE5"/>
    <w:rsid w:val="00FA2443"/>
    <w:rsid w:val="00FA2A05"/>
    <w:rsid w:val="00FA3014"/>
    <w:rsid w:val="00FA3112"/>
    <w:rsid w:val="00FA3320"/>
    <w:rsid w:val="00FA38D1"/>
    <w:rsid w:val="00FA397B"/>
    <w:rsid w:val="00FA39C6"/>
    <w:rsid w:val="00FA3FAD"/>
    <w:rsid w:val="00FA40D1"/>
    <w:rsid w:val="00FA421C"/>
    <w:rsid w:val="00FA4282"/>
    <w:rsid w:val="00FA4313"/>
    <w:rsid w:val="00FA44A5"/>
    <w:rsid w:val="00FA4582"/>
    <w:rsid w:val="00FA46A8"/>
    <w:rsid w:val="00FA499C"/>
    <w:rsid w:val="00FA49BA"/>
    <w:rsid w:val="00FA4FF3"/>
    <w:rsid w:val="00FA511A"/>
    <w:rsid w:val="00FA531F"/>
    <w:rsid w:val="00FA58BC"/>
    <w:rsid w:val="00FA5C08"/>
    <w:rsid w:val="00FA61EF"/>
    <w:rsid w:val="00FA6565"/>
    <w:rsid w:val="00FA6663"/>
    <w:rsid w:val="00FA6BD3"/>
    <w:rsid w:val="00FA7725"/>
    <w:rsid w:val="00FA7969"/>
    <w:rsid w:val="00FA799B"/>
    <w:rsid w:val="00FA7B58"/>
    <w:rsid w:val="00FA7D3B"/>
    <w:rsid w:val="00FA7D51"/>
    <w:rsid w:val="00FB0149"/>
    <w:rsid w:val="00FB037C"/>
    <w:rsid w:val="00FB0706"/>
    <w:rsid w:val="00FB0B50"/>
    <w:rsid w:val="00FB0EA3"/>
    <w:rsid w:val="00FB0EAA"/>
    <w:rsid w:val="00FB1575"/>
    <w:rsid w:val="00FB1F2A"/>
    <w:rsid w:val="00FB20B0"/>
    <w:rsid w:val="00FB24C0"/>
    <w:rsid w:val="00FB288C"/>
    <w:rsid w:val="00FB28A3"/>
    <w:rsid w:val="00FB35CB"/>
    <w:rsid w:val="00FB3841"/>
    <w:rsid w:val="00FB3D13"/>
    <w:rsid w:val="00FB4070"/>
    <w:rsid w:val="00FB40DF"/>
    <w:rsid w:val="00FB41E0"/>
    <w:rsid w:val="00FB4AF3"/>
    <w:rsid w:val="00FB4D61"/>
    <w:rsid w:val="00FB5056"/>
    <w:rsid w:val="00FB5061"/>
    <w:rsid w:val="00FB54E7"/>
    <w:rsid w:val="00FB55A4"/>
    <w:rsid w:val="00FB5956"/>
    <w:rsid w:val="00FB5A28"/>
    <w:rsid w:val="00FB5AD6"/>
    <w:rsid w:val="00FB5BA4"/>
    <w:rsid w:val="00FB5CF2"/>
    <w:rsid w:val="00FB5DA9"/>
    <w:rsid w:val="00FB60B9"/>
    <w:rsid w:val="00FB6266"/>
    <w:rsid w:val="00FB638D"/>
    <w:rsid w:val="00FB64C6"/>
    <w:rsid w:val="00FB6510"/>
    <w:rsid w:val="00FB694F"/>
    <w:rsid w:val="00FB6B7F"/>
    <w:rsid w:val="00FB6C77"/>
    <w:rsid w:val="00FB6DB5"/>
    <w:rsid w:val="00FB6FDE"/>
    <w:rsid w:val="00FB725E"/>
    <w:rsid w:val="00FB72F9"/>
    <w:rsid w:val="00FB735D"/>
    <w:rsid w:val="00FB7AD6"/>
    <w:rsid w:val="00FB7C8F"/>
    <w:rsid w:val="00FC000C"/>
    <w:rsid w:val="00FC0316"/>
    <w:rsid w:val="00FC04CC"/>
    <w:rsid w:val="00FC0513"/>
    <w:rsid w:val="00FC06D1"/>
    <w:rsid w:val="00FC0E42"/>
    <w:rsid w:val="00FC0FBB"/>
    <w:rsid w:val="00FC15B4"/>
    <w:rsid w:val="00FC17A2"/>
    <w:rsid w:val="00FC1845"/>
    <w:rsid w:val="00FC1959"/>
    <w:rsid w:val="00FC1CAD"/>
    <w:rsid w:val="00FC1E03"/>
    <w:rsid w:val="00FC2191"/>
    <w:rsid w:val="00FC224E"/>
    <w:rsid w:val="00FC2B8A"/>
    <w:rsid w:val="00FC2C88"/>
    <w:rsid w:val="00FC2D80"/>
    <w:rsid w:val="00FC3057"/>
    <w:rsid w:val="00FC328F"/>
    <w:rsid w:val="00FC37B7"/>
    <w:rsid w:val="00FC3AAC"/>
    <w:rsid w:val="00FC3F7F"/>
    <w:rsid w:val="00FC41D7"/>
    <w:rsid w:val="00FC4225"/>
    <w:rsid w:val="00FC424A"/>
    <w:rsid w:val="00FC4370"/>
    <w:rsid w:val="00FC441F"/>
    <w:rsid w:val="00FC4707"/>
    <w:rsid w:val="00FC487B"/>
    <w:rsid w:val="00FC4A79"/>
    <w:rsid w:val="00FC4D21"/>
    <w:rsid w:val="00FC4F9B"/>
    <w:rsid w:val="00FC52B1"/>
    <w:rsid w:val="00FC5644"/>
    <w:rsid w:val="00FC5833"/>
    <w:rsid w:val="00FC5B02"/>
    <w:rsid w:val="00FC5D90"/>
    <w:rsid w:val="00FC5E8E"/>
    <w:rsid w:val="00FC5F1C"/>
    <w:rsid w:val="00FC5F83"/>
    <w:rsid w:val="00FC5FEC"/>
    <w:rsid w:val="00FC65D2"/>
    <w:rsid w:val="00FC678F"/>
    <w:rsid w:val="00FC67D8"/>
    <w:rsid w:val="00FC6DE9"/>
    <w:rsid w:val="00FC6E76"/>
    <w:rsid w:val="00FC6EE5"/>
    <w:rsid w:val="00FC701F"/>
    <w:rsid w:val="00FC73D3"/>
    <w:rsid w:val="00FC7426"/>
    <w:rsid w:val="00FC74FC"/>
    <w:rsid w:val="00FC752B"/>
    <w:rsid w:val="00FC75FF"/>
    <w:rsid w:val="00FC76A6"/>
    <w:rsid w:val="00FC7773"/>
    <w:rsid w:val="00FC7854"/>
    <w:rsid w:val="00FC78A1"/>
    <w:rsid w:val="00FC7A92"/>
    <w:rsid w:val="00FC7E0D"/>
    <w:rsid w:val="00FD01D4"/>
    <w:rsid w:val="00FD0332"/>
    <w:rsid w:val="00FD11E4"/>
    <w:rsid w:val="00FD123B"/>
    <w:rsid w:val="00FD158A"/>
    <w:rsid w:val="00FD2126"/>
    <w:rsid w:val="00FD22BC"/>
    <w:rsid w:val="00FD2503"/>
    <w:rsid w:val="00FD28E1"/>
    <w:rsid w:val="00FD2B87"/>
    <w:rsid w:val="00FD2BED"/>
    <w:rsid w:val="00FD2C38"/>
    <w:rsid w:val="00FD2E34"/>
    <w:rsid w:val="00FD2FE1"/>
    <w:rsid w:val="00FD3361"/>
    <w:rsid w:val="00FD3536"/>
    <w:rsid w:val="00FD395F"/>
    <w:rsid w:val="00FD3B68"/>
    <w:rsid w:val="00FD3C2B"/>
    <w:rsid w:val="00FD4333"/>
    <w:rsid w:val="00FD44C0"/>
    <w:rsid w:val="00FD4516"/>
    <w:rsid w:val="00FD4531"/>
    <w:rsid w:val="00FD4BA8"/>
    <w:rsid w:val="00FD5066"/>
    <w:rsid w:val="00FD5113"/>
    <w:rsid w:val="00FD5366"/>
    <w:rsid w:val="00FD5367"/>
    <w:rsid w:val="00FD5667"/>
    <w:rsid w:val="00FD5E2F"/>
    <w:rsid w:val="00FD5F62"/>
    <w:rsid w:val="00FD60A4"/>
    <w:rsid w:val="00FD64BC"/>
    <w:rsid w:val="00FD65E5"/>
    <w:rsid w:val="00FD695B"/>
    <w:rsid w:val="00FD6C1B"/>
    <w:rsid w:val="00FD730C"/>
    <w:rsid w:val="00FD7544"/>
    <w:rsid w:val="00FD7866"/>
    <w:rsid w:val="00FD786A"/>
    <w:rsid w:val="00FD7AD0"/>
    <w:rsid w:val="00FD7DAB"/>
    <w:rsid w:val="00FE0199"/>
    <w:rsid w:val="00FE019C"/>
    <w:rsid w:val="00FE0379"/>
    <w:rsid w:val="00FE0383"/>
    <w:rsid w:val="00FE03B7"/>
    <w:rsid w:val="00FE09C2"/>
    <w:rsid w:val="00FE0EB4"/>
    <w:rsid w:val="00FE1608"/>
    <w:rsid w:val="00FE1A82"/>
    <w:rsid w:val="00FE1BCC"/>
    <w:rsid w:val="00FE2065"/>
    <w:rsid w:val="00FE2284"/>
    <w:rsid w:val="00FE22F9"/>
    <w:rsid w:val="00FE240F"/>
    <w:rsid w:val="00FE339F"/>
    <w:rsid w:val="00FE36C8"/>
    <w:rsid w:val="00FE4193"/>
    <w:rsid w:val="00FE4501"/>
    <w:rsid w:val="00FE4955"/>
    <w:rsid w:val="00FE4A0E"/>
    <w:rsid w:val="00FE4A8E"/>
    <w:rsid w:val="00FE50F3"/>
    <w:rsid w:val="00FE5539"/>
    <w:rsid w:val="00FE5A27"/>
    <w:rsid w:val="00FE5EDA"/>
    <w:rsid w:val="00FE6411"/>
    <w:rsid w:val="00FE675B"/>
    <w:rsid w:val="00FE6981"/>
    <w:rsid w:val="00FE6C7F"/>
    <w:rsid w:val="00FE6FBB"/>
    <w:rsid w:val="00FE7027"/>
    <w:rsid w:val="00FE7302"/>
    <w:rsid w:val="00FE734B"/>
    <w:rsid w:val="00FE7507"/>
    <w:rsid w:val="00FE786C"/>
    <w:rsid w:val="00FE7D2C"/>
    <w:rsid w:val="00FE7E2E"/>
    <w:rsid w:val="00FE7F55"/>
    <w:rsid w:val="00FF002F"/>
    <w:rsid w:val="00FF0091"/>
    <w:rsid w:val="00FF02BF"/>
    <w:rsid w:val="00FF0431"/>
    <w:rsid w:val="00FF0CCB"/>
    <w:rsid w:val="00FF0E8D"/>
    <w:rsid w:val="00FF1011"/>
    <w:rsid w:val="00FF10A9"/>
    <w:rsid w:val="00FF139D"/>
    <w:rsid w:val="00FF1513"/>
    <w:rsid w:val="00FF1809"/>
    <w:rsid w:val="00FF1E9C"/>
    <w:rsid w:val="00FF2445"/>
    <w:rsid w:val="00FF254B"/>
    <w:rsid w:val="00FF25A0"/>
    <w:rsid w:val="00FF2774"/>
    <w:rsid w:val="00FF3109"/>
    <w:rsid w:val="00FF3495"/>
    <w:rsid w:val="00FF3527"/>
    <w:rsid w:val="00FF3576"/>
    <w:rsid w:val="00FF3CD4"/>
    <w:rsid w:val="00FF3E15"/>
    <w:rsid w:val="00FF46A8"/>
    <w:rsid w:val="00FF4E9A"/>
    <w:rsid w:val="00FF52F7"/>
    <w:rsid w:val="00FF56A5"/>
    <w:rsid w:val="00FF5D88"/>
    <w:rsid w:val="00FF5ED7"/>
    <w:rsid w:val="00FF5EE2"/>
    <w:rsid w:val="00FF60D7"/>
    <w:rsid w:val="00FF62CD"/>
    <w:rsid w:val="00FF6D47"/>
    <w:rsid w:val="00FF6DA7"/>
    <w:rsid w:val="3E07FC9A"/>
    <w:rsid w:val="74555DB0"/>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C4FEB9"/>
  <w15:chartTrackingRefBased/>
  <w15:docId w15:val="{231C574A-FE89-447C-8D0E-8EEC5F26D2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semiHidden="1" w:uiPriority="9"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lsdException w:name="toc 3" w:uiPriority="39"/>
    <w:lsdException w:name="toc 4" w:semiHidden="1" w:uiPriority="39"/>
    <w:lsdException w:name="toc 5" w:uiPriority="39"/>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uiPriority="39"/>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uiPriority="39"/>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7" w:qFormat="1"/>
    <w:lsdException w:name="List Number" w:uiPriority="0" w:qFormat="1"/>
    <w:lsdException w:name="List 2" w:semiHidden="1" w:unhideWhenUsed="1"/>
    <w:lsdException w:name="List 3" w:semiHidden="1" w:unhideWhenUsed="1"/>
    <w:lsdException w:name="List 4" w:semiHidden="1" w:unhideWhenUsed="1"/>
    <w:lsdException w:name="List 5" w:semiHidden="1" w:unhideWhenUsed="1"/>
    <w:lsdException w:name="List Bullet 2" w:uiPriority="17" w:qFormat="1"/>
    <w:lsdException w:name="List Bullet 3" w:uiPriority="17" w:qFormat="1"/>
    <w:lsdException w:name="List Bullet 4" w:uiPriority="17" w:qFormat="1"/>
    <w:lsdException w:name="List Bullet 5" w:uiPriority="17"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uiPriority="3"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Strong" w:semiHidden="1"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49"/>
    <w:qFormat/>
    <w:rsid w:val="00761148"/>
    <w:pPr>
      <w:spacing w:after="240" w:line="300" w:lineRule="atLeast"/>
    </w:pPr>
    <w:rPr>
      <w:rFonts w:ascii="Open Sans" w:hAnsi="Open Sans"/>
      <w:sz w:val="20"/>
    </w:rPr>
  </w:style>
  <w:style w:type="paragraph" w:styleId="Heading1">
    <w:name w:val="heading 1"/>
    <w:basedOn w:val="Normal"/>
    <w:next w:val="BodyText"/>
    <w:link w:val="Heading1Char"/>
    <w:uiPriority w:val="9"/>
    <w:qFormat/>
    <w:rsid w:val="00636B48"/>
    <w:pPr>
      <w:keepNext/>
      <w:keepLines/>
      <w:pageBreakBefore/>
      <w:pBdr>
        <w:bottom w:val="single" w:sz="4" w:space="14" w:color="999B9E"/>
      </w:pBdr>
      <w:spacing w:line="432" w:lineRule="exact"/>
      <w:outlineLvl w:val="0"/>
    </w:pPr>
    <w:rPr>
      <w:rFonts w:ascii="Open Sans SemiBold" w:eastAsiaTheme="majorEastAsia" w:hAnsi="Open Sans SemiBold" w:cstheme="majorBidi"/>
      <w:color w:val="A32638" w:themeColor="text2"/>
      <w:sz w:val="30"/>
      <w:szCs w:val="32"/>
    </w:rPr>
  </w:style>
  <w:style w:type="paragraph" w:styleId="Heading2">
    <w:name w:val="heading 2"/>
    <w:basedOn w:val="Heading1"/>
    <w:next w:val="BodyText"/>
    <w:link w:val="Heading2Char"/>
    <w:qFormat/>
    <w:rsid w:val="007B49DA"/>
    <w:pPr>
      <w:outlineLvl w:val="1"/>
    </w:pPr>
  </w:style>
  <w:style w:type="paragraph" w:styleId="Heading3">
    <w:name w:val="heading 3"/>
    <w:basedOn w:val="Normal"/>
    <w:next w:val="BodyText"/>
    <w:link w:val="Heading3Char"/>
    <w:uiPriority w:val="9"/>
    <w:qFormat/>
    <w:rsid w:val="00E159F0"/>
    <w:pPr>
      <w:keepNext/>
      <w:keepLines/>
      <w:spacing w:before="90" w:after="90" w:line="336" w:lineRule="exact"/>
      <w:outlineLvl w:val="2"/>
    </w:pPr>
    <w:rPr>
      <w:rFonts w:ascii="Open Sans SemiBold" w:eastAsiaTheme="majorEastAsia" w:hAnsi="Open Sans SemiBold" w:cs="Times New Roman (Headings CS)"/>
      <w:color w:val="A32638" w:themeColor="text2"/>
      <w:sz w:val="26"/>
      <w:szCs w:val="24"/>
    </w:rPr>
  </w:style>
  <w:style w:type="paragraph" w:styleId="Heading4">
    <w:name w:val="heading 4"/>
    <w:basedOn w:val="Heading3"/>
    <w:next w:val="BodyText"/>
    <w:link w:val="Heading4Char"/>
    <w:uiPriority w:val="9"/>
    <w:qFormat/>
    <w:rsid w:val="007B49DA"/>
    <w:pPr>
      <w:outlineLvl w:val="3"/>
    </w:pPr>
  </w:style>
  <w:style w:type="paragraph" w:styleId="Heading5">
    <w:name w:val="heading 5"/>
    <w:basedOn w:val="BodyText"/>
    <w:next w:val="Normal"/>
    <w:link w:val="Heading5Char"/>
    <w:uiPriority w:val="9"/>
    <w:qFormat/>
    <w:rsid w:val="00E76614"/>
    <w:pPr>
      <w:keepNext/>
      <w:keepLines/>
      <w:spacing w:before="90" w:after="90" w:line="264" w:lineRule="exact"/>
      <w:outlineLvl w:val="4"/>
    </w:pPr>
    <w:rPr>
      <w:rFonts w:eastAsiaTheme="majorEastAsia" w:cs="Times New Roman (Headings CS)"/>
      <w:b/>
      <w:color w:val="7F7F7F" w:themeColor="text1" w:themeTint="80"/>
      <w:sz w:val="22"/>
    </w:rPr>
  </w:style>
  <w:style w:type="paragraph" w:styleId="Heading6">
    <w:name w:val="heading 6"/>
    <w:basedOn w:val="Normal"/>
    <w:next w:val="Normal"/>
    <w:link w:val="Heading6Char"/>
    <w:uiPriority w:val="9"/>
    <w:qFormat/>
    <w:rsid w:val="00E159F0"/>
    <w:pPr>
      <w:keepNext/>
      <w:keepLines/>
      <w:spacing w:before="90" w:after="90" w:line="264" w:lineRule="atLeast"/>
      <w:outlineLvl w:val="5"/>
    </w:pPr>
    <w:rPr>
      <w:rFonts w:eastAsiaTheme="majorEastAsia" w:cs="Times New Roman (Headings CS)"/>
      <w:b/>
      <w:color w:val="000000" w:themeColor="text1"/>
    </w:rPr>
  </w:style>
  <w:style w:type="paragraph" w:styleId="Heading7">
    <w:name w:val="heading 7"/>
    <w:basedOn w:val="Normal"/>
    <w:next w:val="Normal"/>
    <w:link w:val="Heading7Char"/>
    <w:uiPriority w:val="9"/>
    <w:semiHidden/>
    <w:qFormat/>
    <w:rsid w:val="00981AD5"/>
    <w:pPr>
      <w:keepNext/>
      <w:keepLines/>
      <w:spacing w:before="40" w:after="0"/>
      <w:outlineLvl w:val="6"/>
    </w:pPr>
    <w:rPr>
      <w:rFonts w:eastAsiaTheme="majorEastAsia" w:cstheme="majorBidi"/>
      <w:b/>
      <w:iCs/>
      <w:color w:val="808080" w:themeColor="background1" w:themeShade="80"/>
    </w:rPr>
  </w:style>
  <w:style w:type="paragraph" w:styleId="Heading8">
    <w:name w:val="heading 8"/>
    <w:basedOn w:val="Normal"/>
    <w:next w:val="Normal"/>
    <w:link w:val="Heading8Char"/>
    <w:uiPriority w:val="9"/>
    <w:unhideWhenUsed/>
    <w:qFormat/>
    <w:rsid w:val="00046E68"/>
    <w:pPr>
      <w:keepNext/>
      <w:keepLines/>
      <w:spacing w:before="40" w:after="0"/>
      <w:outlineLvl w:val="7"/>
    </w:pPr>
    <w:rPr>
      <w:rFonts w:eastAsiaTheme="majorEastAsia" w:cs="Times New Roman (Headings CS)"/>
      <w:b/>
      <w:color w:val="A6A6A6" w:themeColor="background1" w:themeShade="A6"/>
      <w:szCs w:val="21"/>
    </w:rPr>
  </w:style>
  <w:style w:type="paragraph" w:styleId="Heading9">
    <w:name w:val="heading 9"/>
    <w:basedOn w:val="Normal"/>
    <w:next w:val="Normal"/>
    <w:link w:val="Heading9Char"/>
    <w:uiPriority w:val="9"/>
    <w:unhideWhenUsed/>
    <w:qFormat/>
    <w:rsid w:val="00981AD5"/>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1F10DD"/>
    <w:pPr>
      <w:tabs>
        <w:tab w:val="center" w:pos="4680"/>
        <w:tab w:val="right" w:pos="9360"/>
      </w:tabs>
      <w:spacing w:after="0" w:line="240" w:lineRule="auto"/>
    </w:pPr>
    <w:rPr>
      <w:rFonts w:ascii="Open Sans SemiBold" w:hAnsi="Open Sans SemiBold" w:cs="Times New Roman (Body CS)"/>
      <w:caps/>
      <w:color w:val="808080" w:themeColor="background1" w:themeShade="80"/>
      <w:sz w:val="15"/>
    </w:rPr>
  </w:style>
  <w:style w:type="character" w:customStyle="1" w:styleId="HeaderChar">
    <w:name w:val="Header Char"/>
    <w:basedOn w:val="DefaultParagraphFont"/>
    <w:link w:val="Header"/>
    <w:uiPriority w:val="99"/>
    <w:semiHidden/>
    <w:rsid w:val="001F10DD"/>
    <w:rPr>
      <w:rFonts w:ascii="Open Sans SemiBold" w:hAnsi="Open Sans SemiBold" w:cs="Times New Roman (Body CS)"/>
      <w:caps/>
      <w:color w:val="808080" w:themeColor="background1" w:themeShade="80"/>
      <w:sz w:val="15"/>
    </w:rPr>
  </w:style>
  <w:style w:type="paragraph" w:styleId="Footer">
    <w:name w:val="footer"/>
    <w:basedOn w:val="Normal"/>
    <w:link w:val="FooterChar"/>
    <w:autoRedefine/>
    <w:uiPriority w:val="99"/>
    <w:semiHidden/>
    <w:rsid w:val="009D04D8"/>
    <w:pPr>
      <w:tabs>
        <w:tab w:val="right" w:pos="12240"/>
      </w:tabs>
      <w:spacing w:after="0" w:line="240" w:lineRule="auto"/>
    </w:pPr>
    <w:rPr>
      <w:rFonts w:cs="Times New Roman (Body CS)"/>
      <w:caps/>
      <w:color w:val="757575" w:themeColor="background2" w:themeShade="80"/>
      <w:sz w:val="14"/>
    </w:rPr>
  </w:style>
  <w:style w:type="character" w:customStyle="1" w:styleId="FooterChar">
    <w:name w:val="Footer Char"/>
    <w:basedOn w:val="DefaultParagraphFont"/>
    <w:link w:val="Footer"/>
    <w:uiPriority w:val="99"/>
    <w:semiHidden/>
    <w:rsid w:val="009D04D8"/>
    <w:rPr>
      <w:rFonts w:ascii="Open Sans" w:hAnsi="Open Sans" w:cs="Times New Roman (Body CS)"/>
      <w:caps/>
      <w:color w:val="757575" w:themeColor="background2" w:themeShade="80"/>
      <w:sz w:val="14"/>
    </w:rPr>
  </w:style>
  <w:style w:type="character" w:customStyle="1" w:styleId="Heading1Char">
    <w:name w:val="Heading 1 Char"/>
    <w:basedOn w:val="DefaultParagraphFont"/>
    <w:link w:val="Heading1"/>
    <w:uiPriority w:val="9"/>
    <w:rsid w:val="00636B48"/>
    <w:rPr>
      <w:rFonts w:ascii="Open Sans SemiBold" w:eastAsiaTheme="majorEastAsia" w:hAnsi="Open Sans SemiBold" w:cstheme="majorBidi"/>
      <w:color w:val="A32638" w:themeColor="text2"/>
      <w:sz w:val="30"/>
      <w:szCs w:val="32"/>
    </w:rPr>
  </w:style>
  <w:style w:type="paragraph" w:styleId="BodyText">
    <w:name w:val="Body Text"/>
    <w:basedOn w:val="Normal"/>
    <w:link w:val="BodyTextChar"/>
    <w:uiPriority w:val="99"/>
    <w:qFormat/>
    <w:rsid w:val="00EC7686"/>
    <w:pPr>
      <w:spacing w:line="320" w:lineRule="atLeast"/>
      <w:contextualSpacing/>
    </w:pPr>
    <w:rPr>
      <w:color w:val="000000" w:themeColor="text1"/>
    </w:rPr>
  </w:style>
  <w:style w:type="character" w:customStyle="1" w:styleId="BodyTextChar">
    <w:name w:val="Body Text Char"/>
    <w:basedOn w:val="DefaultParagraphFont"/>
    <w:link w:val="BodyText"/>
    <w:uiPriority w:val="99"/>
    <w:rsid w:val="00EC7686"/>
    <w:rPr>
      <w:rFonts w:ascii="Open Sans" w:hAnsi="Open Sans"/>
      <w:color w:val="000000" w:themeColor="text1"/>
      <w:sz w:val="20"/>
    </w:rPr>
  </w:style>
  <w:style w:type="character" w:customStyle="1" w:styleId="Heading2Char">
    <w:name w:val="Heading 2 Char"/>
    <w:basedOn w:val="DefaultParagraphFont"/>
    <w:link w:val="Heading2"/>
    <w:rsid w:val="007B49DA"/>
    <w:rPr>
      <w:rFonts w:ascii="Open Sans SemiBold" w:eastAsiaTheme="majorEastAsia" w:hAnsi="Open Sans SemiBold" w:cstheme="majorBidi"/>
      <w:color w:val="A32638" w:themeColor="text2"/>
      <w:sz w:val="30"/>
      <w:szCs w:val="32"/>
    </w:rPr>
  </w:style>
  <w:style w:type="character" w:customStyle="1" w:styleId="Heading3Char">
    <w:name w:val="Heading 3 Char"/>
    <w:basedOn w:val="DefaultParagraphFont"/>
    <w:link w:val="Heading3"/>
    <w:uiPriority w:val="9"/>
    <w:rsid w:val="00E159F0"/>
    <w:rPr>
      <w:rFonts w:ascii="Open Sans SemiBold" w:eastAsiaTheme="majorEastAsia" w:hAnsi="Open Sans SemiBold" w:cs="Times New Roman (Headings CS)"/>
      <w:color w:val="A32638" w:themeColor="text2"/>
      <w:sz w:val="26"/>
      <w:szCs w:val="24"/>
    </w:rPr>
  </w:style>
  <w:style w:type="character" w:customStyle="1" w:styleId="Heading4Char">
    <w:name w:val="Heading 4 Char"/>
    <w:basedOn w:val="DefaultParagraphFont"/>
    <w:link w:val="Heading4"/>
    <w:uiPriority w:val="9"/>
    <w:rsid w:val="007B49DA"/>
    <w:rPr>
      <w:rFonts w:ascii="Open Sans SemiBold" w:eastAsiaTheme="majorEastAsia" w:hAnsi="Open Sans SemiBold" w:cs="Times New Roman (Headings CS)"/>
      <w:color w:val="A32638" w:themeColor="text2"/>
      <w:sz w:val="26"/>
      <w:szCs w:val="24"/>
    </w:rPr>
  </w:style>
  <w:style w:type="character" w:customStyle="1" w:styleId="Heading5Char">
    <w:name w:val="Heading 5 Char"/>
    <w:basedOn w:val="DefaultParagraphFont"/>
    <w:link w:val="Heading5"/>
    <w:uiPriority w:val="9"/>
    <w:rsid w:val="00E76614"/>
    <w:rPr>
      <w:rFonts w:ascii="Open Sans" w:eastAsiaTheme="majorEastAsia" w:hAnsi="Open Sans" w:cs="Times New Roman (Headings CS)"/>
      <w:b/>
      <w:color w:val="7F7F7F" w:themeColor="text1" w:themeTint="80"/>
    </w:rPr>
  </w:style>
  <w:style w:type="character" w:customStyle="1" w:styleId="Heading6Char">
    <w:name w:val="Heading 6 Char"/>
    <w:basedOn w:val="DefaultParagraphFont"/>
    <w:link w:val="Heading6"/>
    <w:uiPriority w:val="9"/>
    <w:rsid w:val="00E159F0"/>
    <w:rPr>
      <w:rFonts w:ascii="Open Sans" w:eastAsiaTheme="majorEastAsia" w:hAnsi="Open Sans" w:cs="Times New Roman (Headings CS)"/>
      <w:b/>
      <w:color w:val="000000" w:themeColor="text1"/>
      <w:sz w:val="20"/>
    </w:rPr>
  </w:style>
  <w:style w:type="character" w:styleId="Emphasis">
    <w:name w:val="Emphasis"/>
    <w:basedOn w:val="DefaultParagraphFont"/>
    <w:uiPriority w:val="20"/>
    <w:qFormat/>
    <w:rsid w:val="00340AF5"/>
    <w:rPr>
      <w:b/>
      <w:i w:val="0"/>
      <w:iCs/>
    </w:rPr>
  </w:style>
  <w:style w:type="paragraph" w:styleId="Quote">
    <w:name w:val="Quote"/>
    <w:basedOn w:val="Normal"/>
    <w:next w:val="Normal"/>
    <w:link w:val="QuoteChar"/>
    <w:uiPriority w:val="29"/>
    <w:qFormat/>
    <w:rsid w:val="00340AF5"/>
    <w:pPr>
      <w:ind w:left="720" w:right="720"/>
      <w:jc w:val="center"/>
    </w:pPr>
    <w:rPr>
      <w:iCs/>
      <w:color w:val="404040" w:themeColor="text1" w:themeTint="BF"/>
    </w:rPr>
  </w:style>
  <w:style w:type="character" w:customStyle="1" w:styleId="QuoteChar">
    <w:name w:val="Quote Char"/>
    <w:basedOn w:val="DefaultParagraphFont"/>
    <w:link w:val="Quote"/>
    <w:uiPriority w:val="29"/>
    <w:rsid w:val="00340AF5"/>
    <w:rPr>
      <w:iCs/>
      <w:color w:val="404040" w:themeColor="text1" w:themeTint="BF"/>
    </w:rPr>
  </w:style>
  <w:style w:type="paragraph" w:customStyle="1" w:styleId="PullQuote">
    <w:name w:val="Pull Quote"/>
    <w:basedOn w:val="Normal"/>
    <w:next w:val="BodyText"/>
    <w:autoRedefine/>
    <w:uiPriority w:val="29"/>
    <w:qFormat/>
    <w:rsid w:val="005525F2"/>
    <w:pPr>
      <w:pBdr>
        <w:left w:val="single" w:sz="4" w:space="5" w:color="999B9E"/>
      </w:pBdr>
      <w:spacing w:before="360" w:after="360"/>
      <w:ind w:left="720" w:right="360"/>
    </w:pPr>
    <w:rPr>
      <w:rFonts w:cs="Times New Roman (Body CS)"/>
      <w:i/>
      <w:color w:val="757575" w:themeColor="background2" w:themeShade="80"/>
    </w:rPr>
  </w:style>
  <w:style w:type="paragraph" w:styleId="Caption">
    <w:name w:val="caption"/>
    <w:basedOn w:val="Normal"/>
    <w:next w:val="BodyText"/>
    <w:uiPriority w:val="36"/>
    <w:qFormat/>
    <w:rsid w:val="007E06AB"/>
    <w:pPr>
      <w:spacing w:after="144" w:line="264" w:lineRule="atLeast"/>
    </w:pPr>
    <w:rPr>
      <w:b/>
      <w:iCs/>
      <w:color w:val="000000" w:themeColor="text1"/>
      <w:szCs w:val="18"/>
    </w:rPr>
  </w:style>
  <w:style w:type="paragraph" w:customStyle="1" w:styleId="Source">
    <w:name w:val="Source"/>
    <w:basedOn w:val="Normal"/>
    <w:next w:val="BodyText"/>
    <w:uiPriority w:val="36"/>
    <w:qFormat/>
    <w:rsid w:val="000B084D"/>
    <w:pPr>
      <w:spacing w:before="144" w:after="0" w:line="200" w:lineRule="atLeast"/>
    </w:pPr>
    <w:rPr>
      <w:rFonts w:cs="Times New Roman (Body CS)"/>
      <w:sz w:val="16"/>
    </w:rPr>
  </w:style>
  <w:style w:type="character" w:styleId="PlaceholderText">
    <w:name w:val="Placeholder Text"/>
    <w:basedOn w:val="DefaultParagraphFont"/>
    <w:uiPriority w:val="99"/>
    <w:semiHidden/>
    <w:rsid w:val="00084551"/>
    <w:rPr>
      <w:color w:val="808080"/>
    </w:rPr>
  </w:style>
  <w:style w:type="paragraph" w:styleId="TOC1">
    <w:name w:val="toc 1"/>
    <w:basedOn w:val="Normal"/>
    <w:next w:val="Normal"/>
    <w:autoRedefine/>
    <w:uiPriority w:val="39"/>
    <w:qFormat/>
    <w:rsid w:val="00E97D6A"/>
    <w:pPr>
      <w:tabs>
        <w:tab w:val="right" w:leader="dot" w:pos="9360"/>
      </w:tabs>
      <w:spacing w:after="180" w:line="270" w:lineRule="exact"/>
      <w:ind w:left="720"/>
    </w:pPr>
    <w:rPr>
      <w:rFonts w:cs="Times New Roman (Body CS)"/>
      <w:sz w:val="19"/>
    </w:rPr>
  </w:style>
  <w:style w:type="paragraph" w:styleId="TOC2">
    <w:name w:val="toc 2"/>
    <w:basedOn w:val="Normal"/>
    <w:next w:val="Normal"/>
    <w:autoRedefine/>
    <w:uiPriority w:val="39"/>
    <w:rsid w:val="00421932"/>
    <w:pPr>
      <w:tabs>
        <w:tab w:val="right" w:leader="dot" w:pos="9360"/>
      </w:tabs>
      <w:spacing w:after="180" w:line="270" w:lineRule="exact"/>
      <w:ind w:left="1440"/>
    </w:pPr>
  </w:style>
  <w:style w:type="paragraph" w:styleId="TOC3">
    <w:name w:val="toc 3"/>
    <w:basedOn w:val="Normal"/>
    <w:next w:val="Normal"/>
    <w:autoRedefine/>
    <w:uiPriority w:val="39"/>
    <w:rsid w:val="00AA634B"/>
    <w:pPr>
      <w:tabs>
        <w:tab w:val="right" w:leader="dot" w:pos="9360"/>
      </w:tabs>
      <w:spacing w:after="180" w:line="270" w:lineRule="exact"/>
      <w:ind w:left="720"/>
    </w:pPr>
  </w:style>
  <w:style w:type="paragraph" w:styleId="ListBullet">
    <w:name w:val="List Bullet"/>
    <w:basedOn w:val="Normal"/>
    <w:uiPriority w:val="17"/>
    <w:qFormat/>
    <w:rsid w:val="00E154BD"/>
    <w:pPr>
      <w:numPr>
        <w:numId w:val="1"/>
      </w:numPr>
      <w:tabs>
        <w:tab w:val="left" w:pos="288"/>
      </w:tabs>
      <w:spacing w:after="120"/>
    </w:pPr>
  </w:style>
  <w:style w:type="paragraph" w:styleId="ListBullet2">
    <w:name w:val="List Bullet 2"/>
    <w:basedOn w:val="Normal"/>
    <w:uiPriority w:val="17"/>
    <w:qFormat/>
    <w:rsid w:val="00E154BD"/>
    <w:pPr>
      <w:numPr>
        <w:numId w:val="2"/>
      </w:numPr>
      <w:tabs>
        <w:tab w:val="left" w:pos="576"/>
      </w:tabs>
      <w:spacing w:after="120"/>
    </w:pPr>
  </w:style>
  <w:style w:type="paragraph" w:styleId="ListBullet3">
    <w:name w:val="List Bullet 3"/>
    <w:basedOn w:val="Normal"/>
    <w:uiPriority w:val="17"/>
    <w:qFormat/>
    <w:rsid w:val="00E154BD"/>
    <w:pPr>
      <w:numPr>
        <w:numId w:val="3"/>
      </w:numPr>
      <w:tabs>
        <w:tab w:val="left" w:pos="864"/>
      </w:tabs>
      <w:spacing w:after="120"/>
    </w:pPr>
  </w:style>
  <w:style w:type="paragraph" w:styleId="ListBullet4">
    <w:name w:val="List Bullet 4"/>
    <w:basedOn w:val="Normal"/>
    <w:uiPriority w:val="17"/>
    <w:qFormat/>
    <w:rsid w:val="00E154BD"/>
    <w:pPr>
      <w:numPr>
        <w:numId w:val="4"/>
      </w:numPr>
      <w:tabs>
        <w:tab w:val="left" w:pos="1152"/>
      </w:tabs>
      <w:spacing w:after="120"/>
    </w:pPr>
  </w:style>
  <w:style w:type="paragraph" w:styleId="ListBullet5">
    <w:name w:val="List Bullet 5"/>
    <w:basedOn w:val="Normal"/>
    <w:uiPriority w:val="17"/>
    <w:qFormat/>
    <w:rsid w:val="00600B56"/>
    <w:pPr>
      <w:numPr>
        <w:numId w:val="5"/>
      </w:numPr>
      <w:tabs>
        <w:tab w:val="left" w:pos="1440"/>
      </w:tabs>
      <w:spacing w:after="120"/>
    </w:pPr>
  </w:style>
  <w:style w:type="paragraph" w:customStyle="1" w:styleId="CPHead1">
    <w:name w:val="CP Head 1"/>
    <w:basedOn w:val="Normal"/>
    <w:uiPriority w:val="59"/>
    <w:qFormat/>
    <w:rsid w:val="00933317"/>
    <w:pPr>
      <w:spacing w:before="1080" w:line="680" w:lineRule="exact"/>
      <w:jc w:val="right"/>
    </w:pPr>
    <w:rPr>
      <w:rFonts w:cs="Times New Roman (Body CS)"/>
      <w:b/>
      <w:color w:val="800014" w:themeColor="accent1"/>
      <w:sz w:val="34"/>
      <w:szCs w:val="56"/>
    </w:rPr>
  </w:style>
  <w:style w:type="paragraph" w:customStyle="1" w:styleId="CPHead2">
    <w:name w:val="CP Head 2"/>
    <w:basedOn w:val="Normal"/>
    <w:uiPriority w:val="59"/>
    <w:qFormat/>
    <w:rsid w:val="00B75E4C"/>
    <w:pPr>
      <w:spacing w:after="720" w:line="480" w:lineRule="exact"/>
      <w:jc w:val="right"/>
    </w:pPr>
    <w:rPr>
      <w:rFonts w:cs="Times New Roman (Body CS)"/>
      <w:color w:val="7F7F7F" w:themeColor="text1" w:themeTint="80"/>
      <w:sz w:val="30"/>
      <w:szCs w:val="40"/>
    </w:rPr>
  </w:style>
  <w:style w:type="paragraph" w:customStyle="1" w:styleId="CPHead3">
    <w:name w:val="CP Head 3"/>
    <w:basedOn w:val="Normal"/>
    <w:uiPriority w:val="59"/>
    <w:qFormat/>
    <w:rsid w:val="00AF011C"/>
    <w:pPr>
      <w:spacing w:line="500" w:lineRule="exact"/>
      <w:ind w:left="720" w:right="720"/>
    </w:pPr>
    <w:rPr>
      <w:rFonts w:cs="Times New Roman (Body CS)"/>
      <w:color w:val="000000" w:themeColor="text1"/>
      <w:sz w:val="30"/>
      <w:szCs w:val="36"/>
    </w:rPr>
  </w:style>
  <w:style w:type="paragraph" w:styleId="Date">
    <w:name w:val="Date"/>
    <w:basedOn w:val="Normal"/>
    <w:next w:val="Normal"/>
    <w:link w:val="DateChar"/>
    <w:uiPriority w:val="59"/>
    <w:qFormat/>
    <w:rsid w:val="00933317"/>
    <w:pPr>
      <w:spacing w:after="360" w:line="400" w:lineRule="exact"/>
      <w:jc w:val="right"/>
      <w:outlineLvl w:val="2"/>
    </w:pPr>
    <w:rPr>
      <w:rFonts w:ascii="Open Sans SemiBold" w:hAnsi="Open Sans SemiBold" w:cs="Times New Roman (Body CS)"/>
      <w:caps/>
      <w:color w:val="950514"/>
      <w:spacing w:val="80"/>
      <w:sz w:val="24"/>
    </w:rPr>
  </w:style>
  <w:style w:type="character" w:customStyle="1" w:styleId="DateChar">
    <w:name w:val="Date Char"/>
    <w:basedOn w:val="DefaultParagraphFont"/>
    <w:link w:val="Date"/>
    <w:uiPriority w:val="59"/>
    <w:rsid w:val="00933317"/>
    <w:rPr>
      <w:rFonts w:ascii="Open Sans SemiBold" w:hAnsi="Open Sans SemiBold" w:cs="Times New Roman (Body CS)"/>
      <w:caps/>
      <w:color w:val="950514"/>
      <w:spacing w:val="80"/>
      <w:sz w:val="24"/>
    </w:rPr>
  </w:style>
  <w:style w:type="paragraph" w:styleId="TOCHeading">
    <w:name w:val="TOC Heading"/>
    <w:basedOn w:val="Heading1"/>
    <w:next w:val="Normal"/>
    <w:uiPriority w:val="69"/>
    <w:semiHidden/>
    <w:rsid w:val="00E35E49"/>
    <w:pPr>
      <w:outlineLvl w:val="9"/>
    </w:pPr>
    <w:rPr>
      <w:rFonts w:cs="Times New Roman (Headings CS)"/>
      <w:sz w:val="28"/>
    </w:rPr>
  </w:style>
  <w:style w:type="character" w:styleId="Hyperlink">
    <w:name w:val="Hyperlink"/>
    <w:basedOn w:val="DefaultParagraphFont"/>
    <w:uiPriority w:val="99"/>
    <w:unhideWhenUsed/>
    <w:rsid w:val="000E0959"/>
    <w:rPr>
      <w:rFonts w:ascii="Open Sans" w:hAnsi="Open Sans"/>
      <w:b w:val="0"/>
      <w:i w:val="0"/>
      <w:color w:val="800014" w:themeColor="accent1"/>
      <w:spacing w:val="0"/>
      <w:w w:val="100"/>
      <w:position w:val="0"/>
      <w:sz w:val="20"/>
      <w:u w:val="single" w:color="800014" w:themeColor="accent1"/>
      <w14:ligatures w14:val="standard"/>
      <w14:numForm w14:val="default"/>
      <w14:numSpacing w14:val="default"/>
      <w14:stylisticSets/>
    </w:rPr>
  </w:style>
  <w:style w:type="table" w:styleId="TableGrid">
    <w:name w:val="Table Grid"/>
    <w:basedOn w:val="TableNormal"/>
    <w:uiPriority w:val="39"/>
    <w:rsid w:val="008231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PHead">
    <w:name w:val="TP Head"/>
    <w:basedOn w:val="Normal"/>
    <w:uiPriority w:val="63"/>
    <w:qFormat/>
    <w:rsid w:val="00B74C98"/>
    <w:pPr>
      <w:spacing w:line="600" w:lineRule="atLeast"/>
      <w:contextualSpacing/>
    </w:pPr>
    <w:rPr>
      <w:rFonts w:cs="Times New Roman (Body CS)"/>
      <w:b/>
      <w:color w:val="800014" w:themeColor="accent1"/>
      <w:sz w:val="34"/>
      <w:szCs w:val="48"/>
    </w:rPr>
  </w:style>
  <w:style w:type="paragraph" w:customStyle="1" w:styleId="TPClient">
    <w:name w:val="TP Client"/>
    <w:basedOn w:val="Normal"/>
    <w:uiPriority w:val="64"/>
    <w:qFormat/>
    <w:rsid w:val="00EC7686"/>
    <w:pPr>
      <w:spacing w:after="450" w:line="384" w:lineRule="exact"/>
    </w:pPr>
    <w:rPr>
      <w:rFonts w:cs="Times New Roman (Body CS)"/>
      <w:color w:val="4D4D4F"/>
      <w:sz w:val="24"/>
      <w:szCs w:val="32"/>
    </w:rPr>
  </w:style>
  <w:style w:type="paragraph" w:customStyle="1" w:styleId="TPInfo">
    <w:name w:val="TP Info"/>
    <w:basedOn w:val="Normal"/>
    <w:uiPriority w:val="65"/>
    <w:qFormat/>
    <w:rsid w:val="00BB2B5D"/>
    <w:pPr>
      <w:spacing w:after="160" w:line="224" w:lineRule="atLeast"/>
      <w:ind w:left="-6"/>
    </w:pPr>
    <w:rPr>
      <w:color w:val="000000" w:themeColor="text1"/>
      <w:sz w:val="18"/>
      <w:szCs w:val="18"/>
      <w14:textFill>
        <w14:solidFill>
          <w14:schemeClr w14:val="tx1">
            <w14:lumMod w14:val="85000"/>
            <w14:lumOff w14:val="15000"/>
            <w14:lumMod w14:val="85000"/>
            <w14:lumOff w14:val="15000"/>
          </w14:schemeClr>
        </w14:solidFill>
      </w14:textFill>
    </w:rPr>
  </w:style>
  <w:style w:type="paragraph" w:customStyle="1" w:styleId="Acknowledgments">
    <w:name w:val="Acknowledgments"/>
    <w:basedOn w:val="Normal"/>
    <w:uiPriority w:val="27"/>
    <w:qFormat/>
    <w:rsid w:val="00474B81"/>
    <w:pPr>
      <w:spacing w:after="180" w:line="320" w:lineRule="exact"/>
      <w:ind w:left="720" w:right="720"/>
    </w:pPr>
  </w:style>
  <w:style w:type="paragraph" w:styleId="EndnoteText">
    <w:name w:val="endnote text"/>
    <w:basedOn w:val="Normal"/>
    <w:link w:val="EndnoteTextChar"/>
    <w:uiPriority w:val="39"/>
    <w:rsid w:val="00BA65DC"/>
    <w:pPr>
      <w:tabs>
        <w:tab w:val="left" w:pos="288"/>
      </w:tabs>
      <w:spacing w:before="144" w:after="144" w:line="216" w:lineRule="exact"/>
      <w:ind w:left="288" w:hanging="288"/>
    </w:pPr>
    <w:rPr>
      <w:sz w:val="18"/>
      <w:szCs w:val="20"/>
    </w:rPr>
  </w:style>
  <w:style w:type="character" w:customStyle="1" w:styleId="EndnoteTextChar">
    <w:name w:val="Endnote Text Char"/>
    <w:basedOn w:val="DefaultParagraphFont"/>
    <w:link w:val="EndnoteText"/>
    <w:uiPriority w:val="39"/>
    <w:rsid w:val="00BA65DC"/>
    <w:rPr>
      <w:sz w:val="18"/>
      <w:szCs w:val="20"/>
    </w:rPr>
  </w:style>
  <w:style w:type="paragraph" w:styleId="FootnoteText">
    <w:name w:val="footnote text"/>
    <w:basedOn w:val="Normal"/>
    <w:link w:val="FootnoteTextChar"/>
    <w:uiPriority w:val="39"/>
    <w:rsid w:val="00BA65DC"/>
    <w:pPr>
      <w:spacing w:before="144" w:after="144" w:line="216" w:lineRule="exact"/>
      <w:ind w:left="288" w:hanging="288"/>
    </w:pPr>
    <w:rPr>
      <w:sz w:val="18"/>
      <w:szCs w:val="20"/>
    </w:rPr>
  </w:style>
  <w:style w:type="character" w:customStyle="1" w:styleId="FootnoteTextChar">
    <w:name w:val="Footnote Text Char"/>
    <w:basedOn w:val="DefaultParagraphFont"/>
    <w:link w:val="FootnoteText"/>
    <w:uiPriority w:val="39"/>
    <w:rsid w:val="00BA65DC"/>
    <w:rPr>
      <w:sz w:val="18"/>
      <w:szCs w:val="20"/>
    </w:rPr>
  </w:style>
  <w:style w:type="paragraph" w:customStyle="1" w:styleId="FigureCaption">
    <w:name w:val="Figure Caption"/>
    <w:basedOn w:val="Caption"/>
    <w:next w:val="BodyText"/>
    <w:uiPriority w:val="49"/>
    <w:qFormat/>
    <w:rsid w:val="009163AF"/>
    <w:pPr>
      <w:keepNext/>
      <w:keepLines/>
    </w:pPr>
    <w:rPr>
      <w:rFonts w:cs="Times New Roman (Body CS)"/>
      <w:sz w:val="18"/>
    </w:rPr>
  </w:style>
  <w:style w:type="paragraph" w:customStyle="1" w:styleId="TableCaption">
    <w:name w:val="Table Caption"/>
    <w:basedOn w:val="Caption"/>
    <w:next w:val="BodyText"/>
    <w:uiPriority w:val="49"/>
    <w:qFormat/>
    <w:rsid w:val="000B084D"/>
    <w:pPr>
      <w:keepNext/>
      <w:keepLines/>
      <w:spacing w:before="240"/>
    </w:pPr>
    <w:rPr>
      <w:sz w:val="18"/>
    </w:rPr>
  </w:style>
  <w:style w:type="character" w:styleId="FootnoteReference">
    <w:name w:val="footnote reference"/>
    <w:basedOn w:val="DefaultParagraphFont"/>
    <w:uiPriority w:val="99"/>
    <w:unhideWhenUsed/>
    <w:rsid w:val="00BA65DC"/>
    <w:rPr>
      <w:vertAlign w:val="superscript"/>
    </w:rPr>
  </w:style>
  <w:style w:type="character" w:styleId="EndnoteReference">
    <w:name w:val="endnote reference"/>
    <w:basedOn w:val="DefaultParagraphFont"/>
    <w:uiPriority w:val="99"/>
    <w:semiHidden/>
    <w:unhideWhenUsed/>
    <w:rsid w:val="000B760C"/>
    <w:rPr>
      <w:vertAlign w:val="superscript"/>
    </w:rPr>
  </w:style>
  <w:style w:type="paragraph" w:styleId="Bibliography">
    <w:name w:val="Bibliography"/>
    <w:basedOn w:val="Normal"/>
    <w:uiPriority w:val="37"/>
    <w:rsid w:val="00344AD9"/>
    <w:pPr>
      <w:spacing w:after="160" w:line="216" w:lineRule="exact"/>
    </w:pPr>
    <w:rPr>
      <w:sz w:val="18"/>
    </w:rPr>
  </w:style>
  <w:style w:type="paragraph" w:styleId="ListNumber">
    <w:name w:val="List Number"/>
    <w:basedOn w:val="Normal"/>
    <w:qFormat/>
    <w:rsid w:val="002965FE"/>
    <w:pPr>
      <w:numPr>
        <w:numId w:val="10"/>
      </w:numPr>
    </w:pPr>
  </w:style>
  <w:style w:type="table" w:customStyle="1" w:styleId="UMDIGray">
    <w:name w:val="UMDI_Gray"/>
    <w:basedOn w:val="TableNormal"/>
    <w:uiPriority w:val="99"/>
    <w:rsid w:val="006B0F4F"/>
    <w:pPr>
      <w:spacing w:before="40" w:after="40" w:line="240" w:lineRule="auto"/>
    </w:pPr>
    <w:rPr>
      <w:sz w:val="20"/>
    </w:rPr>
    <w:tblPr>
      <w:tblStyleRowBandSize w:val="1"/>
      <w:tblBorders>
        <w:top w:val="single" w:sz="8" w:space="0" w:color="9A9B9F"/>
        <w:left w:val="single" w:sz="8" w:space="0" w:color="9A9B9F"/>
        <w:bottom w:val="single" w:sz="8" w:space="0" w:color="9A9B9F"/>
        <w:right w:val="single" w:sz="8" w:space="0" w:color="9A9B9F"/>
        <w:insideH w:val="single" w:sz="8" w:space="0" w:color="9A9B9F"/>
        <w:insideV w:val="single" w:sz="8" w:space="0" w:color="9A9B9F"/>
      </w:tblBorders>
    </w:tblPr>
    <w:tcPr>
      <w:vAlign w:val="center"/>
    </w:tcPr>
    <w:tblStylePr w:type="firstRow">
      <w:pPr>
        <w:wordWrap/>
        <w:jc w:val="center"/>
      </w:pPr>
      <w:rPr>
        <w:b/>
        <w:color w:val="FFFFFF" w:themeColor="background1"/>
      </w:rPr>
      <w:tblPr/>
      <w:tcPr>
        <w:tcBorders>
          <w:top w:val="single" w:sz="8" w:space="0" w:color="9A9B9F"/>
          <w:left w:val="single" w:sz="8" w:space="0" w:color="9A9B9F"/>
          <w:bottom w:val="single" w:sz="8" w:space="0" w:color="9A9B9F"/>
          <w:right w:val="single" w:sz="8" w:space="0" w:color="9A9B9F"/>
          <w:insideH w:val="nil"/>
          <w:insideV w:val="single" w:sz="8" w:space="0" w:color="9A9B9F"/>
          <w:tl2br w:val="nil"/>
          <w:tr2bl w:val="nil"/>
        </w:tcBorders>
        <w:shd w:val="clear" w:color="auto" w:fill="6E6E70"/>
        <w:vAlign w:val="center"/>
      </w:tcPr>
    </w:tblStylePr>
    <w:tblStylePr w:type="firstCol">
      <w:pPr>
        <w:wordWrap/>
        <w:jc w:val="left"/>
      </w:pPr>
    </w:tblStylePr>
    <w:tblStylePr w:type="band1Horz">
      <w:pPr>
        <w:wordWrap/>
        <w:jc w:val="center"/>
      </w:pPr>
    </w:tblStylePr>
    <w:tblStylePr w:type="band2Horz">
      <w:pPr>
        <w:wordWrap/>
        <w:jc w:val="center"/>
      </w:pPr>
    </w:tblStylePr>
  </w:style>
  <w:style w:type="character" w:customStyle="1" w:styleId="Mention1">
    <w:name w:val="Mention1"/>
    <w:basedOn w:val="DefaultParagraphFont"/>
    <w:uiPriority w:val="99"/>
    <w:semiHidden/>
    <w:unhideWhenUsed/>
    <w:rsid w:val="00095FC3"/>
    <w:rPr>
      <w:color w:val="2B579A"/>
      <w:shd w:val="clear" w:color="auto" w:fill="E6E6E6"/>
    </w:rPr>
  </w:style>
  <w:style w:type="character" w:styleId="FollowedHyperlink">
    <w:name w:val="FollowedHyperlink"/>
    <w:basedOn w:val="DefaultParagraphFont"/>
    <w:uiPriority w:val="99"/>
    <w:rsid w:val="00CD4ECB"/>
    <w:rPr>
      <w:color w:val="800014" w:themeColor="accent1"/>
      <w:u w:val="none"/>
    </w:rPr>
  </w:style>
  <w:style w:type="paragraph" w:customStyle="1" w:styleId="SidebarText">
    <w:name w:val="Sidebar Text"/>
    <w:basedOn w:val="Normal"/>
    <w:uiPriority w:val="30"/>
    <w:qFormat/>
    <w:rsid w:val="00DB1F47"/>
    <w:pPr>
      <w:spacing w:after="144" w:line="240" w:lineRule="atLeast"/>
    </w:pPr>
  </w:style>
  <w:style w:type="table" w:customStyle="1" w:styleId="UMDIMaroon">
    <w:name w:val="UMDI_Maroon"/>
    <w:basedOn w:val="UMDIGray"/>
    <w:uiPriority w:val="99"/>
    <w:rsid w:val="006B0F4F"/>
    <w:tblPr/>
    <w:tblStylePr w:type="firstRow">
      <w:pPr>
        <w:wordWrap/>
        <w:jc w:val="center"/>
      </w:pPr>
      <w:rPr>
        <w:b/>
        <w:color w:val="FFFFFF" w:themeColor="background1"/>
      </w:rPr>
      <w:tblPr/>
      <w:tcPr>
        <w:tcBorders>
          <w:top w:val="single" w:sz="8" w:space="0" w:color="9A9B9F"/>
          <w:left w:val="single" w:sz="8" w:space="0" w:color="9A9B9F"/>
          <w:bottom w:val="single" w:sz="8" w:space="0" w:color="9A9B9F"/>
          <w:right w:val="single" w:sz="8" w:space="0" w:color="9A9B9F"/>
          <w:insideH w:val="single" w:sz="8" w:space="0" w:color="9A9B9F"/>
          <w:insideV w:val="single" w:sz="8" w:space="0" w:color="9A9B9F"/>
          <w:tl2br w:val="nil"/>
          <w:tr2bl w:val="nil"/>
        </w:tcBorders>
        <w:shd w:val="clear" w:color="auto" w:fill="800014" w:themeFill="accent1"/>
        <w:vAlign w:val="center"/>
      </w:tcPr>
    </w:tblStylePr>
    <w:tblStylePr w:type="firstCol">
      <w:pPr>
        <w:wordWrap/>
        <w:jc w:val="left"/>
      </w:pPr>
    </w:tblStylePr>
    <w:tblStylePr w:type="band1Horz">
      <w:pPr>
        <w:wordWrap/>
        <w:jc w:val="center"/>
      </w:pPr>
    </w:tblStylePr>
    <w:tblStylePr w:type="band2Horz">
      <w:pPr>
        <w:wordWrap/>
        <w:jc w:val="center"/>
      </w:pPr>
    </w:tblStylePr>
  </w:style>
  <w:style w:type="table" w:customStyle="1" w:styleId="UMDIMaroonBanded">
    <w:name w:val="UMDI_MaroonBanded"/>
    <w:basedOn w:val="UMDIMaroon"/>
    <w:uiPriority w:val="99"/>
    <w:rsid w:val="00EA237C"/>
    <w:tblPr/>
    <w:tblStylePr w:type="firstRow">
      <w:pPr>
        <w:wordWrap/>
        <w:jc w:val="center"/>
      </w:pPr>
      <w:rPr>
        <w:b/>
        <w:color w:val="FFFFFF" w:themeColor="background1"/>
      </w:rPr>
      <w:tblPr/>
      <w:tcPr>
        <w:tcBorders>
          <w:top w:val="single" w:sz="8" w:space="0" w:color="9A9B9F"/>
          <w:left w:val="single" w:sz="8" w:space="0" w:color="9A9B9F"/>
          <w:bottom w:val="single" w:sz="8" w:space="0" w:color="9A9B9F"/>
          <w:right w:val="single" w:sz="8" w:space="0" w:color="9A9B9F"/>
          <w:insideH w:val="single" w:sz="8" w:space="0" w:color="9A9B9F"/>
          <w:insideV w:val="single" w:sz="8" w:space="0" w:color="9A9B9F"/>
          <w:tl2br w:val="nil"/>
          <w:tr2bl w:val="nil"/>
        </w:tcBorders>
        <w:shd w:val="clear" w:color="auto" w:fill="800014" w:themeFill="accent1"/>
        <w:vAlign w:val="center"/>
      </w:tcPr>
    </w:tblStylePr>
    <w:tblStylePr w:type="firstCol">
      <w:pPr>
        <w:wordWrap/>
        <w:jc w:val="left"/>
      </w:pPr>
    </w:tblStylePr>
    <w:tblStylePr w:type="band1Horz">
      <w:pPr>
        <w:wordWrap/>
        <w:jc w:val="center"/>
      </w:pPr>
    </w:tblStylePr>
    <w:tblStylePr w:type="band2Horz">
      <w:pPr>
        <w:wordWrap/>
        <w:jc w:val="center"/>
      </w:pPr>
      <w:tblPr/>
      <w:tcPr>
        <w:shd w:val="clear" w:color="auto" w:fill="EAEAEA" w:themeFill="background2"/>
      </w:tcPr>
    </w:tblStylePr>
  </w:style>
  <w:style w:type="paragraph" w:styleId="TOC5">
    <w:name w:val="toc 5"/>
    <w:basedOn w:val="Normal"/>
    <w:next w:val="Normal"/>
    <w:autoRedefine/>
    <w:uiPriority w:val="39"/>
    <w:rsid w:val="00AE67B1"/>
    <w:pPr>
      <w:tabs>
        <w:tab w:val="right" w:leader="dot" w:pos="9360"/>
      </w:tabs>
      <w:spacing w:after="100"/>
      <w:ind w:left="720"/>
    </w:pPr>
    <w:rPr>
      <w:rFonts w:cs="Open Sans"/>
      <w:noProof/>
      <w:sz w:val="24"/>
      <w:szCs w:val="20"/>
    </w:rPr>
  </w:style>
  <w:style w:type="character" w:customStyle="1" w:styleId="A2">
    <w:name w:val="A2"/>
    <w:uiPriority w:val="99"/>
    <w:rsid w:val="00603E40"/>
    <w:rPr>
      <w:color w:val="1F5D9F"/>
      <w:u w:val="single"/>
    </w:rPr>
  </w:style>
  <w:style w:type="paragraph" w:styleId="DocumentMap">
    <w:name w:val="Document Map"/>
    <w:basedOn w:val="Normal"/>
    <w:link w:val="DocumentMapChar"/>
    <w:autoRedefine/>
    <w:uiPriority w:val="99"/>
    <w:unhideWhenUsed/>
    <w:rsid w:val="00A40478"/>
    <w:pPr>
      <w:spacing w:after="0" w:line="240" w:lineRule="auto"/>
    </w:pPr>
    <w:rPr>
      <w:sz w:val="18"/>
      <w:szCs w:val="26"/>
    </w:rPr>
  </w:style>
  <w:style w:type="character" w:customStyle="1" w:styleId="DocumentMapChar">
    <w:name w:val="Document Map Char"/>
    <w:basedOn w:val="DefaultParagraphFont"/>
    <w:link w:val="DocumentMap"/>
    <w:uiPriority w:val="99"/>
    <w:rsid w:val="00A40478"/>
    <w:rPr>
      <w:rFonts w:ascii="Open Sans" w:hAnsi="Open Sans"/>
      <w:sz w:val="18"/>
      <w:szCs w:val="26"/>
    </w:rPr>
  </w:style>
  <w:style w:type="paragraph" w:customStyle="1" w:styleId="BasicParagraph">
    <w:name w:val="[Basic Paragraph]"/>
    <w:basedOn w:val="Normal"/>
    <w:uiPriority w:val="99"/>
    <w:rsid w:val="0056508B"/>
    <w:pPr>
      <w:autoSpaceDE w:val="0"/>
      <w:autoSpaceDN w:val="0"/>
      <w:adjustRightInd w:val="0"/>
      <w:spacing w:after="0" w:line="288" w:lineRule="auto"/>
      <w:textAlignment w:val="center"/>
    </w:pPr>
    <w:rPr>
      <w:rFonts w:ascii="Minion Pro" w:hAnsi="Minion Pro" w:cs="Minion Pro"/>
      <w:color w:val="000000"/>
      <w:sz w:val="24"/>
      <w:szCs w:val="24"/>
    </w:rPr>
  </w:style>
  <w:style w:type="character" w:styleId="UnresolvedMention">
    <w:name w:val="Unresolved Mention"/>
    <w:basedOn w:val="DefaultParagraphFont"/>
    <w:uiPriority w:val="99"/>
    <w:semiHidden/>
    <w:unhideWhenUsed/>
    <w:rsid w:val="00A400A3"/>
    <w:rPr>
      <w:color w:val="605E5C"/>
      <w:shd w:val="clear" w:color="auto" w:fill="E1DFDD"/>
    </w:rPr>
  </w:style>
  <w:style w:type="character" w:styleId="PageNumber">
    <w:name w:val="page number"/>
    <w:basedOn w:val="DefaultParagraphFont"/>
    <w:uiPriority w:val="99"/>
    <w:unhideWhenUsed/>
    <w:rsid w:val="00F171E4"/>
    <w:rPr>
      <w:rFonts w:ascii="Open Sans" w:hAnsi="Open Sans"/>
      <w:b/>
      <w:color w:val="881C1C"/>
      <w:sz w:val="18"/>
      <w:u w:val="none"/>
    </w:rPr>
  </w:style>
  <w:style w:type="paragraph" w:styleId="BodyText2">
    <w:name w:val="Body Text 2"/>
    <w:basedOn w:val="Normal"/>
    <w:link w:val="BodyText2Char"/>
    <w:uiPriority w:val="99"/>
    <w:unhideWhenUsed/>
    <w:rsid w:val="003377DB"/>
    <w:pPr>
      <w:spacing w:after="120" w:line="480" w:lineRule="auto"/>
    </w:pPr>
  </w:style>
  <w:style w:type="character" w:customStyle="1" w:styleId="BodyText2Char">
    <w:name w:val="Body Text 2 Char"/>
    <w:basedOn w:val="DefaultParagraphFont"/>
    <w:link w:val="BodyText2"/>
    <w:uiPriority w:val="99"/>
    <w:rsid w:val="003377DB"/>
    <w:rPr>
      <w:rFonts w:ascii="Open Sans" w:hAnsi="Open Sans"/>
      <w:sz w:val="20"/>
    </w:rPr>
  </w:style>
  <w:style w:type="paragraph" w:styleId="BodyText3">
    <w:name w:val="Body Text 3"/>
    <w:basedOn w:val="Normal"/>
    <w:link w:val="BodyText3Char"/>
    <w:uiPriority w:val="99"/>
    <w:unhideWhenUsed/>
    <w:rsid w:val="003377DB"/>
    <w:pPr>
      <w:spacing w:after="120"/>
    </w:pPr>
    <w:rPr>
      <w:sz w:val="16"/>
      <w:szCs w:val="16"/>
    </w:rPr>
  </w:style>
  <w:style w:type="character" w:customStyle="1" w:styleId="BodyText3Char">
    <w:name w:val="Body Text 3 Char"/>
    <w:basedOn w:val="DefaultParagraphFont"/>
    <w:link w:val="BodyText3"/>
    <w:uiPriority w:val="99"/>
    <w:rsid w:val="003377DB"/>
    <w:rPr>
      <w:rFonts w:ascii="Open Sans" w:hAnsi="Open Sans"/>
      <w:sz w:val="16"/>
      <w:szCs w:val="16"/>
    </w:rPr>
  </w:style>
  <w:style w:type="paragraph" w:styleId="BodyTextFirstIndent">
    <w:name w:val="Body Text First Indent"/>
    <w:basedOn w:val="BodyText"/>
    <w:link w:val="BodyTextFirstIndentChar"/>
    <w:uiPriority w:val="99"/>
    <w:unhideWhenUsed/>
    <w:rsid w:val="003377DB"/>
    <w:pPr>
      <w:spacing w:line="300" w:lineRule="atLeast"/>
      <w:ind w:firstLine="360"/>
      <w:contextualSpacing w:val="0"/>
    </w:pPr>
    <w:rPr>
      <w:color w:val="auto"/>
    </w:rPr>
  </w:style>
  <w:style w:type="character" w:customStyle="1" w:styleId="BodyTextFirstIndentChar">
    <w:name w:val="Body Text First Indent Char"/>
    <w:basedOn w:val="BodyTextChar"/>
    <w:link w:val="BodyTextFirstIndent"/>
    <w:uiPriority w:val="99"/>
    <w:rsid w:val="003377DB"/>
    <w:rPr>
      <w:rFonts w:ascii="Open Sans" w:hAnsi="Open Sans"/>
      <w:color w:val="000000" w:themeColor="text1"/>
      <w:sz w:val="20"/>
    </w:rPr>
  </w:style>
  <w:style w:type="paragraph" w:styleId="BodyTextIndent">
    <w:name w:val="Body Text Indent"/>
    <w:basedOn w:val="Normal"/>
    <w:link w:val="BodyTextIndentChar"/>
    <w:uiPriority w:val="99"/>
    <w:unhideWhenUsed/>
    <w:rsid w:val="003377DB"/>
    <w:pPr>
      <w:spacing w:after="120"/>
      <w:ind w:left="360"/>
    </w:pPr>
  </w:style>
  <w:style w:type="character" w:customStyle="1" w:styleId="BodyTextIndentChar">
    <w:name w:val="Body Text Indent Char"/>
    <w:basedOn w:val="DefaultParagraphFont"/>
    <w:link w:val="BodyTextIndent"/>
    <w:uiPriority w:val="99"/>
    <w:rsid w:val="003377DB"/>
    <w:rPr>
      <w:rFonts w:ascii="Open Sans" w:hAnsi="Open Sans"/>
      <w:sz w:val="20"/>
    </w:rPr>
  </w:style>
  <w:style w:type="paragraph" w:styleId="BodyTextFirstIndent2">
    <w:name w:val="Body Text First Indent 2"/>
    <w:basedOn w:val="BodyTextIndent"/>
    <w:link w:val="BodyTextFirstIndent2Char"/>
    <w:uiPriority w:val="99"/>
    <w:unhideWhenUsed/>
    <w:rsid w:val="003377DB"/>
    <w:pPr>
      <w:spacing w:after="240"/>
      <w:ind w:firstLine="360"/>
    </w:pPr>
  </w:style>
  <w:style w:type="character" w:customStyle="1" w:styleId="BodyTextFirstIndent2Char">
    <w:name w:val="Body Text First Indent 2 Char"/>
    <w:basedOn w:val="BodyTextIndentChar"/>
    <w:link w:val="BodyTextFirstIndent2"/>
    <w:uiPriority w:val="99"/>
    <w:rsid w:val="003377DB"/>
    <w:rPr>
      <w:rFonts w:ascii="Open Sans" w:hAnsi="Open Sans"/>
      <w:sz w:val="20"/>
    </w:rPr>
  </w:style>
  <w:style w:type="paragraph" w:styleId="BodyTextIndent2">
    <w:name w:val="Body Text Indent 2"/>
    <w:aliases w:val="Body Text Indent wide spacing"/>
    <w:basedOn w:val="Normal"/>
    <w:link w:val="BodyTextIndent2Char"/>
    <w:uiPriority w:val="99"/>
    <w:unhideWhenUsed/>
    <w:rsid w:val="003377DB"/>
    <w:pPr>
      <w:spacing w:after="120" w:line="480" w:lineRule="auto"/>
      <w:ind w:left="360"/>
    </w:pPr>
  </w:style>
  <w:style w:type="character" w:customStyle="1" w:styleId="BodyTextIndent2Char">
    <w:name w:val="Body Text Indent 2 Char"/>
    <w:aliases w:val="Body Text Indent wide spacing Char"/>
    <w:basedOn w:val="DefaultParagraphFont"/>
    <w:link w:val="BodyTextIndent2"/>
    <w:uiPriority w:val="99"/>
    <w:rsid w:val="003377DB"/>
    <w:rPr>
      <w:rFonts w:ascii="Open Sans" w:hAnsi="Open Sans"/>
      <w:sz w:val="20"/>
    </w:rPr>
  </w:style>
  <w:style w:type="paragraph" w:styleId="BodyTextIndent3">
    <w:name w:val="Body Text Indent 3"/>
    <w:basedOn w:val="Normal"/>
    <w:link w:val="BodyTextIndent3Char"/>
    <w:uiPriority w:val="99"/>
    <w:unhideWhenUsed/>
    <w:rsid w:val="003377DB"/>
    <w:pPr>
      <w:spacing w:after="120"/>
      <w:ind w:left="360"/>
    </w:pPr>
    <w:rPr>
      <w:sz w:val="16"/>
      <w:szCs w:val="16"/>
    </w:rPr>
  </w:style>
  <w:style w:type="character" w:customStyle="1" w:styleId="BodyTextIndent3Char">
    <w:name w:val="Body Text Indent 3 Char"/>
    <w:basedOn w:val="DefaultParagraphFont"/>
    <w:link w:val="BodyTextIndent3"/>
    <w:uiPriority w:val="99"/>
    <w:rsid w:val="003377DB"/>
    <w:rPr>
      <w:rFonts w:ascii="Open Sans" w:hAnsi="Open Sans"/>
      <w:sz w:val="16"/>
      <w:szCs w:val="16"/>
    </w:rPr>
  </w:style>
  <w:style w:type="character" w:customStyle="1" w:styleId="Heading7Char">
    <w:name w:val="Heading 7 Char"/>
    <w:basedOn w:val="DefaultParagraphFont"/>
    <w:link w:val="Heading7"/>
    <w:uiPriority w:val="9"/>
    <w:semiHidden/>
    <w:rsid w:val="00981AD5"/>
    <w:rPr>
      <w:rFonts w:ascii="Open Sans" w:eastAsiaTheme="majorEastAsia" w:hAnsi="Open Sans" w:cstheme="majorBidi"/>
      <w:b/>
      <w:iCs/>
      <w:color w:val="808080" w:themeColor="background1" w:themeShade="80"/>
      <w:sz w:val="20"/>
    </w:rPr>
  </w:style>
  <w:style w:type="character" w:customStyle="1" w:styleId="Heading8Char">
    <w:name w:val="Heading 8 Char"/>
    <w:basedOn w:val="DefaultParagraphFont"/>
    <w:link w:val="Heading8"/>
    <w:uiPriority w:val="9"/>
    <w:rsid w:val="00046E68"/>
    <w:rPr>
      <w:rFonts w:ascii="Open Sans" w:eastAsiaTheme="majorEastAsia" w:hAnsi="Open Sans" w:cs="Times New Roman (Headings CS)"/>
      <w:b/>
      <w:color w:val="A6A6A6" w:themeColor="background1" w:themeShade="A6"/>
      <w:sz w:val="20"/>
      <w:szCs w:val="21"/>
    </w:rPr>
  </w:style>
  <w:style w:type="character" w:customStyle="1" w:styleId="Heading9Char">
    <w:name w:val="Heading 9 Char"/>
    <w:basedOn w:val="DefaultParagraphFont"/>
    <w:link w:val="Heading9"/>
    <w:uiPriority w:val="9"/>
    <w:rsid w:val="00981AD5"/>
    <w:rPr>
      <w:rFonts w:asciiTheme="majorHAnsi" w:eastAsiaTheme="majorEastAsia" w:hAnsiTheme="majorHAnsi" w:cstheme="majorBidi"/>
      <w:i/>
      <w:iCs/>
      <w:color w:val="272727" w:themeColor="text1" w:themeTint="D8"/>
      <w:sz w:val="21"/>
      <w:szCs w:val="21"/>
    </w:rPr>
  </w:style>
  <w:style w:type="paragraph" w:customStyle="1" w:styleId="TPsubtitle">
    <w:name w:val="TP subtitle"/>
    <w:basedOn w:val="TPHead"/>
    <w:uiPriority w:val="49"/>
    <w:qFormat/>
    <w:rsid w:val="00981AD5"/>
    <w:rPr>
      <w:b w:val="0"/>
    </w:rPr>
  </w:style>
  <w:style w:type="paragraph" w:customStyle="1" w:styleId="TableTextHeaderRow">
    <w:name w:val="Table Text Header Row"/>
    <w:basedOn w:val="Normal"/>
    <w:uiPriority w:val="49"/>
    <w:qFormat/>
    <w:rsid w:val="00292C1D"/>
    <w:pPr>
      <w:spacing w:after="120" w:line="240" w:lineRule="auto"/>
      <w:jc w:val="center"/>
    </w:pPr>
    <w:rPr>
      <w:rFonts w:ascii="Open Sans SemiBold" w:hAnsi="Open Sans SemiBold" w:cs="Times New Roman (Body CS)"/>
      <w:b/>
      <w:bCs/>
      <w:sz w:val="16"/>
    </w:rPr>
  </w:style>
  <w:style w:type="table" w:customStyle="1" w:styleId="Style1">
    <w:name w:val="Style1"/>
    <w:basedOn w:val="TableNormal"/>
    <w:uiPriority w:val="99"/>
    <w:rsid w:val="00D7439A"/>
    <w:pPr>
      <w:spacing w:after="0" w:line="240" w:lineRule="auto"/>
    </w:pPr>
    <w:rPr>
      <w:rFonts w:ascii="Open Sans SemiBold" w:hAnsi="Open Sans SemiBold" w:cs="Times New Roman (Body CS)"/>
      <w:sz w:val="20"/>
    </w:rPr>
    <w:tblPr/>
  </w:style>
  <w:style w:type="table" w:styleId="TableGridLight">
    <w:name w:val="Grid Table Light"/>
    <w:basedOn w:val="TableNormal"/>
    <w:uiPriority w:val="40"/>
    <w:rsid w:val="006B505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IntenseQuote">
    <w:name w:val="Intense Quote"/>
    <w:basedOn w:val="Normal"/>
    <w:next w:val="Normal"/>
    <w:link w:val="IntenseQuoteChar"/>
    <w:autoRedefine/>
    <w:uiPriority w:val="30"/>
    <w:semiHidden/>
    <w:qFormat/>
    <w:rsid w:val="005525F2"/>
    <w:pPr>
      <w:pBdr>
        <w:top w:val="single" w:sz="4" w:space="10" w:color="800014" w:themeColor="accent1"/>
        <w:bottom w:val="single" w:sz="4" w:space="10" w:color="800014" w:themeColor="accent1"/>
      </w:pBdr>
      <w:spacing w:before="240"/>
      <w:ind w:left="864" w:right="864"/>
      <w:jc w:val="center"/>
    </w:pPr>
    <w:rPr>
      <w:rFonts w:cs="Times New Roman (Body CS)"/>
      <w:i/>
      <w:iCs/>
      <w:color w:val="800014" w:themeColor="accent1"/>
      <w:sz w:val="22"/>
    </w:rPr>
  </w:style>
  <w:style w:type="character" w:customStyle="1" w:styleId="IntenseQuoteChar">
    <w:name w:val="Intense Quote Char"/>
    <w:basedOn w:val="DefaultParagraphFont"/>
    <w:link w:val="IntenseQuote"/>
    <w:uiPriority w:val="30"/>
    <w:semiHidden/>
    <w:rsid w:val="005525F2"/>
    <w:rPr>
      <w:rFonts w:ascii="Open Sans" w:hAnsi="Open Sans" w:cs="Times New Roman (Body CS)"/>
      <w:i/>
      <w:iCs/>
      <w:color w:val="800014" w:themeColor="accent1"/>
    </w:rPr>
  </w:style>
  <w:style w:type="paragraph" w:customStyle="1" w:styleId="TPsubhead">
    <w:name w:val="TP subhead"/>
    <w:basedOn w:val="TPHead"/>
    <w:uiPriority w:val="49"/>
    <w:qFormat/>
    <w:rsid w:val="001A718F"/>
    <w:rPr>
      <w:b w:val="0"/>
      <w:bCs/>
      <w:color w:val="000000" w:themeColor="text1"/>
      <w:sz w:val="30"/>
      <w:szCs w:val="30"/>
      <w14:textFill>
        <w14:solidFill>
          <w14:schemeClr w14:val="tx1">
            <w14:lumMod w14:val="50000"/>
            <w14:lumOff w14:val="50000"/>
            <w14:lumMod w14:val="50000"/>
            <w14:lumOff w14:val="50000"/>
          </w14:schemeClr>
        </w14:solidFill>
      </w14:textFill>
    </w:rPr>
  </w:style>
  <w:style w:type="character" w:styleId="Strong">
    <w:name w:val="Strong"/>
    <w:basedOn w:val="DefaultParagraphFont"/>
    <w:qFormat/>
    <w:rsid w:val="00110ECB"/>
    <w:rPr>
      <w:b/>
      <w:bCs/>
    </w:rPr>
  </w:style>
  <w:style w:type="character" w:styleId="IntenseReference">
    <w:name w:val="Intense Reference"/>
    <w:basedOn w:val="DefaultParagraphFont"/>
    <w:uiPriority w:val="32"/>
    <w:semiHidden/>
    <w:qFormat/>
    <w:rsid w:val="005A3C72"/>
    <w:rPr>
      <w:b/>
      <w:bCs/>
      <w:smallCaps/>
      <w:color w:val="800014" w:themeColor="accent1"/>
      <w:spacing w:val="5"/>
    </w:rPr>
  </w:style>
  <w:style w:type="paragraph" w:styleId="TOC4">
    <w:name w:val="toc 4"/>
    <w:basedOn w:val="Normal"/>
    <w:next w:val="Normal"/>
    <w:autoRedefine/>
    <w:uiPriority w:val="39"/>
    <w:semiHidden/>
    <w:rsid w:val="005A3C72"/>
    <w:pPr>
      <w:spacing w:after="100"/>
      <w:ind w:left="600"/>
    </w:pPr>
  </w:style>
  <w:style w:type="paragraph" w:styleId="TOC6">
    <w:name w:val="toc 6"/>
    <w:basedOn w:val="Normal"/>
    <w:next w:val="Normal"/>
    <w:autoRedefine/>
    <w:uiPriority w:val="39"/>
    <w:unhideWhenUsed/>
    <w:rsid w:val="005A3C72"/>
    <w:pPr>
      <w:spacing w:after="100"/>
      <w:ind w:left="1000"/>
    </w:pPr>
  </w:style>
  <w:style w:type="paragraph" w:styleId="TOC7">
    <w:name w:val="toc 7"/>
    <w:basedOn w:val="Normal"/>
    <w:next w:val="Normal"/>
    <w:autoRedefine/>
    <w:uiPriority w:val="39"/>
    <w:unhideWhenUsed/>
    <w:rsid w:val="005A3C72"/>
    <w:pPr>
      <w:spacing w:after="100"/>
      <w:ind w:left="1200"/>
    </w:pPr>
  </w:style>
  <w:style w:type="paragraph" w:styleId="TOC8">
    <w:name w:val="toc 8"/>
    <w:basedOn w:val="Normal"/>
    <w:next w:val="Normal"/>
    <w:autoRedefine/>
    <w:uiPriority w:val="39"/>
    <w:unhideWhenUsed/>
    <w:rsid w:val="005A3C72"/>
    <w:pPr>
      <w:spacing w:after="100"/>
      <w:ind w:left="1400"/>
    </w:pPr>
  </w:style>
  <w:style w:type="paragraph" w:styleId="TOC9">
    <w:name w:val="toc 9"/>
    <w:basedOn w:val="Normal"/>
    <w:next w:val="Normal"/>
    <w:autoRedefine/>
    <w:uiPriority w:val="39"/>
    <w:unhideWhenUsed/>
    <w:rsid w:val="005A3C72"/>
    <w:pPr>
      <w:spacing w:after="100"/>
      <w:ind w:left="1600"/>
    </w:pPr>
  </w:style>
  <w:style w:type="paragraph" w:styleId="Revision">
    <w:name w:val="Revision"/>
    <w:hidden/>
    <w:uiPriority w:val="99"/>
    <w:semiHidden/>
    <w:rsid w:val="004A4F49"/>
    <w:pPr>
      <w:spacing w:after="0" w:line="240" w:lineRule="auto"/>
    </w:pPr>
    <w:rPr>
      <w:rFonts w:ascii="Open Sans" w:hAnsi="Open Sans"/>
      <w:sz w:val="20"/>
    </w:rPr>
  </w:style>
  <w:style w:type="character" w:styleId="CommentReference">
    <w:name w:val="annotation reference"/>
    <w:basedOn w:val="DefaultParagraphFont"/>
    <w:uiPriority w:val="99"/>
    <w:unhideWhenUsed/>
    <w:rsid w:val="00F2779E"/>
    <w:rPr>
      <w:sz w:val="16"/>
      <w:szCs w:val="16"/>
    </w:rPr>
  </w:style>
  <w:style w:type="paragraph" w:styleId="CommentText">
    <w:name w:val="annotation text"/>
    <w:basedOn w:val="Normal"/>
    <w:link w:val="CommentTextChar"/>
    <w:uiPriority w:val="99"/>
    <w:unhideWhenUsed/>
    <w:rsid w:val="00F2779E"/>
    <w:pPr>
      <w:spacing w:after="160" w:line="240" w:lineRule="auto"/>
    </w:pPr>
    <w:rPr>
      <w:rFonts w:asciiTheme="minorHAnsi" w:hAnsiTheme="minorHAnsi"/>
      <w:kern w:val="2"/>
      <w:szCs w:val="20"/>
      <w14:ligatures w14:val="standardContextual"/>
    </w:rPr>
  </w:style>
  <w:style w:type="character" w:customStyle="1" w:styleId="CommentTextChar">
    <w:name w:val="Comment Text Char"/>
    <w:basedOn w:val="DefaultParagraphFont"/>
    <w:link w:val="CommentText"/>
    <w:uiPriority w:val="99"/>
    <w:rsid w:val="00F2779E"/>
    <w:rPr>
      <w:kern w:val="2"/>
      <w:sz w:val="20"/>
      <w:szCs w:val="20"/>
      <w14:ligatures w14:val="standardContextual"/>
    </w:rPr>
  </w:style>
  <w:style w:type="paragraph" w:styleId="ListParagraph">
    <w:name w:val="List Paragraph"/>
    <w:basedOn w:val="Normal"/>
    <w:link w:val="ListParagraphChar"/>
    <w:uiPriority w:val="34"/>
    <w:qFormat/>
    <w:rsid w:val="00F2779E"/>
    <w:pPr>
      <w:spacing w:line="270" w:lineRule="atLeast"/>
      <w:ind w:left="720"/>
      <w:contextualSpacing/>
    </w:pPr>
    <w:rPr>
      <w:rFonts w:asciiTheme="minorHAnsi" w:hAnsiTheme="minorHAnsi"/>
      <w:sz w:val="22"/>
      <w14:ligatures w14:val="standardContextual"/>
    </w:rPr>
  </w:style>
  <w:style w:type="character" w:customStyle="1" w:styleId="ListParagraphChar">
    <w:name w:val="List Paragraph Char"/>
    <w:basedOn w:val="DefaultParagraphFont"/>
    <w:link w:val="ListParagraph"/>
    <w:uiPriority w:val="34"/>
    <w:locked/>
    <w:rsid w:val="00F2779E"/>
    <w:rPr>
      <w14:ligatures w14:val="standardContextual"/>
    </w:rPr>
  </w:style>
  <w:style w:type="table" w:styleId="PlainTable2">
    <w:name w:val="Plain Table 2"/>
    <w:basedOn w:val="TableNormal"/>
    <w:uiPriority w:val="42"/>
    <w:rsid w:val="00F2779E"/>
    <w:pPr>
      <w:spacing w:after="0" w:line="240" w:lineRule="auto"/>
    </w:pPr>
    <w:rPr>
      <w:kern w:val="2"/>
      <w14:ligatures w14:val="standardContextual"/>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Mention">
    <w:name w:val="Mention"/>
    <w:basedOn w:val="DefaultParagraphFont"/>
    <w:uiPriority w:val="99"/>
    <w:unhideWhenUsed/>
    <w:rsid w:val="00490A50"/>
    <w:rPr>
      <w:color w:val="2B579A"/>
      <w:shd w:val="clear" w:color="auto" w:fill="E6E6E6"/>
    </w:rPr>
  </w:style>
  <w:style w:type="paragraph" w:styleId="CommentSubject">
    <w:name w:val="annotation subject"/>
    <w:basedOn w:val="CommentText"/>
    <w:next w:val="CommentText"/>
    <w:link w:val="CommentSubjectChar"/>
    <w:uiPriority w:val="99"/>
    <w:semiHidden/>
    <w:unhideWhenUsed/>
    <w:rsid w:val="00490A50"/>
    <w:pPr>
      <w:spacing w:after="240"/>
    </w:pPr>
    <w:rPr>
      <w:b/>
      <w:bCs/>
      <w:kern w:val="0"/>
      <w14:ligatures w14:val="none"/>
    </w:rPr>
  </w:style>
  <w:style w:type="character" w:customStyle="1" w:styleId="CommentSubjectChar">
    <w:name w:val="Comment Subject Char"/>
    <w:basedOn w:val="CommentTextChar"/>
    <w:link w:val="CommentSubject"/>
    <w:uiPriority w:val="99"/>
    <w:semiHidden/>
    <w:rsid w:val="00490A50"/>
    <w:rPr>
      <w:b/>
      <w:bCs/>
      <w:kern w:val="2"/>
      <w:sz w:val="20"/>
      <w:szCs w:val="20"/>
      <w14:ligatures w14:val="standardContextual"/>
    </w:rPr>
  </w:style>
  <w:style w:type="table" w:styleId="PlainTable4">
    <w:name w:val="Plain Table 4"/>
    <w:basedOn w:val="TableNormal"/>
    <w:uiPriority w:val="44"/>
    <w:rsid w:val="009F1CAE"/>
    <w:pPr>
      <w:spacing w:after="0" w:line="240" w:lineRule="auto"/>
    </w:pPr>
    <w:rPr>
      <w:kern w:val="2"/>
      <w14:ligatures w14:val="standardContextual"/>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483579">
      <w:bodyDiv w:val="1"/>
      <w:marLeft w:val="0"/>
      <w:marRight w:val="0"/>
      <w:marTop w:val="0"/>
      <w:marBottom w:val="0"/>
      <w:divBdr>
        <w:top w:val="none" w:sz="0" w:space="0" w:color="auto"/>
        <w:left w:val="none" w:sz="0" w:space="0" w:color="auto"/>
        <w:bottom w:val="none" w:sz="0" w:space="0" w:color="auto"/>
        <w:right w:val="none" w:sz="0" w:space="0" w:color="auto"/>
      </w:divBdr>
    </w:div>
    <w:div w:id="165554320">
      <w:bodyDiv w:val="1"/>
      <w:marLeft w:val="0"/>
      <w:marRight w:val="0"/>
      <w:marTop w:val="0"/>
      <w:marBottom w:val="0"/>
      <w:divBdr>
        <w:top w:val="none" w:sz="0" w:space="0" w:color="auto"/>
        <w:left w:val="none" w:sz="0" w:space="0" w:color="auto"/>
        <w:bottom w:val="none" w:sz="0" w:space="0" w:color="auto"/>
        <w:right w:val="none" w:sz="0" w:space="0" w:color="auto"/>
      </w:divBdr>
    </w:div>
    <w:div w:id="178199592">
      <w:bodyDiv w:val="1"/>
      <w:marLeft w:val="0"/>
      <w:marRight w:val="0"/>
      <w:marTop w:val="0"/>
      <w:marBottom w:val="0"/>
      <w:divBdr>
        <w:top w:val="none" w:sz="0" w:space="0" w:color="auto"/>
        <w:left w:val="none" w:sz="0" w:space="0" w:color="auto"/>
        <w:bottom w:val="none" w:sz="0" w:space="0" w:color="auto"/>
        <w:right w:val="none" w:sz="0" w:space="0" w:color="auto"/>
      </w:divBdr>
    </w:div>
    <w:div w:id="239875446">
      <w:bodyDiv w:val="1"/>
      <w:marLeft w:val="0"/>
      <w:marRight w:val="0"/>
      <w:marTop w:val="0"/>
      <w:marBottom w:val="0"/>
      <w:divBdr>
        <w:top w:val="none" w:sz="0" w:space="0" w:color="auto"/>
        <w:left w:val="none" w:sz="0" w:space="0" w:color="auto"/>
        <w:bottom w:val="none" w:sz="0" w:space="0" w:color="auto"/>
        <w:right w:val="none" w:sz="0" w:space="0" w:color="auto"/>
      </w:divBdr>
    </w:div>
    <w:div w:id="244847548">
      <w:bodyDiv w:val="1"/>
      <w:marLeft w:val="0"/>
      <w:marRight w:val="0"/>
      <w:marTop w:val="0"/>
      <w:marBottom w:val="0"/>
      <w:divBdr>
        <w:top w:val="none" w:sz="0" w:space="0" w:color="auto"/>
        <w:left w:val="none" w:sz="0" w:space="0" w:color="auto"/>
        <w:bottom w:val="none" w:sz="0" w:space="0" w:color="auto"/>
        <w:right w:val="none" w:sz="0" w:space="0" w:color="auto"/>
      </w:divBdr>
    </w:div>
    <w:div w:id="525171170">
      <w:bodyDiv w:val="1"/>
      <w:marLeft w:val="0"/>
      <w:marRight w:val="0"/>
      <w:marTop w:val="0"/>
      <w:marBottom w:val="0"/>
      <w:divBdr>
        <w:top w:val="none" w:sz="0" w:space="0" w:color="auto"/>
        <w:left w:val="none" w:sz="0" w:space="0" w:color="auto"/>
        <w:bottom w:val="none" w:sz="0" w:space="0" w:color="auto"/>
        <w:right w:val="none" w:sz="0" w:space="0" w:color="auto"/>
      </w:divBdr>
    </w:div>
    <w:div w:id="561789924">
      <w:bodyDiv w:val="1"/>
      <w:marLeft w:val="0"/>
      <w:marRight w:val="0"/>
      <w:marTop w:val="0"/>
      <w:marBottom w:val="0"/>
      <w:divBdr>
        <w:top w:val="none" w:sz="0" w:space="0" w:color="auto"/>
        <w:left w:val="none" w:sz="0" w:space="0" w:color="auto"/>
        <w:bottom w:val="none" w:sz="0" w:space="0" w:color="auto"/>
        <w:right w:val="none" w:sz="0" w:space="0" w:color="auto"/>
      </w:divBdr>
    </w:div>
    <w:div w:id="823277428">
      <w:bodyDiv w:val="1"/>
      <w:marLeft w:val="0"/>
      <w:marRight w:val="0"/>
      <w:marTop w:val="0"/>
      <w:marBottom w:val="0"/>
      <w:divBdr>
        <w:top w:val="none" w:sz="0" w:space="0" w:color="auto"/>
        <w:left w:val="none" w:sz="0" w:space="0" w:color="auto"/>
        <w:bottom w:val="none" w:sz="0" w:space="0" w:color="auto"/>
        <w:right w:val="none" w:sz="0" w:space="0" w:color="auto"/>
      </w:divBdr>
    </w:div>
    <w:div w:id="872571339">
      <w:bodyDiv w:val="1"/>
      <w:marLeft w:val="0"/>
      <w:marRight w:val="0"/>
      <w:marTop w:val="0"/>
      <w:marBottom w:val="0"/>
      <w:divBdr>
        <w:top w:val="none" w:sz="0" w:space="0" w:color="auto"/>
        <w:left w:val="none" w:sz="0" w:space="0" w:color="auto"/>
        <w:bottom w:val="none" w:sz="0" w:space="0" w:color="auto"/>
        <w:right w:val="none" w:sz="0" w:space="0" w:color="auto"/>
      </w:divBdr>
    </w:div>
    <w:div w:id="921990302">
      <w:bodyDiv w:val="1"/>
      <w:marLeft w:val="0"/>
      <w:marRight w:val="0"/>
      <w:marTop w:val="0"/>
      <w:marBottom w:val="0"/>
      <w:divBdr>
        <w:top w:val="none" w:sz="0" w:space="0" w:color="auto"/>
        <w:left w:val="none" w:sz="0" w:space="0" w:color="auto"/>
        <w:bottom w:val="none" w:sz="0" w:space="0" w:color="auto"/>
        <w:right w:val="none" w:sz="0" w:space="0" w:color="auto"/>
      </w:divBdr>
    </w:div>
    <w:div w:id="1306934145">
      <w:bodyDiv w:val="1"/>
      <w:marLeft w:val="0"/>
      <w:marRight w:val="0"/>
      <w:marTop w:val="0"/>
      <w:marBottom w:val="0"/>
      <w:divBdr>
        <w:top w:val="none" w:sz="0" w:space="0" w:color="auto"/>
        <w:left w:val="none" w:sz="0" w:space="0" w:color="auto"/>
        <w:bottom w:val="none" w:sz="0" w:space="0" w:color="auto"/>
        <w:right w:val="none" w:sz="0" w:space="0" w:color="auto"/>
      </w:divBdr>
    </w:div>
    <w:div w:id="1401825212">
      <w:bodyDiv w:val="1"/>
      <w:marLeft w:val="0"/>
      <w:marRight w:val="0"/>
      <w:marTop w:val="0"/>
      <w:marBottom w:val="0"/>
      <w:divBdr>
        <w:top w:val="none" w:sz="0" w:space="0" w:color="auto"/>
        <w:left w:val="none" w:sz="0" w:space="0" w:color="auto"/>
        <w:bottom w:val="none" w:sz="0" w:space="0" w:color="auto"/>
        <w:right w:val="none" w:sz="0" w:space="0" w:color="auto"/>
      </w:divBdr>
    </w:div>
    <w:div w:id="1547836110">
      <w:bodyDiv w:val="1"/>
      <w:marLeft w:val="0"/>
      <w:marRight w:val="0"/>
      <w:marTop w:val="0"/>
      <w:marBottom w:val="0"/>
      <w:divBdr>
        <w:top w:val="none" w:sz="0" w:space="0" w:color="auto"/>
        <w:left w:val="none" w:sz="0" w:space="0" w:color="auto"/>
        <w:bottom w:val="none" w:sz="0" w:space="0" w:color="auto"/>
        <w:right w:val="none" w:sz="0" w:space="0" w:color="auto"/>
      </w:divBdr>
    </w:div>
    <w:div w:id="1564830734">
      <w:bodyDiv w:val="1"/>
      <w:marLeft w:val="0"/>
      <w:marRight w:val="0"/>
      <w:marTop w:val="0"/>
      <w:marBottom w:val="0"/>
      <w:divBdr>
        <w:top w:val="none" w:sz="0" w:space="0" w:color="auto"/>
        <w:left w:val="none" w:sz="0" w:space="0" w:color="auto"/>
        <w:bottom w:val="none" w:sz="0" w:space="0" w:color="auto"/>
        <w:right w:val="none" w:sz="0" w:space="0" w:color="auto"/>
      </w:divBdr>
    </w:div>
    <w:div w:id="1673801569">
      <w:bodyDiv w:val="1"/>
      <w:marLeft w:val="0"/>
      <w:marRight w:val="0"/>
      <w:marTop w:val="0"/>
      <w:marBottom w:val="0"/>
      <w:divBdr>
        <w:top w:val="none" w:sz="0" w:space="0" w:color="auto"/>
        <w:left w:val="none" w:sz="0" w:space="0" w:color="auto"/>
        <w:bottom w:val="none" w:sz="0" w:space="0" w:color="auto"/>
        <w:right w:val="none" w:sz="0" w:space="0" w:color="auto"/>
      </w:divBdr>
    </w:div>
    <w:div w:id="1711492030">
      <w:bodyDiv w:val="1"/>
      <w:marLeft w:val="0"/>
      <w:marRight w:val="0"/>
      <w:marTop w:val="0"/>
      <w:marBottom w:val="0"/>
      <w:divBdr>
        <w:top w:val="none" w:sz="0" w:space="0" w:color="auto"/>
        <w:left w:val="none" w:sz="0" w:space="0" w:color="auto"/>
        <w:bottom w:val="none" w:sz="0" w:space="0" w:color="auto"/>
        <w:right w:val="none" w:sz="0" w:space="0" w:color="auto"/>
      </w:divBdr>
    </w:div>
    <w:div w:id="1764302855">
      <w:bodyDiv w:val="1"/>
      <w:marLeft w:val="0"/>
      <w:marRight w:val="0"/>
      <w:marTop w:val="0"/>
      <w:marBottom w:val="0"/>
      <w:divBdr>
        <w:top w:val="none" w:sz="0" w:space="0" w:color="auto"/>
        <w:left w:val="none" w:sz="0" w:space="0" w:color="auto"/>
        <w:bottom w:val="none" w:sz="0" w:space="0" w:color="auto"/>
        <w:right w:val="none" w:sz="0" w:space="0" w:color="auto"/>
      </w:divBdr>
    </w:div>
    <w:div w:id="1897664899">
      <w:bodyDiv w:val="1"/>
      <w:marLeft w:val="0"/>
      <w:marRight w:val="0"/>
      <w:marTop w:val="0"/>
      <w:marBottom w:val="0"/>
      <w:divBdr>
        <w:top w:val="none" w:sz="0" w:space="0" w:color="auto"/>
        <w:left w:val="none" w:sz="0" w:space="0" w:color="auto"/>
        <w:bottom w:val="none" w:sz="0" w:space="0" w:color="auto"/>
        <w:right w:val="none" w:sz="0" w:space="0" w:color="auto"/>
      </w:divBdr>
    </w:div>
    <w:div w:id="2044745740">
      <w:bodyDiv w:val="1"/>
      <w:marLeft w:val="0"/>
      <w:marRight w:val="0"/>
      <w:marTop w:val="0"/>
      <w:marBottom w:val="0"/>
      <w:divBdr>
        <w:top w:val="none" w:sz="0" w:space="0" w:color="auto"/>
        <w:left w:val="none" w:sz="0" w:space="0" w:color="auto"/>
        <w:bottom w:val="none" w:sz="0" w:space="0" w:color="auto"/>
        <w:right w:val="none" w:sz="0" w:space="0" w:color="auto"/>
      </w:divBdr>
    </w:div>
    <w:div w:id="2075005830">
      <w:bodyDiv w:val="1"/>
      <w:marLeft w:val="0"/>
      <w:marRight w:val="0"/>
      <w:marTop w:val="0"/>
      <w:marBottom w:val="0"/>
      <w:divBdr>
        <w:top w:val="none" w:sz="0" w:space="0" w:color="auto"/>
        <w:left w:val="none" w:sz="0" w:space="0" w:color="auto"/>
        <w:bottom w:val="none" w:sz="0" w:space="0" w:color="auto"/>
        <w:right w:val="none" w:sz="0" w:space="0" w:color="auto"/>
      </w:divBdr>
    </w:div>
    <w:div w:id="20859508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chart" Target="charts/chart4.xml"/><Relationship Id="rId26" Type="http://schemas.openxmlformats.org/officeDocument/2006/relationships/chart" Target="charts/chart10.xml"/><Relationship Id="rId39" Type="http://schemas.openxmlformats.org/officeDocument/2006/relationships/chart" Target="charts/chart23.xml"/><Relationship Id="rId21" Type="http://schemas.openxmlformats.org/officeDocument/2006/relationships/footer" Target="footer2.xml"/><Relationship Id="rId34" Type="http://schemas.openxmlformats.org/officeDocument/2006/relationships/chart" Target="charts/chart18.xml"/><Relationship Id="rId42" Type="http://schemas.openxmlformats.org/officeDocument/2006/relationships/footer" Target="footer3.xml"/><Relationship Id="rId47" Type="http://schemas.openxmlformats.org/officeDocument/2006/relationships/chart" Target="charts/chart30.xml"/><Relationship Id="rId50"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chart" Target="charts/chart2.xml"/><Relationship Id="rId29" Type="http://schemas.openxmlformats.org/officeDocument/2006/relationships/chart" Target="charts/chart13.xml"/><Relationship Id="rId11" Type="http://schemas.openxmlformats.org/officeDocument/2006/relationships/image" Target="media/image1.jpg"/><Relationship Id="rId24" Type="http://schemas.openxmlformats.org/officeDocument/2006/relationships/chart" Target="charts/chart8.xml"/><Relationship Id="rId32" Type="http://schemas.openxmlformats.org/officeDocument/2006/relationships/chart" Target="charts/chart16.xml"/><Relationship Id="rId37" Type="http://schemas.openxmlformats.org/officeDocument/2006/relationships/chart" Target="charts/chart21.xml"/><Relationship Id="rId40" Type="http://schemas.openxmlformats.org/officeDocument/2006/relationships/chart" Target="charts/chart24.xml"/><Relationship Id="rId45" Type="http://schemas.openxmlformats.org/officeDocument/2006/relationships/chart" Target="charts/chart28.xml"/><Relationship Id="rId53" Type="http://schemas.microsoft.com/office/2019/05/relationships/documenttasks" Target="documenttasks/documenttasks1.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chart" Target="charts/chart5.xml"/><Relationship Id="rId31" Type="http://schemas.openxmlformats.org/officeDocument/2006/relationships/chart" Target="charts/chart15.xml"/><Relationship Id="rId44" Type="http://schemas.openxmlformats.org/officeDocument/2006/relationships/chart" Target="charts/chart27.xml"/><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donahue.umass.edu/" TargetMode="External"/><Relationship Id="rId22" Type="http://schemas.openxmlformats.org/officeDocument/2006/relationships/chart" Target="charts/chart6.xml"/><Relationship Id="rId27" Type="http://schemas.openxmlformats.org/officeDocument/2006/relationships/chart" Target="charts/chart11.xml"/><Relationship Id="rId30" Type="http://schemas.openxmlformats.org/officeDocument/2006/relationships/chart" Target="charts/chart14.xml"/><Relationship Id="rId35" Type="http://schemas.openxmlformats.org/officeDocument/2006/relationships/chart" Target="charts/chart19.xml"/><Relationship Id="rId43" Type="http://schemas.openxmlformats.org/officeDocument/2006/relationships/chart" Target="charts/chart26.xml"/><Relationship Id="rId48" Type="http://schemas.openxmlformats.org/officeDocument/2006/relationships/chart" Target="charts/chart31.xml"/><Relationship Id="rId8" Type="http://schemas.openxmlformats.org/officeDocument/2006/relationships/webSettings" Target="webSettings.xml"/><Relationship Id="rId51" Type="http://schemas.openxmlformats.org/officeDocument/2006/relationships/glossaryDocument" Target="glossary/document.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chart" Target="charts/chart3.xml"/><Relationship Id="rId25" Type="http://schemas.openxmlformats.org/officeDocument/2006/relationships/chart" Target="charts/chart9.xml"/><Relationship Id="rId33" Type="http://schemas.openxmlformats.org/officeDocument/2006/relationships/chart" Target="charts/chart17.xml"/><Relationship Id="rId38" Type="http://schemas.openxmlformats.org/officeDocument/2006/relationships/chart" Target="charts/chart22.xml"/><Relationship Id="rId46" Type="http://schemas.openxmlformats.org/officeDocument/2006/relationships/chart" Target="charts/chart29.xml"/><Relationship Id="rId20" Type="http://schemas.openxmlformats.org/officeDocument/2006/relationships/header" Target="header2.xml"/><Relationship Id="rId41" Type="http://schemas.openxmlformats.org/officeDocument/2006/relationships/chart" Target="charts/chart25.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chart" Target="charts/chart1.xml"/><Relationship Id="rId23" Type="http://schemas.openxmlformats.org/officeDocument/2006/relationships/chart" Target="charts/chart7.xml"/><Relationship Id="rId28" Type="http://schemas.openxmlformats.org/officeDocument/2006/relationships/chart" Target="charts/chart12.xml"/><Relationship Id="rId36" Type="http://schemas.openxmlformats.org/officeDocument/2006/relationships/chart" Target="charts/chart20.xml"/><Relationship Id="rId49" Type="http://schemas.openxmlformats.org/officeDocument/2006/relationships/chart" Target="charts/chart32.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_rels/chart13.xml.rels><?xml version="1.0" encoding="UTF-8" standalone="yes"?>
<Relationships xmlns="http://schemas.openxmlformats.org/package/2006/relationships"><Relationship Id="rId1" Type="http://schemas.openxmlformats.org/officeDocument/2006/relationships/oleObject" Target="https://umass.sharepoint.com/sites/DESEAPSTEMELAQuant/Shared%20Documents/YEAR%2013/8%20DESCRIPTIVE%20ANALYSIS/DRAFT%20AP%20STEM%20ELA%20Descriptives%20list%202025%200428.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https://umass.sharepoint.com/sites/DESEAPSTEMELAQuant/Shared%20Documents/YEAR%2013/8%20DESCRIPTIVE%20ANALYSIS/DRAFT%20AP%20STEM%20ELA%20Descriptives%20list%202025%200428.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https://umass.sharepoint.com/sites/DESEAPSTEMELAQuant/Shared%20Documents/YEAR%2013/8%20DESCRIPTIVE%20ANALYSIS/DRAFT%20AP%20STEM%20ELA%20Descriptives%20list%202025%200428.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https://umass.sharepoint.com/sites/DESEAPSTEMELAQuant/Shared%20Documents/YEAR%2013/8%20DESCRIPTIVE%20ANALYSIS/DRAFT%20AP%20STEM%20ELA%20Descriptives%20list%202025%200428.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https://umass.sharepoint.com/sites/DESEAPSTEMELAQuant/Shared%20Documents/YEAR%2013/8%20DESCRIPTIVE%20ANALYSIS/DRAFT%20AP%20STEM%20ELA%20Descriptives%20list%202025%200428.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https://umass.sharepoint.com/sites/DESEAPSTEMELAQuant/Shared%20Documents/YEAR%2013/8%20DESCRIPTIVE%20ANALYSIS/DRAFT%20AP%20STEM%20ELA%20Descriptives%20list%202025%200428.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https://umass.sharepoint.com/sites/DESEAPSTEMELAQuant/Shared%20Documents/YEAR%2013/8%20DESCRIPTIVE%20ANALYSIS/DRAFT%20AP%20STEM%20ELA%20Descriptives%20list%202025%200428.xlsx" TargetMode="External"/></Relationships>
</file>

<file path=word/charts/_rels/chart2.xml.rels><?xml version="1.0" encoding="UTF-8" standalone="yes"?>
<Relationships xmlns="http://schemas.openxmlformats.org/package/2006/relationships"><Relationship Id="rId3" Type="http://schemas.openxmlformats.org/officeDocument/2006/relationships/oleObject" Target="https://umass.sharepoint.com/sites/DESEAPSTEMELAQuant/Shared%20Documents/YEAR%2013/8%20DESCRIPTIVE%20ANALYSIS/DRAFT%20AP%20STEM%20ELA%20Descriptives%20list%202025%200428.xlsx"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1" Type="http://schemas.openxmlformats.org/officeDocument/2006/relationships/oleObject" Target="https://umass.sharepoint.com/sites/DESEAPSTEMELAQuant/Shared%20Documents/YEAR%2013/8%20DESCRIPTIVE%20ANALYSIS/DRAFT%20AP%20STEM%20ELA%20Descriptives%20list%202025%200428.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https://umass.sharepoint.com/sites/DESEAPSTEMELAQuant/Shared%20Documents/YEAR%2013/8%20DESCRIPTIVE%20ANALYSIS/DRAFT%20AP%20STEM%20ELA%20Descriptives%20list%202025%200428.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https://umass.sharepoint.com/sites/DESEAPSTEMELAQuant/Shared%20Documents/YEAR%2013/8%20DESCRIPTIVE%20ANALYSIS/DRAFT%20AP%20STEM%20ELA%20Descriptives%20list%202025%200428.xlsx"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https://umass.sharepoint.com/sites/DESEAPSTEMELAQuant/Shared%20Documents/YEAR%2013/8%20DESCRIPTIVE%20ANALYSIS/DRAFT%20AP%20STEM%20ELA%20Descriptives%20list%202025%200428.xlsx"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https://umass.sharepoint.com/sites/DESEAPSTEMELAQuant/Shared%20Documents/YEAR%2013/8%20DESCRIPTIVE%20ANALYSIS/DRAFT%20AP%20STEM%20ELA%20Descriptives%20list%202025%200428.xlsx" TargetMode="External"/></Relationships>
</file>

<file path=word/charts/_rels/chart25.xml.rels><?xml version="1.0" encoding="UTF-8" standalone="yes"?>
<Relationships xmlns="http://schemas.openxmlformats.org/package/2006/relationships"><Relationship Id="rId3" Type="http://schemas.openxmlformats.org/officeDocument/2006/relationships/oleObject" Target="Chart%20in%20Microsoft%20Word" TargetMode="External"/><Relationship Id="rId2" Type="http://schemas.microsoft.com/office/2011/relationships/chartColorStyle" Target="colors3.xml"/><Relationship Id="rId1" Type="http://schemas.microsoft.com/office/2011/relationships/chartStyle" Target="style3.xml"/></Relationships>
</file>

<file path=word/charts/_rels/chart26.xml.rels><?xml version="1.0" encoding="UTF-8" standalone="yes"?>
<Relationships xmlns="http://schemas.openxmlformats.org/package/2006/relationships"><Relationship Id="rId3" Type="http://schemas.openxmlformats.org/officeDocument/2006/relationships/oleObject" Target="Chart%202%20in%20Microsoft%20Word" TargetMode="External"/><Relationship Id="rId2" Type="http://schemas.microsoft.com/office/2011/relationships/chartColorStyle" Target="colors4.xml"/><Relationship Id="rId1" Type="http://schemas.microsoft.com/office/2011/relationships/chartStyle" Target="style4.xml"/></Relationships>
</file>

<file path=word/charts/_rels/chart2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5.xml"/><Relationship Id="rId1" Type="http://schemas.microsoft.com/office/2011/relationships/chartStyle" Target="style5.xml"/></Relationships>
</file>

<file path=word/charts/_rels/chart28.xml.rels><?xml version="1.0" encoding="UTF-8" standalone="yes"?>
<Relationships xmlns="http://schemas.openxmlformats.org/package/2006/relationships"><Relationship Id="rId3" Type="http://schemas.openxmlformats.org/officeDocument/2006/relationships/oleObject" Target="https://umass.sharepoint.com/sites/DESEAPSTEMELAQuant/Shared%20Documents/YEAR%2013/9%20FINAL%20REPORT/Survey%20analysis,%20follow%20up%20survey%20and%20preparedness.xlsx" TargetMode="External"/><Relationship Id="rId2" Type="http://schemas.microsoft.com/office/2011/relationships/chartColorStyle" Target="colors6.xml"/><Relationship Id="rId1" Type="http://schemas.microsoft.com/office/2011/relationships/chartStyle" Target="style6.xml"/></Relationships>
</file>

<file path=word/charts/_rels/chart29.xml.rels><?xml version="1.0" encoding="UTF-8" standalone="yes"?>
<Relationships xmlns="http://schemas.openxmlformats.org/package/2006/relationships"><Relationship Id="rId3" Type="http://schemas.openxmlformats.org/officeDocument/2006/relationships/oleObject" Target="https://umass.sharepoint.com/sites/DESEAPSTEMELAQuant/Shared%20Documents/YEAR%2013/9%20FINAL%20REPORT/Survey%20analysis,%20follow%20up%20survey%20and%20preparedness.xlsx" TargetMode="External"/><Relationship Id="rId2" Type="http://schemas.microsoft.com/office/2011/relationships/chartColorStyle" Target="colors7.xml"/><Relationship Id="rId1" Type="http://schemas.microsoft.com/office/2011/relationships/chartStyle" Target="style7.xml"/></Relationships>
</file>

<file path=word/charts/_rels/chart3.xml.rels><?xml version="1.0" encoding="UTF-8" standalone="yes"?>
<Relationships xmlns="http://schemas.openxmlformats.org/package/2006/relationships"><Relationship Id="rId1" Type="http://schemas.openxmlformats.org/officeDocument/2006/relationships/oleObject" Target="https://umass.sharepoint.com/sites/DESEAPSTEMELAQuant/Shared%20Documents/YEAR%2013/8%20DESCRIPTIVE%20ANALYSIS/DRAFT%20AP%20STEM%20ELA%20Descriptives%20list%202025%200428.xlsx" TargetMode="External"/></Relationships>
</file>

<file path=word/charts/_rels/chart30.xml.rels><?xml version="1.0" encoding="UTF-8" standalone="yes"?>
<Relationships xmlns="http://schemas.openxmlformats.org/package/2006/relationships"><Relationship Id="rId3" Type="http://schemas.openxmlformats.org/officeDocument/2006/relationships/oleObject" Target="https://umass.sharepoint.com/sites/DESEAPSTEMELAQuant/Shared%20Documents/YEAR%2013/9%20FINAL%20REPORT/Survey%20analysis,%20follow%20up%20survey%20and%20preparedness.xlsx" TargetMode="External"/><Relationship Id="rId2" Type="http://schemas.microsoft.com/office/2011/relationships/chartColorStyle" Target="colors8.xml"/><Relationship Id="rId1" Type="http://schemas.microsoft.com/office/2011/relationships/chartStyle" Target="style8.xml"/></Relationships>
</file>

<file path=word/charts/_rels/chart31.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9.xml"/><Relationship Id="rId1" Type="http://schemas.microsoft.com/office/2011/relationships/chartStyle" Target="style9.xml"/></Relationships>
</file>

<file path=word/charts/_rels/chart32.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10.xml"/><Relationship Id="rId1" Type="http://schemas.microsoft.com/office/2011/relationships/chartStyle" Target="style10.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5.xml.rels><?xml version="1.0" encoding="UTF-8" standalone="yes"?>
<Relationships xmlns="http://schemas.openxmlformats.org/package/2006/relationships"><Relationship Id="rId1" Type="http://schemas.openxmlformats.org/officeDocument/2006/relationships/oleObject" Target="https://umass.sharepoint.com/sites/DESEAPSTEMELAQuant/Shared%20Documents/YEAR%2013/8%20DESCRIPTIVE%20ANALYSIS/DRAFT%20AP%20STEM%20ELA%20Descriptives%20list%202025%200428.xlsx" TargetMode="Externa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7.xml.rels><?xml version="1.0" encoding="UTF-8" standalone="yes"?>
<Relationships xmlns="http://schemas.openxmlformats.org/package/2006/relationships"><Relationship Id="rId1" Type="http://schemas.openxmlformats.org/officeDocument/2006/relationships/oleObject" Target="https://umass.sharepoint.com/sites/DESEAPSTEMELAQuant/Shared%20Documents/YEAR%2013/8%20DESCRIPTIVE%20ANALYSIS/DRAFT%20AP%20STEM%20ELA%20Descriptives%20list%202025%200428.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https://umass.sharepoint.com/sites/DESEAPSTEMELAQuant/Shared%20Documents/YEAR%2013/8%20DESCRIPTIVE%20ANALYSIS/DRAFT%20AP%20STEM%20ELA%20Descriptives%20list%202025%200428.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https://umass.sharepoint.com/sites/DESEAPSTEMELAQuant/Shared%20Documents/YEAR%2013/8%20DESCRIPTIVE%20ANALYSIS/DRAFT%20AP%20STEM%20ELA%20Descriptives%20list%202025%200428.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'DESC 4'!$K$22</c:f>
              <c:strCache>
                <c:ptCount val="1"/>
                <c:pt idx="0">
                  <c:v>SY2023</c:v>
                </c:pt>
              </c:strCache>
            </c:strRef>
          </c:tx>
          <c:spPr>
            <a:solidFill>
              <a:srgbClr val="212721"/>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1100" b="1"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'DESC 4'!$J$23:$J$26</c:f>
              <c:strCache>
                <c:ptCount val="4"/>
                <c:pt idx="0">
                  <c:v>AP ELA</c:v>
                </c:pt>
                <c:pt idx="1">
                  <c:v>AP Math</c:v>
                </c:pt>
                <c:pt idx="2">
                  <c:v>AP Science</c:v>
                </c:pt>
                <c:pt idx="3">
                  <c:v>Any AP</c:v>
                </c:pt>
              </c:strCache>
            </c:strRef>
          </c:cat>
          <c:val>
            <c:numRef>
              <c:f>'DESC 4'!$K$23:$K$26</c:f>
              <c:numCache>
                <c:formatCode>#,##0</c:formatCode>
                <c:ptCount val="4"/>
                <c:pt idx="0">
                  <c:v>6505</c:v>
                </c:pt>
                <c:pt idx="1">
                  <c:v>4760</c:v>
                </c:pt>
                <c:pt idx="2">
                  <c:v>4373</c:v>
                </c:pt>
                <c:pt idx="3">
                  <c:v>11491</c:v>
                </c:pt>
              </c:numCache>
            </c:numRef>
          </c:val>
          <c:extLst>
            <c:ext xmlns:c16="http://schemas.microsoft.com/office/drawing/2014/chart" uri="{C3380CC4-5D6E-409C-BE32-E72D297353CC}">
              <c16:uniqueId val="{00000000-5E08-45A3-A354-148F5FBAAD41}"/>
            </c:ext>
          </c:extLst>
        </c:ser>
        <c:ser>
          <c:idx val="1"/>
          <c:order val="1"/>
          <c:tx>
            <c:strRef>
              <c:f>'DESC 4'!$L$22</c:f>
              <c:strCache>
                <c:ptCount val="1"/>
                <c:pt idx="0">
                  <c:v>SY2024</c:v>
                </c:pt>
              </c:strCache>
            </c:strRef>
          </c:tx>
          <c:spPr>
            <a:solidFill>
              <a:srgbClr val="881C1C"/>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1100" b="1"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'DESC 4'!$J$23:$J$26</c:f>
              <c:strCache>
                <c:ptCount val="4"/>
                <c:pt idx="0">
                  <c:v>AP ELA</c:v>
                </c:pt>
                <c:pt idx="1">
                  <c:v>AP Math</c:v>
                </c:pt>
                <c:pt idx="2">
                  <c:v>AP Science</c:v>
                </c:pt>
                <c:pt idx="3">
                  <c:v>Any AP</c:v>
                </c:pt>
              </c:strCache>
            </c:strRef>
          </c:cat>
          <c:val>
            <c:numRef>
              <c:f>'DESC 4'!$L$23:$L$26</c:f>
              <c:numCache>
                <c:formatCode>#,##0</c:formatCode>
                <c:ptCount val="4"/>
                <c:pt idx="0">
                  <c:v>6742</c:v>
                </c:pt>
                <c:pt idx="1">
                  <c:v>5015</c:v>
                </c:pt>
                <c:pt idx="2">
                  <c:v>5163</c:v>
                </c:pt>
                <c:pt idx="3">
                  <c:v>12016</c:v>
                </c:pt>
              </c:numCache>
            </c:numRef>
          </c:val>
          <c:extLst>
            <c:ext xmlns:c16="http://schemas.microsoft.com/office/drawing/2014/chart" uri="{C3380CC4-5D6E-409C-BE32-E72D297353CC}">
              <c16:uniqueId val="{00000001-5E08-45A3-A354-148F5FBAAD41}"/>
            </c:ext>
          </c:extLst>
        </c:ser>
        <c:dLbls>
          <c:dLblPos val="ctr"/>
          <c:showLegendKey val="0"/>
          <c:showVal val="1"/>
          <c:showCatName val="0"/>
          <c:showSerName val="0"/>
          <c:showPercent val="0"/>
          <c:showBubbleSize val="0"/>
        </c:dLbls>
        <c:gapWidth val="219"/>
        <c:overlap val="-27"/>
        <c:axId val="556190383"/>
        <c:axId val="556187983"/>
      </c:barChart>
      <c:catAx>
        <c:axId val="556190383"/>
        <c:scaling>
          <c:orientation val="minMax"/>
        </c:scaling>
        <c:delete val="0"/>
        <c:axPos val="b"/>
        <c:numFmt formatCode="General" sourceLinked="1"/>
        <c:majorTickMark val="cross"/>
        <c:minorTickMark val="none"/>
        <c:tickLblPos val="nextTo"/>
        <c:spPr>
          <a:noFill/>
          <a:ln w="6350" cap="flat" cmpd="sng" algn="ctr">
            <a:solidFill>
              <a:schemeClr val="tx1"/>
            </a:solidFill>
            <a:round/>
          </a:ln>
          <a:effectLst/>
        </c:spPr>
        <c:txPr>
          <a:bodyPr rot="-60000000" spcFirstLastPara="1" vertOverflow="ellipsis" vert="horz" wrap="square" anchor="ctr" anchorCtr="1"/>
          <a:lstStyle/>
          <a:p>
            <a:pPr>
              <a:defRPr sz="1100" b="0" i="0" u="none" strike="noStrike" kern="1200" baseline="0">
                <a:solidFill>
                  <a:schemeClr val="tx1"/>
                </a:solidFill>
                <a:latin typeface="+mn-lt"/>
                <a:ea typeface="+mn-ea"/>
                <a:cs typeface="+mn-cs"/>
              </a:defRPr>
            </a:pPr>
            <a:endParaRPr lang="en-US"/>
          </a:p>
        </c:txPr>
        <c:crossAx val="556187983"/>
        <c:crosses val="autoZero"/>
        <c:auto val="1"/>
        <c:lblAlgn val="ctr"/>
        <c:lblOffset val="100"/>
        <c:noMultiLvlLbl val="0"/>
      </c:catAx>
      <c:valAx>
        <c:axId val="556187983"/>
        <c:scaling>
          <c:orientation val="minMax"/>
          <c:max val="13000"/>
        </c:scaling>
        <c:delete val="1"/>
        <c:axPos val="l"/>
        <c:majorGridlines>
          <c:spPr>
            <a:ln w="9525" cap="flat" cmpd="sng" algn="ctr">
              <a:noFill/>
              <a:round/>
            </a:ln>
            <a:effectLst>
              <a:outerShdw blurRad="50800" dist="50800" dir="5400000" algn="ctr" rotWithShape="0">
                <a:schemeClr val="bg1"/>
              </a:outerShdw>
            </a:effectLst>
          </c:spPr>
        </c:majorGridlines>
        <c:numFmt formatCode="#,##0" sourceLinked="1"/>
        <c:majorTickMark val="none"/>
        <c:minorTickMark val="none"/>
        <c:tickLblPos val="nextTo"/>
        <c:crossAx val="556190383"/>
        <c:crosses val="autoZero"/>
        <c:crossBetween val="between"/>
      </c:valAx>
      <c:spPr>
        <a:noFill/>
        <a:ln>
          <a:noFill/>
        </a:ln>
        <a:effectLst/>
      </c:spPr>
    </c:plotArea>
    <c:legend>
      <c:legendPos val="b"/>
      <c:layout>
        <c:manualLayout>
          <c:xMode val="edge"/>
          <c:yMode val="edge"/>
          <c:x val="0.22049868766404201"/>
          <c:y val="0.88289078448527269"/>
          <c:w val="0.52844706911636041"/>
          <c:h val="8.9331437736949543E-2"/>
        </c:manualLayout>
      </c:layout>
      <c:overlay val="0"/>
      <c:spPr>
        <a:noFill/>
        <a:ln>
          <a:solidFill>
            <a:schemeClr val="bg2"/>
          </a:solidFill>
        </a:ln>
        <a:effectLst/>
      </c:spPr>
      <c:txPr>
        <a:bodyPr rot="0" spcFirstLastPara="1" vertOverflow="ellipsis" vert="horz" wrap="square" anchor="ctr" anchorCtr="1"/>
        <a:lstStyle/>
        <a:p>
          <a:pPr>
            <a:defRPr sz="1100" b="0"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'DESC 22 (COURSE PASSING)'!$S$11</c:f>
              <c:strCache>
                <c:ptCount val="1"/>
                <c:pt idx="0">
                  <c:v>Mock Exam</c:v>
                </c:pt>
              </c:strCache>
            </c:strRef>
          </c:tx>
          <c:spPr>
            <a:solidFill>
              <a:srgbClr val="21272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'DESC 20'!$T$10:$U$10</c:f>
              <c:strCache>
                <c:ptCount val="2"/>
                <c:pt idx="0">
                  <c:v>SY2023</c:v>
                </c:pt>
                <c:pt idx="1">
                  <c:v>SY2024</c:v>
                </c:pt>
              </c:strCache>
            </c:strRef>
          </c:cat>
          <c:val>
            <c:numRef>
              <c:f>'DESC 22 (COURSE PASSING)'!$Z$11:$AA$11</c:f>
              <c:numCache>
                <c:formatCode>###0.0%</c:formatCode>
                <c:ptCount val="2"/>
                <c:pt idx="0">
                  <c:v>0.98187832590248814</c:v>
                </c:pt>
                <c:pt idx="1">
                  <c:v>0.96044825313117999</c:v>
                </c:pt>
              </c:numCache>
            </c:numRef>
          </c:val>
          <c:extLst>
            <c:ext xmlns:c16="http://schemas.microsoft.com/office/drawing/2014/chart" uri="{C3380CC4-5D6E-409C-BE32-E72D297353CC}">
              <c16:uniqueId val="{00000000-DBBE-4AD5-96AD-729B8421A271}"/>
            </c:ext>
          </c:extLst>
        </c:ser>
        <c:ser>
          <c:idx val="1"/>
          <c:order val="1"/>
          <c:tx>
            <c:strRef>
              <c:f>'DESC 22 (COURSE PASSING)'!$S$12</c:f>
              <c:strCache>
                <c:ptCount val="1"/>
                <c:pt idx="0">
                  <c:v>No Mock Exam</c:v>
                </c:pt>
              </c:strCache>
            </c:strRef>
          </c:tx>
          <c:spPr>
            <a:solidFill>
              <a:srgbClr val="212721">
                <a:alpha val="40000"/>
              </a:srgb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'DESC 20'!$T$10:$U$10</c:f>
              <c:strCache>
                <c:ptCount val="2"/>
                <c:pt idx="0">
                  <c:v>SY2023</c:v>
                </c:pt>
                <c:pt idx="1">
                  <c:v>SY2024</c:v>
                </c:pt>
              </c:strCache>
            </c:strRef>
          </c:cat>
          <c:val>
            <c:numRef>
              <c:f>'DESC 22 (COURSE PASSING)'!$Z$12:$AA$12</c:f>
              <c:numCache>
                <c:formatCode>###0.0%</c:formatCode>
                <c:ptCount val="2"/>
                <c:pt idx="0">
                  <c:v>0.77457029528426635</c:v>
                </c:pt>
                <c:pt idx="1">
                  <c:v>0.77273753103136977</c:v>
                </c:pt>
              </c:numCache>
            </c:numRef>
          </c:val>
          <c:extLst>
            <c:ext xmlns:c16="http://schemas.microsoft.com/office/drawing/2014/chart" uri="{C3380CC4-5D6E-409C-BE32-E72D297353CC}">
              <c16:uniqueId val="{00000001-DBBE-4AD5-96AD-729B8421A271}"/>
            </c:ext>
          </c:extLst>
        </c:ser>
        <c:ser>
          <c:idx val="4"/>
          <c:order val="2"/>
          <c:tx>
            <c:v>SeriesA</c:v>
          </c:tx>
          <c:invertIfNegative val="0"/>
          <c:dLbls>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val>
            <c:numRef>
              <c:f>'DESC 22 (COURSE PASSING)'!$AU$30</c:f>
              <c:numCache>
                <c:formatCode>General</c:formatCode>
                <c:ptCount val="1"/>
              </c:numCache>
            </c:numRef>
          </c:val>
          <c:extLst>
            <c:ext xmlns:c16="http://schemas.microsoft.com/office/drawing/2014/chart" uri="{C3380CC4-5D6E-409C-BE32-E72D297353CC}">
              <c16:uniqueId val="{00000002-DBBE-4AD5-96AD-729B8421A271}"/>
            </c:ext>
          </c:extLst>
        </c:ser>
        <c:ser>
          <c:idx val="2"/>
          <c:order val="3"/>
          <c:tx>
            <c:strRef>
              <c:f>'DESC 22 (COURSE PASSING)'!$S$13</c:f>
              <c:strCache>
                <c:ptCount val="1"/>
                <c:pt idx="0">
                  <c:v>Study Session</c:v>
                </c:pt>
              </c:strCache>
            </c:strRef>
          </c:tx>
          <c:spPr>
            <a:solidFill>
              <a:srgbClr val="881C1C"/>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'DESC 20'!$T$10:$U$10</c:f>
              <c:strCache>
                <c:ptCount val="2"/>
                <c:pt idx="0">
                  <c:v>SY2023</c:v>
                </c:pt>
                <c:pt idx="1">
                  <c:v>SY2024</c:v>
                </c:pt>
              </c:strCache>
            </c:strRef>
          </c:cat>
          <c:val>
            <c:numRef>
              <c:f>'DESC 22 (COURSE PASSING)'!$Z$13:$AA$13</c:f>
              <c:numCache>
                <c:formatCode>###0.0%</c:formatCode>
                <c:ptCount val="2"/>
                <c:pt idx="0">
                  <c:v>0.98037716615698267</c:v>
                </c:pt>
                <c:pt idx="1">
                  <c:v>0.9553736466860312</c:v>
                </c:pt>
              </c:numCache>
            </c:numRef>
          </c:val>
          <c:extLst>
            <c:ext xmlns:c16="http://schemas.microsoft.com/office/drawing/2014/chart" uri="{C3380CC4-5D6E-409C-BE32-E72D297353CC}">
              <c16:uniqueId val="{00000003-DBBE-4AD5-96AD-729B8421A271}"/>
            </c:ext>
          </c:extLst>
        </c:ser>
        <c:ser>
          <c:idx val="3"/>
          <c:order val="4"/>
          <c:tx>
            <c:strRef>
              <c:f>'DESC 22 (COURSE PASSING)'!$S$14</c:f>
              <c:strCache>
                <c:ptCount val="1"/>
                <c:pt idx="0">
                  <c:v>No Study Session</c:v>
                </c:pt>
              </c:strCache>
            </c:strRef>
          </c:tx>
          <c:spPr>
            <a:solidFill>
              <a:srgbClr val="881C1C">
                <a:alpha val="40000"/>
              </a:srgb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'DESC 20'!$T$10:$U$10</c:f>
              <c:strCache>
                <c:ptCount val="2"/>
                <c:pt idx="0">
                  <c:v>SY2023</c:v>
                </c:pt>
                <c:pt idx="1">
                  <c:v>SY2024</c:v>
                </c:pt>
              </c:strCache>
            </c:strRef>
          </c:cat>
          <c:val>
            <c:numRef>
              <c:f>'DESC 22 (COURSE PASSING)'!$Z$14:$AA$14</c:f>
              <c:numCache>
                <c:formatCode>###0.0%</c:formatCode>
                <c:ptCount val="2"/>
                <c:pt idx="0">
                  <c:v>0.85833223206026166</c:v>
                </c:pt>
                <c:pt idx="1">
                  <c:v>0.86170859156641144</c:v>
                </c:pt>
              </c:numCache>
            </c:numRef>
          </c:val>
          <c:extLst>
            <c:ext xmlns:c16="http://schemas.microsoft.com/office/drawing/2014/chart" uri="{C3380CC4-5D6E-409C-BE32-E72D297353CC}">
              <c16:uniqueId val="{00000004-DBBE-4AD5-96AD-729B8421A271}"/>
            </c:ext>
          </c:extLst>
        </c:ser>
        <c:dLbls>
          <c:dLblPos val="inEnd"/>
          <c:showLegendKey val="0"/>
          <c:showVal val="1"/>
          <c:showCatName val="0"/>
          <c:showSerName val="0"/>
          <c:showPercent val="0"/>
          <c:showBubbleSize val="0"/>
        </c:dLbls>
        <c:gapWidth val="182"/>
        <c:axId val="1131719743"/>
        <c:axId val="1131720223"/>
      </c:barChart>
      <c:catAx>
        <c:axId val="1131719743"/>
        <c:scaling>
          <c:orientation val="maxMin"/>
        </c:scaling>
        <c:delete val="0"/>
        <c:axPos val="l"/>
        <c:numFmt formatCode="General" sourceLinked="1"/>
        <c:majorTickMark val="cross"/>
        <c:minorTickMark val="none"/>
        <c:tickLblPos val="nextTo"/>
        <c:spPr>
          <a:noFill/>
          <a:ln w="12700" cap="flat" cmpd="sng" algn="ctr">
            <a:solidFill>
              <a:schemeClr val="tx1"/>
            </a:solidFill>
            <a:round/>
          </a:ln>
          <a:effectLst/>
        </c:spPr>
        <c:txPr>
          <a:bodyPr rot="-5400000" spcFirstLastPara="1" vertOverflow="ellipsis" vert="horz" wrap="square" anchor="ctr" anchorCtr="1"/>
          <a:lstStyle/>
          <a:p>
            <a:pPr>
              <a:defRPr sz="1100" b="1" i="0" u="none" strike="noStrike" kern="1200" baseline="0">
                <a:solidFill>
                  <a:schemeClr val="tx1"/>
                </a:solidFill>
                <a:latin typeface="+mn-lt"/>
                <a:ea typeface="+mn-ea"/>
                <a:cs typeface="+mn-cs"/>
              </a:defRPr>
            </a:pPr>
            <a:endParaRPr lang="en-US"/>
          </a:p>
        </c:txPr>
        <c:crossAx val="1131720223"/>
        <c:crosses val="autoZero"/>
        <c:auto val="1"/>
        <c:lblAlgn val="ctr"/>
        <c:lblOffset val="100"/>
        <c:noMultiLvlLbl val="0"/>
      </c:catAx>
      <c:valAx>
        <c:axId val="1131720223"/>
        <c:scaling>
          <c:orientation val="minMax"/>
        </c:scaling>
        <c:delete val="1"/>
        <c:axPos val="t"/>
        <c:numFmt formatCode="###0.0%" sourceLinked="1"/>
        <c:majorTickMark val="none"/>
        <c:minorTickMark val="none"/>
        <c:tickLblPos val="nextTo"/>
        <c:crossAx val="1131719743"/>
        <c:crosses val="autoZero"/>
        <c:crossBetween val="between"/>
      </c:valAx>
    </c:plotArea>
    <c:legend>
      <c:legendPos val="b"/>
      <c:legendEntry>
        <c:idx val="2"/>
        <c:delete val="1"/>
      </c:legendEntry>
      <c:layout>
        <c:manualLayout>
          <c:xMode val="edge"/>
          <c:yMode val="edge"/>
          <c:x val="0.14170921653273832"/>
          <c:y val="0.79716535433070879"/>
          <c:w val="0.75898160573870777"/>
          <c:h val="0.20070308284635152"/>
        </c:manualLayout>
      </c:layout>
      <c:overlay val="0"/>
      <c:spPr>
        <a:noFill/>
        <a:ln>
          <a:solidFill>
            <a:schemeClr val="bg2"/>
          </a:solidFill>
        </a:ln>
        <a:effectLst/>
      </c:spPr>
      <c:txPr>
        <a:bodyPr rot="0" spcFirstLastPara="1" vertOverflow="ellipsis" vert="horz" wrap="square" anchor="ctr" anchorCtr="1"/>
        <a:lstStyle/>
        <a:p>
          <a:pPr>
            <a:defRPr sz="1100" b="0" i="0" u="none" strike="noStrike" kern="1200" baseline="0">
              <a:solidFill>
                <a:schemeClr val="tx1"/>
              </a:solidFill>
              <a:latin typeface="+mn-lt"/>
              <a:ea typeface="+mn-ea"/>
              <a:cs typeface="+mn-cs"/>
            </a:defRPr>
          </a:pPr>
          <a:endParaRPr lang="en-US"/>
        </a:p>
      </c:txPr>
    </c:legend>
    <c:plotVisOnly val="1"/>
    <c:dispBlanksAs val="gap"/>
    <c:showDLblsOverMax val="0"/>
    <c:extLst/>
  </c:chart>
  <c:spPr>
    <a:ln>
      <a:solidFill>
        <a:schemeClr val="bg2"/>
      </a:solidFill>
    </a:ln>
  </c:spPr>
  <c:txPr>
    <a:bodyPr/>
    <a:lstStyle/>
    <a:p>
      <a:pPr>
        <a:defRPr/>
      </a:pPr>
      <a:endParaRPr lang="en-US"/>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'DESC 20'!$S$11</c:f>
              <c:strCache>
                <c:ptCount val="1"/>
                <c:pt idx="0">
                  <c:v>Mock Exam</c:v>
                </c:pt>
              </c:strCache>
            </c:strRef>
          </c:tx>
          <c:spPr>
            <a:solidFill>
              <a:srgbClr val="21272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'DESC 20'!$T$10:$U$10</c:f>
              <c:strCache>
                <c:ptCount val="2"/>
                <c:pt idx="0">
                  <c:v>SY2023</c:v>
                </c:pt>
                <c:pt idx="1">
                  <c:v>SY2024</c:v>
                </c:pt>
              </c:strCache>
            </c:strRef>
          </c:cat>
          <c:val>
            <c:numRef>
              <c:f>'DESC 20'!$Z$11:$AA$11</c:f>
              <c:numCache>
                <c:formatCode>###0.0%</c:formatCode>
                <c:ptCount val="2"/>
                <c:pt idx="0">
                  <c:v>0.96692075363152596</c:v>
                </c:pt>
                <c:pt idx="1">
                  <c:v>0.96664469347396176</c:v>
                </c:pt>
              </c:numCache>
            </c:numRef>
          </c:val>
          <c:extLst>
            <c:ext xmlns:c16="http://schemas.microsoft.com/office/drawing/2014/chart" uri="{C3380CC4-5D6E-409C-BE32-E72D297353CC}">
              <c16:uniqueId val="{00000000-3D09-40C4-AFDA-3A1690E8F9A7}"/>
            </c:ext>
          </c:extLst>
        </c:ser>
        <c:ser>
          <c:idx val="1"/>
          <c:order val="1"/>
          <c:tx>
            <c:strRef>
              <c:f>'DESC 20'!$S$12</c:f>
              <c:strCache>
                <c:ptCount val="1"/>
                <c:pt idx="0">
                  <c:v>No Mock Exam</c:v>
                </c:pt>
              </c:strCache>
            </c:strRef>
          </c:tx>
          <c:spPr>
            <a:solidFill>
              <a:srgbClr val="212721">
                <a:alpha val="40000"/>
              </a:srgb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'DESC 20'!$T$10:$U$10</c:f>
              <c:strCache>
                <c:ptCount val="2"/>
                <c:pt idx="0">
                  <c:v>SY2023</c:v>
                </c:pt>
                <c:pt idx="1">
                  <c:v>SY2024</c:v>
                </c:pt>
              </c:strCache>
            </c:strRef>
          </c:cat>
          <c:val>
            <c:numRef>
              <c:f>'DESC 20'!$Z$12:$AA$12</c:f>
              <c:numCache>
                <c:formatCode>###0.0%</c:formatCode>
                <c:ptCount val="2"/>
                <c:pt idx="0">
                  <c:v>0.67011899515204931</c:v>
                </c:pt>
                <c:pt idx="1">
                  <c:v>0.65944482058226139</c:v>
                </c:pt>
              </c:numCache>
            </c:numRef>
          </c:val>
          <c:extLst>
            <c:ext xmlns:c16="http://schemas.microsoft.com/office/drawing/2014/chart" uri="{C3380CC4-5D6E-409C-BE32-E72D297353CC}">
              <c16:uniqueId val="{00000001-3D09-40C4-AFDA-3A1690E8F9A7}"/>
            </c:ext>
          </c:extLst>
        </c:ser>
        <c:ser>
          <c:idx val="4"/>
          <c:order val="2"/>
          <c:tx>
            <c:v>SeriesA</c:v>
          </c:tx>
          <c:invertIfNegative val="0"/>
          <c:dLbls>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val>
            <c:numRef>
              <c:f>'DESC 20'!$AU$29</c:f>
              <c:numCache>
                <c:formatCode>General</c:formatCode>
                <c:ptCount val="1"/>
              </c:numCache>
            </c:numRef>
          </c:val>
          <c:extLst>
            <c:ext xmlns:c16="http://schemas.microsoft.com/office/drawing/2014/chart" uri="{C3380CC4-5D6E-409C-BE32-E72D297353CC}">
              <c16:uniqueId val="{00000002-3D09-40C4-AFDA-3A1690E8F9A7}"/>
            </c:ext>
          </c:extLst>
        </c:ser>
        <c:ser>
          <c:idx val="2"/>
          <c:order val="3"/>
          <c:tx>
            <c:strRef>
              <c:f>'DESC 20'!$S$13</c:f>
              <c:strCache>
                <c:ptCount val="1"/>
                <c:pt idx="0">
                  <c:v>Study Session</c:v>
                </c:pt>
              </c:strCache>
            </c:strRef>
          </c:tx>
          <c:spPr>
            <a:solidFill>
              <a:srgbClr val="881C1C"/>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'DESC 20'!$T$10:$U$10</c:f>
              <c:strCache>
                <c:ptCount val="2"/>
                <c:pt idx="0">
                  <c:v>SY2023</c:v>
                </c:pt>
                <c:pt idx="1">
                  <c:v>SY2024</c:v>
                </c:pt>
              </c:strCache>
            </c:strRef>
          </c:cat>
          <c:val>
            <c:numRef>
              <c:f>'DESC 20'!$Z$13:$AA$13</c:f>
              <c:numCache>
                <c:formatCode>###0.0%</c:formatCode>
                <c:ptCount val="2"/>
                <c:pt idx="0">
                  <c:v>0.95693170234454639</c:v>
                </c:pt>
                <c:pt idx="1">
                  <c:v>0.97200950620543969</c:v>
                </c:pt>
              </c:numCache>
            </c:numRef>
          </c:val>
          <c:extLst>
            <c:ext xmlns:c16="http://schemas.microsoft.com/office/drawing/2014/chart" uri="{C3380CC4-5D6E-409C-BE32-E72D297353CC}">
              <c16:uniqueId val="{00000003-3D09-40C4-AFDA-3A1690E8F9A7}"/>
            </c:ext>
          </c:extLst>
        </c:ser>
        <c:ser>
          <c:idx val="3"/>
          <c:order val="4"/>
          <c:tx>
            <c:strRef>
              <c:f>'DESC 20'!$S$14</c:f>
              <c:strCache>
                <c:ptCount val="1"/>
                <c:pt idx="0">
                  <c:v>No Study Session</c:v>
                </c:pt>
              </c:strCache>
            </c:strRef>
          </c:tx>
          <c:spPr>
            <a:solidFill>
              <a:srgbClr val="881C1C">
                <a:alpha val="40000"/>
              </a:srgb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'DESC 20'!$T$10:$U$10</c:f>
              <c:strCache>
                <c:ptCount val="2"/>
                <c:pt idx="0">
                  <c:v>SY2023</c:v>
                </c:pt>
                <c:pt idx="1">
                  <c:v>SY2024</c:v>
                </c:pt>
              </c:strCache>
            </c:strRef>
          </c:cat>
          <c:val>
            <c:numRef>
              <c:f>'DESC 20'!$Z$14:$AA$14</c:f>
              <c:numCache>
                <c:formatCode>###0.0%</c:formatCode>
                <c:ptCount val="2"/>
                <c:pt idx="0">
                  <c:v>0.79410598652041775</c:v>
                </c:pt>
                <c:pt idx="1">
                  <c:v>0.79876048122493615</c:v>
                </c:pt>
              </c:numCache>
            </c:numRef>
          </c:val>
          <c:extLst>
            <c:ext xmlns:c16="http://schemas.microsoft.com/office/drawing/2014/chart" uri="{C3380CC4-5D6E-409C-BE32-E72D297353CC}">
              <c16:uniqueId val="{00000004-3D09-40C4-AFDA-3A1690E8F9A7}"/>
            </c:ext>
          </c:extLst>
        </c:ser>
        <c:dLbls>
          <c:dLblPos val="inEnd"/>
          <c:showLegendKey val="0"/>
          <c:showVal val="1"/>
          <c:showCatName val="0"/>
          <c:showSerName val="0"/>
          <c:showPercent val="0"/>
          <c:showBubbleSize val="0"/>
        </c:dLbls>
        <c:gapWidth val="130"/>
        <c:axId val="1131719743"/>
        <c:axId val="1131720223"/>
      </c:barChart>
      <c:catAx>
        <c:axId val="1131719743"/>
        <c:scaling>
          <c:orientation val="maxMin"/>
        </c:scaling>
        <c:delete val="0"/>
        <c:axPos val="l"/>
        <c:numFmt formatCode="General" sourceLinked="1"/>
        <c:majorTickMark val="cross"/>
        <c:minorTickMark val="none"/>
        <c:tickLblPos val="nextTo"/>
        <c:spPr>
          <a:noFill/>
          <a:ln w="12700" cap="flat" cmpd="sng" algn="ctr">
            <a:solidFill>
              <a:schemeClr val="tx1"/>
            </a:solidFill>
            <a:round/>
          </a:ln>
          <a:effectLst/>
        </c:spPr>
        <c:txPr>
          <a:bodyPr rot="-5400000" spcFirstLastPara="1" vertOverflow="ellipsis" vert="horz" wrap="square" anchor="ctr" anchorCtr="1"/>
          <a:lstStyle/>
          <a:p>
            <a:pPr>
              <a:defRPr sz="1100" b="1" i="0" u="none" strike="noStrike" kern="1200" baseline="0">
                <a:solidFill>
                  <a:schemeClr val="tx1"/>
                </a:solidFill>
                <a:latin typeface="+mn-lt"/>
                <a:ea typeface="+mn-ea"/>
                <a:cs typeface="+mn-cs"/>
              </a:defRPr>
            </a:pPr>
            <a:endParaRPr lang="en-US"/>
          </a:p>
        </c:txPr>
        <c:crossAx val="1131720223"/>
        <c:crosses val="autoZero"/>
        <c:auto val="1"/>
        <c:lblAlgn val="ctr"/>
        <c:lblOffset val="100"/>
        <c:noMultiLvlLbl val="0"/>
      </c:catAx>
      <c:valAx>
        <c:axId val="1131720223"/>
        <c:scaling>
          <c:orientation val="minMax"/>
        </c:scaling>
        <c:delete val="1"/>
        <c:axPos val="t"/>
        <c:numFmt formatCode="###0.0%" sourceLinked="1"/>
        <c:majorTickMark val="none"/>
        <c:minorTickMark val="none"/>
        <c:tickLblPos val="nextTo"/>
        <c:crossAx val="1131719743"/>
        <c:crosses val="autoZero"/>
        <c:crossBetween val="between"/>
      </c:valAx>
    </c:plotArea>
    <c:legend>
      <c:legendPos val="b"/>
      <c:legendEntry>
        <c:idx val="2"/>
        <c:delete val="1"/>
      </c:legendEntry>
      <c:layout>
        <c:manualLayout>
          <c:xMode val="edge"/>
          <c:yMode val="edge"/>
          <c:x val="8.9853148521724061E-2"/>
          <c:y val="0.80316187749258605"/>
          <c:w val="0.77964425934361514"/>
          <c:h val="0.17612343911556511"/>
        </c:manualLayout>
      </c:layout>
      <c:overlay val="0"/>
      <c:spPr>
        <a:noFill/>
        <a:ln>
          <a:solidFill>
            <a:schemeClr val="bg2"/>
          </a:solidFill>
        </a:ln>
        <a:effectLst/>
      </c:spPr>
      <c:txPr>
        <a:bodyPr rot="0" spcFirstLastPara="1" vertOverflow="ellipsis" vert="horz" wrap="square" anchor="ctr" anchorCtr="1"/>
        <a:lstStyle/>
        <a:p>
          <a:pPr>
            <a:defRPr sz="1100" b="0" i="0" u="none" strike="noStrike" kern="1200" baseline="0">
              <a:solidFill>
                <a:schemeClr val="tx1"/>
              </a:solidFill>
              <a:latin typeface="+mn-lt"/>
              <a:ea typeface="+mn-ea"/>
              <a:cs typeface="+mn-cs"/>
            </a:defRPr>
          </a:pPr>
          <a:endParaRPr lang="en-US"/>
        </a:p>
      </c:txPr>
    </c:legend>
    <c:plotVisOnly val="1"/>
    <c:dispBlanksAs val="gap"/>
    <c:showDLblsOverMax val="0"/>
    <c:extLst/>
  </c:chart>
  <c:spPr>
    <a:ln>
      <a:solidFill>
        <a:schemeClr val="bg2"/>
      </a:solidFill>
    </a:ln>
  </c:spPr>
  <c:txPr>
    <a:bodyPr/>
    <a:lstStyle/>
    <a:p>
      <a:pPr>
        <a:defRPr/>
      </a:pPr>
      <a:endParaRPr lang="en-US"/>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3578521434820641E-2"/>
          <c:y val="4.1579762689026412E-2"/>
          <c:w val="0.87606683445769906"/>
          <c:h val="0.79732003640596405"/>
        </c:manualLayout>
      </c:layout>
      <c:barChart>
        <c:barDir val="bar"/>
        <c:grouping val="clustered"/>
        <c:varyColors val="0"/>
        <c:ser>
          <c:idx val="0"/>
          <c:order val="0"/>
          <c:tx>
            <c:strRef>
              <c:f>'DESC 22'!$S$11</c:f>
              <c:strCache>
                <c:ptCount val="1"/>
                <c:pt idx="0">
                  <c:v>Mock Exam</c:v>
                </c:pt>
              </c:strCache>
            </c:strRef>
          </c:tx>
          <c:spPr>
            <a:solidFill>
              <a:srgbClr val="21272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'DESC 20'!$T$10:$U$10</c:f>
              <c:strCache>
                <c:ptCount val="2"/>
                <c:pt idx="0">
                  <c:v>SY2023</c:v>
                </c:pt>
                <c:pt idx="1">
                  <c:v>SY2024</c:v>
                </c:pt>
              </c:strCache>
            </c:strRef>
          </c:cat>
          <c:val>
            <c:numRef>
              <c:f>'DESC 22'!$Z$11:$AA$11</c:f>
              <c:numCache>
                <c:formatCode>###0.0%</c:formatCode>
                <c:ptCount val="2"/>
                <c:pt idx="0">
                  <c:v>0.51459801524521787</c:v>
                </c:pt>
                <c:pt idx="1">
                  <c:v>0.50098879367172056</c:v>
                </c:pt>
              </c:numCache>
            </c:numRef>
          </c:val>
          <c:extLst>
            <c:ext xmlns:c16="http://schemas.microsoft.com/office/drawing/2014/chart" uri="{C3380CC4-5D6E-409C-BE32-E72D297353CC}">
              <c16:uniqueId val="{00000000-9D23-43C2-ABF3-2C5D36B13B43}"/>
            </c:ext>
          </c:extLst>
        </c:ser>
        <c:ser>
          <c:idx val="1"/>
          <c:order val="1"/>
          <c:tx>
            <c:strRef>
              <c:f>'DESC 22'!$S$12</c:f>
              <c:strCache>
                <c:ptCount val="1"/>
                <c:pt idx="0">
                  <c:v>No Mock Exam</c:v>
                </c:pt>
              </c:strCache>
            </c:strRef>
          </c:tx>
          <c:spPr>
            <a:solidFill>
              <a:srgbClr val="212721">
                <a:alpha val="40000"/>
              </a:srgb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'DESC 20'!$T$10:$U$10</c:f>
              <c:strCache>
                <c:ptCount val="2"/>
                <c:pt idx="0">
                  <c:v>SY2023</c:v>
                </c:pt>
                <c:pt idx="1">
                  <c:v>SY2024</c:v>
                </c:pt>
              </c:strCache>
            </c:strRef>
          </c:cat>
          <c:val>
            <c:numRef>
              <c:f>'DESC 22'!$Z$12:$AA$12</c:f>
              <c:numCache>
                <c:formatCode>###0.0%</c:formatCode>
                <c:ptCount val="2"/>
                <c:pt idx="0">
                  <c:v>0.24834728955486998</c:v>
                </c:pt>
                <c:pt idx="1">
                  <c:v>0.24260889189799145</c:v>
                </c:pt>
              </c:numCache>
            </c:numRef>
          </c:val>
          <c:extLst>
            <c:ext xmlns:c16="http://schemas.microsoft.com/office/drawing/2014/chart" uri="{C3380CC4-5D6E-409C-BE32-E72D297353CC}">
              <c16:uniqueId val="{00000001-9D23-43C2-ABF3-2C5D36B13B43}"/>
            </c:ext>
          </c:extLst>
        </c:ser>
        <c:ser>
          <c:idx val="4"/>
          <c:order val="2"/>
          <c:tx>
            <c:v>SeriesA</c:v>
          </c:tx>
          <c:invertIfNegative val="0"/>
          <c:dLbls>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val>
            <c:numRef>
              <c:f>'DESC 22'!$AU$32</c:f>
              <c:numCache>
                <c:formatCode>General</c:formatCode>
                <c:ptCount val="1"/>
              </c:numCache>
            </c:numRef>
          </c:val>
          <c:extLst>
            <c:ext xmlns:c16="http://schemas.microsoft.com/office/drawing/2014/chart" uri="{C3380CC4-5D6E-409C-BE32-E72D297353CC}">
              <c16:uniqueId val="{00000002-9D23-43C2-ABF3-2C5D36B13B43}"/>
            </c:ext>
          </c:extLst>
        </c:ser>
        <c:ser>
          <c:idx val="2"/>
          <c:order val="3"/>
          <c:tx>
            <c:strRef>
              <c:f>'DESC 22'!$S$13</c:f>
              <c:strCache>
                <c:ptCount val="1"/>
                <c:pt idx="0">
                  <c:v>Study Session</c:v>
                </c:pt>
              </c:strCache>
            </c:strRef>
          </c:tx>
          <c:spPr>
            <a:solidFill>
              <a:srgbClr val="881C1C"/>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'DESC 20'!$T$10:$U$10</c:f>
              <c:strCache>
                <c:ptCount val="2"/>
                <c:pt idx="0">
                  <c:v>SY2023</c:v>
                </c:pt>
                <c:pt idx="1">
                  <c:v>SY2024</c:v>
                </c:pt>
              </c:strCache>
            </c:strRef>
          </c:cat>
          <c:val>
            <c:numRef>
              <c:f>'DESC 22'!$Z$13:$AA$13</c:f>
              <c:numCache>
                <c:formatCode>###0.0%</c:formatCode>
                <c:ptCount val="2"/>
                <c:pt idx="0">
                  <c:v>0.49694189602446476</c:v>
                </c:pt>
                <c:pt idx="1">
                  <c:v>0.50831792975970425</c:v>
                </c:pt>
              </c:numCache>
            </c:numRef>
          </c:val>
          <c:extLst>
            <c:ext xmlns:c16="http://schemas.microsoft.com/office/drawing/2014/chart" uri="{C3380CC4-5D6E-409C-BE32-E72D297353CC}">
              <c16:uniqueId val="{00000003-9D23-43C2-ABF3-2C5D36B13B43}"/>
            </c:ext>
          </c:extLst>
        </c:ser>
        <c:ser>
          <c:idx val="3"/>
          <c:order val="4"/>
          <c:tx>
            <c:strRef>
              <c:f>'DESC 22'!$S$14</c:f>
              <c:strCache>
                <c:ptCount val="1"/>
                <c:pt idx="0">
                  <c:v>No Study Session</c:v>
                </c:pt>
              </c:strCache>
            </c:strRef>
          </c:tx>
          <c:spPr>
            <a:solidFill>
              <a:srgbClr val="881C1C">
                <a:alpha val="40000"/>
              </a:srgb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'DESC 20'!$T$10:$U$10</c:f>
              <c:strCache>
                <c:ptCount val="2"/>
                <c:pt idx="0">
                  <c:v>SY2023</c:v>
                </c:pt>
                <c:pt idx="1">
                  <c:v>SY2024</c:v>
                </c:pt>
              </c:strCache>
            </c:strRef>
          </c:cat>
          <c:val>
            <c:numRef>
              <c:f>'DESC 22'!$Z$14:$AA$14</c:f>
              <c:numCache>
                <c:formatCode>###0.0%</c:formatCode>
                <c:ptCount val="2"/>
                <c:pt idx="0">
                  <c:v>0.3640808774943835</c:v>
                </c:pt>
                <c:pt idx="1">
                  <c:v>0.35848827318021637</c:v>
                </c:pt>
              </c:numCache>
            </c:numRef>
          </c:val>
          <c:extLst>
            <c:ext xmlns:c16="http://schemas.microsoft.com/office/drawing/2014/chart" uri="{C3380CC4-5D6E-409C-BE32-E72D297353CC}">
              <c16:uniqueId val="{00000004-9D23-43C2-ABF3-2C5D36B13B43}"/>
            </c:ext>
          </c:extLst>
        </c:ser>
        <c:dLbls>
          <c:dLblPos val="inEnd"/>
          <c:showLegendKey val="0"/>
          <c:showVal val="1"/>
          <c:showCatName val="0"/>
          <c:showSerName val="0"/>
          <c:showPercent val="0"/>
          <c:showBubbleSize val="0"/>
        </c:dLbls>
        <c:gapWidth val="182"/>
        <c:axId val="1131719743"/>
        <c:axId val="1131720223"/>
      </c:barChart>
      <c:catAx>
        <c:axId val="1131719743"/>
        <c:scaling>
          <c:orientation val="maxMin"/>
        </c:scaling>
        <c:delete val="0"/>
        <c:axPos val="l"/>
        <c:numFmt formatCode="General" sourceLinked="1"/>
        <c:majorTickMark val="cross"/>
        <c:minorTickMark val="none"/>
        <c:tickLblPos val="nextTo"/>
        <c:spPr>
          <a:noFill/>
          <a:ln w="12700" cap="flat" cmpd="sng" algn="ctr">
            <a:solidFill>
              <a:schemeClr val="tx1"/>
            </a:solidFill>
            <a:round/>
          </a:ln>
          <a:effectLst/>
        </c:spPr>
        <c:txPr>
          <a:bodyPr rot="-5400000" spcFirstLastPara="1" vertOverflow="ellipsis" vert="horz" wrap="square" anchor="ctr" anchorCtr="1"/>
          <a:lstStyle/>
          <a:p>
            <a:pPr>
              <a:defRPr sz="1100" b="1" i="0" u="none" strike="noStrike" kern="1200" baseline="0">
                <a:solidFill>
                  <a:schemeClr val="tx1"/>
                </a:solidFill>
                <a:latin typeface="+mn-lt"/>
                <a:ea typeface="+mn-ea"/>
                <a:cs typeface="+mn-cs"/>
              </a:defRPr>
            </a:pPr>
            <a:endParaRPr lang="en-US"/>
          </a:p>
        </c:txPr>
        <c:crossAx val="1131720223"/>
        <c:crosses val="autoZero"/>
        <c:auto val="1"/>
        <c:lblAlgn val="ctr"/>
        <c:lblOffset val="100"/>
        <c:noMultiLvlLbl val="0"/>
      </c:catAx>
      <c:valAx>
        <c:axId val="1131720223"/>
        <c:scaling>
          <c:orientation val="minMax"/>
        </c:scaling>
        <c:delete val="1"/>
        <c:axPos val="t"/>
        <c:numFmt formatCode="###0.0%" sourceLinked="1"/>
        <c:majorTickMark val="none"/>
        <c:minorTickMark val="none"/>
        <c:tickLblPos val="nextTo"/>
        <c:crossAx val="1131719743"/>
        <c:crosses val="autoZero"/>
        <c:crossBetween val="between"/>
      </c:valAx>
    </c:plotArea>
    <c:legend>
      <c:legendPos val="b"/>
      <c:legendEntry>
        <c:idx val="2"/>
        <c:delete val="1"/>
      </c:legendEntry>
      <c:layout>
        <c:manualLayout>
          <c:xMode val="edge"/>
          <c:yMode val="edge"/>
          <c:x val="0.16666680488003771"/>
          <c:y val="0.85616182479846181"/>
          <c:w val="0.68517647774280976"/>
          <c:h val="0.11149867271251891"/>
        </c:manualLayout>
      </c:layout>
      <c:overlay val="0"/>
      <c:spPr>
        <a:noFill/>
        <a:ln>
          <a:solidFill>
            <a:schemeClr val="bg2"/>
          </a:solidFill>
        </a:ln>
        <a:effectLst/>
      </c:spPr>
      <c:txPr>
        <a:bodyPr rot="0" spcFirstLastPara="1" vertOverflow="ellipsis" vert="horz" wrap="square" anchor="ctr" anchorCtr="1"/>
        <a:lstStyle/>
        <a:p>
          <a:pPr>
            <a:defRPr sz="1100" b="0" i="0" u="none" strike="noStrike" kern="1200" baseline="0">
              <a:solidFill>
                <a:schemeClr val="tx1"/>
              </a:solidFill>
              <a:latin typeface="+mn-lt"/>
              <a:ea typeface="+mn-ea"/>
              <a:cs typeface="+mn-cs"/>
            </a:defRPr>
          </a:pPr>
          <a:endParaRPr lang="en-US"/>
        </a:p>
      </c:txPr>
    </c:legend>
    <c:plotVisOnly val="1"/>
    <c:dispBlanksAs val="gap"/>
    <c:showDLblsOverMax val="0"/>
    <c:extLst/>
  </c:chart>
  <c:spPr>
    <a:ln>
      <a:solidFill>
        <a:schemeClr val="bg2"/>
      </a:solidFill>
    </a:ln>
  </c:spPr>
  <c:txPr>
    <a:bodyPr/>
    <a:lstStyle/>
    <a:p>
      <a:pPr>
        <a:defRPr/>
      </a:pPr>
      <a:endParaRPr lang="en-US"/>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3.7447054032039087E-2"/>
          <c:y val="1.6625695163698878E-3"/>
          <c:w val="0.931997352701602"/>
          <c:h val="0.82641975616756302"/>
        </c:manualLayout>
      </c:layout>
      <c:barChart>
        <c:barDir val="bar"/>
        <c:grouping val="clustered"/>
        <c:varyColors val="0"/>
        <c:ser>
          <c:idx val="4"/>
          <c:order val="0"/>
          <c:tx>
            <c:v>White</c:v>
          </c:tx>
          <c:spPr>
            <a:solidFill>
              <a:srgbClr val="5E4B3C"/>
            </a:solidFill>
            <a:ln>
              <a:noFill/>
            </a:ln>
            <a:effectLst/>
          </c:spPr>
          <c:invertIfNegative val="0"/>
          <c:dLbls>
            <c:spPr>
              <a:solidFill>
                <a:srgbClr val="5E4B3C"/>
              </a:solid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'DESC 39'!$F$61</c:f>
              <c:numCache>
                <c:formatCode>###0.0%</c:formatCode>
                <c:ptCount val="1"/>
                <c:pt idx="0">
                  <c:v>0.92738939547450183</c:v>
                </c:pt>
              </c:numCache>
            </c:numRef>
          </c:val>
          <c:extLst>
            <c:ext xmlns:c16="http://schemas.microsoft.com/office/drawing/2014/chart" uri="{C3380CC4-5D6E-409C-BE32-E72D297353CC}">
              <c16:uniqueId val="{00000000-0198-49A6-A8DF-CE26D5307A5A}"/>
            </c:ext>
          </c:extLst>
        </c:ser>
        <c:ser>
          <c:idx val="3"/>
          <c:order val="1"/>
          <c:tx>
            <c:v>Multiracial</c:v>
          </c:tx>
          <c:spPr>
            <a:solidFill>
              <a:srgbClr val="44692D"/>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'DESC 39'!$F$60</c:f>
              <c:numCache>
                <c:formatCode>###0.0%</c:formatCode>
                <c:ptCount val="1"/>
                <c:pt idx="0">
                  <c:v>0.91794871794871791</c:v>
                </c:pt>
              </c:numCache>
            </c:numRef>
          </c:val>
          <c:extLst>
            <c:ext xmlns:c16="http://schemas.microsoft.com/office/drawing/2014/chart" uri="{C3380CC4-5D6E-409C-BE32-E72D297353CC}">
              <c16:uniqueId val="{00000001-0198-49A6-A8DF-CE26D5307A5A}"/>
            </c:ext>
          </c:extLst>
        </c:ser>
        <c:ser>
          <c:idx val="2"/>
          <c:order val="2"/>
          <c:tx>
            <c:v>Latino</c:v>
          </c:tx>
          <c:spPr>
            <a:solidFill>
              <a:srgbClr val="A2AAAD"/>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'DESC 39'!$F$59</c:f>
              <c:numCache>
                <c:formatCode>###0.0%</c:formatCode>
                <c:ptCount val="1"/>
                <c:pt idx="0">
                  <c:v>0.84342301943198805</c:v>
                </c:pt>
              </c:numCache>
            </c:numRef>
          </c:val>
          <c:extLst>
            <c:ext xmlns:c16="http://schemas.microsoft.com/office/drawing/2014/chart" uri="{C3380CC4-5D6E-409C-BE32-E72D297353CC}">
              <c16:uniqueId val="{00000002-0198-49A6-A8DF-CE26D5307A5A}"/>
            </c:ext>
          </c:extLst>
        </c:ser>
        <c:ser>
          <c:idx val="1"/>
          <c:order val="3"/>
          <c:tx>
            <c:v>Black</c:v>
          </c:tx>
          <c:spPr>
            <a:solidFill>
              <a:srgbClr val="881C1C"/>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'DESC 39'!$F$58</c:f>
              <c:numCache>
                <c:formatCode>###0.0%</c:formatCode>
                <c:ptCount val="1"/>
                <c:pt idx="0">
                  <c:v>0.86501377410468328</c:v>
                </c:pt>
              </c:numCache>
            </c:numRef>
          </c:val>
          <c:extLst>
            <c:ext xmlns:c16="http://schemas.microsoft.com/office/drawing/2014/chart" uri="{C3380CC4-5D6E-409C-BE32-E72D297353CC}">
              <c16:uniqueId val="{00000003-0198-49A6-A8DF-CE26D5307A5A}"/>
            </c:ext>
          </c:extLst>
        </c:ser>
        <c:ser>
          <c:idx val="0"/>
          <c:order val="4"/>
          <c:tx>
            <c:v>Asian</c:v>
          </c:tx>
          <c:spPr>
            <a:solidFill>
              <a:srgbClr val="21272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'DESC 39'!$F$57</c:f>
              <c:numCache>
                <c:formatCode>###0.0%</c:formatCode>
                <c:ptCount val="1"/>
                <c:pt idx="0">
                  <c:v>0.93567251461988288</c:v>
                </c:pt>
              </c:numCache>
            </c:numRef>
          </c:val>
          <c:extLst>
            <c:ext xmlns:c16="http://schemas.microsoft.com/office/drawing/2014/chart" uri="{C3380CC4-5D6E-409C-BE32-E72D297353CC}">
              <c16:uniqueId val="{00000004-0198-49A6-A8DF-CE26D5307A5A}"/>
            </c:ext>
          </c:extLst>
        </c:ser>
        <c:dLbls>
          <c:dLblPos val="inEnd"/>
          <c:showLegendKey val="0"/>
          <c:showVal val="1"/>
          <c:showCatName val="0"/>
          <c:showSerName val="0"/>
          <c:showPercent val="0"/>
          <c:showBubbleSize val="0"/>
        </c:dLbls>
        <c:gapWidth val="182"/>
        <c:overlap val="-10"/>
        <c:axId val="336704735"/>
        <c:axId val="336694175"/>
      </c:barChart>
      <c:catAx>
        <c:axId val="336704735"/>
        <c:scaling>
          <c:orientation val="minMax"/>
        </c:scaling>
        <c:delete val="1"/>
        <c:axPos val="l"/>
        <c:majorTickMark val="out"/>
        <c:minorTickMark val="none"/>
        <c:tickLblPos val="nextTo"/>
        <c:crossAx val="336694175"/>
        <c:crosses val="autoZero"/>
        <c:auto val="1"/>
        <c:lblAlgn val="ctr"/>
        <c:lblOffset val="100"/>
        <c:noMultiLvlLbl val="0"/>
      </c:catAx>
      <c:valAx>
        <c:axId val="336694175"/>
        <c:scaling>
          <c:orientation val="minMax"/>
          <c:max val="1"/>
          <c:min val="0"/>
        </c:scaling>
        <c:delete val="1"/>
        <c:axPos val="b"/>
        <c:numFmt formatCode="###0.0%" sourceLinked="1"/>
        <c:majorTickMark val="out"/>
        <c:minorTickMark val="none"/>
        <c:tickLblPos val="nextTo"/>
        <c:crossAx val="336704735"/>
        <c:crosses val="autoZero"/>
        <c:crossBetween val="between"/>
      </c:valAx>
    </c:plotArea>
    <c:legend>
      <c:legendPos val="b"/>
      <c:layout>
        <c:manualLayout>
          <c:xMode val="edge"/>
          <c:yMode val="edge"/>
          <c:x val="2.1019549280477872E-2"/>
          <c:y val="0.77236469960058662"/>
          <c:w val="0.94071918273146893"/>
          <c:h val="0.19593945368556348"/>
        </c:manualLayout>
      </c:layout>
      <c:overlay val="0"/>
      <c:spPr>
        <a:noFill/>
        <a:ln>
          <a:solidFill>
            <a:schemeClr val="bg2"/>
          </a:solidFill>
        </a:ln>
        <a:effectLst/>
      </c:spPr>
      <c:txPr>
        <a:bodyPr rot="0" spcFirstLastPara="1" vertOverflow="ellipsis" vert="horz" wrap="square" anchor="ctr" anchorCtr="1"/>
        <a:lstStyle/>
        <a:p>
          <a:pPr>
            <a:defRPr sz="1100" b="0" i="0" u="none" strike="noStrike" kern="1200" baseline="0">
              <a:solidFill>
                <a:schemeClr val="tx1"/>
              </a:solidFill>
              <a:latin typeface="+mn-lt"/>
              <a:ea typeface="+mn-ea"/>
              <a:cs typeface="+mn-cs"/>
            </a:defRPr>
          </a:pPr>
          <a:endParaRPr lang="en-US"/>
        </a:p>
      </c:txPr>
    </c:legend>
    <c:plotVisOnly val="1"/>
    <c:dispBlanksAs val="gap"/>
    <c:showDLblsOverMax val="0"/>
    <c:extLst/>
  </c:chart>
  <c:spPr>
    <a:ln>
      <a:solidFill>
        <a:schemeClr val="bg2"/>
      </a:solidFill>
    </a:ln>
  </c:spPr>
  <c:txPr>
    <a:bodyPr/>
    <a:lstStyle/>
    <a:p>
      <a:pPr>
        <a:defRPr/>
      </a:pPr>
      <a:endParaRPr lang="en-US"/>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4.1858023561008359E-2"/>
          <c:y val="0"/>
          <c:w val="0.95814197643899146"/>
          <c:h val="0.78522117105599598"/>
        </c:manualLayout>
      </c:layout>
      <c:barChart>
        <c:barDir val="bar"/>
        <c:grouping val="clustered"/>
        <c:varyColors val="0"/>
        <c:ser>
          <c:idx val="4"/>
          <c:order val="0"/>
          <c:tx>
            <c:v>White</c:v>
          </c:tx>
          <c:spPr>
            <a:solidFill>
              <a:srgbClr val="5E4B3C"/>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'DESC 39'!$N$61</c:f>
              <c:numCache>
                <c:formatCode>###0.0%</c:formatCode>
                <c:ptCount val="1"/>
                <c:pt idx="0">
                  <c:v>0.91940108314749924</c:v>
                </c:pt>
              </c:numCache>
            </c:numRef>
          </c:val>
          <c:extLst>
            <c:ext xmlns:c16="http://schemas.microsoft.com/office/drawing/2014/chart" uri="{C3380CC4-5D6E-409C-BE32-E72D297353CC}">
              <c16:uniqueId val="{00000000-152C-4B06-A2FF-B22AC06E895A}"/>
            </c:ext>
          </c:extLst>
        </c:ser>
        <c:ser>
          <c:idx val="3"/>
          <c:order val="1"/>
          <c:tx>
            <c:v>Multiracial</c:v>
          </c:tx>
          <c:spPr>
            <a:solidFill>
              <a:srgbClr val="44692D"/>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'DESC 39'!$N$60</c:f>
              <c:numCache>
                <c:formatCode>###0.0%</c:formatCode>
                <c:ptCount val="1"/>
                <c:pt idx="0">
                  <c:v>0.87804878048780499</c:v>
                </c:pt>
              </c:numCache>
            </c:numRef>
          </c:val>
          <c:extLst>
            <c:ext xmlns:c16="http://schemas.microsoft.com/office/drawing/2014/chart" uri="{C3380CC4-5D6E-409C-BE32-E72D297353CC}">
              <c16:uniqueId val="{00000001-152C-4B06-A2FF-B22AC06E895A}"/>
            </c:ext>
          </c:extLst>
        </c:ser>
        <c:ser>
          <c:idx val="2"/>
          <c:order val="2"/>
          <c:tx>
            <c:v>Latino</c:v>
          </c:tx>
          <c:spPr>
            <a:solidFill>
              <a:srgbClr val="A2AAAD"/>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'DESC 39'!$N$59</c:f>
              <c:numCache>
                <c:formatCode>###0.0%</c:formatCode>
                <c:ptCount val="1"/>
                <c:pt idx="0">
                  <c:v>0.83906810035842294</c:v>
                </c:pt>
              </c:numCache>
            </c:numRef>
          </c:val>
          <c:extLst>
            <c:ext xmlns:c16="http://schemas.microsoft.com/office/drawing/2014/chart" uri="{C3380CC4-5D6E-409C-BE32-E72D297353CC}">
              <c16:uniqueId val="{00000002-152C-4B06-A2FF-B22AC06E895A}"/>
            </c:ext>
          </c:extLst>
        </c:ser>
        <c:ser>
          <c:idx val="1"/>
          <c:order val="3"/>
          <c:tx>
            <c:v>Black</c:v>
          </c:tx>
          <c:spPr>
            <a:solidFill>
              <a:srgbClr val="881C1C"/>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'DESC 39'!$N$58</c:f>
              <c:numCache>
                <c:formatCode>###0.0%</c:formatCode>
                <c:ptCount val="1"/>
                <c:pt idx="0">
                  <c:v>0.85509138381201044</c:v>
                </c:pt>
              </c:numCache>
            </c:numRef>
          </c:val>
          <c:extLst>
            <c:ext xmlns:c16="http://schemas.microsoft.com/office/drawing/2014/chart" uri="{C3380CC4-5D6E-409C-BE32-E72D297353CC}">
              <c16:uniqueId val="{00000003-152C-4B06-A2FF-B22AC06E895A}"/>
            </c:ext>
          </c:extLst>
        </c:ser>
        <c:ser>
          <c:idx val="0"/>
          <c:order val="4"/>
          <c:tx>
            <c:v>Asian</c:v>
          </c:tx>
          <c:spPr>
            <a:solidFill>
              <a:srgbClr val="21272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'DESC 39'!$N$57</c:f>
              <c:numCache>
                <c:formatCode>###0.0%</c:formatCode>
                <c:ptCount val="1"/>
                <c:pt idx="0">
                  <c:v>0.92462845010615713</c:v>
                </c:pt>
              </c:numCache>
            </c:numRef>
          </c:val>
          <c:extLst>
            <c:ext xmlns:c16="http://schemas.microsoft.com/office/drawing/2014/chart" uri="{C3380CC4-5D6E-409C-BE32-E72D297353CC}">
              <c16:uniqueId val="{00000004-152C-4B06-A2FF-B22AC06E895A}"/>
            </c:ext>
          </c:extLst>
        </c:ser>
        <c:dLbls>
          <c:dLblPos val="inEnd"/>
          <c:showLegendKey val="0"/>
          <c:showVal val="1"/>
          <c:showCatName val="0"/>
          <c:showSerName val="0"/>
          <c:showPercent val="0"/>
          <c:showBubbleSize val="0"/>
        </c:dLbls>
        <c:gapWidth val="182"/>
        <c:overlap val="-10"/>
        <c:axId val="336704735"/>
        <c:axId val="336694175"/>
      </c:barChart>
      <c:catAx>
        <c:axId val="336704735"/>
        <c:scaling>
          <c:orientation val="minMax"/>
        </c:scaling>
        <c:delete val="1"/>
        <c:axPos val="l"/>
        <c:majorTickMark val="out"/>
        <c:minorTickMark val="none"/>
        <c:tickLblPos val="nextTo"/>
        <c:crossAx val="336694175"/>
        <c:crosses val="autoZero"/>
        <c:auto val="1"/>
        <c:lblAlgn val="ctr"/>
        <c:lblOffset val="100"/>
        <c:noMultiLvlLbl val="0"/>
      </c:catAx>
      <c:valAx>
        <c:axId val="336694175"/>
        <c:scaling>
          <c:orientation val="minMax"/>
          <c:max val="1"/>
          <c:min val="0"/>
        </c:scaling>
        <c:delete val="1"/>
        <c:axPos val="b"/>
        <c:numFmt formatCode="###0.0%" sourceLinked="1"/>
        <c:majorTickMark val="out"/>
        <c:minorTickMark val="none"/>
        <c:tickLblPos val="nextTo"/>
        <c:crossAx val="336704735"/>
        <c:crosses val="autoZero"/>
        <c:crossBetween val="between"/>
      </c:valAx>
    </c:plotArea>
    <c:legend>
      <c:legendPos val="b"/>
      <c:layout>
        <c:manualLayout>
          <c:xMode val="edge"/>
          <c:yMode val="edge"/>
          <c:x val="3.433698694639914E-2"/>
          <c:y val="0.76644228325471753"/>
          <c:w val="0.9446150626520522"/>
          <c:h val="0.19593945368556348"/>
        </c:manualLayout>
      </c:layout>
      <c:overlay val="0"/>
      <c:spPr>
        <a:noFill/>
        <a:ln>
          <a:solidFill>
            <a:schemeClr val="bg2"/>
          </a:solidFill>
        </a:ln>
        <a:effectLst/>
      </c:spPr>
      <c:txPr>
        <a:bodyPr rot="0" spcFirstLastPara="1" vertOverflow="ellipsis" vert="horz" wrap="square" anchor="ctr" anchorCtr="1"/>
        <a:lstStyle/>
        <a:p>
          <a:pPr>
            <a:defRPr sz="1100" b="0" i="0" u="none" strike="noStrike" kern="1200" baseline="0">
              <a:solidFill>
                <a:schemeClr val="tx1"/>
              </a:solidFill>
              <a:latin typeface="+mn-lt"/>
              <a:ea typeface="+mn-ea"/>
              <a:cs typeface="+mn-cs"/>
            </a:defRPr>
          </a:pPr>
          <a:endParaRPr lang="en-US"/>
        </a:p>
      </c:txPr>
    </c:legend>
    <c:plotVisOnly val="1"/>
    <c:dispBlanksAs val="gap"/>
    <c:showDLblsOverMax val="0"/>
    <c:extLst/>
  </c:chart>
  <c:spPr>
    <a:ln>
      <a:solidFill>
        <a:schemeClr val="bg2"/>
      </a:solidFill>
    </a:ln>
  </c:spPr>
  <c:txPr>
    <a:bodyPr/>
    <a:lstStyle/>
    <a:p>
      <a:pPr>
        <a:defRPr/>
      </a:pPr>
      <a:endParaRPr lang="en-US"/>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4.3113774149906324E-2"/>
          <c:y val="1.8949291593663166E-3"/>
          <c:w val="0.92640484101960296"/>
          <c:h val="0.74754046612770286"/>
        </c:manualLayout>
      </c:layout>
      <c:barChart>
        <c:barDir val="bar"/>
        <c:grouping val="clustered"/>
        <c:varyColors val="0"/>
        <c:ser>
          <c:idx val="6"/>
          <c:order val="0"/>
          <c:tx>
            <c:v>Not SWD</c:v>
          </c:tx>
          <c:spPr>
            <a:solidFill>
              <a:srgbClr val="5E4B3C">
                <a:alpha val="40000"/>
              </a:srgb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'DESC 39'!$F$68</c:f>
              <c:numCache>
                <c:formatCode>###0.0%</c:formatCode>
                <c:ptCount val="1"/>
                <c:pt idx="0">
                  <c:v>0.90321137847750232</c:v>
                </c:pt>
              </c:numCache>
            </c:numRef>
          </c:val>
          <c:extLst>
            <c:ext xmlns:c16="http://schemas.microsoft.com/office/drawing/2014/chart" uri="{C3380CC4-5D6E-409C-BE32-E72D297353CC}">
              <c16:uniqueId val="{00000000-8953-4135-B3BD-81AD721533FC}"/>
            </c:ext>
          </c:extLst>
        </c:ser>
        <c:ser>
          <c:idx val="7"/>
          <c:order val="1"/>
          <c:tx>
            <c:v>SWD</c:v>
          </c:tx>
          <c:spPr>
            <a:solidFill>
              <a:srgbClr val="5E4B3C"/>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'DESC 39'!$F$69</c:f>
              <c:numCache>
                <c:formatCode>###0.0%</c:formatCode>
                <c:ptCount val="1"/>
                <c:pt idx="0">
                  <c:v>0.78525641025641024</c:v>
                </c:pt>
              </c:numCache>
            </c:numRef>
          </c:val>
          <c:extLst>
            <c:ext xmlns:c16="http://schemas.microsoft.com/office/drawing/2014/chart" uri="{C3380CC4-5D6E-409C-BE32-E72D297353CC}">
              <c16:uniqueId val="{00000001-8953-4135-B3BD-81AD721533FC}"/>
            </c:ext>
          </c:extLst>
        </c:ser>
        <c:ser>
          <c:idx val="8"/>
          <c:order val="2"/>
          <c:tx>
            <c:v>SeriesA</c:v>
          </c:tx>
          <c:invertIfNegative val="0"/>
          <c:dLbls>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val>
            <c:numRef>
              <c:f>'DESC 39'!$S$37</c:f>
              <c:numCache>
                <c:formatCode>General</c:formatCode>
                <c:ptCount val="1"/>
              </c:numCache>
            </c:numRef>
          </c:val>
          <c:extLst>
            <c:ext xmlns:c16="http://schemas.microsoft.com/office/drawing/2014/chart" uri="{C3380CC4-5D6E-409C-BE32-E72D297353CC}">
              <c16:uniqueId val="{00000002-8953-4135-B3BD-81AD721533FC}"/>
            </c:ext>
          </c:extLst>
        </c:ser>
        <c:ser>
          <c:idx val="4"/>
          <c:order val="3"/>
          <c:tx>
            <c:v>Not Low-income</c:v>
          </c:tx>
          <c:spPr>
            <a:solidFill>
              <a:srgbClr val="44692D">
                <a:alpha val="40000"/>
              </a:srgb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'DESC 39'!$F$66</c:f>
              <c:numCache>
                <c:formatCode>###0.0%</c:formatCode>
                <c:ptCount val="1"/>
                <c:pt idx="0">
                  <c:v>0.9305200341005968</c:v>
                </c:pt>
              </c:numCache>
            </c:numRef>
          </c:val>
          <c:extLst>
            <c:ext xmlns:c16="http://schemas.microsoft.com/office/drawing/2014/chart" uri="{C3380CC4-5D6E-409C-BE32-E72D297353CC}">
              <c16:uniqueId val="{00000003-8953-4135-B3BD-81AD721533FC}"/>
            </c:ext>
          </c:extLst>
        </c:ser>
        <c:ser>
          <c:idx val="5"/>
          <c:order val="4"/>
          <c:tx>
            <c:v>Low-income</c:v>
          </c:tx>
          <c:spPr>
            <a:solidFill>
              <a:srgbClr val="44692D"/>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'DESC 39'!$F$67</c:f>
              <c:numCache>
                <c:formatCode>###0.0%</c:formatCode>
                <c:ptCount val="1"/>
                <c:pt idx="0">
                  <c:v>0.85178531327195151</c:v>
                </c:pt>
              </c:numCache>
            </c:numRef>
          </c:val>
          <c:extLst>
            <c:ext xmlns:c16="http://schemas.microsoft.com/office/drawing/2014/chart" uri="{C3380CC4-5D6E-409C-BE32-E72D297353CC}">
              <c16:uniqueId val="{00000004-8953-4135-B3BD-81AD721533FC}"/>
            </c:ext>
          </c:extLst>
        </c:ser>
        <c:ser>
          <c:idx val="9"/>
          <c:order val="5"/>
          <c:tx>
            <c:v>SeriesB</c:v>
          </c:tx>
          <c:invertIfNegative val="0"/>
          <c:dLbls>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val>
            <c:numRef>
              <c:f>'DESC 39'!$T$36</c:f>
              <c:numCache>
                <c:formatCode>General</c:formatCode>
                <c:ptCount val="1"/>
              </c:numCache>
            </c:numRef>
          </c:val>
          <c:extLst>
            <c:ext xmlns:c16="http://schemas.microsoft.com/office/drawing/2014/chart" uri="{C3380CC4-5D6E-409C-BE32-E72D297353CC}">
              <c16:uniqueId val="{00000005-8953-4135-B3BD-81AD721533FC}"/>
            </c:ext>
          </c:extLst>
        </c:ser>
        <c:ser>
          <c:idx val="2"/>
          <c:order val="6"/>
          <c:tx>
            <c:v>Not EL</c:v>
          </c:tx>
          <c:spPr>
            <a:solidFill>
              <a:srgbClr val="881C1C">
                <a:alpha val="40000"/>
              </a:srgb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'DESC 39'!$F$64</c:f>
              <c:numCache>
                <c:formatCode>###0.0%</c:formatCode>
                <c:ptCount val="1"/>
                <c:pt idx="0">
                  <c:v>0.90607388854101445</c:v>
                </c:pt>
              </c:numCache>
            </c:numRef>
          </c:val>
          <c:extLst>
            <c:ext xmlns:c16="http://schemas.microsoft.com/office/drawing/2014/chart" uri="{C3380CC4-5D6E-409C-BE32-E72D297353CC}">
              <c16:uniqueId val="{00000006-8953-4135-B3BD-81AD721533FC}"/>
            </c:ext>
          </c:extLst>
        </c:ser>
        <c:ser>
          <c:idx val="3"/>
          <c:order val="7"/>
          <c:tx>
            <c:v>EL</c:v>
          </c:tx>
          <c:spPr>
            <a:solidFill>
              <a:srgbClr val="881C1C"/>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'DESC 39'!$F$65</c:f>
              <c:numCache>
                <c:formatCode>###0.0%</c:formatCode>
                <c:ptCount val="1"/>
                <c:pt idx="0">
                  <c:v>0.68269230769230771</c:v>
                </c:pt>
              </c:numCache>
            </c:numRef>
          </c:val>
          <c:extLst>
            <c:ext xmlns:c16="http://schemas.microsoft.com/office/drawing/2014/chart" uri="{C3380CC4-5D6E-409C-BE32-E72D297353CC}">
              <c16:uniqueId val="{00000007-8953-4135-B3BD-81AD721533FC}"/>
            </c:ext>
          </c:extLst>
        </c:ser>
        <c:ser>
          <c:idx val="10"/>
          <c:order val="8"/>
          <c:tx>
            <c:v>SeriesC</c:v>
          </c:tx>
          <c:invertIfNegative val="0"/>
          <c:dLbls>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val>
            <c:numRef>
              <c:f>'DESC 39'!$S$36</c:f>
              <c:numCache>
                <c:formatCode>General</c:formatCode>
                <c:ptCount val="1"/>
              </c:numCache>
            </c:numRef>
          </c:val>
          <c:extLst>
            <c:ext xmlns:c16="http://schemas.microsoft.com/office/drawing/2014/chart" uri="{C3380CC4-5D6E-409C-BE32-E72D297353CC}">
              <c16:uniqueId val="{00000008-8953-4135-B3BD-81AD721533FC}"/>
            </c:ext>
          </c:extLst>
        </c:ser>
        <c:ser>
          <c:idx val="0"/>
          <c:order val="9"/>
          <c:tx>
            <c:v>Male</c:v>
          </c:tx>
          <c:spPr>
            <a:solidFill>
              <a:srgbClr val="212721">
                <a:alpha val="40000"/>
              </a:srgb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'DESC 39'!$F$62</c:f>
              <c:numCache>
                <c:formatCode>###0.0%</c:formatCode>
                <c:ptCount val="1"/>
                <c:pt idx="0">
                  <c:v>0.89123102866779091</c:v>
                </c:pt>
              </c:numCache>
            </c:numRef>
          </c:val>
          <c:extLst>
            <c:ext xmlns:c16="http://schemas.microsoft.com/office/drawing/2014/chart" uri="{C3380CC4-5D6E-409C-BE32-E72D297353CC}">
              <c16:uniqueId val="{00000009-8953-4135-B3BD-81AD721533FC}"/>
            </c:ext>
          </c:extLst>
        </c:ser>
        <c:ser>
          <c:idx val="1"/>
          <c:order val="10"/>
          <c:tx>
            <c:v>Female</c:v>
          </c:tx>
          <c:spPr>
            <a:solidFill>
              <a:srgbClr val="21272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'DESC 39'!$F$63</c:f>
              <c:numCache>
                <c:formatCode>###0.0%</c:formatCode>
                <c:ptCount val="1"/>
                <c:pt idx="0">
                  <c:v>0.90659504625484932</c:v>
                </c:pt>
              </c:numCache>
            </c:numRef>
          </c:val>
          <c:extLst>
            <c:ext xmlns:c16="http://schemas.microsoft.com/office/drawing/2014/chart" uri="{C3380CC4-5D6E-409C-BE32-E72D297353CC}">
              <c16:uniqueId val="{0000000A-8953-4135-B3BD-81AD721533FC}"/>
            </c:ext>
          </c:extLst>
        </c:ser>
        <c:dLbls>
          <c:dLblPos val="inEnd"/>
          <c:showLegendKey val="0"/>
          <c:showVal val="1"/>
          <c:showCatName val="0"/>
          <c:showSerName val="0"/>
          <c:showPercent val="0"/>
          <c:showBubbleSize val="0"/>
        </c:dLbls>
        <c:gapWidth val="182"/>
        <c:axId val="1021012959"/>
        <c:axId val="1021020639"/>
      </c:barChart>
      <c:catAx>
        <c:axId val="1021012959"/>
        <c:scaling>
          <c:orientation val="minMax"/>
        </c:scaling>
        <c:delete val="1"/>
        <c:axPos val="l"/>
        <c:majorTickMark val="out"/>
        <c:minorTickMark val="none"/>
        <c:tickLblPos val="nextTo"/>
        <c:crossAx val="1021020639"/>
        <c:crosses val="autoZero"/>
        <c:auto val="1"/>
        <c:lblAlgn val="ctr"/>
        <c:lblOffset val="100"/>
        <c:noMultiLvlLbl val="0"/>
      </c:catAx>
      <c:valAx>
        <c:axId val="1021020639"/>
        <c:scaling>
          <c:orientation val="minMax"/>
          <c:max val="1"/>
          <c:min val="0"/>
        </c:scaling>
        <c:delete val="1"/>
        <c:axPos val="b"/>
        <c:numFmt formatCode="###0.0%" sourceLinked="1"/>
        <c:majorTickMark val="out"/>
        <c:minorTickMark val="none"/>
        <c:tickLblPos val="nextTo"/>
        <c:crossAx val="1021012959"/>
        <c:crosses val="autoZero"/>
        <c:crossBetween val="between"/>
      </c:valAx>
    </c:plotArea>
    <c:legend>
      <c:legendPos val="b"/>
      <c:legendEntry>
        <c:idx val="2"/>
        <c:delete val="1"/>
      </c:legendEntry>
      <c:legendEntry>
        <c:idx val="5"/>
        <c:delete val="1"/>
      </c:legendEntry>
      <c:legendEntry>
        <c:idx val="8"/>
        <c:delete val="1"/>
      </c:legendEntry>
      <c:layout>
        <c:manualLayout>
          <c:xMode val="edge"/>
          <c:yMode val="edge"/>
          <c:x val="9.6325931041509799E-2"/>
          <c:y val="0.72734019689731866"/>
          <c:w val="0.6832876704574401"/>
          <c:h val="0.24971078921566325"/>
        </c:manualLayout>
      </c:layout>
      <c:overlay val="0"/>
      <c:spPr>
        <a:noFill/>
        <a:ln>
          <a:solidFill>
            <a:schemeClr val="bg2"/>
          </a:solidFill>
        </a:ln>
        <a:effectLst/>
      </c:spPr>
      <c:txPr>
        <a:bodyPr rot="0" spcFirstLastPara="1" vertOverflow="ellipsis" vert="horz" wrap="square" anchor="ctr" anchorCtr="1"/>
        <a:lstStyle/>
        <a:p>
          <a:pPr>
            <a:defRPr sz="1100" b="0" i="0" u="none" strike="noStrike" kern="1200" baseline="0">
              <a:solidFill>
                <a:schemeClr val="tx1"/>
              </a:solidFill>
              <a:latin typeface="+mn-lt"/>
              <a:ea typeface="+mn-ea"/>
              <a:cs typeface="+mn-cs"/>
            </a:defRPr>
          </a:pPr>
          <a:endParaRPr lang="en-US"/>
        </a:p>
      </c:txPr>
    </c:legend>
    <c:plotVisOnly val="1"/>
    <c:dispBlanksAs val="gap"/>
    <c:showDLblsOverMax val="0"/>
    <c:extLst/>
  </c:chart>
  <c:spPr>
    <a:ln>
      <a:solidFill>
        <a:schemeClr val="bg2">
          <a:alpha val="91000"/>
        </a:schemeClr>
      </a:solidFill>
    </a:ln>
  </c:spPr>
  <c:txPr>
    <a:bodyPr/>
    <a:lstStyle/>
    <a:p>
      <a:pPr>
        <a:defRPr/>
      </a:pPr>
      <a:endParaRPr lang="en-US"/>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5.0413712687811696E-2"/>
          <c:y val="1.8949291593663132E-3"/>
          <c:w val="0.91910496108352446"/>
          <c:h val="0.74754046612770286"/>
        </c:manualLayout>
      </c:layout>
      <c:barChart>
        <c:barDir val="bar"/>
        <c:grouping val="clustered"/>
        <c:varyColors val="0"/>
        <c:ser>
          <c:idx val="6"/>
          <c:order val="0"/>
          <c:tx>
            <c:v>Not SWD</c:v>
          </c:tx>
          <c:spPr>
            <a:solidFill>
              <a:srgbClr val="5E4B3C">
                <a:alpha val="40000"/>
              </a:srgb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'DESC 39'!$N$68</c:f>
              <c:numCache>
                <c:formatCode>###0.0%</c:formatCode>
                <c:ptCount val="1"/>
                <c:pt idx="0">
                  <c:v>0.89507126910527224</c:v>
                </c:pt>
              </c:numCache>
            </c:numRef>
          </c:val>
          <c:extLst>
            <c:ext xmlns:c16="http://schemas.microsoft.com/office/drawing/2014/chart" uri="{C3380CC4-5D6E-409C-BE32-E72D297353CC}">
              <c16:uniqueId val="{00000000-66C9-4C81-B2C3-972C98AEAA69}"/>
            </c:ext>
          </c:extLst>
        </c:ser>
        <c:ser>
          <c:idx val="7"/>
          <c:order val="1"/>
          <c:tx>
            <c:v>SWD</c:v>
          </c:tx>
          <c:spPr>
            <a:solidFill>
              <a:srgbClr val="5E4B3C"/>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'DESC 39'!$N$69</c:f>
              <c:numCache>
                <c:formatCode>###0.0%</c:formatCode>
                <c:ptCount val="1"/>
                <c:pt idx="0">
                  <c:v>0.77027027027027029</c:v>
                </c:pt>
              </c:numCache>
            </c:numRef>
          </c:val>
          <c:extLst>
            <c:ext xmlns:c16="http://schemas.microsoft.com/office/drawing/2014/chart" uri="{C3380CC4-5D6E-409C-BE32-E72D297353CC}">
              <c16:uniqueId val="{00000001-66C9-4C81-B2C3-972C98AEAA69}"/>
            </c:ext>
          </c:extLst>
        </c:ser>
        <c:ser>
          <c:idx val="8"/>
          <c:order val="2"/>
          <c:tx>
            <c:v>SeriesA</c:v>
          </c:tx>
          <c:invertIfNegative val="0"/>
          <c:dLbls>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val>
            <c:numRef>
              <c:f>'DESC 39'!$AN$127</c:f>
              <c:numCache>
                <c:formatCode>General</c:formatCode>
                <c:ptCount val="1"/>
              </c:numCache>
            </c:numRef>
          </c:val>
          <c:extLst>
            <c:ext xmlns:c16="http://schemas.microsoft.com/office/drawing/2014/chart" uri="{C3380CC4-5D6E-409C-BE32-E72D297353CC}">
              <c16:uniqueId val="{00000002-66C9-4C81-B2C3-972C98AEAA69}"/>
            </c:ext>
          </c:extLst>
        </c:ser>
        <c:ser>
          <c:idx val="4"/>
          <c:order val="3"/>
          <c:tx>
            <c:v>Not Low-income</c:v>
          </c:tx>
          <c:spPr>
            <a:solidFill>
              <a:srgbClr val="44692D">
                <a:alpha val="40000"/>
              </a:srgb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'DESC 39'!$N$66</c:f>
              <c:numCache>
                <c:formatCode>###0.0%</c:formatCode>
                <c:ptCount val="1"/>
                <c:pt idx="0">
                  <c:v>0.92491559756921005</c:v>
                </c:pt>
              </c:numCache>
            </c:numRef>
          </c:val>
          <c:extLst>
            <c:ext xmlns:c16="http://schemas.microsoft.com/office/drawing/2014/chart" uri="{C3380CC4-5D6E-409C-BE32-E72D297353CC}">
              <c16:uniqueId val="{00000003-66C9-4C81-B2C3-972C98AEAA69}"/>
            </c:ext>
          </c:extLst>
        </c:ser>
        <c:ser>
          <c:idx val="5"/>
          <c:order val="4"/>
          <c:tx>
            <c:v>Low-income</c:v>
          </c:tx>
          <c:spPr>
            <a:solidFill>
              <a:srgbClr val="44692D"/>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'DESC 39'!$N$67</c:f>
              <c:numCache>
                <c:formatCode>###0.0%</c:formatCode>
                <c:ptCount val="1"/>
                <c:pt idx="0">
                  <c:v>0.83712860550856649</c:v>
                </c:pt>
              </c:numCache>
            </c:numRef>
          </c:val>
          <c:extLst>
            <c:ext xmlns:c16="http://schemas.microsoft.com/office/drawing/2014/chart" uri="{C3380CC4-5D6E-409C-BE32-E72D297353CC}">
              <c16:uniqueId val="{00000004-66C9-4C81-B2C3-972C98AEAA69}"/>
            </c:ext>
          </c:extLst>
        </c:ser>
        <c:ser>
          <c:idx val="9"/>
          <c:order val="5"/>
          <c:tx>
            <c:v>SeriesB</c:v>
          </c:tx>
          <c:invertIfNegative val="0"/>
          <c:dLbls>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val>
            <c:numRef>
              <c:f>'DESC 39'!$AO$126</c:f>
              <c:numCache>
                <c:formatCode>General</c:formatCode>
                <c:ptCount val="1"/>
              </c:numCache>
            </c:numRef>
          </c:val>
          <c:extLst>
            <c:ext xmlns:c16="http://schemas.microsoft.com/office/drawing/2014/chart" uri="{C3380CC4-5D6E-409C-BE32-E72D297353CC}">
              <c16:uniqueId val="{00000005-66C9-4C81-B2C3-972C98AEAA69}"/>
            </c:ext>
          </c:extLst>
        </c:ser>
        <c:ser>
          <c:idx val="2"/>
          <c:order val="6"/>
          <c:tx>
            <c:v>Not EL</c:v>
          </c:tx>
          <c:spPr>
            <a:solidFill>
              <a:srgbClr val="881C1C">
                <a:alpha val="40000"/>
              </a:srgb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'DESC 39'!$N$64</c:f>
              <c:numCache>
                <c:formatCode>###0.0%</c:formatCode>
                <c:ptCount val="1"/>
                <c:pt idx="0">
                  <c:v>0.89497911516494755</c:v>
                </c:pt>
              </c:numCache>
            </c:numRef>
          </c:val>
          <c:extLst>
            <c:ext xmlns:c16="http://schemas.microsoft.com/office/drawing/2014/chart" uri="{C3380CC4-5D6E-409C-BE32-E72D297353CC}">
              <c16:uniqueId val="{00000006-66C9-4C81-B2C3-972C98AEAA69}"/>
            </c:ext>
          </c:extLst>
        </c:ser>
        <c:ser>
          <c:idx val="3"/>
          <c:order val="7"/>
          <c:tx>
            <c:v>EL</c:v>
          </c:tx>
          <c:spPr>
            <a:solidFill>
              <a:srgbClr val="881C1C"/>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'DESC 39'!$N$65</c:f>
              <c:numCache>
                <c:formatCode>###0.0%</c:formatCode>
                <c:ptCount val="1"/>
                <c:pt idx="0">
                  <c:v>0.73684210526315785</c:v>
                </c:pt>
              </c:numCache>
            </c:numRef>
          </c:val>
          <c:extLst>
            <c:ext xmlns:c16="http://schemas.microsoft.com/office/drawing/2014/chart" uri="{C3380CC4-5D6E-409C-BE32-E72D297353CC}">
              <c16:uniqueId val="{00000007-66C9-4C81-B2C3-972C98AEAA69}"/>
            </c:ext>
          </c:extLst>
        </c:ser>
        <c:ser>
          <c:idx val="10"/>
          <c:order val="8"/>
          <c:tx>
            <c:v>SeriesC</c:v>
          </c:tx>
          <c:invertIfNegative val="0"/>
          <c:dLbls>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val>
            <c:numRef>
              <c:f>'DESC 39'!$AO$126</c:f>
              <c:numCache>
                <c:formatCode>General</c:formatCode>
                <c:ptCount val="1"/>
              </c:numCache>
            </c:numRef>
          </c:val>
          <c:extLst>
            <c:ext xmlns:c16="http://schemas.microsoft.com/office/drawing/2014/chart" uri="{C3380CC4-5D6E-409C-BE32-E72D297353CC}">
              <c16:uniqueId val="{00000008-66C9-4C81-B2C3-972C98AEAA69}"/>
            </c:ext>
          </c:extLst>
        </c:ser>
        <c:ser>
          <c:idx val="0"/>
          <c:order val="9"/>
          <c:tx>
            <c:v>Male</c:v>
          </c:tx>
          <c:spPr>
            <a:solidFill>
              <a:srgbClr val="212721">
                <a:alpha val="40000"/>
              </a:srgb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'DESC 39'!$N$62</c:f>
              <c:numCache>
                <c:formatCode>###0.0%</c:formatCode>
                <c:ptCount val="1"/>
                <c:pt idx="0">
                  <c:v>0.8857596191987307</c:v>
                </c:pt>
              </c:numCache>
            </c:numRef>
          </c:val>
          <c:extLst>
            <c:ext xmlns:c16="http://schemas.microsoft.com/office/drawing/2014/chart" uri="{C3380CC4-5D6E-409C-BE32-E72D297353CC}">
              <c16:uniqueId val="{00000009-66C9-4C81-B2C3-972C98AEAA69}"/>
            </c:ext>
          </c:extLst>
        </c:ser>
        <c:ser>
          <c:idx val="1"/>
          <c:order val="10"/>
          <c:tx>
            <c:v>Female</c:v>
          </c:tx>
          <c:spPr>
            <a:solidFill>
              <a:srgbClr val="21272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'DESC 39'!$N$63</c:f>
              <c:numCache>
                <c:formatCode>###0.0%</c:formatCode>
                <c:ptCount val="1"/>
                <c:pt idx="0">
                  <c:v>0.89572501444251873</c:v>
                </c:pt>
              </c:numCache>
            </c:numRef>
          </c:val>
          <c:extLst>
            <c:ext xmlns:c16="http://schemas.microsoft.com/office/drawing/2014/chart" uri="{C3380CC4-5D6E-409C-BE32-E72D297353CC}">
              <c16:uniqueId val="{0000000A-66C9-4C81-B2C3-972C98AEAA69}"/>
            </c:ext>
          </c:extLst>
        </c:ser>
        <c:dLbls>
          <c:dLblPos val="inEnd"/>
          <c:showLegendKey val="0"/>
          <c:showVal val="1"/>
          <c:showCatName val="0"/>
          <c:showSerName val="0"/>
          <c:showPercent val="0"/>
          <c:showBubbleSize val="0"/>
        </c:dLbls>
        <c:gapWidth val="182"/>
        <c:axId val="1021012959"/>
        <c:axId val="1021020639"/>
      </c:barChart>
      <c:catAx>
        <c:axId val="1021012959"/>
        <c:scaling>
          <c:orientation val="minMax"/>
        </c:scaling>
        <c:delete val="1"/>
        <c:axPos val="l"/>
        <c:majorTickMark val="out"/>
        <c:minorTickMark val="none"/>
        <c:tickLblPos val="nextTo"/>
        <c:crossAx val="1021020639"/>
        <c:crosses val="autoZero"/>
        <c:auto val="1"/>
        <c:lblAlgn val="ctr"/>
        <c:lblOffset val="100"/>
        <c:noMultiLvlLbl val="0"/>
      </c:catAx>
      <c:valAx>
        <c:axId val="1021020639"/>
        <c:scaling>
          <c:orientation val="minMax"/>
          <c:max val="1"/>
          <c:min val="0"/>
        </c:scaling>
        <c:delete val="1"/>
        <c:axPos val="b"/>
        <c:numFmt formatCode="###0.0%" sourceLinked="1"/>
        <c:majorTickMark val="out"/>
        <c:minorTickMark val="none"/>
        <c:tickLblPos val="nextTo"/>
        <c:crossAx val="1021012959"/>
        <c:crosses val="autoZero"/>
        <c:crossBetween val="between"/>
      </c:valAx>
    </c:plotArea>
    <c:legend>
      <c:legendPos val="b"/>
      <c:legendEntry>
        <c:idx val="2"/>
        <c:delete val="1"/>
      </c:legendEntry>
      <c:legendEntry>
        <c:idx val="5"/>
        <c:delete val="1"/>
      </c:legendEntry>
      <c:legendEntry>
        <c:idx val="8"/>
        <c:delete val="1"/>
      </c:legendEntry>
      <c:layout>
        <c:manualLayout>
          <c:xMode val="edge"/>
          <c:yMode val="edge"/>
          <c:x val="0.11708536009413598"/>
          <c:y val="0.72734019689731866"/>
          <c:w val="0.70133946320078344"/>
          <c:h val="0.24971078921566325"/>
        </c:manualLayout>
      </c:layout>
      <c:overlay val="0"/>
      <c:spPr>
        <a:noFill/>
        <a:ln>
          <a:solidFill>
            <a:schemeClr val="bg2"/>
          </a:solidFill>
        </a:ln>
        <a:effectLst/>
      </c:spPr>
      <c:txPr>
        <a:bodyPr rot="0" spcFirstLastPara="1" vertOverflow="ellipsis" vert="horz" wrap="square" anchor="ctr" anchorCtr="1"/>
        <a:lstStyle/>
        <a:p>
          <a:pPr>
            <a:defRPr sz="1100" b="0" i="0" u="none" strike="noStrike" kern="1200" baseline="0">
              <a:solidFill>
                <a:schemeClr val="tx1"/>
              </a:solidFill>
              <a:latin typeface="+mn-lt"/>
              <a:ea typeface="+mn-ea"/>
              <a:cs typeface="+mn-cs"/>
            </a:defRPr>
          </a:pPr>
          <a:endParaRPr lang="en-US"/>
        </a:p>
      </c:txPr>
    </c:legend>
    <c:plotVisOnly val="1"/>
    <c:dispBlanksAs val="gap"/>
    <c:showDLblsOverMax val="0"/>
    <c:extLst/>
  </c:chart>
  <c:spPr>
    <a:ln>
      <a:solidFill>
        <a:schemeClr val="bg2">
          <a:alpha val="91000"/>
        </a:schemeClr>
      </a:solidFill>
    </a:ln>
  </c:spPr>
  <c:txPr>
    <a:bodyPr/>
    <a:lstStyle/>
    <a:p>
      <a:pPr>
        <a:defRPr/>
      </a:pPr>
      <a:endParaRPr lang="en-US"/>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7791776027996491E-2"/>
          <c:y val="7.7016947245151995E-5"/>
          <c:w val="0.60357972722097941"/>
          <c:h val="0.99493727866419557"/>
        </c:manualLayout>
      </c:layout>
      <c:barChart>
        <c:barDir val="bar"/>
        <c:grouping val="clustered"/>
        <c:varyColors val="0"/>
        <c:ser>
          <c:idx val="4"/>
          <c:order val="0"/>
          <c:tx>
            <c:v>White</c:v>
          </c:tx>
          <c:spPr>
            <a:solidFill>
              <a:srgbClr val="5E4B3C"/>
            </a:solidFill>
            <a:ln>
              <a:noFill/>
            </a:ln>
            <a:effectLst/>
          </c:spPr>
          <c:invertIfNegative val="0"/>
          <c:dLbls>
            <c:spPr>
              <a:solidFill>
                <a:srgbClr val="5E4B3C"/>
              </a:solid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'DESC 40'!$F$61</c:f>
              <c:numCache>
                <c:formatCode>###0.0%</c:formatCode>
                <c:ptCount val="1"/>
                <c:pt idx="0">
                  <c:v>0.87740628166160084</c:v>
                </c:pt>
              </c:numCache>
            </c:numRef>
          </c:val>
          <c:extLst>
            <c:ext xmlns:c16="http://schemas.microsoft.com/office/drawing/2014/chart" uri="{C3380CC4-5D6E-409C-BE32-E72D297353CC}">
              <c16:uniqueId val="{00000000-3149-4828-9768-CC5DD27A130C}"/>
            </c:ext>
          </c:extLst>
        </c:ser>
        <c:ser>
          <c:idx val="3"/>
          <c:order val="1"/>
          <c:tx>
            <c:v>Multiracial</c:v>
          </c:tx>
          <c:spPr>
            <a:solidFill>
              <a:srgbClr val="44692D"/>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'DESC 40'!$F$60</c:f>
              <c:numCache>
                <c:formatCode>###0.0%</c:formatCode>
                <c:ptCount val="1"/>
                <c:pt idx="0">
                  <c:v>0.85897435897435903</c:v>
                </c:pt>
              </c:numCache>
            </c:numRef>
          </c:val>
          <c:extLst>
            <c:ext xmlns:c16="http://schemas.microsoft.com/office/drawing/2014/chart" uri="{C3380CC4-5D6E-409C-BE32-E72D297353CC}">
              <c16:uniqueId val="{00000001-3149-4828-9768-CC5DD27A130C}"/>
            </c:ext>
          </c:extLst>
        </c:ser>
        <c:ser>
          <c:idx val="2"/>
          <c:order val="2"/>
          <c:tx>
            <c:v>Latino</c:v>
          </c:tx>
          <c:spPr>
            <a:solidFill>
              <a:srgbClr val="A2AAAD"/>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'DESC 40'!$F$59</c:f>
              <c:numCache>
                <c:formatCode>###0.0%</c:formatCode>
                <c:ptCount val="1"/>
                <c:pt idx="0">
                  <c:v>0.7858744394618834</c:v>
                </c:pt>
              </c:numCache>
            </c:numRef>
          </c:val>
          <c:extLst>
            <c:ext xmlns:c16="http://schemas.microsoft.com/office/drawing/2014/chart" uri="{C3380CC4-5D6E-409C-BE32-E72D297353CC}">
              <c16:uniqueId val="{00000002-3149-4828-9768-CC5DD27A130C}"/>
            </c:ext>
          </c:extLst>
        </c:ser>
        <c:ser>
          <c:idx val="1"/>
          <c:order val="3"/>
          <c:tx>
            <c:v>Black</c:v>
          </c:tx>
          <c:spPr>
            <a:solidFill>
              <a:srgbClr val="881C1C"/>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'DESC 40'!$F$58</c:f>
              <c:numCache>
                <c:formatCode>###0.0%</c:formatCode>
                <c:ptCount val="1"/>
                <c:pt idx="0">
                  <c:v>0.81887052341597799</c:v>
                </c:pt>
              </c:numCache>
            </c:numRef>
          </c:val>
          <c:extLst>
            <c:ext xmlns:c16="http://schemas.microsoft.com/office/drawing/2014/chart" uri="{C3380CC4-5D6E-409C-BE32-E72D297353CC}">
              <c16:uniqueId val="{00000003-3149-4828-9768-CC5DD27A130C}"/>
            </c:ext>
          </c:extLst>
        </c:ser>
        <c:ser>
          <c:idx val="0"/>
          <c:order val="4"/>
          <c:tx>
            <c:v>Asian</c:v>
          </c:tx>
          <c:spPr>
            <a:solidFill>
              <a:srgbClr val="21272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'DESC 40'!$F$57</c:f>
              <c:numCache>
                <c:formatCode>###0.0%</c:formatCode>
                <c:ptCount val="1"/>
                <c:pt idx="0">
                  <c:v>0.89961013645224175</c:v>
                </c:pt>
              </c:numCache>
            </c:numRef>
          </c:val>
          <c:extLst>
            <c:ext xmlns:c16="http://schemas.microsoft.com/office/drawing/2014/chart" uri="{C3380CC4-5D6E-409C-BE32-E72D297353CC}">
              <c16:uniqueId val="{00000004-3149-4828-9768-CC5DD27A130C}"/>
            </c:ext>
          </c:extLst>
        </c:ser>
        <c:dLbls>
          <c:dLblPos val="inEnd"/>
          <c:showLegendKey val="0"/>
          <c:showVal val="1"/>
          <c:showCatName val="0"/>
          <c:showSerName val="0"/>
          <c:showPercent val="0"/>
          <c:showBubbleSize val="0"/>
        </c:dLbls>
        <c:gapWidth val="182"/>
        <c:overlap val="-10"/>
        <c:axId val="336704735"/>
        <c:axId val="336694175"/>
      </c:barChart>
      <c:catAx>
        <c:axId val="336704735"/>
        <c:scaling>
          <c:orientation val="minMax"/>
        </c:scaling>
        <c:delete val="1"/>
        <c:axPos val="l"/>
        <c:majorTickMark val="out"/>
        <c:minorTickMark val="none"/>
        <c:tickLblPos val="nextTo"/>
        <c:crossAx val="336694175"/>
        <c:crosses val="autoZero"/>
        <c:auto val="1"/>
        <c:lblAlgn val="ctr"/>
        <c:lblOffset val="100"/>
        <c:noMultiLvlLbl val="0"/>
      </c:catAx>
      <c:valAx>
        <c:axId val="336694175"/>
        <c:scaling>
          <c:orientation val="minMax"/>
          <c:max val="1"/>
          <c:min val="0"/>
        </c:scaling>
        <c:delete val="1"/>
        <c:axPos val="b"/>
        <c:numFmt formatCode="###0.0%" sourceLinked="1"/>
        <c:majorTickMark val="out"/>
        <c:minorTickMark val="none"/>
        <c:tickLblPos val="nextTo"/>
        <c:crossAx val="336704735"/>
        <c:crosses val="autoZero"/>
        <c:crossBetween val="between"/>
      </c:valAx>
    </c:plotArea>
    <c:legend>
      <c:legendPos val="b"/>
      <c:layout>
        <c:manualLayout>
          <c:xMode val="edge"/>
          <c:yMode val="edge"/>
          <c:x val="0.67963777105317336"/>
          <c:y val="0.10633613853203587"/>
          <c:w val="0.28959975915996655"/>
          <c:h val="0.80433826968591859"/>
        </c:manualLayout>
      </c:layout>
      <c:overlay val="0"/>
      <c:spPr>
        <a:noFill/>
        <a:ln>
          <a:solidFill>
            <a:schemeClr val="bg2"/>
          </a:solidFill>
        </a:ln>
        <a:effectLst/>
      </c:spPr>
      <c:txPr>
        <a:bodyPr rot="0" spcFirstLastPara="1" vertOverflow="ellipsis" vert="horz" wrap="square" anchor="ctr" anchorCtr="1"/>
        <a:lstStyle/>
        <a:p>
          <a:pPr>
            <a:defRPr sz="1100" b="0" i="0" u="none" strike="noStrike" kern="1200" baseline="0">
              <a:solidFill>
                <a:schemeClr val="tx1"/>
              </a:solidFill>
              <a:latin typeface="+mn-lt"/>
              <a:ea typeface="+mn-ea"/>
              <a:cs typeface="+mn-cs"/>
            </a:defRPr>
          </a:pPr>
          <a:endParaRPr lang="en-US"/>
        </a:p>
      </c:txPr>
    </c:legend>
    <c:plotVisOnly val="1"/>
    <c:dispBlanksAs val="gap"/>
    <c:showDLblsOverMax val="0"/>
    <c:extLst/>
  </c:chart>
  <c:spPr>
    <a:ln>
      <a:solidFill>
        <a:schemeClr val="bg2"/>
      </a:solidFill>
    </a:ln>
  </c:spPr>
  <c:txPr>
    <a:bodyPr/>
    <a:lstStyle/>
    <a:p>
      <a:pPr>
        <a:defRPr/>
      </a:pPr>
      <a:endParaRPr lang="en-US"/>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7791776027996491E-2"/>
          <c:y val="7.7016947245151995E-5"/>
          <c:w val="0.57773759910321199"/>
          <c:h val="0.99940355825329785"/>
        </c:manualLayout>
      </c:layout>
      <c:barChart>
        <c:barDir val="bar"/>
        <c:grouping val="clustered"/>
        <c:varyColors val="0"/>
        <c:ser>
          <c:idx val="4"/>
          <c:order val="0"/>
          <c:tx>
            <c:v>White</c:v>
          </c:tx>
          <c:spPr>
            <a:solidFill>
              <a:srgbClr val="5E4B3C"/>
            </a:solidFill>
            <a:ln>
              <a:noFill/>
            </a:ln>
            <a:effectLst/>
          </c:spPr>
          <c:invertIfNegative val="0"/>
          <c:dLbls>
            <c:spPr>
              <a:solidFill>
                <a:srgbClr val="5E4B3C"/>
              </a:solid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'DESC 40'!$N$61</c:f>
              <c:numCache>
                <c:formatCode>###0.0%</c:formatCode>
                <c:ptCount val="1"/>
                <c:pt idx="0">
                  <c:v>0.87989805670595733</c:v>
                </c:pt>
              </c:numCache>
            </c:numRef>
          </c:val>
          <c:extLst>
            <c:ext xmlns:c16="http://schemas.microsoft.com/office/drawing/2014/chart" uri="{C3380CC4-5D6E-409C-BE32-E72D297353CC}">
              <c16:uniqueId val="{00000000-F217-4204-9715-19C686C01CCE}"/>
            </c:ext>
          </c:extLst>
        </c:ser>
        <c:ser>
          <c:idx val="3"/>
          <c:order val="1"/>
          <c:tx>
            <c:v>Multiracial</c:v>
          </c:tx>
          <c:spPr>
            <a:solidFill>
              <a:srgbClr val="44692D"/>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'DESC 40'!$N$60</c:f>
              <c:numCache>
                <c:formatCode>###0.0%</c:formatCode>
                <c:ptCount val="1"/>
                <c:pt idx="0">
                  <c:v>0.85144124168514412</c:v>
                </c:pt>
              </c:numCache>
            </c:numRef>
          </c:val>
          <c:extLst>
            <c:ext xmlns:c16="http://schemas.microsoft.com/office/drawing/2014/chart" uri="{C3380CC4-5D6E-409C-BE32-E72D297353CC}">
              <c16:uniqueId val="{00000001-F217-4204-9715-19C686C01CCE}"/>
            </c:ext>
          </c:extLst>
        </c:ser>
        <c:ser>
          <c:idx val="2"/>
          <c:order val="2"/>
          <c:tx>
            <c:v>Latino</c:v>
          </c:tx>
          <c:spPr>
            <a:solidFill>
              <a:srgbClr val="A2AAAD"/>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'DESC 40'!$N$59</c:f>
              <c:numCache>
                <c:formatCode>###0.0%</c:formatCode>
                <c:ptCount val="1"/>
                <c:pt idx="0">
                  <c:v>0.78602150537634397</c:v>
                </c:pt>
              </c:numCache>
            </c:numRef>
          </c:val>
          <c:extLst>
            <c:ext xmlns:c16="http://schemas.microsoft.com/office/drawing/2014/chart" uri="{C3380CC4-5D6E-409C-BE32-E72D297353CC}">
              <c16:uniqueId val="{00000002-F217-4204-9715-19C686C01CCE}"/>
            </c:ext>
          </c:extLst>
        </c:ser>
        <c:ser>
          <c:idx val="1"/>
          <c:order val="3"/>
          <c:tx>
            <c:v>Black</c:v>
          </c:tx>
          <c:spPr>
            <a:solidFill>
              <a:srgbClr val="881C1C"/>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'DESC 40'!$N$58</c:f>
              <c:numCache>
                <c:formatCode>###0.0%</c:formatCode>
                <c:ptCount val="1"/>
                <c:pt idx="0">
                  <c:v>0.82702349869451697</c:v>
                </c:pt>
              </c:numCache>
            </c:numRef>
          </c:val>
          <c:extLst>
            <c:ext xmlns:c16="http://schemas.microsoft.com/office/drawing/2014/chart" uri="{C3380CC4-5D6E-409C-BE32-E72D297353CC}">
              <c16:uniqueId val="{00000003-F217-4204-9715-19C686C01CCE}"/>
            </c:ext>
          </c:extLst>
        </c:ser>
        <c:ser>
          <c:idx val="0"/>
          <c:order val="4"/>
          <c:tx>
            <c:v>Asian</c:v>
          </c:tx>
          <c:spPr>
            <a:solidFill>
              <a:srgbClr val="21272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'DESC 40'!$N$57</c:f>
              <c:numCache>
                <c:formatCode>###0.0%</c:formatCode>
                <c:ptCount val="1"/>
                <c:pt idx="0">
                  <c:v>0.92038216560509556</c:v>
                </c:pt>
              </c:numCache>
            </c:numRef>
          </c:val>
          <c:extLst>
            <c:ext xmlns:c16="http://schemas.microsoft.com/office/drawing/2014/chart" uri="{C3380CC4-5D6E-409C-BE32-E72D297353CC}">
              <c16:uniqueId val="{00000004-F217-4204-9715-19C686C01CCE}"/>
            </c:ext>
          </c:extLst>
        </c:ser>
        <c:dLbls>
          <c:dLblPos val="inEnd"/>
          <c:showLegendKey val="0"/>
          <c:showVal val="1"/>
          <c:showCatName val="0"/>
          <c:showSerName val="0"/>
          <c:showPercent val="0"/>
          <c:showBubbleSize val="0"/>
        </c:dLbls>
        <c:gapWidth val="182"/>
        <c:overlap val="-10"/>
        <c:axId val="336704735"/>
        <c:axId val="336694175"/>
      </c:barChart>
      <c:catAx>
        <c:axId val="336704735"/>
        <c:scaling>
          <c:orientation val="minMax"/>
        </c:scaling>
        <c:delete val="1"/>
        <c:axPos val="l"/>
        <c:majorTickMark val="out"/>
        <c:minorTickMark val="none"/>
        <c:tickLblPos val="nextTo"/>
        <c:crossAx val="336694175"/>
        <c:crosses val="autoZero"/>
        <c:auto val="1"/>
        <c:lblAlgn val="ctr"/>
        <c:lblOffset val="100"/>
        <c:noMultiLvlLbl val="0"/>
      </c:catAx>
      <c:valAx>
        <c:axId val="336694175"/>
        <c:scaling>
          <c:orientation val="minMax"/>
          <c:max val="1"/>
          <c:min val="0"/>
        </c:scaling>
        <c:delete val="1"/>
        <c:axPos val="b"/>
        <c:numFmt formatCode="###0.0%" sourceLinked="1"/>
        <c:majorTickMark val="out"/>
        <c:minorTickMark val="none"/>
        <c:tickLblPos val="nextTo"/>
        <c:crossAx val="336704735"/>
        <c:crosses val="autoZero"/>
        <c:crossBetween val="between"/>
      </c:valAx>
    </c:plotArea>
    <c:legend>
      <c:legendPos val="b"/>
      <c:layout>
        <c:manualLayout>
          <c:xMode val="edge"/>
          <c:yMode val="edge"/>
          <c:x val="0.65557554444615196"/>
          <c:y val="0.13313381606664956"/>
          <c:w val="0.30882594899518157"/>
          <c:h val="0.7730743125622026"/>
        </c:manualLayout>
      </c:layout>
      <c:overlay val="0"/>
      <c:spPr>
        <a:noFill/>
        <a:ln>
          <a:solidFill>
            <a:schemeClr val="bg2"/>
          </a:solidFill>
        </a:ln>
        <a:effectLst/>
      </c:spPr>
      <c:txPr>
        <a:bodyPr rot="0" spcFirstLastPara="1" vertOverflow="ellipsis" vert="horz" wrap="square" anchor="ctr" anchorCtr="1"/>
        <a:lstStyle/>
        <a:p>
          <a:pPr>
            <a:defRPr sz="1100" b="0" i="0" u="none" strike="noStrike" kern="1200" baseline="0">
              <a:solidFill>
                <a:schemeClr val="tx1"/>
              </a:solidFill>
              <a:latin typeface="+mn-lt"/>
              <a:ea typeface="+mn-ea"/>
              <a:cs typeface="+mn-cs"/>
            </a:defRPr>
          </a:pPr>
          <a:endParaRPr lang="en-US"/>
        </a:p>
      </c:txPr>
    </c:legend>
    <c:plotVisOnly val="1"/>
    <c:dispBlanksAs val="gap"/>
    <c:showDLblsOverMax val="0"/>
    <c:extLst/>
  </c:chart>
  <c:spPr>
    <a:ln>
      <a:solidFill>
        <a:schemeClr val="bg2"/>
      </a:solidFill>
    </a:ln>
  </c:spPr>
  <c:txPr>
    <a:bodyPr/>
    <a:lstStyle/>
    <a:p>
      <a:pPr>
        <a:defRPr/>
      </a:pPr>
      <a:endParaRPr lang="en-US"/>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140986486695832"/>
          <c:y val="6.6398696218608957E-4"/>
          <c:w val="0.85810866980587219"/>
          <c:h val="0.74877100296031607"/>
        </c:manualLayout>
      </c:layout>
      <c:barChart>
        <c:barDir val="bar"/>
        <c:grouping val="clustered"/>
        <c:varyColors val="0"/>
        <c:ser>
          <c:idx val="6"/>
          <c:order val="0"/>
          <c:tx>
            <c:v>Not SWD</c:v>
          </c:tx>
          <c:spPr>
            <a:solidFill>
              <a:srgbClr val="5E4B3C">
                <a:alpha val="40000"/>
              </a:srgb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'DESC 40'!$F$68</c:f>
              <c:numCache>
                <c:formatCode>###0.0%</c:formatCode>
                <c:ptCount val="1"/>
                <c:pt idx="0">
                  <c:v>0.85365417300295188</c:v>
                </c:pt>
              </c:numCache>
            </c:numRef>
          </c:val>
          <c:extLst>
            <c:ext xmlns:c16="http://schemas.microsoft.com/office/drawing/2014/chart" uri="{C3380CC4-5D6E-409C-BE32-E72D297353CC}">
              <c16:uniqueId val="{00000000-1F11-43EA-A10D-BBF247069177}"/>
            </c:ext>
          </c:extLst>
        </c:ser>
        <c:ser>
          <c:idx val="7"/>
          <c:order val="1"/>
          <c:tx>
            <c:v>SWD</c:v>
          </c:tx>
          <c:spPr>
            <a:solidFill>
              <a:srgbClr val="5E4B3C"/>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'DESC 40'!$F$69</c:f>
              <c:numCache>
                <c:formatCode>###0.0%</c:formatCode>
                <c:ptCount val="1"/>
                <c:pt idx="0">
                  <c:v>0.70833333333333348</c:v>
                </c:pt>
              </c:numCache>
            </c:numRef>
          </c:val>
          <c:extLst>
            <c:ext xmlns:c16="http://schemas.microsoft.com/office/drawing/2014/chart" uri="{C3380CC4-5D6E-409C-BE32-E72D297353CC}">
              <c16:uniqueId val="{00000001-1F11-43EA-A10D-BBF247069177}"/>
            </c:ext>
          </c:extLst>
        </c:ser>
        <c:ser>
          <c:idx val="8"/>
          <c:order val="2"/>
          <c:tx>
            <c:v>SeriesA</c:v>
          </c:tx>
          <c:invertIfNegative val="0"/>
          <c:dLbls>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val>
            <c:numRef>
              <c:f>'DESC 40'!$AF$129</c:f>
              <c:numCache>
                <c:formatCode>General</c:formatCode>
                <c:ptCount val="1"/>
              </c:numCache>
            </c:numRef>
          </c:val>
          <c:extLst>
            <c:ext xmlns:c16="http://schemas.microsoft.com/office/drawing/2014/chart" uri="{C3380CC4-5D6E-409C-BE32-E72D297353CC}">
              <c16:uniqueId val="{00000002-1F11-43EA-A10D-BBF247069177}"/>
            </c:ext>
          </c:extLst>
        </c:ser>
        <c:ser>
          <c:idx val="4"/>
          <c:order val="3"/>
          <c:tx>
            <c:v>Not Low-income</c:v>
          </c:tx>
          <c:spPr>
            <a:solidFill>
              <a:srgbClr val="44692D">
                <a:alpha val="40000"/>
              </a:srgb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'DESC 40'!$F$66</c:f>
              <c:numCache>
                <c:formatCode>###0.0%</c:formatCode>
                <c:ptCount val="1"/>
                <c:pt idx="0">
                  <c:v>0.88263711281614088</c:v>
                </c:pt>
              </c:numCache>
            </c:numRef>
          </c:val>
          <c:extLst>
            <c:ext xmlns:c16="http://schemas.microsoft.com/office/drawing/2014/chart" uri="{C3380CC4-5D6E-409C-BE32-E72D297353CC}">
              <c16:uniqueId val="{00000003-1F11-43EA-A10D-BBF247069177}"/>
            </c:ext>
          </c:extLst>
        </c:ser>
        <c:ser>
          <c:idx val="5"/>
          <c:order val="4"/>
          <c:tx>
            <c:v>Low-income</c:v>
          </c:tx>
          <c:spPr>
            <a:solidFill>
              <a:srgbClr val="44692D"/>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'DESC 40'!$F$67</c:f>
              <c:numCache>
                <c:formatCode>###0.0%</c:formatCode>
                <c:ptCount val="1"/>
                <c:pt idx="0">
                  <c:v>0.79766449584549737</c:v>
                </c:pt>
              </c:numCache>
            </c:numRef>
          </c:val>
          <c:extLst>
            <c:ext xmlns:c16="http://schemas.microsoft.com/office/drawing/2014/chart" uri="{C3380CC4-5D6E-409C-BE32-E72D297353CC}">
              <c16:uniqueId val="{00000004-1F11-43EA-A10D-BBF247069177}"/>
            </c:ext>
          </c:extLst>
        </c:ser>
        <c:ser>
          <c:idx val="9"/>
          <c:order val="5"/>
          <c:tx>
            <c:v>SeriesB</c:v>
          </c:tx>
          <c:invertIfNegative val="0"/>
          <c:dLbls>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val>
            <c:numRef>
              <c:f>'DESC 40'!$AF$129</c:f>
              <c:numCache>
                <c:formatCode>General</c:formatCode>
                <c:ptCount val="1"/>
              </c:numCache>
            </c:numRef>
          </c:val>
          <c:extLst>
            <c:ext xmlns:c16="http://schemas.microsoft.com/office/drawing/2014/chart" uri="{C3380CC4-5D6E-409C-BE32-E72D297353CC}">
              <c16:uniqueId val="{00000005-1F11-43EA-A10D-BBF247069177}"/>
            </c:ext>
          </c:extLst>
        </c:ser>
        <c:ser>
          <c:idx val="2"/>
          <c:order val="6"/>
          <c:tx>
            <c:v>Not EL</c:v>
          </c:tx>
          <c:spPr>
            <a:solidFill>
              <a:srgbClr val="881C1C">
                <a:alpha val="40000"/>
              </a:srgb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'DESC 40'!$F$64</c:f>
              <c:numCache>
                <c:formatCode>###0.0%</c:formatCode>
                <c:ptCount val="1"/>
                <c:pt idx="0">
                  <c:v>0.85615886930852492</c:v>
                </c:pt>
              </c:numCache>
            </c:numRef>
          </c:val>
          <c:extLst>
            <c:ext xmlns:c16="http://schemas.microsoft.com/office/drawing/2014/chart" uri="{C3380CC4-5D6E-409C-BE32-E72D297353CC}">
              <c16:uniqueId val="{00000006-1F11-43EA-A10D-BBF247069177}"/>
            </c:ext>
          </c:extLst>
        </c:ser>
        <c:ser>
          <c:idx val="3"/>
          <c:order val="7"/>
          <c:tx>
            <c:v>EL</c:v>
          </c:tx>
          <c:spPr>
            <a:solidFill>
              <a:srgbClr val="881C1C"/>
            </a:solidFill>
            <a:ln>
              <a:noFill/>
            </a:ln>
            <a:effectLst/>
          </c:spPr>
          <c:invertIfNegative val="0"/>
          <c:dLbls>
            <c:dLbl>
              <c:idx val="0"/>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extLst>
                <c:ext xmlns:c16="http://schemas.microsoft.com/office/drawing/2014/chart" uri="{C3380CC4-5D6E-409C-BE32-E72D297353CC}">
                  <c16:uniqueId val="{00000007-1F11-43EA-A10D-BBF247069177}"/>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'DESC 40'!$F$65</c:f>
              <c:numCache>
                <c:formatCode>###0.0%</c:formatCode>
                <c:ptCount val="1"/>
                <c:pt idx="0">
                  <c:v>0.61858974358974361</c:v>
                </c:pt>
              </c:numCache>
            </c:numRef>
          </c:val>
          <c:extLst>
            <c:ext xmlns:c16="http://schemas.microsoft.com/office/drawing/2014/chart" uri="{C3380CC4-5D6E-409C-BE32-E72D297353CC}">
              <c16:uniqueId val="{00000008-1F11-43EA-A10D-BBF247069177}"/>
            </c:ext>
          </c:extLst>
        </c:ser>
        <c:ser>
          <c:idx val="10"/>
          <c:order val="8"/>
          <c:tx>
            <c:v>SeriesC</c:v>
          </c:tx>
          <c:invertIfNegative val="0"/>
          <c:dLbls>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val>
            <c:numRef>
              <c:f>'DESC 40'!$AF$129</c:f>
              <c:numCache>
                <c:formatCode>General</c:formatCode>
                <c:ptCount val="1"/>
              </c:numCache>
            </c:numRef>
          </c:val>
          <c:extLst>
            <c:ext xmlns:c16="http://schemas.microsoft.com/office/drawing/2014/chart" uri="{C3380CC4-5D6E-409C-BE32-E72D297353CC}">
              <c16:uniqueId val="{00000009-1F11-43EA-A10D-BBF247069177}"/>
            </c:ext>
          </c:extLst>
        </c:ser>
        <c:ser>
          <c:idx val="0"/>
          <c:order val="9"/>
          <c:tx>
            <c:v>Male</c:v>
          </c:tx>
          <c:spPr>
            <a:solidFill>
              <a:srgbClr val="212721">
                <a:alpha val="40000"/>
              </a:srgb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'DESC 40'!$F$62</c:f>
              <c:numCache>
                <c:formatCode>###0.0%</c:formatCode>
                <c:ptCount val="1"/>
                <c:pt idx="0">
                  <c:v>0.84633220910623952</c:v>
                </c:pt>
              </c:numCache>
            </c:numRef>
          </c:val>
          <c:extLst>
            <c:ext xmlns:c16="http://schemas.microsoft.com/office/drawing/2014/chart" uri="{C3380CC4-5D6E-409C-BE32-E72D297353CC}">
              <c16:uniqueId val="{0000000A-1F11-43EA-A10D-BBF247069177}"/>
            </c:ext>
          </c:extLst>
        </c:ser>
        <c:ser>
          <c:idx val="1"/>
          <c:order val="10"/>
          <c:tx>
            <c:v>Female</c:v>
          </c:tx>
          <c:spPr>
            <a:solidFill>
              <a:srgbClr val="21272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'DESC 40'!$F$63</c:f>
              <c:numCache>
                <c:formatCode>###0.0%</c:formatCode>
                <c:ptCount val="1"/>
                <c:pt idx="0">
                  <c:v>0.854222620113399</c:v>
                </c:pt>
              </c:numCache>
            </c:numRef>
          </c:val>
          <c:extLst>
            <c:ext xmlns:c16="http://schemas.microsoft.com/office/drawing/2014/chart" uri="{C3380CC4-5D6E-409C-BE32-E72D297353CC}">
              <c16:uniqueId val="{0000000B-1F11-43EA-A10D-BBF247069177}"/>
            </c:ext>
          </c:extLst>
        </c:ser>
        <c:dLbls>
          <c:dLblPos val="inEnd"/>
          <c:showLegendKey val="0"/>
          <c:showVal val="1"/>
          <c:showCatName val="0"/>
          <c:showSerName val="0"/>
          <c:showPercent val="0"/>
          <c:showBubbleSize val="0"/>
        </c:dLbls>
        <c:gapWidth val="182"/>
        <c:axId val="1021012959"/>
        <c:axId val="1021020639"/>
      </c:barChart>
      <c:catAx>
        <c:axId val="1021012959"/>
        <c:scaling>
          <c:orientation val="minMax"/>
        </c:scaling>
        <c:delete val="1"/>
        <c:axPos val="l"/>
        <c:title>
          <c:tx>
            <c:rich>
              <a:bodyPr/>
              <a:lstStyle/>
              <a:p>
                <a:pPr>
                  <a:defRPr/>
                </a:pPr>
                <a:r>
                  <a:rPr lang="en-US"/>
                  <a:t>Student Group</a:t>
                </a:r>
              </a:p>
            </c:rich>
          </c:tx>
          <c:layout>
            <c:manualLayout>
              <c:xMode val="edge"/>
              <c:yMode val="edge"/>
              <c:x val="3.3252507629639508E-2"/>
              <c:y val="0.24865911363625681"/>
            </c:manualLayout>
          </c:layout>
          <c:overlay val="0"/>
        </c:title>
        <c:majorTickMark val="out"/>
        <c:minorTickMark val="none"/>
        <c:tickLblPos val="nextTo"/>
        <c:crossAx val="1021020639"/>
        <c:crosses val="autoZero"/>
        <c:auto val="1"/>
        <c:lblAlgn val="ctr"/>
        <c:lblOffset val="100"/>
        <c:noMultiLvlLbl val="0"/>
      </c:catAx>
      <c:valAx>
        <c:axId val="1021020639"/>
        <c:scaling>
          <c:orientation val="minMax"/>
          <c:max val="1"/>
          <c:min val="0"/>
        </c:scaling>
        <c:delete val="1"/>
        <c:axPos val="b"/>
        <c:numFmt formatCode="###0.0%" sourceLinked="1"/>
        <c:majorTickMark val="out"/>
        <c:minorTickMark val="none"/>
        <c:tickLblPos val="nextTo"/>
        <c:crossAx val="1021012959"/>
        <c:crosses val="autoZero"/>
        <c:crossBetween val="between"/>
      </c:valAx>
    </c:plotArea>
    <c:legend>
      <c:legendPos val="b"/>
      <c:legendEntry>
        <c:idx val="2"/>
        <c:delete val="1"/>
      </c:legendEntry>
      <c:legendEntry>
        <c:idx val="5"/>
        <c:delete val="1"/>
      </c:legendEntry>
      <c:legendEntry>
        <c:idx val="8"/>
        <c:delete val="1"/>
      </c:legendEntry>
      <c:layout>
        <c:manualLayout>
          <c:xMode val="edge"/>
          <c:yMode val="edge"/>
          <c:x val="0.22213460588905395"/>
          <c:y val="0.72734027631962694"/>
          <c:w val="0.70050860617935662"/>
          <c:h val="0.24971078921566325"/>
        </c:manualLayout>
      </c:layout>
      <c:overlay val="0"/>
      <c:spPr>
        <a:noFill/>
        <a:ln>
          <a:solidFill>
            <a:schemeClr val="bg2"/>
          </a:solidFill>
        </a:ln>
        <a:effectLst/>
      </c:spPr>
      <c:txPr>
        <a:bodyPr rot="0" spcFirstLastPara="1" vertOverflow="ellipsis" vert="horz" wrap="square" anchor="ctr" anchorCtr="1"/>
        <a:lstStyle/>
        <a:p>
          <a:pPr>
            <a:defRPr sz="1100" b="0" i="0" u="none" strike="noStrike" kern="1200" baseline="0">
              <a:solidFill>
                <a:schemeClr val="tx1"/>
              </a:solidFill>
              <a:latin typeface="+mn-lt"/>
              <a:ea typeface="+mn-ea"/>
              <a:cs typeface="+mn-cs"/>
            </a:defRPr>
          </a:pPr>
          <a:endParaRPr lang="en-US"/>
        </a:p>
      </c:txPr>
    </c:legend>
    <c:plotVisOnly val="1"/>
    <c:dispBlanksAs val="gap"/>
    <c:showDLblsOverMax val="0"/>
    <c:extLst/>
  </c:chart>
  <c:spPr>
    <a:ln>
      <a:solidFill>
        <a:schemeClr val="bg2">
          <a:alpha val="91000"/>
        </a:schemeClr>
      </a:solidFill>
    </a:ln>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2809360528518459E-2"/>
          <c:y val="1.9854086035855683E-2"/>
          <c:w val="0.72149111648105424"/>
          <c:h val="0.75656813025490466"/>
        </c:manualLayout>
      </c:layout>
      <c:barChart>
        <c:barDir val="col"/>
        <c:grouping val="stacked"/>
        <c:varyColors val="0"/>
        <c:ser>
          <c:idx val="0"/>
          <c:order val="0"/>
          <c:tx>
            <c:strRef>
              <c:f>'DESC 6'!$J$14</c:f>
              <c:strCache>
                <c:ptCount val="1"/>
                <c:pt idx="0">
                  <c:v>White</c:v>
                </c:pt>
              </c:strCache>
            </c:strRef>
          </c:tx>
          <c:spPr>
            <a:solidFill>
              <a:srgbClr val="5E4B3C"/>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'DESC 6'!$I$15:$I$16</c:f>
              <c:strCache>
                <c:ptCount val="2"/>
                <c:pt idx="0">
                  <c:v>SY2023
(N = 11,491)</c:v>
                </c:pt>
                <c:pt idx="1">
                  <c:v>SY2024
(N = 12,016)</c:v>
                </c:pt>
              </c:strCache>
            </c:strRef>
          </c:cat>
          <c:val>
            <c:numRef>
              <c:f>'DESC 6'!$J$15:$J$16</c:f>
              <c:numCache>
                <c:formatCode>0.0%</c:formatCode>
                <c:ptCount val="2"/>
                <c:pt idx="0">
                  <c:v>0.51535984683665481</c:v>
                </c:pt>
                <c:pt idx="1">
                  <c:v>0.52247003994673769</c:v>
                </c:pt>
              </c:numCache>
            </c:numRef>
          </c:val>
          <c:extLst>
            <c:ext xmlns:c16="http://schemas.microsoft.com/office/drawing/2014/chart" uri="{C3380CC4-5D6E-409C-BE32-E72D297353CC}">
              <c16:uniqueId val="{00000000-C08A-47EA-8DB0-1311D83E2ED8}"/>
            </c:ext>
          </c:extLst>
        </c:ser>
        <c:ser>
          <c:idx val="3"/>
          <c:order val="1"/>
          <c:tx>
            <c:strRef>
              <c:f>'DESC 6'!$M$14</c:f>
              <c:strCache>
                <c:ptCount val="1"/>
                <c:pt idx="0">
                  <c:v>Multiracial</c:v>
                </c:pt>
              </c:strCache>
            </c:strRef>
          </c:tx>
          <c:spPr>
            <a:solidFill>
              <a:srgbClr val="44692D"/>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'DESC 6'!$I$15:$I$16</c:f>
              <c:strCache>
                <c:ptCount val="2"/>
                <c:pt idx="0">
                  <c:v>SY2023
(N = 11,491)</c:v>
                </c:pt>
                <c:pt idx="1">
                  <c:v>SY2024
(N = 12,016)</c:v>
                </c:pt>
              </c:strCache>
            </c:strRef>
          </c:cat>
          <c:val>
            <c:numRef>
              <c:f>'DESC 6'!$M$15:$M$16</c:f>
              <c:numCache>
                <c:formatCode>0.0%</c:formatCode>
                <c:ptCount val="2"/>
                <c:pt idx="0">
                  <c:v>3.3939604908189015E-2</c:v>
                </c:pt>
                <c:pt idx="1">
                  <c:v>3.7533288948069239E-2</c:v>
                </c:pt>
              </c:numCache>
            </c:numRef>
          </c:val>
          <c:extLst>
            <c:ext xmlns:c16="http://schemas.microsoft.com/office/drawing/2014/chart" uri="{C3380CC4-5D6E-409C-BE32-E72D297353CC}">
              <c16:uniqueId val="{00000001-C08A-47EA-8DB0-1311D83E2ED8}"/>
            </c:ext>
          </c:extLst>
        </c:ser>
        <c:ser>
          <c:idx val="4"/>
          <c:order val="2"/>
          <c:tx>
            <c:strRef>
              <c:f>'DESC 6'!$N$14</c:f>
              <c:strCache>
                <c:ptCount val="1"/>
                <c:pt idx="0">
                  <c:v>Latino</c:v>
                </c:pt>
              </c:strCache>
            </c:strRef>
          </c:tx>
          <c:spPr>
            <a:solidFill>
              <a:srgbClr val="A2AAAD"/>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'DESC 6'!$I$15:$I$16</c:f>
              <c:strCache>
                <c:ptCount val="2"/>
                <c:pt idx="0">
                  <c:v>SY2023
(N = 11,491)</c:v>
                </c:pt>
                <c:pt idx="1">
                  <c:v>SY2024
(N = 12,016)</c:v>
                </c:pt>
              </c:strCache>
            </c:strRef>
          </c:cat>
          <c:val>
            <c:numRef>
              <c:f>'DESC 6'!$N$15:$N$16</c:f>
              <c:numCache>
                <c:formatCode>0.0%</c:formatCode>
                <c:ptCount val="2"/>
                <c:pt idx="0">
                  <c:v>0.23287790444695852</c:v>
                </c:pt>
                <c:pt idx="1">
                  <c:v>0.23219041278295605</c:v>
                </c:pt>
              </c:numCache>
            </c:numRef>
          </c:val>
          <c:extLst>
            <c:ext xmlns:c16="http://schemas.microsoft.com/office/drawing/2014/chart" uri="{C3380CC4-5D6E-409C-BE32-E72D297353CC}">
              <c16:uniqueId val="{00000002-C08A-47EA-8DB0-1311D83E2ED8}"/>
            </c:ext>
          </c:extLst>
        </c:ser>
        <c:ser>
          <c:idx val="1"/>
          <c:order val="3"/>
          <c:tx>
            <c:strRef>
              <c:f>'DESC 6'!$K$14</c:f>
              <c:strCache>
                <c:ptCount val="1"/>
                <c:pt idx="0">
                  <c:v>Black</c:v>
                </c:pt>
              </c:strCache>
            </c:strRef>
          </c:tx>
          <c:spPr>
            <a:solidFill>
              <a:srgbClr val="881C1C"/>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'DESC 6'!$I$15:$I$16</c:f>
              <c:strCache>
                <c:ptCount val="2"/>
                <c:pt idx="0">
                  <c:v>SY2023
(N = 11,491)</c:v>
                </c:pt>
                <c:pt idx="1">
                  <c:v>SY2024
(N = 12,016)</c:v>
                </c:pt>
              </c:strCache>
            </c:strRef>
          </c:cat>
          <c:val>
            <c:numRef>
              <c:f>'DESC 6'!$K$15:$K$16</c:f>
              <c:numCache>
                <c:formatCode>0.0%</c:formatCode>
                <c:ptCount val="2"/>
                <c:pt idx="0">
                  <c:v>0.1263597598120268</c:v>
                </c:pt>
                <c:pt idx="1">
                  <c:v>0.12749667110519308</c:v>
                </c:pt>
              </c:numCache>
            </c:numRef>
          </c:val>
          <c:extLst>
            <c:ext xmlns:c16="http://schemas.microsoft.com/office/drawing/2014/chart" uri="{C3380CC4-5D6E-409C-BE32-E72D297353CC}">
              <c16:uniqueId val="{00000003-C08A-47EA-8DB0-1311D83E2ED8}"/>
            </c:ext>
          </c:extLst>
        </c:ser>
        <c:ser>
          <c:idx val="2"/>
          <c:order val="4"/>
          <c:tx>
            <c:strRef>
              <c:f>'DESC 6'!$L$14</c:f>
              <c:strCache>
                <c:ptCount val="1"/>
                <c:pt idx="0">
                  <c:v>Asian</c:v>
                </c:pt>
              </c:strCache>
            </c:strRef>
          </c:tx>
          <c:spPr>
            <a:solidFill>
              <a:srgbClr val="21272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'DESC 6'!$I$15:$I$16</c:f>
              <c:strCache>
                <c:ptCount val="2"/>
                <c:pt idx="0">
                  <c:v>SY2023
(N = 11,491)</c:v>
                </c:pt>
                <c:pt idx="1">
                  <c:v>SY2024
(N = 12,016)</c:v>
                </c:pt>
              </c:strCache>
            </c:strRef>
          </c:cat>
          <c:val>
            <c:numRef>
              <c:f>'DESC 6'!$L$15:$L$16</c:f>
              <c:numCache>
                <c:formatCode>0.0%</c:formatCode>
                <c:ptCount val="2"/>
                <c:pt idx="0">
                  <c:v>8.9287268296928027E-2</c:v>
                </c:pt>
                <c:pt idx="1">
                  <c:v>7.8395472703062588E-2</c:v>
                </c:pt>
              </c:numCache>
            </c:numRef>
          </c:val>
          <c:extLst>
            <c:ext xmlns:c16="http://schemas.microsoft.com/office/drawing/2014/chart" uri="{C3380CC4-5D6E-409C-BE32-E72D297353CC}">
              <c16:uniqueId val="{00000004-C08A-47EA-8DB0-1311D83E2ED8}"/>
            </c:ext>
          </c:extLst>
        </c:ser>
        <c:dLbls>
          <c:dLblPos val="ctr"/>
          <c:showLegendKey val="0"/>
          <c:showVal val="1"/>
          <c:showCatName val="0"/>
          <c:showSerName val="0"/>
          <c:showPercent val="0"/>
          <c:showBubbleSize val="0"/>
        </c:dLbls>
        <c:gapWidth val="150"/>
        <c:overlap val="100"/>
        <c:axId val="611659232"/>
        <c:axId val="611660192"/>
      </c:barChart>
      <c:catAx>
        <c:axId val="6116592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1" i="0" u="none" strike="noStrike" kern="1200" baseline="0">
                <a:solidFill>
                  <a:sysClr val="windowText" lastClr="000000"/>
                </a:solidFill>
                <a:latin typeface="+mn-lt"/>
                <a:ea typeface="+mn-ea"/>
                <a:cs typeface="+mn-cs"/>
              </a:defRPr>
            </a:pPr>
            <a:endParaRPr lang="en-US"/>
          </a:p>
        </c:txPr>
        <c:crossAx val="611660192"/>
        <c:crosses val="autoZero"/>
        <c:auto val="1"/>
        <c:lblAlgn val="ctr"/>
        <c:lblOffset val="100"/>
        <c:noMultiLvlLbl val="0"/>
      </c:catAx>
      <c:valAx>
        <c:axId val="611660192"/>
        <c:scaling>
          <c:orientation val="minMax"/>
        </c:scaling>
        <c:delete val="1"/>
        <c:axPos val="l"/>
        <c:numFmt formatCode="0.0%" sourceLinked="1"/>
        <c:majorTickMark val="none"/>
        <c:minorTickMark val="none"/>
        <c:tickLblPos val="nextTo"/>
        <c:crossAx val="611659232"/>
        <c:crosses val="autoZero"/>
        <c:crossBetween val="between"/>
      </c:valAx>
      <c:spPr>
        <a:noFill/>
        <a:ln>
          <a:noFill/>
        </a:ln>
        <a:effectLst/>
      </c:spPr>
    </c:plotArea>
    <c:legend>
      <c:legendPos val="r"/>
      <c:overlay val="0"/>
      <c:spPr>
        <a:noFill/>
        <a:ln>
          <a:solidFill>
            <a:schemeClr val="bg2"/>
          </a:solidFill>
        </a:ln>
        <a:effectLst/>
      </c:spPr>
      <c:txPr>
        <a:bodyPr rot="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bg2"/>
      </a:solidFill>
      <a:round/>
    </a:ln>
    <a:effectLst/>
  </c:spPr>
  <c:txPr>
    <a:bodyPr/>
    <a:lstStyle/>
    <a:p>
      <a:pPr>
        <a:defRPr/>
      </a:pPr>
      <a:endParaRPr lang="en-US"/>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140986486695832"/>
          <c:y val="4.6335566783651735E-2"/>
          <c:w val="0.85810866980587219"/>
          <c:h val="0.70309942313885043"/>
        </c:manualLayout>
      </c:layout>
      <c:barChart>
        <c:barDir val="bar"/>
        <c:grouping val="clustered"/>
        <c:varyColors val="0"/>
        <c:ser>
          <c:idx val="6"/>
          <c:order val="0"/>
          <c:tx>
            <c:v>Not SWD</c:v>
          </c:tx>
          <c:spPr>
            <a:solidFill>
              <a:srgbClr val="5E4B3C">
                <a:alpha val="40000"/>
              </a:srgb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'DESC 40'!$N$68</c:f>
              <c:numCache>
                <c:formatCode>###0.0%</c:formatCode>
                <c:ptCount val="1"/>
                <c:pt idx="0">
                  <c:v>0.85789112141507817</c:v>
                </c:pt>
              </c:numCache>
            </c:numRef>
          </c:val>
          <c:extLst>
            <c:ext xmlns:c16="http://schemas.microsoft.com/office/drawing/2014/chart" uri="{C3380CC4-5D6E-409C-BE32-E72D297353CC}">
              <c16:uniqueId val="{00000000-C240-4D7E-B9D5-6AB26A5BD5F1}"/>
            </c:ext>
          </c:extLst>
        </c:ser>
        <c:ser>
          <c:idx val="7"/>
          <c:order val="1"/>
          <c:tx>
            <c:v>SWD</c:v>
          </c:tx>
          <c:spPr>
            <a:solidFill>
              <a:srgbClr val="5E4B3C"/>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'DESC 40'!$N$69</c:f>
              <c:numCache>
                <c:formatCode>###0.0%</c:formatCode>
                <c:ptCount val="1"/>
                <c:pt idx="0">
                  <c:v>0.71081081081081077</c:v>
                </c:pt>
              </c:numCache>
            </c:numRef>
          </c:val>
          <c:extLst>
            <c:ext xmlns:c16="http://schemas.microsoft.com/office/drawing/2014/chart" uri="{C3380CC4-5D6E-409C-BE32-E72D297353CC}">
              <c16:uniqueId val="{00000001-C240-4D7E-B9D5-6AB26A5BD5F1}"/>
            </c:ext>
          </c:extLst>
        </c:ser>
        <c:ser>
          <c:idx val="8"/>
          <c:order val="2"/>
          <c:tx>
            <c:v>SeriesA</c:v>
          </c:tx>
          <c:invertIfNegative val="0"/>
          <c:dLbls>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val>
            <c:numRef>
              <c:f>'DESC 40'!$AO$129</c:f>
              <c:numCache>
                <c:formatCode>General</c:formatCode>
                <c:ptCount val="1"/>
              </c:numCache>
            </c:numRef>
          </c:val>
          <c:extLst>
            <c:ext xmlns:c16="http://schemas.microsoft.com/office/drawing/2014/chart" uri="{C3380CC4-5D6E-409C-BE32-E72D297353CC}">
              <c16:uniqueId val="{00000002-C240-4D7E-B9D5-6AB26A5BD5F1}"/>
            </c:ext>
          </c:extLst>
        </c:ser>
        <c:ser>
          <c:idx val="4"/>
          <c:order val="3"/>
          <c:tx>
            <c:v>Not Low-income</c:v>
          </c:tx>
          <c:spPr>
            <a:solidFill>
              <a:srgbClr val="44692D">
                <a:alpha val="40000"/>
              </a:srgb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'DESC 40'!$N$66</c:f>
              <c:numCache>
                <c:formatCode>###0.0%</c:formatCode>
                <c:ptCount val="1"/>
                <c:pt idx="0">
                  <c:v>0.88413234301147869</c:v>
                </c:pt>
              </c:numCache>
            </c:numRef>
          </c:val>
          <c:extLst>
            <c:ext xmlns:c16="http://schemas.microsoft.com/office/drawing/2014/chart" uri="{C3380CC4-5D6E-409C-BE32-E72D297353CC}">
              <c16:uniqueId val="{00000003-C240-4D7E-B9D5-6AB26A5BD5F1}"/>
            </c:ext>
          </c:extLst>
        </c:ser>
        <c:ser>
          <c:idx val="5"/>
          <c:order val="4"/>
          <c:tx>
            <c:v>Low-income</c:v>
          </c:tx>
          <c:spPr>
            <a:solidFill>
              <a:srgbClr val="44692D"/>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'DESC 40'!$N$67</c:f>
              <c:numCache>
                <c:formatCode>###0.0%</c:formatCode>
                <c:ptCount val="1"/>
                <c:pt idx="0">
                  <c:v>0.8039470830622425</c:v>
                </c:pt>
              </c:numCache>
            </c:numRef>
          </c:val>
          <c:extLst>
            <c:ext xmlns:c16="http://schemas.microsoft.com/office/drawing/2014/chart" uri="{C3380CC4-5D6E-409C-BE32-E72D297353CC}">
              <c16:uniqueId val="{00000004-C240-4D7E-B9D5-6AB26A5BD5F1}"/>
            </c:ext>
          </c:extLst>
        </c:ser>
        <c:ser>
          <c:idx val="9"/>
          <c:order val="5"/>
          <c:tx>
            <c:v>SeriesB</c:v>
          </c:tx>
          <c:invertIfNegative val="0"/>
          <c:dLbls>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val>
            <c:numRef>
              <c:f>'DESC 40'!$AO$129</c:f>
              <c:numCache>
                <c:formatCode>General</c:formatCode>
                <c:ptCount val="1"/>
              </c:numCache>
            </c:numRef>
          </c:val>
          <c:extLst>
            <c:ext xmlns:c16="http://schemas.microsoft.com/office/drawing/2014/chart" uri="{C3380CC4-5D6E-409C-BE32-E72D297353CC}">
              <c16:uniqueId val="{00000005-C240-4D7E-B9D5-6AB26A5BD5F1}"/>
            </c:ext>
          </c:extLst>
        </c:ser>
        <c:ser>
          <c:idx val="2"/>
          <c:order val="6"/>
          <c:tx>
            <c:v>Not EL</c:v>
          </c:tx>
          <c:spPr>
            <a:solidFill>
              <a:srgbClr val="881C1C">
                <a:alpha val="40000"/>
              </a:srgb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'DESC 40'!$N$64</c:f>
              <c:numCache>
                <c:formatCode>###0.0%</c:formatCode>
                <c:ptCount val="1"/>
                <c:pt idx="0">
                  <c:v>0.85806836586821245</c:v>
                </c:pt>
              </c:numCache>
            </c:numRef>
          </c:val>
          <c:extLst>
            <c:ext xmlns:c16="http://schemas.microsoft.com/office/drawing/2014/chart" uri="{C3380CC4-5D6E-409C-BE32-E72D297353CC}">
              <c16:uniqueId val="{00000006-C240-4D7E-B9D5-6AB26A5BD5F1}"/>
            </c:ext>
          </c:extLst>
        </c:ser>
        <c:ser>
          <c:idx val="3"/>
          <c:order val="7"/>
          <c:tx>
            <c:v>EL</c:v>
          </c:tx>
          <c:spPr>
            <a:solidFill>
              <a:srgbClr val="881C1C"/>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'DESC 40'!$N$65</c:f>
              <c:numCache>
                <c:formatCode>###0.0%</c:formatCode>
                <c:ptCount val="1"/>
                <c:pt idx="0">
                  <c:v>0.65964912280701749</c:v>
                </c:pt>
              </c:numCache>
            </c:numRef>
          </c:val>
          <c:extLst>
            <c:ext xmlns:c16="http://schemas.microsoft.com/office/drawing/2014/chart" uri="{C3380CC4-5D6E-409C-BE32-E72D297353CC}">
              <c16:uniqueId val="{00000007-C240-4D7E-B9D5-6AB26A5BD5F1}"/>
            </c:ext>
          </c:extLst>
        </c:ser>
        <c:ser>
          <c:idx val="10"/>
          <c:order val="8"/>
          <c:tx>
            <c:v>SeriesC</c:v>
          </c:tx>
          <c:invertIfNegative val="0"/>
          <c:dLbls>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val>
            <c:numRef>
              <c:f>'DESC 40'!$AO$129</c:f>
              <c:numCache>
                <c:formatCode>General</c:formatCode>
                <c:ptCount val="1"/>
              </c:numCache>
            </c:numRef>
          </c:val>
          <c:extLst>
            <c:ext xmlns:c16="http://schemas.microsoft.com/office/drawing/2014/chart" uri="{C3380CC4-5D6E-409C-BE32-E72D297353CC}">
              <c16:uniqueId val="{00000008-C240-4D7E-B9D5-6AB26A5BD5F1}"/>
            </c:ext>
          </c:extLst>
        </c:ser>
        <c:ser>
          <c:idx val="0"/>
          <c:order val="9"/>
          <c:tx>
            <c:v>Male</c:v>
          </c:tx>
          <c:spPr>
            <a:solidFill>
              <a:srgbClr val="212721">
                <a:alpha val="40000"/>
              </a:srgb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'DESC 40'!$N$62</c:f>
              <c:numCache>
                <c:formatCode>###0.0%</c:formatCode>
                <c:ptCount val="1"/>
                <c:pt idx="0">
                  <c:v>0.83994446648155507</c:v>
                </c:pt>
              </c:numCache>
            </c:numRef>
          </c:val>
          <c:extLst>
            <c:ext xmlns:c16="http://schemas.microsoft.com/office/drawing/2014/chart" uri="{C3380CC4-5D6E-409C-BE32-E72D297353CC}">
              <c16:uniqueId val="{00000009-C240-4D7E-B9D5-6AB26A5BD5F1}"/>
            </c:ext>
          </c:extLst>
        </c:ser>
        <c:ser>
          <c:idx val="1"/>
          <c:order val="10"/>
          <c:tx>
            <c:v>Female</c:v>
          </c:tx>
          <c:spPr>
            <a:solidFill>
              <a:srgbClr val="21272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'DESC 40'!$N$63</c:f>
              <c:numCache>
                <c:formatCode>###0.0%</c:formatCode>
                <c:ptCount val="1"/>
                <c:pt idx="0">
                  <c:v>0.86510687463893698</c:v>
                </c:pt>
              </c:numCache>
            </c:numRef>
          </c:val>
          <c:extLst>
            <c:ext xmlns:c16="http://schemas.microsoft.com/office/drawing/2014/chart" uri="{C3380CC4-5D6E-409C-BE32-E72D297353CC}">
              <c16:uniqueId val="{0000000A-C240-4D7E-B9D5-6AB26A5BD5F1}"/>
            </c:ext>
          </c:extLst>
        </c:ser>
        <c:dLbls>
          <c:dLblPos val="inEnd"/>
          <c:showLegendKey val="0"/>
          <c:showVal val="1"/>
          <c:showCatName val="0"/>
          <c:showSerName val="0"/>
          <c:showPercent val="0"/>
          <c:showBubbleSize val="0"/>
        </c:dLbls>
        <c:gapWidth val="182"/>
        <c:axId val="1021012959"/>
        <c:axId val="1021020639"/>
      </c:barChart>
      <c:catAx>
        <c:axId val="1021012959"/>
        <c:scaling>
          <c:orientation val="minMax"/>
        </c:scaling>
        <c:delete val="1"/>
        <c:axPos val="l"/>
        <c:title>
          <c:tx>
            <c:rich>
              <a:bodyPr/>
              <a:lstStyle/>
              <a:p>
                <a:pPr>
                  <a:defRPr/>
                </a:pPr>
                <a:r>
                  <a:rPr lang="en-US"/>
                  <a:t>Student Group</a:t>
                </a:r>
              </a:p>
            </c:rich>
          </c:tx>
          <c:layout>
            <c:manualLayout>
              <c:xMode val="edge"/>
              <c:yMode val="edge"/>
              <c:x val="3.3252507629639508E-2"/>
              <c:y val="0.24865911363625681"/>
            </c:manualLayout>
          </c:layout>
          <c:overlay val="0"/>
        </c:title>
        <c:majorTickMark val="out"/>
        <c:minorTickMark val="none"/>
        <c:tickLblPos val="nextTo"/>
        <c:crossAx val="1021020639"/>
        <c:crosses val="autoZero"/>
        <c:auto val="1"/>
        <c:lblAlgn val="ctr"/>
        <c:lblOffset val="100"/>
        <c:noMultiLvlLbl val="0"/>
      </c:catAx>
      <c:valAx>
        <c:axId val="1021020639"/>
        <c:scaling>
          <c:orientation val="minMax"/>
          <c:max val="1"/>
          <c:min val="0"/>
        </c:scaling>
        <c:delete val="1"/>
        <c:axPos val="b"/>
        <c:numFmt formatCode="###0.0%" sourceLinked="1"/>
        <c:majorTickMark val="out"/>
        <c:minorTickMark val="none"/>
        <c:tickLblPos val="nextTo"/>
        <c:crossAx val="1021012959"/>
        <c:crosses val="autoZero"/>
        <c:crossBetween val="between"/>
      </c:valAx>
    </c:plotArea>
    <c:legend>
      <c:legendPos val="b"/>
      <c:legendEntry>
        <c:idx val="2"/>
        <c:delete val="1"/>
      </c:legendEntry>
      <c:legendEntry>
        <c:idx val="5"/>
        <c:delete val="1"/>
      </c:legendEntry>
      <c:legendEntry>
        <c:idx val="8"/>
        <c:delete val="1"/>
      </c:legendEntry>
      <c:layout>
        <c:manualLayout>
          <c:xMode val="edge"/>
          <c:yMode val="edge"/>
          <c:x val="0.22213460588905395"/>
          <c:y val="0.72734027631962694"/>
          <c:w val="0.70748013243824359"/>
          <c:h val="0.24971078921566325"/>
        </c:manualLayout>
      </c:layout>
      <c:overlay val="0"/>
      <c:spPr>
        <a:noFill/>
        <a:ln>
          <a:solidFill>
            <a:schemeClr val="bg2"/>
          </a:solidFill>
        </a:ln>
        <a:effectLst/>
      </c:spPr>
      <c:txPr>
        <a:bodyPr rot="0" spcFirstLastPara="1" vertOverflow="ellipsis" vert="horz" wrap="square" anchor="ctr" anchorCtr="1"/>
        <a:lstStyle/>
        <a:p>
          <a:pPr>
            <a:defRPr sz="1100" b="0" i="0" u="none" strike="noStrike" kern="1200" baseline="0">
              <a:solidFill>
                <a:schemeClr val="tx1"/>
              </a:solidFill>
              <a:latin typeface="+mn-lt"/>
              <a:ea typeface="+mn-ea"/>
              <a:cs typeface="+mn-cs"/>
            </a:defRPr>
          </a:pPr>
          <a:endParaRPr lang="en-US"/>
        </a:p>
      </c:txPr>
    </c:legend>
    <c:plotVisOnly val="1"/>
    <c:dispBlanksAs val="gap"/>
    <c:showDLblsOverMax val="0"/>
    <c:extLst/>
  </c:chart>
  <c:spPr>
    <a:ln>
      <a:solidFill>
        <a:schemeClr val="bg2">
          <a:alpha val="91000"/>
        </a:schemeClr>
      </a:solidFill>
    </a:ln>
  </c:spPr>
  <c:txPr>
    <a:bodyPr/>
    <a:lstStyle/>
    <a:p>
      <a:pPr>
        <a:defRPr/>
      </a:pPr>
      <a:endParaRPr lang="en-US"/>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001399825021872"/>
          <c:y val="4.906333630686887E-2"/>
          <c:w val="0.81011859389812146"/>
          <c:h val="0.95093673635623133"/>
        </c:manualLayout>
      </c:layout>
      <c:barChart>
        <c:barDir val="bar"/>
        <c:grouping val="clustered"/>
        <c:varyColors val="0"/>
        <c:ser>
          <c:idx val="4"/>
          <c:order val="0"/>
          <c:tx>
            <c:v>White</c:v>
          </c:tx>
          <c:spPr>
            <a:solidFill>
              <a:srgbClr val="5E4B3C"/>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'DESC 41'!$F$61</c:f>
              <c:numCache>
                <c:formatCode>###0.0%</c:formatCode>
                <c:ptCount val="1"/>
                <c:pt idx="0">
                  <c:v>0.51604187774400545</c:v>
                </c:pt>
              </c:numCache>
            </c:numRef>
          </c:val>
          <c:extLst>
            <c:ext xmlns:c16="http://schemas.microsoft.com/office/drawing/2014/chart" uri="{C3380CC4-5D6E-409C-BE32-E72D297353CC}">
              <c16:uniqueId val="{00000000-59AA-4EF9-80EC-1A93E0A93BD8}"/>
            </c:ext>
          </c:extLst>
        </c:ser>
        <c:ser>
          <c:idx val="3"/>
          <c:order val="1"/>
          <c:tx>
            <c:v>Multiracial</c:v>
          </c:tx>
          <c:spPr>
            <a:solidFill>
              <a:srgbClr val="44692D"/>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'DESC 41'!$F$60</c:f>
              <c:numCache>
                <c:formatCode>###0.0%</c:formatCode>
                <c:ptCount val="1"/>
                <c:pt idx="0">
                  <c:v>0.46410256410256406</c:v>
                </c:pt>
              </c:numCache>
            </c:numRef>
          </c:val>
          <c:extLst>
            <c:ext xmlns:c16="http://schemas.microsoft.com/office/drawing/2014/chart" uri="{C3380CC4-5D6E-409C-BE32-E72D297353CC}">
              <c16:uniqueId val="{00000001-59AA-4EF9-80EC-1A93E0A93BD8}"/>
            </c:ext>
          </c:extLst>
        </c:ser>
        <c:ser>
          <c:idx val="2"/>
          <c:order val="2"/>
          <c:tx>
            <c:v>Latino</c:v>
          </c:tx>
          <c:spPr>
            <a:solidFill>
              <a:srgbClr val="A2AAAD"/>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'DESC 41'!$F$59</c:f>
              <c:numCache>
                <c:formatCode>###0.0%</c:formatCode>
                <c:ptCount val="1"/>
                <c:pt idx="0">
                  <c:v>0.22608370702541106</c:v>
                </c:pt>
              </c:numCache>
            </c:numRef>
          </c:val>
          <c:extLst>
            <c:ext xmlns:c16="http://schemas.microsoft.com/office/drawing/2014/chart" uri="{C3380CC4-5D6E-409C-BE32-E72D297353CC}">
              <c16:uniqueId val="{00000002-59AA-4EF9-80EC-1A93E0A93BD8}"/>
            </c:ext>
          </c:extLst>
        </c:ser>
        <c:ser>
          <c:idx val="1"/>
          <c:order val="3"/>
          <c:tx>
            <c:v>Black</c:v>
          </c:tx>
          <c:spPr>
            <a:solidFill>
              <a:srgbClr val="881C1C"/>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'DESC 41'!$F$58</c:f>
              <c:numCache>
                <c:formatCode>###0.0%</c:formatCode>
                <c:ptCount val="1"/>
                <c:pt idx="0">
                  <c:v>0.24517906336088158</c:v>
                </c:pt>
              </c:numCache>
            </c:numRef>
          </c:val>
          <c:extLst>
            <c:ext xmlns:c16="http://schemas.microsoft.com/office/drawing/2014/chart" uri="{C3380CC4-5D6E-409C-BE32-E72D297353CC}">
              <c16:uniqueId val="{00000003-59AA-4EF9-80EC-1A93E0A93BD8}"/>
            </c:ext>
          </c:extLst>
        </c:ser>
        <c:ser>
          <c:idx val="0"/>
          <c:order val="4"/>
          <c:tx>
            <c:v>Asian</c:v>
          </c:tx>
          <c:spPr>
            <a:solidFill>
              <a:srgbClr val="21272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'DESC 41'!$F$57</c:f>
              <c:numCache>
                <c:formatCode>###0.0%</c:formatCode>
                <c:ptCount val="1"/>
                <c:pt idx="0">
                  <c:v>0.48830409356725146</c:v>
                </c:pt>
              </c:numCache>
            </c:numRef>
          </c:val>
          <c:extLst>
            <c:ext xmlns:c16="http://schemas.microsoft.com/office/drawing/2014/chart" uri="{C3380CC4-5D6E-409C-BE32-E72D297353CC}">
              <c16:uniqueId val="{00000004-59AA-4EF9-80EC-1A93E0A93BD8}"/>
            </c:ext>
          </c:extLst>
        </c:ser>
        <c:dLbls>
          <c:dLblPos val="inEnd"/>
          <c:showLegendKey val="0"/>
          <c:showVal val="1"/>
          <c:showCatName val="0"/>
          <c:showSerName val="0"/>
          <c:showPercent val="0"/>
          <c:showBubbleSize val="0"/>
        </c:dLbls>
        <c:gapWidth val="182"/>
        <c:overlap val="-10"/>
        <c:axId val="336704735"/>
        <c:axId val="336694175"/>
      </c:barChart>
      <c:catAx>
        <c:axId val="336704735"/>
        <c:scaling>
          <c:orientation val="minMax"/>
        </c:scaling>
        <c:delete val="1"/>
        <c:axPos val="l"/>
        <c:title>
          <c:tx>
            <c:rich>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en-US">
                    <a:solidFill>
                      <a:schemeClr val="tx1"/>
                    </a:solidFill>
                  </a:rPr>
                  <a:t>Racial/Ethnic Student Group</a:t>
                </a:r>
              </a:p>
            </c:rich>
          </c:tx>
          <c:layout>
            <c:manualLayout>
              <c:xMode val="edge"/>
              <c:yMode val="edge"/>
              <c:x val="3.6111111111111108E-2"/>
              <c:y val="0.20270919524889897"/>
            </c:manualLayout>
          </c:layout>
          <c:overlay val="0"/>
          <c:spPr>
            <a:noFill/>
            <a:ln>
              <a:noFill/>
            </a:ln>
            <a:effectLst/>
          </c:spPr>
        </c:title>
        <c:majorTickMark val="out"/>
        <c:minorTickMark val="none"/>
        <c:tickLblPos val="nextTo"/>
        <c:crossAx val="336694175"/>
        <c:crosses val="autoZero"/>
        <c:auto val="1"/>
        <c:lblAlgn val="ctr"/>
        <c:lblOffset val="100"/>
        <c:noMultiLvlLbl val="0"/>
      </c:catAx>
      <c:valAx>
        <c:axId val="336694175"/>
        <c:scaling>
          <c:orientation val="minMax"/>
          <c:max val="1"/>
          <c:min val="0"/>
        </c:scaling>
        <c:delete val="1"/>
        <c:axPos val="b"/>
        <c:numFmt formatCode="###0.0%" sourceLinked="1"/>
        <c:majorTickMark val="out"/>
        <c:minorTickMark val="none"/>
        <c:tickLblPos val="nextTo"/>
        <c:crossAx val="336704735"/>
        <c:crosses val="autoZero"/>
        <c:crossBetween val="between"/>
      </c:valAx>
    </c:plotArea>
    <c:legend>
      <c:legendPos val="b"/>
      <c:layout>
        <c:manualLayout>
          <c:xMode val="edge"/>
          <c:yMode val="edge"/>
          <c:x val="0.55713291046952462"/>
          <c:y val="0.14648127628035312"/>
          <c:w val="0.40883639545056866"/>
          <c:h val="0.62372331603936271"/>
        </c:manualLayout>
      </c:layout>
      <c:overlay val="0"/>
      <c:spPr>
        <a:noFill/>
        <a:ln>
          <a:solidFill>
            <a:schemeClr val="bg2"/>
          </a:solidFill>
        </a:ln>
        <a:effectLst/>
      </c:spPr>
      <c:txPr>
        <a:bodyPr rot="0" spcFirstLastPara="1" vertOverflow="ellipsis" vert="horz" wrap="square" anchor="ctr" anchorCtr="1"/>
        <a:lstStyle/>
        <a:p>
          <a:pPr>
            <a:defRPr sz="1100" b="0" i="0" u="none" strike="noStrike" kern="1200" baseline="0">
              <a:solidFill>
                <a:schemeClr val="tx1"/>
              </a:solidFill>
              <a:latin typeface="+mn-lt"/>
              <a:ea typeface="+mn-ea"/>
              <a:cs typeface="+mn-cs"/>
            </a:defRPr>
          </a:pPr>
          <a:endParaRPr lang="en-US"/>
        </a:p>
      </c:txPr>
    </c:legend>
    <c:plotVisOnly val="1"/>
    <c:dispBlanksAs val="gap"/>
    <c:showDLblsOverMax val="0"/>
    <c:extLst/>
  </c:chart>
  <c:spPr>
    <a:ln>
      <a:solidFill>
        <a:schemeClr val="bg2"/>
      </a:solidFill>
    </a:ln>
  </c:spPr>
  <c:txPr>
    <a:bodyPr/>
    <a:lstStyle/>
    <a:p>
      <a:pPr>
        <a:defRPr/>
      </a:pPr>
      <a:endParaRPr lang="en-US"/>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001399825021872"/>
          <c:y val="4.906333630686887E-2"/>
          <c:w val="0.84943044619422559"/>
          <c:h val="0.9126255769752919"/>
        </c:manualLayout>
      </c:layout>
      <c:barChart>
        <c:barDir val="bar"/>
        <c:grouping val="clustered"/>
        <c:varyColors val="0"/>
        <c:ser>
          <c:idx val="4"/>
          <c:order val="0"/>
          <c:tx>
            <c:v>White</c:v>
          </c:tx>
          <c:spPr>
            <a:solidFill>
              <a:srgbClr val="5E4B3C"/>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'DESC 41'!$N$61</c:f>
              <c:numCache>
                <c:formatCode>###0.0%</c:formatCode>
                <c:ptCount val="1"/>
                <c:pt idx="0">
                  <c:v>0.50987575661038542</c:v>
                </c:pt>
              </c:numCache>
            </c:numRef>
          </c:val>
          <c:extLst>
            <c:ext xmlns:c16="http://schemas.microsoft.com/office/drawing/2014/chart" uri="{C3380CC4-5D6E-409C-BE32-E72D297353CC}">
              <c16:uniqueId val="{00000000-953C-4D90-9ADB-44D494A7DCA1}"/>
            </c:ext>
          </c:extLst>
        </c:ser>
        <c:ser>
          <c:idx val="3"/>
          <c:order val="1"/>
          <c:tx>
            <c:v>Multiracial</c:v>
          </c:tx>
          <c:spPr>
            <a:solidFill>
              <a:srgbClr val="44692D"/>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'DESC 41'!$N$60</c:f>
              <c:numCache>
                <c:formatCode>###0.0%</c:formatCode>
                <c:ptCount val="1"/>
                <c:pt idx="0">
                  <c:v>0.43237250554323725</c:v>
                </c:pt>
              </c:numCache>
            </c:numRef>
          </c:val>
          <c:extLst>
            <c:ext xmlns:c16="http://schemas.microsoft.com/office/drawing/2014/chart" uri="{C3380CC4-5D6E-409C-BE32-E72D297353CC}">
              <c16:uniqueId val="{00000001-953C-4D90-9ADB-44D494A7DCA1}"/>
            </c:ext>
          </c:extLst>
        </c:ser>
        <c:ser>
          <c:idx val="2"/>
          <c:order val="2"/>
          <c:tx>
            <c:v>Latino</c:v>
          </c:tx>
          <c:spPr>
            <a:solidFill>
              <a:srgbClr val="A2AAAD"/>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'DESC 41'!$N$59</c:f>
              <c:numCache>
                <c:formatCode>###0.0%</c:formatCode>
                <c:ptCount val="1"/>
                <c:pt idx="0">
                  <c:v>0.23835125448028674</c:v>
                </c:pt>
              </c:numCache>
            </c:numRef>
          </c:val>
          <c:extLst>
            <c:ext xmlns:c16="http://schemas.microsoft.com/office/drawing/2014/chart" uri="{C3380CC4-5D6E-409C-BE32-E72D297353CC}">
              <c16:uniqueId val="{00000002-953C-4D90-9ADB-44D494A7DCA1}"/>
            </c:ext>
          </c:extLst>
        </c:ser>
        <c:ser>
          <c:idx val="1"/>
          <c:order val="3"/>
          <c:tx>
            <c:v>Black</c:v>
          </c:tx>
          <c:spPr>
            <a:solidFill>
              <a:srgbClr val="881C1C"/>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'DESC 41'!$N$58</c:f>
              <c:numCache>
                <c:formatCode>###0.0%</c:formatCode>
                <c:ptCount val="1"/>
                <c:pt idx="0">
                  <c:v>0.22454308093994779</c:v>
                </c:pt>
              </c:numCache>
            </c:numRef>
          </c:val>
          <c:extLst>
            <c:ext xmlns:c16="http://schemas.microsoft.com/office/drawing/2014/chart" uri="{C3380CC4-5D6E-409C-BE32-E72D297353CC}">
              <c16:uniqueId val="{00000003-953C-4D90-9ADB-44D494A7DCA1}"/>
            </c:ext>
          </c:extLst>
        </c:ser>
        <c:ser>
          <c:idx val="0"/>
          <c:order val="4"/>
          <c:tx>
            <c:v>Asian</c:v>
          </c:tx>
          <c:spPr>
            <a:solidFill>
              <a:srgbClr val="21272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'DESC 41'!$N$57</c:f>
              <c:numCache>
                <c:formatCode>###0.0%</c:formatCode>
                <c:ptCount val="1"/>
                <c:pt idx="0">
                  <c:v>0.49044585987261141</c:v>
                </c:pt>
              </c:numCache>
            </c:numRef>
          </c:val>
          <c:extLst>
            <c:ext xmlns:c16="http://schemas.microsoft.com/office/drawing/2014/chart" uri="{C3380CC4-5D6E-409C-BE32-E72D297353CC}">
              <c16:uniqueId val="{00000004-953C-4D90-9ADB-44D494A7DCA1}"/>
            </c:ext>
          </c:extLst>
        </c:ser>
        <c:dLbls>
          <c:dLblPos val="inEnd"/>
          <c:showLegendKey val="0"/>
          <c:showVal val="1"/>
          <c:showCatName val="0"/>
          <c:showSerName val="0"/>
          <c:showPercent val="0"/>
          <c:showBubbleSize val="0"/>
        </c:dLbls>
        <c:gapWidth val="182"/>
        <c:overlap val="-10"/>
        <c:axId val="336704735"/>
        <c:axId val="336694175"/>
      </c:barChart>
      <c:catAx>
        <c:axId val="336704735"/>
        <c:scaling>
          <c:orientation val="minMax"/>
        </c:scaling>
        <c:delete val="1"/>
        <c:axPos val="l"/>
        <c:title>
          <c:tx>
            <c:rich>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en-US">
                    <a:solidFill>
                      <a:schemeClr val="tx1"/>
                    </a:solidFill>
                  </a:rPr>
                  <a:t>Racial/Ethnic Student Group</a:t>
                </a:r>
              </a:p>
            </c:rich>
          </c:tx>
          <c:layout>
            <c:manualLayout>
              <c:xMode val="edge"/>
              <c:yMode val="edge"/>
              <c:x val="3.6111111111111108E-2"/>
              <c:y val="0.20270919524889897"/>
            </c:manualLayout>
          </c:layout>
          <c:overlay val="0"/>
          <c:spPr>
            <a:noFill/>
            <a:ln>
              <a:noFill/>
            </a:ln>
            <a:effectLst/>
          </c:spPr>
        </c:title>
        <c:majorTickMark val="out"/>
        <c:minorTickMark val="none"/>
        <c:tickLblPos val="nextTo"/>
        <c:crossAx val="336694175"/>
        <c:crosses val="autoZero"/>
        <c:auto val="1"/>
        <c:lblAlgn val="ctr"/>
        <c:lblOffset val="100"/>
        <c:noMultiLvlLbl val="0"/>
      </c:catAx>
      <c:valAx>
        <c:axId val="336694175"/>
        <c:scaling>
          <c:orientation val="minMax"/>
          <c:max val="1"/>
          <c:min val="0"/>
        </c:scaling>
        <c:delete val="1"/>
        <c:axPos val="b"/>
        <c:numFmt formatCode="###0.0%" sourceLinked="1"/>
        <c:majorTickMark val="out"/>
        <c:minorTickMark val="none"/>
        <c:tickLblPos val="nextTo"/>
        <c:crossAx val="336704735"/>
        <c:crosses val="autoZero"/>
        <c:crossBetween val="between"/>
      </c:valAx>
    </c:plotArea>
    <c:legend>
      <c:legendPos val="b"/>
      <c:layout>
        <c:manualLayout>
          <c:xMode val="edge"/>
          <c:yMode val="edge"/>
          <c:x val="0.57779171206732327"/>
          <c:y val="0.18876356671632263"/>
          <c:w val="0.37966427499434624"/>
          <c:h val="0.5968841499658768"/>
        </c:manualLayout>
      </c:layout>
      <c:overlay val="0"/>
      <c:spPr>
        <a:noFill/>
        <a:ln>
          <a:solidFill>
            <a:schemeClr val="bg2"/>
          </a:solidFill>
        </a:ln>
        <a:effectLst/>
      </c:spPr>
      <c:txPr>
        <a:bodyPr rot="0" spcFirstLastPara="1" vertOverflow="ellipsis" vert="horz" wrap="square" anchor="ctr" anchorCtr="1"/>
        <a:lstStyle/>
        <a:p>
          <a:pPr>
            <a:defRPr sz="1100" b="0" i="0" u="none" strike="noStrike" kern="1200" baseline="0">
              <a:solidFill>
                <a:schemeClr val="tx1"/>
              </a:solidFill>
              <a:latin typeface="+mn-lt"/>
              <a:ea typeface="+mn-ea"/>
              <a:cs typeface="+mn-cs"/>
            </a:defRPr>
          </a:pPr>
          <a:endParaRPr lang="en-US"/>
        </a:p>
      </c:txPr>
    </c:legend>
    <c:plotVisOnly val="1"/>
    <c:dispBlanksAs val="gap"/>
    <c:showDLblsOverMax val="0"/>
    <c:extLst/>
  </c:chart>
  <c:spPr>
    <a:ln>
      <a:solidFill>
        <a:schemeClr val="bg2"/>
      </a:solidFill>
    </a:ln>
  </c:spPr>
  <c:txPr>
    <a:bodyPr/>
    <a:lstStyle/>
    <a:p>
      <a:pPr>
        <a:defRPr/>
      </a:pPr>
      <a:endParaRPr lang="en-US"/>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140986486695832"/>
          <c:y val="0"/>
          <c:w val="0.85810866980587219"/>
          <c:h val="0.74951637682457839"/>
        </c:manualLayout>
      </c:layout>
      <c:barChart>
        <c:barDir val="bar"/>
        <c:grouping val="clustered"/>
        <c:varyColors val="0"/>
        <c:ser>
          <c:idx val="6"/>
          <c:order val="0"/>
          <c:tx>
            <c:v>Not SWD</c:v>
          </c:tx>
          <c:spPr>
            <a:solidFill>
              <a:srgbClr val="5E4B3C">
                <a:alpha val="40000"/>
              </a:srgb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'DESC 41'!$F$68</c:f>
              <c:numCache>
                <c:formatCode>###0.0%</c:formatCode>
                <c:ptCount val="1"/>
                <c:pt idx="0">
                  <c:v>0.41595849360407905</c:v>
                </c:pt>
              </c:numCache>
            </c:numRef>
          </c:val>
          <c:extLst>
            <c:ext xmlns:c16="http://schemas.microsoft.com/office/drawing/2014/chart" uri="{C3380CC4-5D6E-409C-BE32-E72D297353CC}">
              <c16:uniqueId val="{00000000-812F-41A5-955B-D7014086E707}"/>
            </c:ext>
          </c:extLst>
        </c:ser>
        <c:ser>
          <c:idx val="7"/>
          <c:order val="1"/>
          <c:tx>
            <c:v>SWD</c:v>
          </c:tx>
          <c:spPr>
            <a:solidFill>
              <a:srgbClr val="5E4B3C"/>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'DESC 41'!$F$69</c:f>
              <c:numCache>
                <c:formatCode>###0.0%</c:formatCode>
                <c:ptCount val="1"/>
                <c:pt idx="0">
                  <c:v>0.17628205128205127</c:v>
                </c:pt>
              </c:numCache>
            </c:numRef>
          </c:val>
          <c:extLst>
            <c:ext xmlns:c16="http://schemas.microsoft.com/office/drawing/2014/chart" uri="{C3380CC4-5D6E-409C-BE32-E72D297353CC}">
              <c16:uniqueId val="{00000001-812F-41A5-955B-D7014086E707}"/>
            </c:ext>
          </c:extLst>
        </c:ser>
        <c:ser>
          <c:idx val="8"/>
          <c:order val="2"/>
          <c:tx>
            <c:v>SeriesA</c:v>
          </c:tx>
          <c:invertIfNegative val="0"/>
          <c:dLbls>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val>
            <c:numRef>
              <c:f>'DESC 41'!$AF$130</c:f>
              <c:numCache>
                <c:formatCode>General</c:formatCode>
                <c:ptCount val="1"/>
              </c:numCache>
            </c:numRef>
          </c:val>
          <c:extLst>
            <c:ext xmlns:c16="http://schemas.microsoft.com/office/drawing/2014/chart" uri="{C3380CC4-5D6E-409C-BE32-E72D297353CC}">
              <c16:uniqueId val="{00000002-812F-41A5-955B-D7014086E707}"/>
            </c:ext>
          </c:extLst>
        </c:ser>
        <c:ser>
          <c:idx val="4"/>
          <c:order val="3"/>
          <c:tx>
            <c:v>Not Low-income</c:v>
          </c:tx>
          <c:spPr>
            <a:solidFill>
              <a:srgbClr val="44692D">
                <a:alpha val="40000"/>
              </a:srgb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'DESC 41'!$F$66</c:f>
              <c:numCache>
                <c:formatCode>###0.0%</c:formatCode>
                <c:ptCount val="1"/>
                <c:pt idx="0">
                  <c:v>0.50071042909917596</c:v>
                </c:pt>
              </c:numCache>
            </c:numRef>
          </c:val>
          <c:extLst>
            <c:ext xmlns:c16="http://schemas.microsoft.com/office/drawing/2014/chart" uri="{C3380CC4-5D6E-409C-BE32-E72D297353CC}">
              <c16:uniqueId val="{00000003-812F-41A5-955B-D7014086E707}"/>
            </c:ext>
          </c:extLst>
        </c:ser>
        <c:ser>
          <c:idx val="5"/>
          <c:order val="4"/>
          <c:tx>
            <c:v>Low-income</c:v>
          </c:tx>
          <c:spPr>
            <a:solidFill>
              <a:srgbClr val="44692D"/>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'DESC 41'!$F$67</c:f>
              <c:numCache>
                <c:formatCode>###0.0%</c:formatCode>
                <c:ptCount val="1"/>
                <c:pt idx="0">
                  <c:v>0.26521446216034134</c:v>
                </c:pt>
              </c:numCache>
            </c:numRef>
          </c:val>
          <c:extLst>
            <c:ext xmlns:c16="http://schemas.microsoft.com/office/drawing/2014/chart" uri="{C3380CC4-5D6E-409C-BE32-E72D297353CC}">
              <c16:uniqueId val="{00000004-812F-41A5-955B-D7014086E707}"/>
            </c:ext>
          </c:extLst>
        </c:ser>
        <c:ser>
          <c:idx val="9"/>
          <c:order val="5"/>
          <c:tx>
            <c:v>SeriesB</c:v>
          </c:tx>
          <c:invertIfNegative val="0"/>
          <c:dLbls>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val>
            <c:numRef>
              <c:f>'DESC 41'!$AF$130</c:f>
              <c:numCache>
                <c:formatCode>General</c:formatCode>
                <c:ptCount val="1"/>
              </c:numCache>
            </c:numRef>
          </c:val>
          <c:extLst>
            <c:ext xmlns:c16="http://schemas.microsoft.com/office/drawing/2014/chart" uri="{C3380CC4-5D6E-409C-BE32-E72D297353CC}">
              <c16:uniqueId val="{00000005-812F-41A5-955B-D7014086E707}"/>
            </c:ext>
          </c:extLst>
        </c:ser>
        <c:ser>
          <c:idx val="2"/>
          <c:order val="6"/>
          <c:tx>
            <c:v>Not EL</c:v>
          </c:tx>
          <c:spPr>
            <a:solidFill>
              <a:srgbClr val="881C1C">
                <a:alpha val="40000"/>
              </a:srgb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'DESC 41'!$F$64</c:f>
              <c:numCache>
                <c:formatCode>###0.0%</c:formatCode>
                <c:ptCount val="1"/>
                <c:pt idx="0">
                  <c:v>0.41962608462295381</c:v>
                </c:pt>
              </c:numCache>
            </c:numRef>
          </c:val>
          <c:extLst>
            <c:ext xmlns:c16="http://schemas.microsoft.com/office/drawing/2014/chart" uri="{C3380CC4-5D6E-409C-BE32-E72D297353CC}">
              <c16:uniqueId val="{00000006-812F-41A5-955B-D7014086E707}"/>
            </c:ext>
          </c:extLst>
        </c:ser>
        <c:ser>
          <c:idx val="3"/>
          <c:order val="7"/>
          <c:tx>
            <c:v>EL</c:v>
          </c:tx>
          <c:spPr>
            <a:solidFill>
              <a:srgbClr val="881C1C"/>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'DESC 41'!$F$65</c:f>
              <c:numCache>
                <c:formatCode>###0.0%</c:formatCode>
                <c:ptCount val="1"/>
                <c:pt idx="0">
                  <c:v>4.4871794871794872E-2</c:v>
                </c:pt>
              </c:numCache>
            </c:numRef>
          </c:val>
          <c:extLst>
            <c:ext xmlns:c16="http://schemas.microsoft.com/office/drawing/2014/chart" uri="{C3380CC4-5D6E-409C-BE32-E72D297353CC}">
              <c16:uniqueId val="{00000007-812F-41A5-955B-D7014086E707}"/>
            </c:ext>
          </c:extLst>
        </c:ser>
        <c:ser>
          <c:idx val="10"/>
          <c:order val="8"/>
          <c:tx>
            <c:v>SeriesC</c:v>
          </c:tx>
          <c:invertIfNegative val="0"/>
          <c:dLbls>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val>
            <c:numRef>
              <c:f>'DESC 41'!$AF$130</c:f>
              <c:numCache>
                <c:formatCode>General</c:formatCode>
                <c:ptCount val="1"/>
              </c:numCache>
            </c:numRef>
          </c:val>
          <c:extLst>
            <c:ext xmlns:c16="http://schemas.microsoft.com/office/drawing/2014/chart" uri="{C3380CC4-5D6E-409C-BE32-E72D297353CC}">
              <c16:uniqueId val="{00000008-812F-41A5-955B-D7014086E707}"/>
            </c:ext>
          </c:extLst>
        </c:ser>
        <c:ser>
          <c:idx val="0"/>
          <c:order val="9"/>
          <c:tx>
            <c:v>Male</c:v>
          </c:tx>
          <c:spPr>
            <a:solidFill>
              <a:srgbClr val="212721">
                <a:alpha val="40000"/>
              </a:srgb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'DESC 41'!$F$62</c:f>
              <c:numCache>
                <c:formatCode>###0.0%</c:formatCode>
                <c:ptCount val="1"/>
                <c:pt idx="0">
                  <c:v>0.41209949409780777</c:v>
                </c:pt>
              </c:numCache>
            </c:numRef>
          </c:val>
          <c:extLst>
            <c:ext xmlns:c16="http://schemas.microsoft.com/office/drawing/2014/chart" uri="{C3380CC4-5D6E-409C-BE32-E72D297353CC}">
              <c16:uniqueId val="{00000009-812F-41A5-955B-D7014086E707}"/>
            </c:ext>
          </c:extLst>
        </c:ser>
        <c:ser>
          <c:idx val="1"/>
          <c:order val="10"/>
          <c:tx>
            <c:v>Female</c:v>
          </c:tx>
          <c:spPr>
            <a:solidFill>
              <a:srgbClr val="21272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'DESC 41'!$F$63</c:f>
              <c:numCache>
                <c:formatCode>###0.0%</c:formatCode>
                <c:ptCount val="1"/>
                <c:pt idx="0">
                  <c:v>0.40793792897642495</c:v>
                </c:pt>
              </c:numCache>
            </c:numRef>
          </c:val>
          <c:extLst>
            <c:ext xmlns:c16="http://schemas.microsoft.com/office/drawing/2014/chart" uri="{C3380CC4-5D6E-409C-BE32-E72D297353CC}">
              <c16:uniqueId val="{0000000A-812F-41A5-955B-D7014086E707}"/>
            </c:ext>
          </c:extLst>
        </c:ser>
        <c:dLbls>
          <c:dLblPos val="inEnd"/>
          <c:showLegendKey val="0"/>
          <c:showVal val="1"/>
          <c:showCatName val="0"/>
          <c:showSerName val="0"/>
          <c:showPercent val="0"/>
          <c:showBubbleSize val="0"/>
        </c:dLbls>
        <c:gapWidth val="182"/>
        <c:axId val="1021012959"/>
        <c:axId val="1021020639"/>
      </c:barChart>
      <c:catAx>
        <c:axId val="1021012959"/>
        <c:scaling>
          <c:orientation val="minMax"/>
        </c:scaling>
        <c:delete val="1"/>
        <c:axPos val="l"/>
        <c:title>
          <c:tx>
            <c:rich>
              <a:bodyPr/>
              <a:lstStyle/>
              <a:p>
                <a:pPr>
                  <a:defRPr/>
                </a:pPr>
                <a:r>
                  <a:rPr lang="en-US"/>
                  <a:t>Student Group</a:t>
                </a:r>
              </a:p>
            </c:rich>
          </c:tx>
          <c:layout>
            <c:manualLayout>
              <c:xMode val="edge"/>
              <c:yMode val="edge"/>
              <c:x val="3.3252507629639508E-2"/>
              <c:y val="0.24865911363625681"/>
            </c:manualLayout>
          </c:layout>
          <c:overlay val="0"/>
        </c:title>
        <c:majorTickMark val="cross"/>
        <c:minorTickMark val="none"/>
        <c:tickLblPos val="nextTo"/>
        <c:crossAx val="1021020639"/>
        <c:crosses val="autoZero"/>
        <c:auto val="1"/>
        <c:lblAlgn val="ctr"/>
        <c:lblOffset val="100"/>
        <c:noMultiLvlLbl val="0"/>
      </c:catAx>
      <c:valAx>
        <c:axId val="1021020639"/>
        <c:scaling>
          <c:orientation val="minMax"/>
          <c:max val="1"/>
          <c:min val="0"/>
        </c:scaling>
        <c:delete val="1"/>
        <c:axPos val="b"/>
        <c:numFmt formatCode="###0.0%" sourceLinked="1"/>
        <c:majorTickMark val="out"/>
        <c:minorTickMark val="none"/>
        <c:tickLblPos val="nextTo"/>
        <c:crossAx val="1021012959"/>
        <c:crosses val="autoZero"/>
        <c:crossBetween val="between"/>
      </c:valAx>
    </c:plotArea>
    <c:legend>
      <c:legendPos val="b"/>
      <c:legendEntry>
        <c:idx val="2"/>
        <c:delete val="1"/>
      </c:legendEntry>
      <c:legendEntry>
        <c:idx val="5"/>
        <c:delete val="1"/>
      </c:legendEntry>
      <c:legendEntry>
        <c:idx val="8"/>
        <c:delete val="1"/>
      </c:legendEntry>
      <c:layout>
        <c:manualLayout>
          <c:xMode val="edge"/>
          <c:yMode val="edge"/>
          <c:x val="7.0087949532624191E-2"/>
          <c:y val="0.71700421168284201"/>
          <c:w val="0.83672796600750643"/>
          <c:h val="0.24971078921566325"/>
        </c:manualLayout>
      </c:layout>
      <c:overlay val="0"/>
      <c:spPr>
        <a:noFill/>
        <a:ln>
          <a:solidFill>
            <a:schemeClr val="bg2"/>
          </a:solidFill>
        </a:ln>
        <a:effectLst/>
      </c:spPr>
      <c:txPr>
        <a:bodyPr rot="0" spcFirstLastPara="1" vertOverflow="ellipsis" vert="horz" wrap="square" anchor="ctr" anchorCtr="1"/>
        <a:lstStyle/>
        <a:p>
          <a:pPr>
            <a:defRPr sz="1100" b="0" i="0" u="none" strike="noStrike" kern="1200" baseline="0">
              <a:solidFill>
                <a:schemeClr val="tx1"/>
              </a:solidFill>
              <a:latin typeface="+mn-lt"/>
              <a:ea typeface="+mn-ea"/>
              <a:cs typeface="+mn-cs"/>
            </a:defRPr>
          </a:pPr>
          <a:endParaRPr lang="en-US"/>
        </a:p>
      </c:txPr>
    </c:legend>
    <c:plotVisOnly val="1"/>
    <c:dispBlanksAs val="gap"/>
    <c:showDLblsOverMax val="0"/>
    <c:extLst/>
  </c:chart>
  <c:spPr>
    <a:ln>
      <a:solidFill>
        <a:schemeClr val="bg2">
          <a:alpha val="91000"/>
        </a:schemeClr>
      </a:solidFill>
    </a:ln>
  </c:spPr>
  <c:txPr>
    <a:bodyPr/>
    <a:lstStyle/>
    <a:p>
      <a:pPr>
        <a:defRPr/>
      </a:pPr>
      <a:endParaRPr lang="en-US"/>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140986486695832"/>
          <c:y val="5.0487655822361512E-2"/>
          <c:w val="0.85810866980587219"/>
          <c:h val="0.69894756547945391"/>
        </c:manualLayout>
      </c:layout>
      <c:barChart>
        <c:barDir val="bar"/>
        <c:grouping val="clustered"/>
        <c:varyColors val="0"/>
        <c:ser>
          <c:idx val="6"/>
          <c:order val="0"/>
          <c:tx>
            <c:v>Not SWD</c:v>
          </c:tx>
          <c:spPr>
            <a:solidFill>
              <a:srgbClr val="5E4B3C">
                <a:alpha val="40000"/>
              </a:srgb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'DESC 41'!$N$68</c:f>
              <c:numCache>
                <c:formatCode>###0.0%</c:formatCode>
                <c:ptCount val="1"/>
                <c:pt idx="0">
                  <c:v>0.41387600893010473</c:v>
                </c:pt>
              </c:numCache>
            </c:numRef>
          </c:val>
          <c:extLst>
            <c:ext xmlns:c16="http://schemas.microsoft.com/office/drawing/2014/chart" uri="{C3380CC4-5D6E-409C-BE32-E72D297353CC}">
              <c16:uniqueId val="{00000000-9454-4E6F-9ED2-58159B7217F7}"/>
            </c:ext>
          </c:extLst>
        </c:ser>
        <c:ser>
          <c:idx val="7"/>
          <c:order val="1"/>
          <c:tx>
            <c:v>SWD</c:v>
          </c:tx>
          <c:spPr>
            <a:solidFill>
              <a:srgbClr val="5E4B3C"/>
            </a:solidFill>
            <a:ln>
              <a:noFill/>
            </a:ln>
            <a:effectLst/>
          </c:spPr>
          <c:invertIfNegative val="0"/>
          <c:dLbls>
            <c:dLbl>
              <c:idx val="0"/>
              <c:layout>
                <c:manualLayout>
                  <c:x val="-0.14058597724144417"/>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618-4C12-ACED-5AB7E11CAB38}"/>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'DESC 41'!$N$69</c:f>
              <c:numCache>
                <c:formatCode>###0.0%</c:formatCode>
                <c:ptCount val="1"/>
                <c:pt idx="0">
                  <c:v>0.14864864864864866</c:v>
                </c:pt>
              </c:numCache>
            </c:numRef>
          </c:val>
          <c:extLst>
            <c:ext xmlns:c16="http://schemas.microsoft.com/office/drawing/2014/chart" uri="{C3380CC4-5D6E-409C-BE32-E72D297353CC}">
              <c16:uniqueId val="{00000001-9454-4E6F-9ED2-58159B7217F7}"/>
            </c:ext>
          </c:extLst>
        </c:ser>
        <c:ser>
          <c:idx val="8"/>
          <c:order val="2"/>
          <c:tx>
            <c:v>SeriesA</c:v>
          </c:tx>
          <c:invertIfNegative val="0"/>
          <c:dLbls>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val>
            <c:numRef>
              <c:f>'DESC 41'!$AN$131</c:f>
              <c:numCache>
                <c:formatCode>General</c:formatCode>
                <c:ptCount val="1"/>
              </c:numCache>
            </c:numRef>
          </c:val>
          <c:extLst>
            <c:ext xmlns:c16="http://schemas.microsoft.com/office/drawing/2014/chart" uri="{C3380CC4-5D6E-409C-BE32-E72D297353CC}">
              <c16:uniqueId val="{00000002-9454-4E6F-9ED2-58159B7217F7}"/>
            </c:ext>
          </c:extLst>
        </c:ser>
        <c:ser>
          <c:idx val="4"/>
          <c:order val="3"/>
          <c:tx>
            <c:v>Not Low-income</c:v>
          </c:tx>
          <c:spPr>
            <a:solidFill>
              <a:srgbClr val="44692D">
                <a:alpha val="40000"/>
              </a:srgb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'DESC 41'!$N$66</c:f>
              <c:numCache>
                <c:formatCode>###0.0%</c:formatCode>
                <c:ptCount val="1"/>
                <c:pt idx="0">
                  <c:v>0.49493585415259955</c:v>
                </c:pt>
              </c:numCache>
            </c:numRef>
          </c:val>
          <c:extLst>
            <c:ext xmlns:c16="http://schemas.microsoft.com/office/drawing/2014/chart" uri="{C3380CC4-5D6E-409C-BE32-E72D297353CC}">
              <c16:uniqueId val="{00000003-9454-4E6F-9ED2-58159B7217F7}"/>
            </c:ext>
          </c:extLst>
        </c:ser>
        <c:ser>
          <c:idx val="5"/>
          <c:order val="4"/>
          <c:tx>
            <c:v>Low-income</c:v>
          </c:tx>
          <c:spPr>
            <a:solidFill>
              <a:srgbClr val="44692D"/>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'DESC 41'!$N$67</c:f>
              <c:numCache>
                <c:formatCode>###0.0%</c:formatCode>
                <c:ptCount val="1"/>
                <c:pt idx="0">
                  <c:v>0.26241596183040555</c:v>
                </c:pt>
              </c:numCache>
            </c:numRef>
          </c:val>
          <c:extLst>
            <c:ext xmlns:c16="http://schemas.microsoft.com/office/drawing/2014/chart" uri="{C3380CC4-5D6E-409C-BE32-E72D297353CC}">
              <c16:uniqueId val="{00000004-9454-4E6F-9ED2-58159B7217F7}"/>
            </c:ext>
          </c:extLst>
        </c:ser>
        <c:ser>
          <c:idx val="9"/>
          <c:order val="5"/>
          <c:tx>
            <c:v>SeriesB</c:v>
          </c:tx>
          <c:invertIfNegative val="0"/>
          <c:dLbls>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val>
            <c:numRef>
              <c:f>'DESC 41'!$AN$131</c:f>
              <c:numCache>
                <c:formatCode>General</c:formatCode>
                <c:ptCount val="1"/>
              </c:numCache>
            </c:numRef>
          </c:val>
          <c:extLst>
            <c:ext xmlns:c16="http://schemas.microsoft.com/office/drawing/2014/chart" uri="{C3380CC4-5D6E-409C-BE32-E72D297353CC}">
              <c16:uniqueId val="{00000005-9454-4E6F-9ED2-58159B7217F7}"/>
            </c:ext>
          </c:extLst>
        </c:ser>
        <c:ser>
          <c:idx val="2"/>
          <c:order val="6"/>
          <c:tx>
            <c:v>Not EL</c:v>
          </c:tx>
          <c:spPr>
            <a:solidFill>
              <a:srgbClr val="881C1C">
                <a:alpha val="40000"/>
              </a:srgb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'DESC 41'!$N$64</c:f>
              <c:numCache>
                <c:formatCode>###0.0%</c:formatCode>
                <c:ptCount val="1"/>
                <c:pt idx="0">
                  <c:v>0.41437217628505674</c:v>
                </c:pt>
              </c:numCache>
            </c:numRef>
          </c:val>
          <c:extLst>
            <c:ext xmlns:c16="http://schemas.microsoft.com/office/drawing/2014/chart" uri="{C3380CC4-5D6E-409C-BE32-E72D297353CC}">
              <c16:uniqueId val="{00000006-9454-4E6F-9ED2-58159B7217F7}"/>
            </c:ext>
          </c:extLst>
        </c:ser>
        <c:ser>
          <c:idx val="3"/>
          <c:order val="7"/>
          <c:tx>
            <c:v>EL</c:v>
          </c:tx>
          <c:spPr>
            <a:solidFill>
              <a:srgbClr val="881C1C"/>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'DESC 41'!$N$65</c:f>
              <c:numCache>
                <c:formatCode>###0.0%</c:formatCode>
                <c:ptCount val="1"/>
                <c:pt idx="0">
                  <c:v>4.912280701754386E-2</c:v>
                </c:pt>
              </c:numCache>
            </c:numRef>
          </c:val>
          <c:extLst>
            <c:ext xmlns:c16="http://schemas.microsoft.com/office/drawing/2014/chart" uri="{C3380CC4-5D6E-409C-BE32-E72D297353CC}">
              <c16:uniqueId val="{00000007-9454-4E6F-9ED2-58159B7217F7}"/>
            </c:ext>
          </c:extLst>
        </c:ser>
        <c:ser>
          <c:idx val="10"/>
          <c:order val="8"/>
          <c:tx>
            <c:v>SeriesC</c:v>
          </c:tx>
          <c:invertIfNegative val="0"/>
          <c:dLbls>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val>
            <c:numRef>
              <c:f>'DESC 41'!$AO$131</c:f>
              <c:numCache>
                <c:formatCode>General</c:formatCode>
                <c:ptCount val="1"/>
              </c:numCache>
            </c:numRef>
          </c:val>
          <c:extLst>
            <c:ext xmlns:c16="http://schemas.microsoft.com/office/drawing/2014/chart" uri="{C3380CC4-5D6E-409C-BE32-E72D297353CC}">
              <c16:uniqueId val="{00000008-9454-4E6F-9ED2-58159B7217F7}"/>
            </c:ext>
          </c:extLst>
        </c:ser>
        <c:ser>
          <c:idx val="0"/>
          <c:order val="9"/>
          <c:tx>
            <c:v>Male</c:v>
          </c:tx>
          <c:spPr>
            <a:solidFill>
              <a:srgbClr val="212721">
                <a:alpha val="40000"/>
              </a:srgb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'DESC 41'!$N$62</c:f>
              <c:numCache>
                <c:formatCode>###0.0%</c:formatCode>
                <c:ptCount val="1"/>
                <c:pt idx="0">
                  <c:v>0.40896469654898854</c:v>
                </c:pt>
              </c:numCache>
            </c:numRef>
          </c:val>
          <c:extLst>
            <c:ext xmlns:c16="http://schemas.microsoft.com/office/drawing/2014/chart" uri="{C3380CC4-5D6E-409C-BE32-E72D297353CC}">
              <c16:uniqueId val="{00000009-9454-4E6F-9ED2-58159B7217F7}"/>
            </c:ext>
          </c:extLst>
        </c:ser>
        <c:ser>
          <c:idx val="1"/>
          <c:order val="10"/>
          <c:tx>
            <c:v>Female</c:v>
          </c:tx>
          <c:spPr>
            <a:solidFill>
              <a:srgbClr val="21272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'DESC 41'!$N$63</c:f>
              <c:numCache>
                <c:formatCode>###0.0%</c:formatCode>
                <c:ptCount val="1"/>
                <c:pt idx="0">
                  <c:v>0.40395725014442518</c:v>
                </c:pt>
              </c:numCache>
            </c:numRef>
          </c:val>
          <c:extLst>
            <c:ext xmlns:c16="http://schemas.microsoft.com/office/drawing/2014/chart" uri="{C3380CC4-5D6E-409C-BE32-E72D297353CC}">
              <c16:uniqueId val="{0000000A-9454-4E6F-9ED2-58159B7217F7}"/>
            </c:ext>
          </c:extLst>
        </c:ser>
        <c:dLbls>
          <c:dLblPos val="inEnd"/>
          <c:showLegendKey val="0"/>
          <c:showVal val="1"/>
          <c:showCatName val="0"/>
          <c:showSerName val="0"/>
          <c:showPercent val="0"/>
          <c:showBubbleSize val="0"/>
        </c:dLbls>
        <c:gapWidth val="182"/>
        <c:axId val="1021012959"/>
        <c:axId val="1021020639"/>
      </c:barChart>
      <c:catAx>
        <c:axId val="1021012959"/>
        <c:scaling>
          <c:orientation val="minMax"/>
        </c:scaling>
        <c:delete val="1"/>
        <c:axPos val="l"/>
        <c:title>
          <c:tx>
            <c:rich>
              <a:bodyPr/>
              <a:lstStyle/>
              <a:p>
                <a:pPr>
                  <a:defRPr/>
                </a:pPr>
                <a:r>
                  <a:rPr lang="en-US"/>
                  <a:t>Student Group</a:t>
                </a:r>
              </a:p>
            </c:rich>
          </c:tx>
          <c:layout>
            <c:manualLayout>
              <c:xMode val="edge"/>
              <c:yMode val="edge"/>
              <c:x val="3.3252507629639508E-2"/>
              <c:y val="0.24865911363625681"/>
            </c:manualLayout>
          </c:layout>
          <c:overlay val="0"/>
        </c:title>
        <c:majorTickMark val="cross"/>
        <c:minorTickMark val="none"/>
        <c:tickLblPos val="nextTo"/>
        <c:crossAx val="1021020639"/>
        <c:crosses val="autoZero"/>
        <c:auto val="1"/>
        <c:lblAlgn val="ctr"/>
        <c:lblOffset val="100"/>
        <c:noMultiLvlLbl val="0"/>
      </c:catAx>
      <c:valAx>
        <c:axId val="1021020639"/>
        <c:scaling>
          <c:orientation val="minMax"/>
          <c:max val="1"/>
          <c:min val="0"/>
        </c:scaling>
        <c:delete val="1"/>
        <c:axPos val="b"/>
        <c:numFmt formatCode="###0.0%" sourceLinked="1"/>
        <c:majorTickMark val="out"/>
        <c:minorTickMark val="none"/>
        <c:tickLblPos val="nextTo"/>
        <c:crossAx val="1021012959"/>
        <c:crosses val="autoZero"/>
        <c:crossBetween val="between"/>
      </c:valAx>
    </c:plotArea>
    <c:legend>
      <c:legendPos val="b"/>
      <c:legendEntry>
        <c:idx val="2"/>
        <c:delete val="1"/>
      </c:legendEntry>
      <c:legendEntry>
        <c:idx val="5"/>
        <c:delete val="1"/>
      </c:legendEntry>
      <c:legendEntry>
        <c:idx val="8"/>
        <c:delete val="1"/>
      </c:legendEntry>
      <c:layout>
        <c:manualLayout>
          <c:xMode val="edge"/>
          <c:yMode val="edge"/>
          <c:x val="0.11789992049039473"/>
          <c:y val="0.72734012899550349"/>
          <c:w val="0.84054476903742081"/>
          <c:h val="0.24971078921566325"/>
        </c:manualLayout>
      </c:layout>
      <c:overlay val="0"/>
      <c:spPr>
        <a:noFill/>
        <a:ln>
          <a:solidFill>
            <a:schemeClr val="bg2"/>
          </a:solidFill>
        </a:ln>
        <a:effectLst/>
      </c:spPr>
      <c:txPr>
        <a:bodyPr rot="0" spcFirstLastPara="1" vertOverflow="ellipsis" vert="horz" wrap="square" anchor="ctr" anchorCtr="1"/>
        <a:lstStyle/>
        <a:p>
          <a:pPr>
            <a:defRPr sz="1100" b="0" i="0" u="none" strike="noStrike" kern="1200" baseline="0">
              <a:solidFill>
                <a:schemeClr val="tx1"/>
              </a:solidFill>
              <a:latin typeface="+mn-lt"/>
              <a:ea typeface="+mn-ea"/>
              <a:cs typeface="+mn-cs"/>
            </a:defRPr>
          </a:pPr>
          <a:endParaRPr lang="en-US"/>
        </a:p>
      </c:txPr>
    </c:legend>
    <c:plotVisOnly val="1"/>
    <c:dispBlanksAs val="gap"/>
    <c:showDLblsOverMax val="0"/>
    <c:extLst/>
  </c:chart>
  <c:spPr>
    <a:ln>
      <a:solidFill>
        <a:schemeClr val="bg2">
          <a:alpha val="91000"/>
        </a:schemeClr>
      </a:solidFill>
    </a:ln>
  </c:spPr>
  <c:txPr>
    <a:bodyPr/>
    <a:lstStyle/>
    <a:p>
      <a:pPr>
        <a:defRPr/>
      </a:pPr>
      <a:endParaRPr lang="en-US"/>
    </a:p>
  </c:tx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[Chart in Microsoft Word]QUESTION 4!PivotTable1</c:name>
    <c:fmtId val="-1"/>
  </c:pivotSource>
  <c:chart>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7"/>
        <c:spPr>
          <a:solidFill>
            <a:srgbClr val="881C1C"/>
          </a:solidFill>
          <a:ln>
            <a:noFill/>
          </a:ln>
          <a:effectLst/>
        </c:spPr>
      </c:pivotFmt>
      <c:pivotFmt>
        <c:idx val="8"/>
        <c:spPr>
          <a:solidFill>
            <a:srgbClr val="212721"/>
          </a:solidFill>
          <a:ln>
            <a:noFill/>
          </a:ln>
          <a:effectLst/>
        </c:spPr>
      </c:pivotFmt>
      <c:pivotFmt>
        <c:idx val="9"/>
        <c:spPr>
          <a:solidFill>
            <a:srgbClr val="A2AAAD"/>
          </a:solidFill>
          <a:ln>
            <a:noFill/>
          </a:ln>
          <a:effectLst/>
        </c:spPr>
      </c:pivotFmt>
      <c:pivotFmt>
        <c:idx val="10"/>
        <c:spPr>
          <a:solidFill>
            <a:srgbClr val="881C1C"/>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11"/>
        <c:spPr>
          <a:solidFill>
            <a:srgbClr val="21272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12"/>
        <c:spPr>
          <a:solidFill>
            <a:srgbClr val="A2AAAD"/>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13"/>
        <c:spPr>
          <a:solidFill>
            <a:srgbClr val="881C1C"/>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14"/>
        <c:spPr>
          <a:solidFill>
            <a:srgbClr val="21272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15"/>
        <c:spPr>
          <a:solidFill>
            <a:srgbClr val="A2AAAD"/>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extLst>
        </c:dLbl>
      </c:pivotFmt>
    </c:pivotFmts>
    <c:plotArea>
      <c:layout>
        <c:manualLayout>
          <c:layoutTarget val="inner"/>
          <c:xMode val="edge"/>
          <c:yMode val="edge"/>
          <c:x val="0.2687406710728627"/>
          <c:y val="3.5512584502575682E-2"/>
          <c:w val="0.69358362410161434"/>
          <c:h val="0.80378602478226557"/>
        </c:manualLayout>
      </c:layout>
      <c:barChart>
        <c:barDir val="bar"/>
        <c:grouping val="stacked"/>
        <c:varyColors val="0"/>
        <c:ser>
          <c:idx val="0"/>
          <c:order val="0"/>
          <c:tx>
            <c:strRef>
              <c:f>'QUESTION 4'!$L$76:$L$77</c:f>
              <c:strCache>
                <c:ptCount val="1"/>
                <c:pt idx="0">
                  <c:v>Progress</c:v>
                </c:pt>
              </c:strCache>
            </c:strRef>
          </c:tx>
          <c:spPr>
            <a:solidFill>
              <a:srgbClr val="21272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'QUESTION 4'!$K$78:$K$84</c:f>
              <c:strCache>
                <c:ptCount val="7"/>
                <c:pt idx="0">
                  <c:v>Low-income</c:v>
                </c:pt>
                <c:pt idx="1">
                  <c:v>SWD</c:v>
                </c:pt>
                <c:pt idx="2">
                  <c:v>EL</c:v>
                </c:pt>
                <c:pt idx="3">
                  <c:v> White</c:v>
                </c:pt>
                <c:pt idx="4">
                  <c:v> Hispanic/Latino</c:v>
                </c:pt>
                <c:pt idx="5">
                  <c:v> Asian</c:v>
                </c:pt>
                <c:pt idx="6">
                  <c:v> African American / Black</c:v>
                </c:pt>
              </c:strCache>
            </c:strRef>
          </c:cat>
          <c:val>
            <c:numRef>
              <c:f>'QUESTION 4'!$L$78:$L$84</c:f>
              <c:numCache>
                <c:formatCode>0%</c:formatCode>
                <c:ptCount val="7"/>
                <c:pt idx="0">
                  <c:v>0.69696969696969702</c:v>
                </c:pt>
                <c:pt idx="1">
                  <c:v>0.66666666666666674</c:v>
                </c:pt>
                <c:pt idx="2">
                  <c:v>0.60606060606060608</c:v>
                </c:pt>
                <c:pt idx="3">
                  <c:v>0.72727272727272729</c:v>
                </c:pt>
                <c:pt idx="4">
                  <c:v>0.66666666666666663</c:v>
                </c:pt>
                <c:pt idx="5">
                  <c:v>0.66666666666666663</c:v>
                </c:pt>
                <c:pt idx="6">
                  <c:v>0.66666666666666663</c:v>
                </c:pt>
              </c:numCache>
            </c:numRef>
          </c:val>
          <c:extLst>
            <c:ext xmlns:c16="http://schemas.microsoft.com/office/drawing/2014/chart" uri="{C3380CC4-5D6E-409C-BE32-E72D297353CC}">
              <c16:uniqueId val="{00000000-6D02-4F45-BB30-5A0AD3DB650E}"/>
            </c:ext>
          </c:extLst>
        </c:ser>
        <c:ser>
          <c:idx val="1"/>
          <c:order val="1"/>
          <c:tx>
            <c:strRef>
              <c:f>'QUESTION 4'!$M$76:$M$77</c:f>
              <c:strCache>
                <c:ptCount val="1"/>
                <c:pt idx="0">
                  <c:v>No Progress</c:v>
                </c:pt>
              </c:strCache>
            </c:strRef>
          </c:tx>
          <c:spPr>
            <a:solidFill>
              <a:srgbClr val="80001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'QUESTION 4'!$K$78:$K$84</c:f>
              <c:strCache>
                <c:ptCount val="7"/>
                <c:pt idx="0">
                  <c:v>Low-income</c:v>
                </c:pt>
                <c:pt idx="1">
                  <c:v>SWD</c:v>
                </c:pt>
                <c:pt idx="2">
                  <c:v>EL</c:v>
                </c:pt>
                <c:pt idx="3">
                  <c:v> White</c:v>
                </c:pt>
                <c:pt idx="4">
                  <c:v> Hispanic/Latino</c:v>
                </c:pt>
                <c:pt idx="5">
                  <c:v> Asian</c:v>
                </c:pt>
                <c:pt idx="6">
                  <c:v> African American / Black</c:v>
                </c:pt>
              </c:strCache>
            </c:strRef>
          </c:cat>
          <c:val>
            <c:numRef>
              <c:f>'QUESTION 4'!$M$78:$M$84</c:f>
              <c:numCache>
                <c:formatCode>0%</c:formatCode>
                <c:ptCount val="7"/>
                <c:pt idx="0">
                  <c:v>0.12121212121212122</c:v>
                </c:pt>
                <c:pt idx="1">
                  <c:v>0.21212121212121213</c:v>
                </c:pt>
                <c:pt idx="2">
                  <c:v>0.21212121212121213</c:v>
                </c:pt>
                <c:pt idx="3">
                  <c:v>9.0909090909090912E-2</c:v>
                </c:pt>
                <c:pt idx="4">
                  <c:v>0.12121212121212122</c:v>
                </c:pt>
                <c:pt idx="5">
                  <c:v>0.15151515151515152</c:v>
                </c:pt>
                <c:pt idx="6">
                  <c:v>0.12121212121212122</c:v>
                </c:pt>
              </c:numCache>
            </c:numRef>
          </c:val>
          <c:extLst>
            <c:ext xmlns:c16="http://schemas.microsoft.com/office/drawing/2014/chart" uri="{C3380CC4-5D6E-409C-BE32-E72D297353CC}">
              <c16:uniqueId val="{00000001-6D02-4F45-BB30-5A0AD3DB650E}"/>
            </c:ext>
          </c:extLst>
        </c:ser>
        <c:ser>
          <c:idx val="2"/>
          <c:order val="2"/>
          <c:tx>
            <c:strRef>
              <c:f>'QUESTION 4'!$N$76:$N$77</c:f>
              <c:strCache>
                <c:ptCount val="1"/>
                <c:pt idx="0">
                  <c:v>Already Experienced</c:v>
                </c:pt>
              </c:strCache>
            </c:strRef>
          </c:tx>
          <c:spPr>
            <a:solidFill>
              <a:srgbClr val="A2AAAD"/>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'QUESTION 4'!$K$78:$K$84</c:f>
              <c:strCache>
                <c:ptCount val="7"/>
                <c:pt idx="0">
                  <c:v>Low-income</c:v>
                </c:pt>
                <c:pt idx="1">
                  <c:v>SWD</c:v>
                </c:pt>
                <c:pt idx="2">
                  <c:v>EL</c:v>
                </c:pt>
                <c:pt idx="3">
                  <c:v> White</c:v>
                </c:pt>
                <c:pt idx="4">
                  <c:v> Hispanic/Latino</c:v>
                </c:pt>
                <c:pt idx="5">
                  <c:v> Asian</c:v>
                </c:pt>
                <c:pt idx="6">
                  <c:v> African American / Black</c:v>
                </c:pt>
              </c:strCache>
            </c:strRef>
          </c:cat>
          <c:val>
            <c:numRef>
              <c:f>'QUESTION 4'!$N$78:$N$84</c:f>
              <c:numCache>
                <c:formatCode>0%</c:formatCode>
                <c:ptCount val="7"/>
                <c:pt idx="0">
                  <c:v>0.18181818181818182</c:v>
                </c:pt>
                <c:pt idx="1">
                  <c:v>0.12121212121212122</c:v>
                </c:pt>
                <c:pt idx="2">
                  <c:v>0.18181818181818182</c:v>
                </c:pt>
                <c:pt idx="3">
                  <c:v>0.18181818181818182</c:v>
                </c:pt>
                <c:pt idx="4">
                  <c:v>0.21212121212121213</c:v>
                </c:pt>
                <c:pt idx="5">
                  <c:v>0.18181818181818182</c:v>
                </c:pt>
                <c:pt idx="6">
                  <c:v>0.21212121212121213</c:v>
                </c:pt>
              </c:numCache>
            </c:numRef>
          </c:val>
          <c:extLst>
            <c:ext xmlns:c16="http://schemas.microsoft.com/office/drawing/2014/chart" uri="{C3380CC4-5D6E-409C-BE32-E72D297353CC}">
              <c16:uniqueId val="{00000002-6D02-4F45-BB30-5A0AD3DB650E}"/>
            </c:ext>
          </c:extLst>
        </c:ser>
        <c:dLbls>
          <c:showLegendKey val="0"/>
          <c:showVal val="0"/>
          <c:showCatName val="0"/>
          <c:showSerName val="0"/>
          <c:showPercent val="0"/>
          <c:showBubbleSize val="0"/>
        </c:dLbls>
        <c:gapWidth val="94"/>
        <c:overlap val="100"/>
        <c:axId val="634904384"/>
        <c:axId val="634899584"/>
      </c:barChart>
      <c:catAx>
        <c:axId val="634904384"/>
        <c:scaling>
          <c:orientation val="minMax"/>
        </c:scaling>
        <c:delete val="0"/>
        <c:axPos val="l"/>
        <c:numFmt formatCode="General" sourceLinked="1"/>
        <c:majorTickMark val="cross"/>
        <c:minorTickMark val="none"/>
        <c:tickLblPos val="nextTo"/>
        <c:spPr>
          <a:noFill/>
          <a:ln w="12700" cap="flat" cmpd="sng" algn="ctr">
            <a:solidFill>
              <a:schemeClr val="tx1"/>
            </a:solidFill>
            <a:round/>
          </a:ln>
          <a:effectLst/>
        </c:spPr>
        <c:txPr>
          <a:bodyPr rot="-60000000" spcFirstLastPara="1" vertOverflow="ellipsis" vert="horz" wrap="square" anchor="ctr" anchorCtr="1"/>
          <a:lstStyle/>
          <a:p>
            <a:pPr>
              <a:defRPr sz="1100" b="0" i="0" u="none" strike="noStrike" kern="1200" baseline="0">
                <a:solidFill>
                  <a:schemeClr val="tx1"/>
                </a:solidFill>
                <a:latin typeface="+mn-lt"/>
                <a:ea typeface="+mn-ea"/>
                <a:cs typeface="+mn-cs"/>
              </a:defRPr>
            </a:pPr>
            <a:endParaRPr lang="en-US"/>
          </a:p>
        </c:txPr>
        <c:crossAx val="634899584"/>
        <c:crosses val="autoZero"/>
        <c:auto val="1"/>
        <c:lblAlgn val="ctr"/>
        <c:lblOffset val="100"/>
        <c:noMultiLvlLbl val="0"/>
      </c:catAx>
      <c:valAx>
        <c:axId val="634899584"/>
        <c:scaling>
          <c:orientation val="minMax"/>
          <c:max val="1"/>
        </c:scaling>
        <c:delete val="1"/>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50" b="1" i="0" u="none" strike="noStrike" kern="1200" baseline="0">
                    <a:solidFill>
                      <a:sysClr val="windowText" lastClr="000000"/>
                    </a:solidFill>
                    <a:latin typeface="+mn-lt"/>
                    <a:ea typeface="+mn-ea"/>
                    <a:cs typeface="+mn-cs"/>
                  </a:defRPr>
                </a:pPr>
                <a:r>
                  <a:rPr lang="en-US" sz="1050" b="1">
                    <a:solidFill>
                      <a:sysClr val="windowText" lastClr="000000"/>
                    </a:solidFill>
                  </a:rPr>
                  <a:t>n = 33</a:t>
                </a:r>
              </a:p>
            </c:rich>
          </c:tx>
          <c:layout>
            <c:manualLayout>
              <c:xMode val="edge"/>
              <c:yMode val="edge"/>
              <c:x val="0.91886505676802632"/>
              <c:y val="0.92181334405890814"/>
            </c:manualLayout>
          </c:layout>
          <c:overlay val="0"/>
          <c:spPr>
            <a:noFill/>
            <a:ln>
              <a:noFill/>
            </a:ln>
            <a:effectLst/>
          </c:spPr>
          <c:txPr>
            <a:bodyPr rot="0" spcFirstLastPara="1" vertOverflow="ellipsis" vert="horz" wrap="square" anchor="ctr" anchorCtr="1"/>
            <a:lstStyle/>
            <a:p>
              <a:pPr>
                <a:defRPr sz="1050" b="1" i="0" u="none" strike="noStrike" kern="1200" baseline="0">
                  <a:solidFill>
                    <a:sysClr val="windowText" lastClr="000000"/>
                  </a:solidFill>
                  <a:latin typeface="+mn-lt"/>
                  <a:ea typeface="+mn-ea"/>
                  <a:cs typeface="+mn-cs"/>
                </a:defRPr>
              </a:pPr>
              <a:endParaRPr lang="en-US"/>
            </a:p>
          </c:txPr>
        </c:title>
        <c:numFmt formatCode="0%" sourceLinked="1"/>
        <c:majorTickMark val="none"/>
        <c:minorTickMark val="none"/>
        <c:tickLblPos val="nextTo"/>
        <c:crossAx val="634904384"/>
        <c:crosses val="autoZero"/>
        <c:crossBetween val="between"/>
        <c:majorUnit val="1"/>
      </c:valAx>
      <c:spPr>
        <a:noFill/>
        <a:ln>
          <a:noFill/>
        </a:ln>
        <a:effectLst/>
      </c:spPr>
    </c:plotArea>
    <c:legend>
      <c:legendPos val="r"/>
      <c:layout>
        <c:manualLayout>
          <c:xMode val="edge"/>
          <c:yMode val="edge"/>
          <c:x val="0.29919224039302778"/>
          <c:y val="0.86854439247725612"/>
          <c:w val="0.59476378150128306"/>
          <c:h val="0.10209961043005218"/>
        </c:manualLayout>
      </c:layout>
      <c:overlay val="0"/>
      <c:spPr>
        <a:noFill/>
        <a:ln>
          <a:solidFill>
            <a:schemeClr val="bg2"/>
          </a:solidFill>
        </a:ln>
        <a:effectLst/>
      </c:spPr>
      <c:txPr>
        <a:bodyPr rot="0" spcFirstLastPara="1" vertOverflow="ellipsis" vert="horz" wrap="square" anchor="ctr" anchorCtr="1"/>
        <a:lstStyle/>
        <a:p>
          <a:pPr>
            <a:defRPr sz="1100" b="0" i="0" u="none" strike="noStrike" kern="1200" baseline="0">
              <a:solidFill>
                <a:schemeClr val="tx1"/>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bg2"/>
      </a:solid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sVisible val="1"/>
      </c14:pivotOptions>
    </c:ext>
    <c:ext xmlns:c16="http://schemas.microsoft.com/office/drawing/2014/chart" uri="{E28EC0CA-F0BB-4C9C-879D-F8772B89E7AC}">
      <c16:pivotOptions16>
        <c16:showExpandCollapseFieldButtons val="1"/>
      </c16:pivotOptions16>
    </c:ext>
  </c:extLst>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7447303344507679"/>
          <c:y val="2.496723630784229E-2"/>
          <c:w val="0.71018158571762691"/>
          <c:h val="0.79371029078830591"/>
        </c:manualLayout>
      </c:layout>
      <c:barChart>
        <c:barDir val="bar"/>
        <c:grouping val="percentStacked"/>
        <c:varyColors val="0"/>
        <c:ser>
          <c:idx val="0"/>
          <c:order val="0"/>
          <c:tx>
            <c:strRef>
              <c:f>'[Chart 2 in Microsoft Word]QUESTION 5'!$AD$11</c:f>
              <c:strCache>
                <c:ptCount val="1"/>
                <c:pt idx="0">
                  <c:v>Strongly agree</c:v>
                </c:pt>
              </c:strCache>
            </c:strRef>
          </c:tx>
          <c:spPr>
            <a:solidFill>
              <a:srgbClr val="21272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 2 in Microsoft Word]QUESTION 5'!$AC$12:$AC$19</c:f>
              <c:strCache>
                <c:ptCount val="8"/>
                <c:pt idx="0">
                  <c:v>Sample Syllabi</c:v>
                </c:pt>
                <c:pt idx="1">
                  <c:v>Progress Checks</c:v>
                </c:pt>
                <c:pt idx="2">
                  <c:v>Instructional Planning Reports</c:v>
                </c:pt>
                <c:pt idx="3">
                  <c:v>AP Community</c:v>
                </c:pt>
                <c:pt idx="4">
                  <c:v>Syllabus Development Guides</c:v>
                </c:pt>
                <c:pt idx="5">
                  <c:v>Question Banks</c:v>
                </c:pt>
                <c:pt idx="6">
                  <c:v>Topic Questions</c:v>
                </c:pt>
                <c:pt idx="7">
                  <c:v>Unit Guides</c:v>
                </c:pt>
              </c:strCache>
            </c:strRef>
          </c:cat>
          <c:val>
            <c:numRef>
              <c:f>'[Chart 2 in Microsoft Word]QUESTION 5'!$AD$12:$AD$19</c:f>
              <c:numCache>
                <c:formatCode>0%</c:formatCode>
                <c:ptCount val="8"/>
                <c:pt idx="0">
                  <c:v>0.21212121212121213</c:v>
                </c:pt>
                <c:pt idx="1">
                  <c:v>0.33333333333333331</c:v>
                </c:pt>
                <c:pt idx="2">
                  <c:v>0.36363636363636365</c:v>
                </c:pt>
                <c:pt idx="3">
                  <c:v>0.36363636363636365</c:v>
                </c:pt>
                <c:pt idx="4">
                  <c:v>0.39393939393939392</c:v>
                </c:pt>
                <c:pt idx="5">
                  <c:v>0.45454545454545453</c:v>
                </c:pt>
                <c:pt idx="6">
                  <c:v>0.51515151515151514</c:v>
                </c:pt>
                <c:pt idx="7">
                  <c:v>0.5757575757575758</c:v>
                </c:pt>
              </c:numCache>
            </c:numRef>
          </c:val>
          <c:extLst>
            <c:ext xmlns:c16="http://schemas.microsoft.com/office/drawing/2014/chart" uri="{C3380CC4-5D6E-409C-BE32-E72D297353CC}">
              <c16:uniqueId val="{00000000-FA23-4403-8296-23EFE2560BAA}"/>
            </c:ext>
          </c:extLst>
        </c:ser>
        <c:ser>
          <c:idx val="1"/>
          <c:order val="1"/>
          <c:tx>
            <c:strRef>
              <c:f>'[Chart 2 in Microsoft Word]QUESTION 5'!$AE$11</c:f>
              <c:strCache>
                <c:ptCount val="1"/>
                <c:pt idx="0">
                  <c:v>Agree</c:v>
                </c:pt>
              </c:strCache>
            </c:strRef>
          </c:tx>
          <c:spPr>
            <a:solidFill>
              <a:srgbClr val="881C1C"/>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 2 in Microsoft Word]QUESTION 5'!$AC$12:$AC$19</c:f>
              <c:strCache>
                <c:ptCount val="8"/>
                <c:pt idx="0">
                  <c:v>Sample Syllabi</c:v>
                </c:pt>
                <c:pt idx="1">
                  <c:v>Progress Checks</c:v>
                </c:pt>
                <c:pt idx="2">
                  <c:v>Instructional Planning Reports</c:v>
                </c:pt>
                <c:pt idx="3">
                  <c:v>AP Community</c:v>
                </c:pt>
                <c:pt idx="4">
                  <c:v>Syllabus Development Guides</c:v>
                </c:pt>
                <c:pt idx="5">
                  <c:v>Question Banks</c:v>
                </c:pt>
                <c:pt idx="6">
                  <c:v>Topic Questions</c:v>
                </c:pt>
                <c:pt idx="7">
                  <c:v>Unit Guides</c:v>
                </c:pt>
              </c:strCache>
            </c:strRef>
          </c:cat>
          <c:val>
            <c:numRef>
              <c:f>'[Chart 2 in Microsoft Word]QUESTION 5'!$AE$12:$AE$19</c:f>
              <c:numCache>
                <c:formatCode>0%</c:formatCode>
                <c:ptCount val="8"/>
                <c:pt idx="0">
                  <c:v>0.48484848484848486</c:v>
                </c:pt>
                <c:pt idx="1">
                  <c:v>0.45454545454545453</c:v>
                </c:pt>
                <c:pt idx="2">
                  <c:v>0.42424242424242425</c:v>
                </c:pt>
                <c:pt idx="3">
                  <c:v>0.39393939393939392</c:v>
                </c:pt>
                <c:pt idx="4">
                  <c:v>0.27272727272727271</c:v>
                </c:pt>
                <c:pt idx="5">
                  <c:v>0.45454545454545453</c:v>
                </c:pt>
                <c:pt idx="6">
                  <c:v>0.45454545454545453</c:v>
                </c:pt>
                <c:pt idx="7">
                  <c:v>0.36363636363636365</c:v>
                </c:pt>
              </c:numCache>
            </c:numRef>
          </c:val>
          <c:extLst>
            <c:ext xmlns:c16="http://schemas.microsoft.com/office/drawing/2014/chart" uri="{C3380CC4-5D6E-409C-BE32-E72D297353CC}">
              <c16:uniqueId val="{00000001-FA23-4403-8296-23EFE2560BAA}"/>
            </c:ext>
          </c:extLst>
        </c:ser>
        <c:ser>
          <c:idx val="2"/>
          <c:order val="2"/>
          <c:tx>
            <c:strRef>
              <c:f>'[Chart 2 in Microsoft Word]QUESTION 5'!$AF$11</c:f>
              <c:strCache>
                <c:ptCount val="1"/>
                <c:pt idx="0">
                  <c:v>Neither agree nor disagree</c:v>
                </c:pt>
              </c:strCache>
            </c:strRef>
          </c:tx>
          <c:spPr>
            <a:solidFill>
              <a:srgbClr val="A2AAAD"/>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 2 in Microsoft Word]QUESTION 5'!$AC$12:$AC$19</c:f>
              <c:strCache>
                <c:ptCount val="8"/>
                <c:pt idx="0">
                  <c:v>Sample Syllabi</c:v>
                </c:pt>
                <c:pt idx="1">
                  <c:v>Progress Checks</c:v>
                </c:pt>
                <c:pt idx="2">
                  <c:v>Instructional Planning Reports</c:v>
                </c:pt>
                <c:pt idx="3">
                  <c:v>AP Community</c:v>
                </c:pt>
                <c:pt idx="4">
                  <c:v>Syllabus Development Guides</c:v>
                </c:pt>
                <c:pt idx="5">
                  <c:v>Question Banks</c:v>
                </c:pt>
                <c:pt idx="6">
                  <c:v>Topic Questions</c:v>
                </c:pt>
                <c:pt idx="7">
                  <c:v>Unit Guides</c:v>
                </c:pt>
              </c:strCache>
            </c:strRef>
          </c:cat>
          <c:val>
            <c:numRef>
              <c:f>'[Chart 2 in Microsoft Word]QUESTION 5'!$AF$12:$AF$19</c:f>
              <c:numCache>
                <c:formatCode>0%</c:formatCode>
                <c:ptCount val="8"/>
                <c:pt idx="0">
                  <c:v>0.18181818181818182</c:v>
                </c:pt>
                <c:pt idx="1">
                  <c:v>0.18181818181818182</c:v>
                </c:pt>
                <c:pt idx="2">
                  <c:v>0.18181818181818182</c:v>
                </c:pt>
                <c:pt idx="3">
                  <c:v>0.21212121212121213</c:v>
                </c:pt>
                <c:pt idx="4">
                  <c:v>0.18181818181818182</c:v>
                </c:pt>
                <c:pt idx="5">
                  <c:v>9.0909090909090912E-2</c:v>
                </c:pt>
                <c:pt idx="6">
                  <c:v>3.0303030303030304E-2</c:v>
                </c:pt>
                <c:pt idx="7">
                  <c:v>6.0606060606060608E-2</c:v>
                </c:pt>
              </c:numCache>
            </c:numRef>
          </c:val>
          <c:extLst>
            <c:ext xmlns:c16="http://schemas.microsoft.com/office/drawing/2014/chart" uri="{C3380CC4-5D6E-409C-BE32-E72D297353CC}">
              <c16:uniqueId val="{00000002-FA23-4403-8296-23EFE2560BAA}"/>
            </c:ext>
          </c:extLst>
        </c:ser>
        <c:ser>
          <c:idx val="3"/>
          <c:order val="3"/>
          <c:tx>
            <c:strRef>
              <c:f>'[Chart 2 in Microsoft Word]QUESTION 5'!$AG$11</c:f>
              <c:strCache>
                <c:ptCount val="1"/>
                <c:pt idx="0">
                  <c:v>Disagree</c:v>
                </c:pt>
              </c:strCache>
            </c:strRef>
          </c:tx>
          <c:spPr>
            <a:solidFill>
              <a:srgbClr val="44692D"/>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 2 in Microsoft Word]QUESTION 5'!$AC$12:$AC$19</c:f>
              <c:strCache>
                <c:ptCount val="8"/>
                <c:pt idx="0">
                  <c:v>Sample Syllabi</c:v>
                </c:pt>
                <c:pt idx="1">
                  <c:v>Progress Checks</c:v>
                </c:pt>
                <c:pt idx="2">
                  <c:v>Instructional Planning Reports</c:v>
                </c:pt>
                <c:pt idx="3">
                  <c:v>AP Community</c:v>
                </c:pt>
                <c:pt idx="4">
                  <c:v>Syllabus Development Guides</c:v>
                </c:pt>
                <c:pt idx="5">
                  <c:v>Question Banks</c:v>
                </c:pt>
                <c:pt idx="6">
                  <c:v>Topic Questions</c:v>
                </c:pt>
                <c:pt idx="7">
                  <c:v>Unit Guides</c:v>
                </c:pt>
              </c:strCache>
            </c:strRef>
          </c:cat>
          <c:val>
            <c:numRef>
              <c:f>'[Chart 2 in Microsoft Word]QUESTION 5'!$AG$12:$AG$19</c:f>
              <c:numCache>
                <c:formatCode>0%</c:formatCode>
                <c:ptCount val="8"/>
                <c:pt idx="0">
                  <c:v>3.0303030303030304E-2</c:v>
                </c:pt>
                <c:pt idx="1">
                  <c:v>3.0303030303030304E-2</c:v>
                </c:pt>
                <c:pt idx="4">
                  <c:v>3.0303030303030304E-2</c:v>
                </c:pt>
              </c:numCache>
            </c:numRef>
          </c:val>
          <c:extLst>
            <c:ext xmlns:c16="http://schemas.microsoft.com/office/drawing/2014/chart" uri="{C3380CC4-5D6E-409C-BE32-E72D297353CC}">
              <c16:uniqueId val="{00000003-FA23-4403-8296-23EFE2560BAA}"/>
            </c:ext>
          </c:extLst>
        </c:ser>
        <c:ser>
          <c:idx val="4"/>
          <c:order val="4"/>
          <c:tx>
            <c:strRef>
              <c:f>'[Chart 2 in Microsoft Word]QUESTION 5'!$AH$11</c:f>
              <c:strCache>
                <c:ptCount val="1"/>
                <c:pt idx="0">
                  <c:v>Strongly disagree</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 2 in Microsoft Word]QUESTION 5'!$AC$12:$AC$19</c:f>
              <c:strCache>
                <c:ptCount val="8"/>
                <c:pt idx="0">
                  <c:v>Sample Syllabi</c:v>
                </c:pt>
                <c:pt idx="1">
                  <c:v>Progress Checks</c:v>
                </c:pt>
                <c:pt idx="2">
                  <c:v>Instructional Planning Reports</c:v>
                </c:pt>
                <c:pt idx="3">
                  <c:v>AP Community</c:v>
                </c:pt>
                <c:pt idx="4">
                  <c:v>Syllabus Development Guides</c:v>
                </c:pt>
                <c:pt idx="5">
                  <c:v>Question Banks</c:v>
                </c:pt>
                <c:pt idx="6">
                  <c:v>Topic Questions</c:v>
                </c:pt>
                <c:pt idx="7">
                  <c:v>Unit Guides</c:v>
                </c:pt>
              </c:strCache>
            </c:strRef>
          </c:cat>
          <c:val>
            <c:numRef>
              <c:f>'[Chart 2 in Microsoft Word]QUESTION 5'!$AH$12:$AH$19</c:f>
              <c:numCache>
                <c:formatCode>General</c:formatCode>
                <c:ptCount val="8"/>
              </c:numCache>
            </c:numRef>
          </c:val>
          <c:extLst>
            <c:ext xmlns:c16="http://schemas.microsoft.com/office/drawing/2014/chart" uri="{C3380CC4-5D6E-409C-BE32-E72D297353CC}">
              <c16:uniqueId val="{00000004-FA23-4403-8296-23EFE2560BAA}"/>
            </c:ext>
          </c:extLst>
        </c:ser>
        <c:ser>
          <c:idx val="5"/>
          <c:order val="5"/>
          <c:tx>
            <c:strRef>
              <c:f>'[Chart 2 in Microsoft Word]QUESTION 5'!$AI$11</c:f>
              <c:strCache>
                <c:ptCount val="1"/>
                <c:pt idx="0">
                  <c:v>Not exposed to this resource during the APSI</c:v>
                </c:pt>
              </c:strCache>
            </c:strRef>
          </c:tx>
          <c:spPr>
            <a:solidFill>
              <a:srgbClr val="5E4B3C"/>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 2 in Microsoft Word]QUESTION 5'!$AC$12:$AC$19</c:f>
              <c:strCache>
                <c:ptCount val="8"/>
                <c:pt idx="0">
                  <c:v>Sample Syllabi</c:v>
                </c:pt>
                <c:pt idx="1">
                  <c:v>Progress Checks</c:v>
                </c:pt>
                <c:pt idx="2">
                  <c:v>Instructional Planning Reports</c:v>
                </c:pt>
                <c:pt idx="3">
                  <c:v>AP Community</c:v>
                </c:pt>
                <c:pt idx="4">
                  <c:v>Syllabus Development Guides</c:v>
                </c:pt>
                <c:pt idx="5">
                  <c:v>Question Banks</c:v>
                </c:pt>
                <c:pt idx="6">
                  <c:v>Topic Questions</c:v>
                </c:pt>
                <c:pt idx="7">
                  <c:v>Unit Guides</c:v>
                </c:pt>
              </c:strCache>
            </c:strRef>
          </c:cat>
          <c:val>
            <c:numRef>
              <c:f>'[Chart 2 in Microsoft Word]QUESTION 5'!$AI$12:$AI$19</c:f>
              <c:numCache>
                <c:formatCode>General</c:formatCode>
                <c:ptCount val="8"/>
                <c:pt idx="0" formatCode="0%">
                  <c:v>9.0909090909090912E-2</c:v>
                </c:pt>
                <c:pt idx="2" formatCode="0%">
                  <c:v>3.0303030303030304E-2</c:v>
                </c:pt>
                <c:pt idx="3" formatCode="0%">
                  <c:v>3.0303030303030304E-2</c:v>
                </c:pt>
                <c:pt idx="4" formatCode="0%">
                  <c:v>0.12121212121212122</c:v>
                </c:pt>
              </c:numCache>
            </c:numRef>
          </c:val>
          <c:extLst>
            <c:ext xmlns:c16="http://schemas.microsoft.com/office/drawing/2014/chart" uri="{C3380CC4-5D6E-409C-BE32-E72D297353CC}">
              <c16:uniqueId val="{00000005-FA23-4403-8296-23EFE2560BAA}"/>
            </c:ext>
          </c:extLst>
        </c:ser>
        <c:dLbls>
          <c:dLblPos val="ctr"/>
          <c:showLegendKey val="0"/>
          <c:showVal val="1"/>
          <c:showCatName val="0"/>
          <c:showSerName val="0"/>
          <c:showPercent val="0"/>
          <c:showBubbleSize val="0"/>
        </c:dLbls>
        <c:gapWidth val="130"/>
        <c:overlap val="100"/>
        <c:axId val="2113998927"/>
        <c:axId val="2113999407"/>
      </c:barChart>
      <c:catAx>
        <c:axId val="2113998927"/>
        <c:scaling>
          <c:orientation val="minMax"/>
        </c:scaling>
        <c:delete val="0"/>
        <c:axPos val="l"/>
        <c:numFmt formatCode="General" sourceLinked="1"/>
        <c:majorTickMark val="cross"/>
        <c:minorTickMark val="none"/>
        <c:tickLblPos val="nextTo"/>
        <c:spPr>
          <a:noFill/>
          <a:ln w="12700" cap="flat" cmpd="sng" algn="ctr">
            <a:solidFill>
              <a:schemeClr val="tx1"/>
            </a:solidFill>
            <a:round/>
          </a:ln>
          <a:effectLst/>
        </c:spPr>
        <c:txPr>
          <a:bodyPr rot="-60000000" spcFirstLastPara="1" vertOverflow="ellipsis" vert="horz" wrap="square" anchor="ctr" anchorCtr="1"/>
          <a:lstStyle/>
          <a:p>
            <a:pPr>
              <a:defRPr sz="1100" b="0" i="0" u="none" strike="noStrike" kern="1200" baseline="0">
                <a:solidFill>
                  <a:schemeClr val="tx1"/>
                </a:solidFill>
                <a:latin typeface="+mn-lt"/>
                <a:ea typeface="+mn-ea"/>
                <a:cs typeface="+mn-cs"/>
              </a:defRPr>
            </a:pPr>
            <a:endParaRPr lang="en-US"/>
          </a:p>
        </c:txPr>
        <c:crossAx val="2113999407"/>
        <c:crosses val="autoZero"/>
        <c:auto val="1"/>
        <c:lblAlgn val="ctr"/>
        <c:lblOffset val="100"/>
        <c:noMultiLvlLbl val="0"/>
      </c:catAx>
      <c:valAx>
        <c:axId val="2113999407"/>
        <c:scaling>
          <c:orientation val="minMax"/>
        </c:scaling>
        <c:delete val="1"/>
        <c:axPos val="b"/>
        <c:title>
          <c:tx>
            <c:rich>
              <a:bodyPr rot="0" spcFirstLastPara="1" vertOverflow="ellipsis" vert="horz" wrap="square" anchor="ctr" anchorCtr="1"/>
              <a:lstStyle/>
              <a:p>
                <a:pPr>
                  <a:defRPr sz="1050" b="1" i="0" u="none" strike="noStrike" kern="1200" baseline="0">
                    <a:solidFill>
                      <a:sysClr val="windowText" lastClr="000000"/>
                    </a:solidFill>
                    <a:latin typeface="+mn-lt"/>
                    <a:ea typeface="+mn-ea"/>
                    <a:cs typeface="+mn-cs"/>
                  </a:defRPr>
                </a:pPr>
                <a:r>
                  <a:rPr lang="en-US" sz="1050" b="1">
                    <a:solidFill>
                      <a:sysClr val="windowText" lastClr="000000"/>
                    </a:solidFill>
                  </a:rPr>
                  <a:t>n = 33</a:t>
                </a:r>
              </a:p>
            </c:rich>
          </c:tx>
          <c:layout>
            <c:manualLayout>
              <c:xMode val="edge"/>
              <c:yMode val="edge"/>
              <c:x val="0.94049323786793959"/>
              <c:y val="0.94274691358024687"/>
            </c:manualLayout>
          </c:layout>
          <c:overlay val="0"/>
          <c:spPr>
            <a:noFill/>
            <a:ln>
              <a:noFill/>
            </a:ln>
            <a:effectLst/>
          </c:spPr>
          <c:txPr>
            <a:bodyPr rot="0" spcFirstLastPara="1" vertOverflow="ellipsis" vert="horz" wrap="square" anchor="ctr" anchorCtr="1"/>
            <a:lstStyle/>
            <a:p>
              <a:pPr>
                <a:defRPr sz="1050" b="1" i="0" u="none" strike="noStrike" kern="1200" baseline="0">
                  <a:solidFill>
                    <a:sysClr val="windowText" lastClr="000000"/>
                  </a:solidFill>
                  <a:latin typeface="+mn-lt"/>
                  <a:ea typeface="+mn-ea"/>
                  <a:cs typeface="+mn-cs"/>
                </a:defRPr>
              </a:pPr>
              <a:endParaRPr lang="en-US"/>
            </a:p>
          </c:txPr>
        </c:title>
        <c:numFmt formatCode="0%" sourceLinked="1"/>
        <c:majorTickMark val="none"/>
        <c:minorTickMark val="none"/>
        <c:tickLblPos val="nextTo"/>
        <c:crossAx val="2113998927"/>
        <c:crosses val="autoZero"/>
        <c:crossBetween val="between"/>
      </c:valAx>
      <c:spPr>
        <a:noFill/>
        <a:ln>
          <a:noFill/>
        </a:ln>
        <a:effectLst/>
      </c:spPr>
    </c:plotArea>
    <c:legend>
      <c:legendPos val="b"/>
      <c:legendEntry>
        <c:idx val="4"/>
        <c:delete val="1"/>
      </c:legendEntry>
      <c:layout>
        <c:manualLayout>
          <c:xMode val="edge"/>
          <c:yMode val="edge"/>
          <c:x val="1.0752069266981473E-2"/>
          <c:y val="0.8358375779239392"/>
          <c:w val="0.98853186069472854"/>
          <c:h val="9.4082608955562474E-2"/>
        </c:manualLayout>
      </c:layout>
      <c:overlay val="0"/>
      <c:spPr>
        <a:noFill/>
        <a:ln>
          <a:solidFill>
            <a:schemeClr val="bg2"/>
          </a:solidFill>
        </a:ln>
        <a:effectLst/>
      </c:spPr>
      <c:txPr>
        <a:bodyPr rot="0" spcFirstLastPara="1" vertOverflow="ellipsis" vert="horz" wrap="square" anchor="ctr" anchorCtr="1"/>
        <a:lstStyle/>
        <a:p>
          <a:pPr>
            <a:defRPr sz="1100" b="0" i="0" u="none" strike="noStrike" kern="1200" baseline="0">
              <a:solidFill>
                <a:schemeClr val="tx1"/>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bg2"/>
      </a:solidFill>
      <a:round/>
    </a:ln>
    <a:effectLst/>
  </c:spPr>
  <c:txPr>
    <a:bodyPr/>
    <a:lstStyle/>
    <a:p>
      <a:pPr>
        <a:defRPr/>
      </a:pPr>
      <a:endParaRPr lang="en-US"/>
    </a:p>
  </c:txPr>
  <c:externalData r:id="rId3">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50698467630701483"/>
          <c:y val="4.1682455475558926E-2"/>
          <c:w val="0.46512633930108754"/>
          <c:h val="0.70774780473395738"/>
        </c:manualLayout>
      </c:layout>
      <c:barChart>
        <c:barDir val="bar"/>
        <c:grouping val="percentStacked"/>
        <c:varyColors val="0"/>
        <c:ser>
          <c:idx val="0"/>
          <c:order val="0"/>
          <c:tx>
            <c:strRef>
              <c:f>'QUESTION 6'!$AP$3</c:f>
              <c:strCache>
                <c:ptCount val="1"/>
                <c:pt idx="0">
                  <c:v>Strongly agree</c:v>
                </c:pt>
              </c:strCache>
            </c:strRef>
          </c:tx>
          <c:spPr>
            <a:solidFill>
              <a:srgbClr val="212721"/>
            </a:solidFill>
            <a:ln>
              <a:noFill/>
            </a:ln>
            <a:effectLst/>
          </c:spPr>
          <c:invertIfNegative val="0"/>
          <c:dLbls>
            <c:spPr>
              <a:noFill/>
              <a:ln>
                <a:noFill/>
              </a:ln>
              <a:effectLst/>
            </c:spPr>
            <c:txPr>
              <a:bodyPr rot="0" spcFirstLastPara="1" vertOverflow="ellipsis" vert="horz" wrap="square" anchor="ctr" anchorCtr="1"/>
              <a:lstStyle/>
              <a:p>
                <a:pPr>
                  <a:defRPr sz="1100" b="1"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'QUESTION 6'!$AO$4:$AO$12</c:f>
              <c:strCache>
                <c:ptCount val="9"/>
                <c:pt idx="0">
                  <c:v> Identifying student strengths/weaknesses using available data</c:v>
                </c:pt>
                <c:pt idx="1">
                  <c:v> Begin to develop a course/instructional plan by unit</c:v>
                </c:pt>
                <c:pt idx="2">
                  <c:v>Exploring course/exam descriptions</c:v>
                </c:pt>
                <c:pt idx="3">
                  <c:v> Examining assessment items to identify content and skill pairing</c:v>
                </c:pt>
                <c:pt idx="4">
                  <c:v> Developing connections with the AP community</c:v>
                </c:pt>
                <c:pt idx="5">
                  <c:v> Practice applying the scoring guidelines from the most recent AP exam to samples of student work</c:v>
                </c:pt>
                <c:pt idx="6">
                  <c:v>Exploring ready-to-use strategies</c:v>
                </c:pt>
                <c:pt idx="7">
                  <c:v> Exploring ready-to-use pedagogical tools</c:v>
                </c:pt>
                <c:pt idx="8">
                  <c:v> Exploring ready-to-use instructional materials</c:v>
                </c:pt>
              </c:strCache>
            </c:strRef>
          </c:cat>
          <c:val>
            <c:numRef>
              <c:f>'QUESTION 6'!$AP$4:$AP$12</c:f>
              <c:numCache>
                <c:formatCode>0%</c:formatCode>
                <c:ptCount val="9"/>
                <c:pt idx="0">
                  <c:v>0.39393939393939392</c:v>
                </c:pt>
                <c:pt idx="1">
                  <c:v>0.42424242424242425</c:v>
                </c:pt>
                <c:pt idx="2">
                  <c:v>0.48484848484848486</c:v>
                </c:pt>
                <c:pt idx="3">
                  <c:v>0.54545454545454541</c:v>
                </c:pt>
                <c:pt idx="4">
                  <c:v>0.54545454545454541</c:v>
                </c:pt>
                <c:pt idx="5">
                  <c:v>0.60606060606060608</c:v>
                </c:pt>
                <c:pt idx="6">
                  <c:v>0.63636363636363635</c:v>
                </c:pt>
                <c:pt idx="7">
                  <c:v>0.63636363636363635</c:v>
                </c:pt>
                <c:pt idx="8">
                  <c:v>0.72727272727272729</c:v>
                </c:pt>
              </c:numCache>
            </c:numRef>
          </c:val>
          <c:extLst>
            <c:ext xmlns:c16="http://schemas.microsoft.com/office/drawing/2014/chart" uri="{C3380CC4-5D6E-409C-BE32-E72D297353CC}">
              <c16:uniqueId val="{00000000-BE4D-48DE-8FC7-CE9AB8A2B8CE}"/>
            </c:ext>
          </c:extLst>
        </c:ser>
        <c:ser>
          <c:idx val="1"/>
          <c:order val="1"/>
          <c:tx>
            <c:strRef>
              <c:f>'QUESTION 6'!$AQ$3</c:f>
              <c:strCache>
                <c:ptCount val="1"/>
                <c:pt idx="0">
                  <c:v>Agree</c:v>
                </c:pt>
              </c:strCache>
            </c:strRef>
          </c:tx>
          <c:spPr>
            <a:solidFill>
              <a:srgbClr val="800014"/>
            </a:solidFill>
            <a:ln>
              <a:noFill/>
            </a:ln>
            <a:effectLst/>
          </c:spPr>
          <c:invertIfNegative val="0"/>
          <c:dLbls>
            <c:spPr>
              <a:noFill/>
              <a:ln>
                <a:noFill/>
              </a:ln>
              <a:effectLst/>
            </c:spPr>
            <c:txPr>
              <a:bodyPr rot="0" spcFirstLastPara="1" vertOverflow="ellipsis" vert="horz" wrap="square" anchor="ctr" anchorCtr="1"/>
              <a:lstStyle/>
              <a:p>
                <a:pPr>
                  <a:defRPr sz="1100" b="1"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'QUESTION 6'!$AO$4:$AO$12</c:f>
              <c:strCache>
                <c:ptCount val="9"/>
                <c:pt idx="0">
                  <c:v> Identifying student strengths/weaknesses using available data</c:v>
                </c:pt>
                <c:pt idx="1">
                  <c:v> Begin to develop a course/instructional plan by unit</c:v>
                </c:pt>
                <c:pt idx="2">
                  <c:v>Exploring course/exam descriptions</c:v>
                </c:pt>
                <c:pt idx="3">
                  <c:v> Examining assessment items to identify content and skill pairing</c:v>
                </c:pt>
                <c:pt idx="4">
                  <c:v> Developing connections with the AP community</c:v>
                </c:pt>
                <c:pt idx="5">
                  <c:v> Practice applying the scoring guidelines from the most recent AP exam to samples of student work</c:v>
                </c:pt>
                <c:pt idx="6">
                  <c:v>Exploring ready-to-use strategies</c:v>
                </c:pt>
                <c:pt idx="7">
                  <c:v> Exploring ready-to-use pedagogical tools</c:v>
                </c:pt>
                <c:pt idx="8">
                  <c:v> Exploring ready-to-use instructional materials</c:v>
                </c:pt>
              </c:strCache>
            </c:strRef>
          </c:cat>
          <c:val>
            <c:numRef>
              <c:f>'QUESTION 6'!$AQ$4:$AQ$12</c:f>
              <c:numCache>
                <c:formatCode>0%</c:formatCode>
                <c:ptCount val="9"/>
                <c:pt idx="0">
                  <c:v>0.36363636363636365</c:v>
                </c:pt>
                <c:pt idx="1">
                  <c:v>0.42424242424242425</c:v>
                </c:pt>
                <c:pt idx="2">
                  <c:v>0.51515151515151514</c:v>
                </c:pt>
                <c:pt idx="3">
                  <c:v>0.36363636363636365</c:v>
                </c:pt>
                <c:pt idx="4">
                  <c:v>0.33333333333333331</c:v>
                </c:pt>
                <c:pt idx="5">
                  <c:v>0.33333333333333331</c:v>
                </c:pt>
                <c:pt idx="6">
                  <c:v>0.33333333333333331</c:v>
                </c:pt>
                <c:pt idx="7">
                  <c:v>0.30303030303030304</c:v>
                </c:pt>
                <c:pt idx="8">
                  <c:v>0.24242424242424243</c:v>
                </c:pt>
              </c:numCache>
            </c:numRef>
          </c:val>
          <c:extLst>
            <c:ext xmlns:c16="http://schemas.microsoft.com/office/drawing/2014/chart" uri="{C3380CC4-5D6E-409C-BE32-E72D297353CC}">
              <c16:uniqueId val="{00000001-BE4D-48DE-8FC7-CE9AB8A2B8CE}"/>
            </c:ext>
          </c:extLst>
        </c:ser>
        <c:ser>
          <c:idx val="2"/>
          <c:order val="2"/>
          <c:tx>
            <c:strRef>
              <c:f>'QUESTION 6'!$AR$3</c:f>
              <c:strCache>
                <c:ptCount val="1"/>
                <c:pt idx="0">
                  <c:v>Neither agree nor disagree</c:v>
                </c:pt>
              </c:strCache>
            </c:strRef>
          </c:tx>
          <c:spPr>
            <a:solidFill>
              <a:srgbClr val="A2AAAD"/>
            </a:solidFill>
            <a:ln>
              <a:noFill/>
            </a:ln>
            <a:effectLst/>
          </c:spPr>
          <c:invertIfNegative val="0"/>
          <c:dLbls>
            <c:dLbl>
              <c:idx val="3"/>
              <c:layout>
                <c:manualLayout>
                  <c:x val="-3.2543003254300436E-2"/>
                  <c:y val="-4.359464539389591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B46-4CF3-B3EC-91B8616684EE}"/>
                </c:ext>
              </c:extLst>
            </c:dLbl>
            <c:dLbl>
              <c:idx val="5"/>
              <c:layout>
                <c:manualLayout>
                  <c:x val="-2.7894002789400279E-2"/>
                  <c:y val="-3.5050823694356852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3E7-4BFC-934A-513EC3D9A98F}"/>
                </c:ext>
              </c:extLst>
            </c:dLbl>
            <c:dLbl>
              <c:idx val="6"/>
              <c:layout>
                <c:manualLayout>
                  <c:x val="-3.5513238669434101E-2"/>
                  <c:y val="-3.7765441080284692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B46-4CF3-B3EC-91B8616684EE}"/>
                </c:ext>
              </c:extLst>
            </c:dLbl>
            <c:dLbl>
              <c:idx val="8"/>
              <c:layout>
                <c:manualLayout>
                  <c:x val="-2.4665570918000774E-2"/>
                  <c:y val="-3.7258713398219567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B46-4CF3-B3EC-91B8616684EE}"/>
                </c:ext>
              </c:extLst>
            </c:dLbl>
            <c:spPr>
              <a:noFill/>
              <a:ln>
                <a:noFill/>
              </a:ln>
              <a:effectLst/>
            </c:spPr>
            <c:txPr>
              <a:bodyPr rot="0" spcFirstLastPara="1" vertOverflow="ellipsis" vert="horz" wrap="square" anchor="ctr" anchorCtr="1"/>
              <a:lstStyle/>
              <a:p>
                <a:pPr>
                  <a:defRPr sz="1100" b="1"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'QUESTION 6'!$AO$4:$AO$12</c:f>
              <c:strCache>
                <c:ptCount val="9"/>
                <c:pt idx="0">
                  <c:v> Identifying student strengths/weaknesses using available data</c:v>
                </c:pt>
                <c:pt idx="1">
                  <c:v> Begin to develop a course/instructional plan by unit</c:v>
                </c:pt>
                <c:pt idx="2">
                  <c:v>Exploring course/exam descriptions</c:v>
                </c:pt>
                <c:pt idx="3">
                  <c:v> Examining assessment items to identify content and skill pairing</c:v>
                </c:pt>
                <c:pt idx="4">
                  <c:v> Developing connections with the AP community</c:v>
                </c:pt>
                <c:pt idx="5">
                  <c:v> Practice applying the scoring guidelines from the most recent AP exam to samples of student work</c:v>
                </c:pt>
                <c:pt idx="6">
                  <c:v>Exploring ready-to-use strategies</c:v>
                </c:pt>
                <c:pt idx="7">
                  <c:v> Exploring ready-to-use pedagogical tools</c:v>
                </c:pt>
                <c:pt idx="8">
                  <c:v> Exploring ready-to-use instructional materials</c:v>
                </c:pt>
              </c:strCache>
            </c:strRef>
          </c:cat>
          <c:val>
            <c:numRef>
              <c:f>'QUESTION 6'!$AR$4:$AR$12</c:f>
              <c:numCache>
                <c:formatCode>0%</c:formatCode>
                <c:ptCount val="9"/>
                <c:pt idx="0">
                  <c:v>0.12121212121212122</c:v>
                </c:pt>
                <c:pt idx="1">
                  <c:v>6.0606060606060608E-2</c:v>
                </c:pt>
                <c:pt idx="3">
                  <c:v>3.0303030303030304E-2</c:v>
                </c:pt>
                <c:pt idx="4">
                  <c:v>6.0606060606060608E-2</c:v>
                </c:pt>
                <c:pt idx="5">
                  <c:v>3.0303030303030304E-2</c:v>
                </c:pt>
                <c:pt idx="6">
                  <c:v>3.0303030303030304E-2</c:v>
                </c:pt>
                <c:pt idx="7">
                  <c:v>6.0606060606060608E-2</c:v>
                </c:pt>
                <c:pt idx="8">
                  <c:v>3.0303030303030304E-2</c:v>
                </c:pt>
              </c:numCache>
            </c:numRef>
          </c:val>
          <c:extLst>
            <c:ext xmlns:c16="http://schemas.microsoft.com/office/drawing/2014/chart" uri="{C3380CC4-5D6E-409C-BE32-E72D297353CC}">
              <c16:uniqueId val="{00000002-BE4D-48DE-8FC7-CE9AB8A2B8CE}"/>
            </c:ext>
          </c:extLst>
        </c:ser>
        <c:ser>
          <c:idx val="3"/>
          <c:order val="3"/>
          <c:tx>
            <c:strRef>
              <c:f>'QUESTION 6'!$AS$3</c:f>
              <c:strCache>
                <c:ptCount val="1"/>
                <c:pt idx="0">
                  <c:v>Disagree</c:v>
                </c:pt>
              </c:strCache>
            </c:strRef>
          </c:tx>
          <c:spPr>
            <a:solidFill>
              <a:schemeClr val="accent4"/>
            </a:solidFill>
            <a:ln>
              <a:noFill/>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'QUESTION 6'!$AO$4:$AO$12</c:f>
              <c:strCache>
                <c:ptCount val="9"/>
                <c:pt idx="0">
                  <c:v> Identifying student strengths/weaknesses using available data</c:v>
                </c:pt>
                <c:pt idx="1">
                  <c:v> Begin to develop a course/instructional plan by unit</c:v>
                </c:pt>
                <c:pt idx="2">
                  <c:v>Exploring course/exam descriptions</c:v>
                </c:pt>
                <c:pt idx="3">
                  <c:v> Examining assessment items to identify content and skill pairing</c:v>
                </c:pt>
                <c:pt idx="4">
                  <c:v> Developing connections with the AP community</c:v>
                </c:pt>
                <c:pt idx="5">
                  <c:v> Practice applying the scoring guidelines from the most recent AP exam to samples of student work</c:v>
                </c:pt>
                <c:pt idx="6">
                  <c:v>Exploring ready-to-use strategies</c:v>
                </c:pt>
                <c:pt idx="7">
                  <c:v> Exploring ready-to-use pedagogical tools</c:v>
                </c:pt>
                <c:pt idx="8">
                  <c:v> Exploring ready-to-use instructional materials</c:v>
                </c:pt>
              </c:strCache>
            </c:strRef>
          </c:cat>
          <c:val>
            <c:numRef>
              <c:f>'QUESTION 6'!$AS$4:$AS$12</c:f>
              <c:numCache>
                <c:formatCode>General</c:formatCode>
                <c:ptCount val="9"/>
              </c:numCache>
            </c:numRef>
          </c:val>
          <c:extLst>
            <c:ext xmlns:c16="http://schemas.microsoft.com/office/drawing/2014/chart" uri="{C3380CC4-5D6E-409C-BE32-E72D297353CC}">
              <c16:uniqueId val="{00000003-BE4D-48DE-8FC7-CE9AB8A2B8CE}"/>
            </c:ext>
          </c:extLst>
        </c:ser>
        <c:ser>
          <c:idx val="4"/>
          <c:order val="4"/>
          <c:tx>
            <c:strRef>
              <c:f>'QUESTION 6'!$AT$3</c:f>
              <c:strCache>
                <c:ptCount val="1"/>
                <c:pt idx="0">
                  <c:v>Strongly disagree</c:v>
                </c:pt>
              </c:strCache>
            </c:strRef>
          </c:tx>
          <c:spPr>
            <a:solidFill>
              <a:srgbClr val="44692D"/>
            </a:solidFill>
            <a:ln>
              <a:noFill/>
            </a:ln>
            <a:effectLst/>
          </c:spPr>
          <c:invertIfNegative val="0"/>
          <c:dLbls>
            <c:dLbl>
              <c:idx val="0"/>
              <c:layout>
                <c:manualLayout>
                  <c:x val="-2.4125053287054245E-2"/>
                  <c:y val="-4.1432102392039344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B46-4CF3-B3EC-91B8616684EE}"/>
                </c:ext>
              </c:extLst>
            </c:dLbl>
            <c:spPr>
              <a:noFill/>
              <a:ln>
                <a:noFill/>
              </a:ln>
              <a:effectLst/>
            </c:spPr>
            <c:txPr>
              <a:bodyPr rot="0" spcFirstLastPara="1" vertOverflow="ellipsis" vert="horz" wrap="square" anchor="ctr" anchorCtr="1"/>
              <a:lstStyle/>
              <a:p>
                <a:pPr>
                  <a:defRPr sz="1100" b="1"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'QUESTION 6'!$AO$4:$AO$12</c:f>
              <c:strCache>
                <c:ptCount val="9"/>
                <c:pt idx="0">
                  <c:v> Identifying student strengths/weaknesses using available data</c:v>
                </c:pt>
                <c:pt idx="1">
                  <c:v> Begin to develop a course/instructional plan by unit</c:v>
                </c:pt>
                <c:pt idx="2">
                  <c:v>Exploring course/exam descriptions</c:v>
                </c:pt>
                <c:pt idx="3">
                  <c:v> Examining assessment items to identify content and skill pairing</c:v>
                </c:pt>
                <c:pt idx="4">
                  <c:v> Developing connections with the AP community</c:v>
                </c:pt>
                <c:pt idx="5">
                  <c:v> Practice applying the scoring guidelines from the most recent AP exam to samples of student work</c:v>
                </c:pt>
                <c:pt idx="6">
                  <c:v>Exploring ready-to-use strategies</c:v>
                </c:pt>
                <c:pt idx="7">
                  <c:v> Exploring ready-to-use pedagogical tools</c:v>
                </c:pt>
                <c:pt idx="8">
                  <c:v> Exploring ready-to-use instructional materials</c:v>
                </c:pt>
              </c:strCache>
            </c:strRef>
          </c:cat>
          <c:val>
            <c:numRef>
              <c:f>'QUESTION 6'!$AT$4:$AT$12</c:f>
              <c:numCache>
                <c:formatCode>General</c:formatCode>
                <c:ptCount val="9"/>
                <c:pt idx="0" formatCode="0%">
                  <c:v>3.0303030303030304E-2</c:v>
                </c:pt>
              </c:numCache>
            </c:numRef>
          </c:val>
          <c:extLst>
            <c:ext xmlns:c16="http://schemas.microsoft.com/office/drawing/2014/chart" uri="{C3380CC4-5D6E-409C-BE32-E72D297353CC}">
              <c16:uniqueId val="{00000004-BE4D-48DE-8FC7-CE9AB8A2B8CE}"/>
            </c:ext>
          </c:extLst>
        </c:ser>
        <c:ser>
          <c:idx val="5"/>
          <c:order val="5"/>
          <c:tx>
            <c:strRef>
              <c:f>'QUESTION 6'!$AU$3</c:f>
              <c:strCache>
                <c:ptCount val="1"/>
                <c:pt idx="0">
                  <c:v>Did not participate in this activity during the APSI</c:v>
                </c:pt>
              </c:strCache>
            </c:strRef>
          </c:tx>
          <c:spPr>
            <a:solidFill>
              <a:srgbClr val="5E4B3C"/>
            </a:solidFill>
            <a:ln>
              <a:noFill/>
            </a:ln>
            <a:effectLst/>
          </c:spPr>
          <c:invertIfNegative val="0"/>
          <c:dLbls>
            <c:dLbl>
              <c:idx val="5"/>
              <c:layout>
                <c:manualLayout>
                  <c:x val="1.9326784121823298E-2"/>
                  <c:y val="-4.8684642341596016E-2"/>
                </c:manualLayout>
              </c:layout>
              <c:spPr>
                <a:noFill/>
                <a:ln>
                  <a:noFill/>
                </a:ln>
                <a:effectLst/>
              </c:spPr>
              <c:txPr>
                <a:bodyPr rot="0" spcFirstLastPara="1" vertOverflow="ellipsis" vert="horz" wrap="square" anchor="ctr" anchorCtr="1"/>
                <a:lstStyle/>
                <a:p>
                  <a:pPr>
                    <a:defRPr sz="1100" b="1"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E4D-48DE-8FC7-CE9AB8A2B8CE}"/>
                </c:ext>
              </c:extLst>
            </c:dLbl>
            <c:spPr>
              <a:noFill/>
              <a:ln>
                <a:noFill/>
              </a:ln>
              <a:effectLst/>
            </c:spPr>
            <c:txPr>
              <a:bodyPr rot="0" spcFirstLastPara="1" vertOverflow="ellipsis" vert="horz" wrap="square" anchor="ctr" anchorCtr="1"/>
              <a:lstStyle/>
              <a:p>
                <a:pPr>
                  <a:defRPr sz="1100" b="1"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'QUESTION 6'!$AO$4:$AO$12</c:f>
              <c:strCache>
                <c:ptCount val="9"/>
                <c:pt idx="0">
                  <c:v> Identifying student strengths/weaknesses using available data</c:v>
                </c:pt>
                <c:pt idx="1">
                  <c:v> Begin to develop a course/instructional plan by unit</c:v>
                </c:pt>
                <c:pt idx="2">
                  <c:v>Exploring course/exam descriptions</c:v>
                </c:pt>
                <c:pt idx="3">
                  <c:v> Examining assessment items to identify content and skill pairing</c:v>
                </c:pt>
                <c:pt idx="4">
                  <c:v> Developing connections with the AP community</c:v>
                </c:pt>
                <c:pt idx="5">
                  <c:v> Practice applying the scoring guidelines from the most recent AP exam to samples of student work</c:v>
                </c:pt>
                <c:pt idx="6">
                  <c:v>Exploring ready-to-use strategies</c:v>
                </c:pt>
                <c:pt idx="7">
                  <c:v> Exploring ready-to-use pedagogical tools</c:v>
                </c:pt>
                <c:pt idx="8">
                  <c:v> Exploring ready-to-use instructional materials</c:v>
                </c:pt>
              </c:strCache>
            </c:strRef>
          </c:cat>
          <c:val>
            <c:numRef>
              <c:f>'QUESTION 6'!$AU$4:$AU$12</c:f>
              <c:numCache>
                <c:formatCode>0%</c:formatCode>
                <c:ptCount val="9"/>
                <c:pt idx="0">
                  <c:v>9.0909090909090912E-2</c:v>
                </c:pt>
                <c:pt idx="1">
                  <c:v>9.0909090909090912E-2</c:v>
                </c:pt>
                <c:pt idx="3">
                  <c:v>6.0606060606060608E-2</c:v>
                </c:pt>
                <c:pt idx="4">
                  <c:v>6.0606060606060608E-2</c:v>
                </c:pt>
                <c:pt idx="5">
                  <c:v>3.0303030303030304E-2</c:v>
                </c:pt>
              </c:numCache>
            </c:numRef>
          </c:val>
          <c:extLst>
            <c:ext xmlns:c16="http://schemas.microsoft.com/office/drawing/2014/chart" uri="{C3380CC4-5D6E-409C-BE32-E72D297353CC}">
              <c16:uniqueId val="{00000006-BE4D-48DE-8FC7-CE9AB8A2B8CE}"/>
            </c:ext>
          </c:extLst>
        </c:ser>
        <c:dLbls>
          <c:dLblPos val="ctr"/>
          <c:showLegendKey val="0"/>
          <c:showVal val="1"/>
          <c:showCatName val="0"/>
          <c:showSerName val="0"/>
          <c:showPercent val="0"/>
          <c:showBubbleSize val="0"/>
        </c:dLbls>
        <c:gapWidth val="90"/>
        <c:overlap val="100"/>
        <c:axId val="1269852159"/>
        <c:axId val="1269852639"/>
      </c:barChart>
      <c:catAx>
        <c:axId val="1269852159"/>
        <c:scaling>
          <c:orientation val="minMax"/>
        </c:scaling>
        <c:delete val="0"/>
        <c:axPos val="l"/>
        <c:numFmt formatCode="General" sourceLinked="1"/>
        <c:majorTickMark val="cross"/>
        <c:minorTickMark val="none"/>
        <c:tickLblPos val="nextTo"/>
        <c:spPr>
          <a:noFill/>
          <a:ln w="12700" cap="flat" cmpd="sng" algn="ctr">
            <a:solidFill>
              <a:srgbClr val="000000"/>
            </a:solidFill>
            <a:round/>
          </a:ln>
          <a:effectLst/>
        </c:spPr>
        <c:txPr>
          <a:bodyPr rot="-60000000" spcFirstLastPara="1" vertOverflow="ellipsis" vert="horz" wrap="square" anchor="ctr" anchorCtr="1"/>
          <a:lstStyle/>
          <a:p>
            <a:pPr>
              <a:defRPr sz="1100" b="0" i="0" u="none" strike="noStrike" kern="1200" baseline="0">
                <a:solidFill>
                  <a:schemeClr val="tx1"/>
                </a:solidFill>
                <a:latin typeface="+mn-lt"/>
                <a:ea typeface="+mn-ea"/>
                <a:cs typeface="+mn-cs"/>
              </a:defRPr>
            </a:pPr>
            <a:endParaRPr lang="en-US"/>
          </a:p>
        </c:txPr>
        <c:crossAx val="1269852639"/>
        <c:crosses val="autoZero"/>
        <c:auto val="1"/>
        <c:lblAlgn val="ctr"/>
        <c:lblOffset val="100"/>
        <c:noMultiLvlLbl val="0"/>
      </c:catAx>
      <c:valAx>
        <c:axId val="1269852639"/>
        <c:scaling>
          <c:orientation val="minMax"/>
        </c:scaling>
        <c:delete val="1"/>
        <c:axPos val="b"/>
        <c:title>
          <c:tx>
            <c:rich>
              <a:bodyPr rot="0" spcFirstLastPara="1" vertOverflow="ellipsis" vert="horz" wrap="square" anchor="ctr" anchorCtr="1"/>
              <a:lstStyle/>
              <a:p>
                <a:pPr>
                  <a:defRPr sz="1100" b="1" i="0" u="none" strike="noStrike" kern="1200" baseline="0">
                    <a:solidFill>
                      <a:sysClr val="windowText" lastClr="000000"/>
                    </a:solidFill>
                    <a:latin typeface="+mn-lt"/>
                    <a:ea typeface="+mn-ea"/>
                    <a:cs typeface="+mn-cs"/>
                  </a:defRPr>
                </a:pPr>
                <a:r>
                  <a:rPr lang="en-US" b="1">
                    <a:solidFill>
                      <a:sysClr val="windowText" lastClr="000000"/>
                    </a:solidFill>
                  </a:rPr>
                  <a:t>n = 33</a:t>
                </a:r>
              </a:p>
            </c:rich>
          </c:tx>
          <c:layout>
            <c:manualLayout>
              <c:xMode val="edge"/>
              <c:yMode val="edge"/>
              <c:x val="0.92227437671985912"/>
              <c:y val="0.93838569580000086"/>
            </c:manualLayout>
          </c:layout>
          <c:overlay val="0"/>
          <c:spPr>
            <a:noFill/>
            <a:ln>
              <a:noFill/>
            </a:ln>
            <a:effectLst/>
          </c:spPr>
          <c:txPr>
            <a:bodyPr rot="0" spcFirstLastPara="1" vertOverflow="ellipsis" vert="horz" wrap="square" anchor="ctr" anchorCtr="1"/>
            <a:lstStyle/>
            <a:p>
              <a:pPr>
                <a:defRPr sz="1100" b="1" i="0" u="none" strike="noStrike" kern="1200" baseline="0">
                  <a:solidFill>
                    <a:sysClr val="windowText" lastClr="000000"/>
                  </a:solidFill>
                  <a:latin typeface="+mn-lt"/>
                  <a:ea typeface="+mn-ea"/>
                  <a:cs typeface="+mn-cs"/>
                </a:defRPr>
              </a:pPr>
              <a:endParaRPr lang="en-US"/>
            </a:p>
          </c:txPr>
        </c:title>
        <c:numFmt formatCode="0%" sourceLinked="1"/>
        <c:majorTickMark val="none"/>
        <c:minorTickMark val="none"/>
        <c:tickLblPos val="nextTo"/>
        <c:crossAx val="1269852159"/>
        <c:crosses val="autoZero"/>
        <c:crossBetween val="between"/>
      </c:valAx>
      <c:spPr>
        <a:noFill/>
        <a:ln w="25400">
          <a:noFill/>
        </a:ln>
        <a:effectLst/>
      </c:spPr>
    </c:plotArea>
    <c:legend>
      <c:legendPos val="b"/>
      <c:layout>
        <c:manualLayout>
          <c:xMode val="edge"/>
          <c:yMode val="edge"/>
          <c:x val="9.4954191968279353E-2"/>
          <c:y val="0.81925611091093953"/>
          <c:w val="0.77213077528674467"/>
          <c:h val="0.16091426709230566"/>
        </c:manualLayout>
      </c:layout>
      <c:overlay val="0"/>
      <c:spPr>
        <a:noFill/>
        <a:ln>
          <a:solidFill>
            <a:schemeClr val="bg2"/>
          </a:solidFill>
        </a:ln>
        <a:effectLst/>
      </c:spPr>
      <c:txPr>
        <a:bodyPr rot="0" spcFirstLastPara="1" vertOverflow="ellipsis" vert="horz" wrap="square" anchor="ctr" anchorCtr="1"/>
        <a:lstStyle/>
        <a:p>
          <a:pPr>
            <a:defRPr sz="1100" b="0" i="0" u="none" strike="noStrike" kern="1200" baseline="0">
              <a:solidFill>
                <a:schemeClr val="tx1"/>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1100"/>
      </a:pPr>
      <a:endParaRPr lang="en-US"/>
    </a:p>
  </c:txPr>
  <c:externalData r:id="rId3">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4242424242424242E-2"/>
          <c:y val="0.11192214111922141"/>
          <c:w val="0.95151515151515154"/>
          <c:h val="0.57446903078721001"/>
        </c:manualLayout>
      </c:layout>
      <c:barChart>
        <c:barDir val="col"/>
        <c:grouping val="clustered"/>
        <c:varyColors val="0"/>
        <c:ser>
          <c:idx val="0"/>
          <c:order val="0"/>
          <c:tx>
            <c:strRef>
              <c:f>Sheet3!$B$13</c:f>
              <c:strCache>
                <c:ptCount val="1"/>
                <c:pt idx="0">
                  <c:v>Percentage</c:v>
                </c:pt>
              </c:strCache>
            </c:strRef>
          </c:tx>
          <c:spPr>
            <a:solidFill>
              <a:srgbClr val="881C1C"/>
            </a:solidFill>
            <a:ln>
              <a:noFill/>
            </a:ln>
            <a:effectLst/>
          </c:spPr>
          <c:invertIfNegative val="0"/>
          <c:dPt>
            <c:idx val="4"/>
            <c:invertIfNegative val="0"/>
            <c:bubble3D val="0"/>
            <c:spPr>
              <a:solidFill>
                <a:srgbClr val="212721"/>
              </a:solidFill>
              <a:ln>
                <a:noFill/>
              </a:ln>
              <a:effectLst/>
            </c:spPr>
            <c:extLst>
              <c:ext xmlns:c16="http://schemas.microsoft.com/office/drawing/2014/chart" uri="{C3380CC4-5D6E-409C-BE32-E72D297353CC}">
                <c16:uniqueId val="{00000001-86C3-45B4-826C-A872238DAF6E}"/>
              </c:ext>
            </c:extLst>
          </c:dPt>
          <c:dPt>
            <c:idx val="5"/>
            <c:invertIfNegative val="0"/>
            <c:bubble3D val="0"/>
            <c:spPr>
              <a:solidFill>
                <a:srgbClr val="212721"/>
              </a:solidFill>
              <a:ln>
                <a:noFill/>
              </a:ln>
              <a:effectLst/>
            </c:spPr>
            <c:extLst>
              <c:ext xmlns:c16="http://schemas.microsoft.com/office/drawing/2014/chart" uri="{C3380CC4-5D6E-409C-BE32-E72D297353CC}">
                <c16:uniqueId val="{00000003-86C3-45B4-826C-A872238DAF6E}"/>
              </c:ext>
            </c:extLst>
          </c:dPt>
          <c:dPt>
            <c:idx val="6"/>
            <c:invertIfNegative val="0"/>
            <c:bubble3D val="0"/>
            <c:spPr>
              <a:solidFill>
                <a:srgbClr val="212721"/>
              </a:solidFill>
              <a:ln>
                <a:noFill/>
              </a:ln>
              <a:effectLst/>
            </c:spPr>
            <c:extLst>
              <c:ext xmlns:c16="http://schemas.microsoft.com/office/drawing/2014/chart" uri="{C3380CC4-5D6E-409C-BE32-E72D297353CC}">
                <c16:uniqueId val="{00000005-86C3-45B4-826C-A872238DAF6E}"/>
              </c:ext>
            </c:extLst>
          </c:dPt>
          <c:dLbls>
            <c:spPr>
              <a:noFill/>
              <a:ln>
                <a:noFill/>
              </a:ln>
              <a:effectLst/>
            </c:spPr>
            <c:txPr>
              <a:bodyPr rot="0" spcFirstLastPara="1" vertOverflow="ellipsis" vert="horz" wrap="square" anchor="ctr" anchorCtr="1"/>
              <a:lstStyle/>
              <a:p>
                <a:pPr>
                  <a:defRPr sz="1050" b="1"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Sheet3!$A$14:$A$20</c:f>
              <c:strCache>
                <c:ptCount val="7"/>
                <c:pt idx="0">
                  <c:v>African American / Black 
(n = 12)</c:v>
                </c:pt>
                <c:pt idx="1">
                  <c:v>Asian
(n = 11)</c:v>
                </c:pt>
                <c:pt idx="2">
                  <c:v>Hispanic / Latino
(n = 15)</c:v>
                </c:pt>
                <c:pt idx="3">
                  <c:v>White
(n = 15)</c:v>
                </c:pt>
                <c:pt idx="4">
                  <c:v>EL
(n = 11)</c:v>
                </c:pt>
                <c:pt idx="5">
                  <c:v>SWD
(n = 13)</c:v>
                </c:pt>
                <c:pt idx="6">
                  <c:v>Low-Income 
(n = 16)</c:v>
                </c:pt>
              </c:strCache>
            </c:strRef>
          </c:cat>
          <c:val>
            <c:numRef>
              <c:f>Sheet3!$B$14:$B$20</c:f>
              <c:numCache>
                <c:formatCode>0%</c:formatCode>
                <c:ptCount val="7"/>
                <c:pt idx="0">
                  <c:v>0.91666666666666663</c:v>
                </c:pt>
                <c:pt idx="1">
                  <c:v>0.90909090909090906</c:v>
                </c:pt>
                <c:pt idx="2">
                  <c:v>0.93333333333333335</c:v>
                </c:pt>
                <c:pt idx="3">
                  <c:v>1</c:v>
                </c:pt>
                <c:pt idx="4">
                  <c:v>0.81818181818181823</c:v>
                </c:pt>
                <c:pt idx="5">
                  <c:v>0.84615384615384615</c:v>
                </c:pt>
                <c:pt idx="6">
                  <c:v>0.875</c:v>
                </c:pt>
              </c:numCache>
            </c:numRef>
          </c:val>
          <c:extLst>
            <c:ext xmlns:c16="http://schemas.microsoft.com/office/drawing/2014/chart" uri="{C3380CC4-5D6E-409C-BE32-E72D297353CC}">
              <c16:uniqueId val="{00000006-86C3-45B4-826C-A872238DAF6E}"/>
            </c:ext>
          </c:extLst>
        </c:ser>
        <c:dLbls>
          <c:dLblPos val="outEnd"/>
          <c:showLegendKey val="0"/>
          <c:showVal val="1"/>
          <c:showCatName val="0"/>
          <c:showSerName val="0"/>
          <c:showPercent val="0"/>
          <c:showBubbleSize val="0"/>
        </c:dLbls>
        <c:gapWidth val="219"/>
        <c:overlap val="-27"/>
        <c:axId val="487534032"/>
        <c:axId val="487538352"/>
      </c:barChart>
      <c:catAx>
        <c:axId val="487534032"/>
        <c:scaling>
          <c:orientation val="minMax"/>
        </c:scaling>
        <c:delete val="0"/>
        <c:axPos val="b"/>
        <c:numFmt formatCode="General" sourceLinked="1"/>
        <c:majorTickMark val="cross"/>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050" b="1" i="0" u="none" strike="noStrike" kern="1200" baseline="0">
                <a:solidFill>
                  <a:schemeClr val="tx1"/>
                </a:solidFill>
                <a:latin typeface="+mn-lt"/>
                <a:ea typeface="+mn-ea"/>
                <a:cs typeface="+mn-cs"/>
              </a:defRPr>
            </a:pPr>
            <a:endParaRPr lang="en-US"/>
          </a:p>
        </c:txPr>
        <c:crossAx val="487538352"/>
        <c:crosses val="autoZero"/>
        <c:auto val="1"/>
        <c:lblAlgn val="ctr"/>
        <c:lblOffset val="100"/>
        <c:noMultiLvlLbl val="0"/>
      </c:catAx>
      <c:valAx>
        <c:axId val="487538352"/>
        <c:scaling>
          <c:orientation val="minMax"/>
          <c:max val="1"/>
        </c:scaling>
        <c:delete val="1"/>
        <c:axPos val="l"/>
        <c:majorGridlines>
          <c:spPr>
            <a:ln w="9525" cap="flat" cmpd="sng" algn="ctr">
              <a:noFill/>
              <a:round/>
            </a:ln>
            <a:effectLst/>
          </c:spPr>
        </c:majorGridlines>
        <c:numFmt formatCode="0%" sourceLinked="1"/>
        <c:majorTickMark val="none"/>
        <c:minorTickMark val="none"/>
        <c:tickLblPos val="nextTo"/>
        <c:crossAx val="4875340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50" b="1">
          <a:solidFill>
            <a:schemeClr val="tx1"/>
          </a:solidFill>
        </a:defRPr>
      </a:pPr>
      <a:endParaRPr lang="en-US"/>
    </a:p>
  </c:txPr>
  <c:externalData r:id="rId3">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Sheet3!$K$13</c:f>
              <c:strCache>
                <c:ptCount val="1"/>
                <c:pt idx="0">
                  <c:v>Percentage</c:v>
                </c:pt>
              </c:strCache>
            </c:strRef>
          </c:tx>
          <c:spPr>
            <a:solidFill>
              <a:srgbClr val="881C1C"/>
            </a:solidFill>
            <a:ln>
              <a:noFill/>
            </a:ln>
            <a:effectLst/>
          </c:spPr>
          <c:invertIfNegative val="0"/>
          <c:dPt>
            <c:idx val="4"/>
            <c:invertIfNegative val="0"/>
            <c:bubble3D val="0"/>
            <c:spPr>
              <a:solidFill>
                <a:srgbClr val="212721"/>
              </a:solidFill>
              <a:ln>
                <a:noFill/>
              </a:ln>
              <a:effectLst/>
            </c:spPr>
            <c:extLst>
              <c:ext xmlns:c16="http://schemas.microsoft.com/office/drawing/2014/chart" uri="{C3380CC4-5D6E-409C-BE32-E72D297353CC}">
                <c16:uniqueId val="{00000001-6F66-4E4C-855D-A8F941058F13}"/>
              </c:ext>
            </c:extLst>
          </c:dPt>
          <c:dPt>
            <c:idx val="5"/>
            <c:invertIfNegative val="0"/>
            <c:bubble3D val="0"/>
            <c:spPr>
              <a:solidFill>
                <a:srgbClr val="212721"/>
              </a:solidFill>
              <a:ln>
                <a:noFill/>
              </a:ln>
              <a:effectLst/>
            </c:spPr>
            <c:extLst>
              <c:ext xmlns:c16="http://schemas.microsoft.com/office/drawing/2014/chart" uri="{C3380CC4-5D6E-409C-BE32-E72D297353CC}">
                <c16:uniqueId val="{00000003-6F66-4E4C-855D-A8F941058F13}"/>
              </c:ext>
            </c:extLst>
          </c:dPt>
          <c:dPt>
            <c:idx val="6"/>
            <c:invertIfNegative val="0"/>
            <c:bubble3D val="0"/>
            <c:spPr>
              <a:solidFill>
                <a:srgbClr val="212721"/>
              </a:solidFill>
              <a:ln>
                <a:noFill/>
              </a:ln>
              <a:effectLst/>
            </c:spPr>
            <c:extLst>
              <c:ext xmlns:c16="http://schemas.microsoft.com/office/drawing/2014/chart" uri="{C3380CC4-5D6E-409C-BE32-E72D297353CC}">
                <c16:uniqueId val="{00000005-6F66-4E4C-855D-A8F941058F13}"/>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Sheet3!$J$14:$J$20</c:f>
              <c:strCache>
                <c:ptCount val="7"/>
                <c:pt idx="0">
                  <c:v>African American / Black 
(n = 12)</c:v>
                </c:pt>
                <c:pt idx="1">
                  <c:v>Asian
(n = 11)</c:v>
                </c:pt>
                <c:pt idx="2">
                  <c:v>Hispanic / Latino
(n = 15)</c:v>
                </c:pt>
                <c:pt idx="3">
                  <c:v>White
(n = 15)</c:v>
                </c:pt>
                <c:pt idx="4">
                  <c:v>EL
(n = 11)</c:v>
                </c:pt>
                <c:pt idx="5">
                  <c:v>SWD
(n = 13)</c:v>
                </c:pt>
                <c:pt idx="6">
                  <c:v>Low-Income 
(n = 16)</c:v>
                </c:pt>
              </c:strCache>
            </c:strRef>
          </c:cat>
          <c:val>
            <c:numRef>
              <c:f>Sheet3!$K$14:$K$20</c:f>
              <c:numCache>
                <c:formatCode>0%</c:formatCode>
                <c:ptCount val="7"/>
                <c:pt idx="0">
                  <c:v>0.75</c:v>
                </c:pt>
                <c:pt idx="1">
                  <c:v>0.81818181818181823</c:v>
                </c:pt>
                <c:pt idx="2">
                  <c:v>0.6</c:v>
                </c:pt>
                <c:pt idx="3">
                  <c:v>0.73333333333333328</c:v>
                </c:pt>
                <c:pt idx="4">
                  <c:v>0.72727272727272729</c:v>
                </c:pt>
                <c:pt idx="5">
                  <c:v>0.69230769230769229</c:v>
                </c:pt>
                <c:pt idx="6">
                  <c:v>0.6875</c:v>
                </c:pt>
              </c:numCache>
            </c:numRef>
          </c:val>
          <c:extLst>
            <c:ext xmlns:c16="http://schemas.microsoft.com/office/drawing/2014/chart" uri="{C3380CC4-5D6E-409C-BE32-E72D297353CC}">
              <c16:uniqueId val="{00000006-6F66-4E4C-855D-A8F941058F13}"/>
            </c:ext>
          </c:extLst>
        </c:ser>
        <c:dLbls>
          <c:dLblPos val="outEnd"/>
          <c:showLegendKey val="0"/>
          <c:showVal val="1"/>
          <c:showCatName val="0"/>
          <c:showSerName val="0"/>
          <c:showPercent val="0"/>
          <c:showBubbleSize val="0"/>
        </c:dLbls>
        <c:gapWidth val="219"/>
        <c:overlap val="-27"/>
        <c:axId val="569016944"/>
        <c:axId val="569011184"/>
      </c:barChart>
      <c:catAx>
        <c:axId val="569016944"/>
        <c:scaling>
          <c:orientation val="minMax"/>
        </c:scaling>
        <c:delete val="0"/>
        <c:axPos val="b"/>
        <c:numFmt formatCode="General" sourceLinked="1"/>
        <c:majorTickMark val="cross"/>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en-US"/>
          </a:p>
        </c:txPr>
        <c:crossAx val="569011184"/>
        <c:crosses val="autoZero"/>
        <c:auto val="1"/>
        <c:lblAlgn val="ctr"/>
        <c:lblOffset val="100"/>
        <c:noMultiLvlLbl val="0"/>
      </c:catAx>
      <c:valAx>
        <c:axId val="569011184"/>
        <c:scaling>
          <c:orientation val="minMax"/>
          <c:max val="1"/>
        </c:scaling>
        <c:delete val="1"/>
        <c:axPos val="l"/>
        <c:majorGridlines>
          <c:spPr>
            <a:ln w="9525" cap="flat" cmpd="sng" algn="ctr">
              <a:noFill/>
              <a:round/>
            </a:ln>
            <a:effectLst/>
          </c:spPr>
        </c:majorGridlines>
        <c:numFmt formatCode="0%" sourceLinked="1"/>
        <c:majorTickMark val="none"/>
        <c:minorTickMark val="none"/>
        <c:tickLblPos val="nextTo"/>
        <c:crossAx val="5690169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5852406085320211E-2"/>
          <c:y val="6.247687186628912E-2"/>
          <c:w val="0.65098819101733585"/>
          <c:h val="0.77290911770982518"/>
        </c:manualLayout>
      </c:layout>
      <c:barChart>
        <c:barDir val="col"/>
        <c:grouping val="stacked"/>
        <c:varyColors val="0"/>
        <c:ser>
          <c:idx val="0"/>
          <c:order val="0"/>
          <c:tx>
            <c:strRef>
              <c:f>'AR6'!$P$8</c:f>
              <c:strCache>
                <c:ptCount val="1"/>
                <c:pt idx="0">
                  <c:v>White</c:v>
                </c:pt>
              </c:strCache>
            </c:strRef>
          </c:tx>
          <c:spPr>
            <a:solidFill>
              <a:srgbClr val="5E4B3C"/>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('AR6'!$R$8,'AR6'!$R$11)</c:f>
              <c:strCache>
                <c:ptCount val="2"/>
                <c:pt idx="0">
                  <c:v>AP STEM and English Program Course Takers
(N = 11,491)</c:v>
                </c:pt>
                <c:pt idx="1">
                  <c:v>Statewide AP STEM and English Course Takers
(N = 47,345)</c:v>
                </c:pt>
              </c:strCache>
              <c:extLst/>
            </c:strRef>
          </c:cat>
          <c:val>
            <c:numRef>
              <c:f>('AR6'!$S$8,'AR6'!$S$11)</c:f>
              <c:numCache>
                <c:formatCode>###0.0%</c:formatCode>
                <c:ptCount val="2"/>
                <c:pt idx="0">
                  <c:v>0.51535984683665481</c:v>
                </c:pt>
                <c:pt idx="1">
                  <c:v>0.62327595311014894</c:v>
                </c:pt>
              </c:numCache>
              <c:extLst/>
            </c:numRef>
          </c:val>
          <c:extLst>
            <c:ext xmlns:c16="http://schemas.microsoft.com/office/drawing/2014/chart" uri="{C3380CC4-5D6E-409C-BE32-E72D297353CC}">
              <c16:uniqueId val="{00000000-AA5B-49F0-B033-047F0A3C81AD}"/>
            </c:ext>
          </c:extLst>
        </c:ser>
        <c:ser>
          <c:idx val="3"/>
          <c:order val="1"/>
          <c:tx>
            <c:v>Multiracial</c:v>
          </c:tx>
          <c:spPr>
            <a:solidFill>
              <a:srgbClr val="44692D"/>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Lit>
              <c:ptCount val="2"/>
              <c:pt idx="0">
                <c:v>AP STEM and English Program Course Takers
(N = 11,491)</c:v>
              </c:pt>
              <c:pt idx="1">
                <c:v>Statewide AP STEM and English Course Takers
(N = 47,345)</c:v>
              </c:pt>
              <c:extLst>
                <c:ext xmlns:c15="http://schemas.microsoft.com/office/drawing/2012/chart" uri="{02D57815-91ED-43cb-92C2-25804820EDAC}">
                  <c15:autoCat val="1"/>
                </c:ext>
              </c:extLst>
            </c:strLit>
          </c:cat>
          <c:val>
            <c:numRef>
              <c:f>('AR6'!$T$8,'AR6'!$T$11)</c:f>
              <c:numCache>
                <c:formatCode>###0.0%</c:formatCode>
                <c:ptCount val="2"/>
                <c:pt idx="0">
                  <c:v>3.3939604908189015E-2</c:v>
                </c:pt>
                <c:pt idx="1">
                  <c:v>3.9243848347238354E-2</c:v>
                </c:pt>
              </c:numCache>
              <c:extLst/>
            </c:numRef>
          </c:val>
          <c:extLst>
            <c:ext xmlns:c16="http://schemas.microsoft.com/office/drawing/2014/chart" uri="{C3380CC4-5D6E-409C-BE32-E72D297353CC}">
              <c16:uniqueId val="{00000001-AA5B-49F0-B033-047F0A3C81AD}"/>
            </c:ext>
          </c:extLst>
        </c:ser>
        <c:ser>
          <c:idx val="4"/>
          <c:order val="2"/>
          <c:tx>
            <c:v>Latino</c:v>
          </c:tx>
          <c:spPr>
            <a:solidFill>
              <a:srgbClr val="A2AAAD"/>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Lit>
              <c:ptCount val="2"/>
              <c:pt idx="0">
                <c:v>AP STEM and English Program Course Takers
(N = 11,491)</c:v>
              </c:pt>
              <c:pt idx="1">
                <c:v>Statewide AP STEM and English Course Takers
(N = 47,345)</c:v>
              </c:pt>
              <c:extLst>
                <c:ext xmlns:c15="http://schemas.microsoft.com/office/drawing/2012/chart" uri="{02D57815-91ED-43cb-92C2-25804820EDAC}">
                  <c15:autoCat val="1"/>
                </c:ext>
              </c:extLst>
            </c:strLit>
          </c:cat>
          <c:val>
            <c:numRef>
              <c:f>('AR6'!$U$8,'AR6'!$U$11)</c:f>
              <c:numCache>
                <c:formatCode>###0.0%</c:formatCode>
                <c:ptCount val="2"/>
                <c:pt idx="0">
                  <c:v>0.23287790444695852</c:v>
                </c:pt>
                <c:pt idx="1">
                  <c:v>0.1203717393600169</c:v>
                </c:pt>
              </c:numCache>
              <c:extLst/>
            </c:numRef>
          </c:val>
          <c:extLst>
            <c:ext xmlns:c16="http://schemas.microsoft.com/office/drawing/2014/chart" uri="{C3380CC4-5D6E-409C-BE32-E72D297353CC}">
              <c16:uniqueId val="{00000002-AA5B-49F0-B033-047F0A3C81AD}"/>
            </c:ext>
          </c:extLst>
        </c:ser>
        <c:ser>
          <c:idx val="1"/>
          <c:order val="3"/>
          <c:tx>
            <c:v>Black</c:v>
          </c:tx>
          <c:spPr>
            <a:solidFill>
              <a:srgbClr val="881C1C"/>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Lit>
              <c:ptCount val="2"/>
              <c:pt idx="0">
                <c:v>AP STEM and English Program Course Takers
(N = 11,491)</c:v>
              </c:pt>
              <c:pt idx="1">
                <c:v>Statewide AP STEM and English Course Takers
(N = 47,345)</c:v>
              </c:pt>
              <c:extLst>
                <c:ext xmlns:c15="http://schemas.microsoft.com/office/drawing/2012/chart" uri="{02D57815-91ED-43cb-92C2-25804820EDAC}">
                  <c15:autoCat val="1"/>
                </c:ext>
              </c:extLst>
            </c:strLit>
          </c:cat>
          <c:val>
            <c:numRef>
              <c:f>('AR6'!$V$8,'AR6'!$V$11)</c:f>
              <c:numCache>
                <c:formatCode>###0.0%</c:formatCode>
                <c:ptCount val="2"/>
                <c:pt idx="0">
                  <c:v>0.1263597598120268</c:v>
                </c:pt>
                <c:pt idx="1">
                  <c:v>6.8771781603125998E-2</c:v>
                </c:pt>
              </c:numCache>
              <c:extLst/>
            </c:numRef>
          </c:val>
          <c:extLst>
            <c:ext xmlns:c16="http://schemas.microsoft.com/office/drawing/2014/chart" uri="{C3380CC4-5D6E-409C-BE32-E72D297353CC}">
              <c16:uniqueId val="{00000003-AA5B-49F0-B033-047F0A3C81AD}"/>
            </c:ext>
          </c:extLst>
        </c:ser>
        <c:ser>
          <c:idx val="2"/>
          <c:order val="4"/>
          <c:tx>
            <c:v>Asian</c:v>
          </c:tx>
          <c:spPr>
            <a:solidFill>
              <a:srgbClr val="21272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Lit>
              <c:ptCount val="2"/>
              <c:pt idx="0">
                <c:v>AP STEM and English Program Course Takers
(N = 11,491)</c:v>
              </c:pt>
              <c:pt idx="1">
                <c:v>Statewide AP STEM and English Course Takers
(N = 47,345)</c:v>
              </c:pt>
              <c:extLst>
                <c:ext xmlns:c15="http://schemas.microsoft.com/office/drawing/2012/chart" uri="{02D57815-91ED-43cb-92C2-25804820EDAC}">
                  <c15:autoCat val="1"/>
                </c:ext>
              </c:extLst>
            </c:strLit>
          </c:cat>
          <c:val>
            <c:numRef>
              <c:f>('AR6'!$W$8,'AR6'!$W$11)</c:f>
              <c:numCache>
                <c:formatCode>###0.0%</c:formatCode>
                <c:ptCount val="2"/>
                <c:pt idx="0">
                  <c:v>8.9287268296928027E-2</c:v>
                </c:pt>
                <c:pt idx="1">
                  <c:v>0.14603442813391065</c:v>
                </c:pt>
              </c:numCache>
              <c:extLst/>
            </c:numRef>
          </c:val>
          <c:extLst>
            <c:ext xmlns:c16="http://schemas.microsoft.com/office/drawing/2014/chart" uri="{C3380CC4-5D6E-409C-BE32-E72D297353CC}">
              <c16:uniqueId val="{00000004-AA5B-49F0-B033-047F0A3C81AD}"/>
            </c:ext>
          </c:extLst>
        </c:ser>
        <c:dLbls>
          <c:dLblPos val="ctr"/>
          <c:showLegendKey val="0"/>
          <c:showVal val="1"/>
          <c:showCatName val="0"/>
          <c:showSerName val="0"/>
          <c:showPercent val="0"/>
          <c:showBubbleSize val="0"/>
        </c:dLbls>
        <c:gapWidth val="97"/>
        <c:overlap val="100"/>
        <c:axId val="611659232"/>
        <c:axId val="611660192"/>
      </c:barChart>
      <c:catAx>
        <c:axId val="6116592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1" i="0" u="none" strike="noStrike" kern="1200" baseline="0">
                <a:solidFill>
                  <a:sysClr val="windowText" lastClr="000000"/>
                </a:solidFill>
                <a:latin typeface="+mn-lt"/>
                <a:ea typeface="+mn-ea"/>
                <a:cs typeface="+mn-cs"/>
              </a:defRPr>
            </a:pPr>
            <a:endParaRPr lang="en-US"/>
          </a:p>
        </c:txPr>
        <c:crossAx val="611660192"/>
        <c:crosses val="autoZero"/>
        <c:auto val="1"/>
        <c:lblAlgn val="ctr"/>
        <c:lblOffset val="100"/>
        <c:noMultiLvlLbl val="0"/>
      </c:catAx>
      <c:valAx>
        <c:axId val="611660192"/>
        <c:scaling>
          <c:orientation val="minMax"/>
          <c:max val="1"/>
        </c:scaling>
        <c:delete val="1"/>
        <c:axPos val="l"/>
        <c:title>
          <c:tx>
            <c:rich>
              <a:bodyPr rot="-5400000" spcFirstLastPara="1" vertOverflow="ellipsis" vert="horz" wrap="square" anchor="ctr" anchorCtr="1"/>
              <a:lstStyle/>
              <a:p>
                <a:pPr>
                  <a:defRPr sz="1100" b="1" i="0" u="none" strike="noStrike" kern="1200" baseline="0">
                    <a:solidFill>
                      <a:sysClr val="windowText" lastClr="000000"/>
                    </a:solidFill>
                    <a:latin typeface="+mn-lt"/>
                    <a:ea typeface="+mn-ea"/>
                    <a:cs typeface="+mn-cs"/>
                  </a:defRPr>
                </a:pPr>
                <a:r>
                  <a:rPr lang="en-US" sz="1100" b="1">
                    <a:solidFill>
                      <a:sysClr val="windowText" lastClr="000000"/>
                    </a:solidFill>
                  </a:rPr>
                  <a:t>Students</a:t>
                </a:r>
              </a:p>
            </c:rich>
          </c:tx>
          <c:overlay val="0"/>
          <c:spPr>
            <a:noFill/>
            <a:ln>
              <a:noFill/>
            </a:ln>
            <a:effectLst/>
          </c:spPr>
        </c:title>
        <c:numFmt formatCode="###0.0%" sourceLinked="1"/>
        <c:majorTickMark val="out"/>
        <c:minorTickMark val="none"/>
        <c:tickLblPos val="nextTo"/>
        <c:crossAx val="611659232"/>
        <c:crosses val="autoZero"/>
        <c:crossBetween val="between"/>
      </c:valAx>
    </c:plotArea>
    <c:legend>
      <c:legendPos val="r"/>
      <c:layout>
        <c:manualLayout>
          <c:xMode val="edge"/>
          <c:yMode val="edge"/>
          <c:x val="0.70443271573945931"/>
          <c:y val="0.21855806534284228"/>
          <c:w val="0.20432830033104338"/>
          <c:h val="0.56571094414124812"/>
        </c:manualLayout>
      </c:layout>
      <c:overlay val="0"/>
      <c:spPr>
        <a:noFill/>
        <a:ln>
          <a:solidFill>
            <a:schemeClr val="bg2"/>
          </a:solidFill>
        </a:ln>
        <a:effectLst/>
      </c:spPr>
      <c:txPr>
        <a:bodyPr rot="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en-US"/>
        </a:p>
      </c:txPr>
    </c:legend>
    <c:plotVisOnly val="1"/>
    <c:dispBlanksAs val="gap"/>
    <c:showDLblsOverMax val="0"/>
    <c:extLst/>
  </c:chart>
  <c:spPr>
    <a:solidFill>
      <a:schemeClr val="bg1"/>
    </a:solidFill>
    <a:ln w="9525" cap="flat" cmpd="sng" algn="ctr">
      <a:solidFill>
        <a:schemeClr val="bg2"/>
      </a:solidFill>
      <a:round/>
    </a:ln>
    <a:effectLst/>
  </c:spPr>
  <c:txPr>
    <a:bodyPr/>
    <a:lstStyle/>
    <a:p>
      <a:pPr>
        <a:defRPr/>
      </a:pPr>
      <a:endParaRPr lang="en-US"/>
    </a:p>
  </c:txPr>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Sheet3!$B$2</c:f>
              <c:strCache>
                <c:ptCount val="1"/>
                <c:pt idx="0">
                  <c:v>Adequately_prepared_APSI</c:v>
                </c:pt>
              </c:strCache>
            </c:strRef>
          </c:tx>
          <c:spPr>
            <a:solidFill>
              <a:schemeClr val="accent1"/>
            </a:solidFill>
            <a:ln>
              <a:noFill/>
            </a:ln>
            <a:effectLst/>
          </c:spPr>
          <c:invertIfNegative val="0"/>
          <c:dPt>
            <c:idx val="0"/>
            <c:invertIfNegative val="0"/>
            <c:bubble3D val="0"/>
            <c:spPr>
              <a:solidFill>
                <a:srgbClr val="881C1C"/>
              </a:solidFill>
              <a:ln>
                <a:noFill/>
              </a:ln>
              <a:effectLst/>
            </c:spPr>
            <c:extLst>
              <c:ext xmlns:c16="http://schemas.microsoft.com/office/drawing/2014/chart" uri="{C3380CC4-5D6E-409C-BE32-E72D297353CC}">
                <c16:uniqueId val="{00000001-AD9B-4664-ABDC-939A04744C19}"/>
              </c:ext>
            </c:extLst>
          </c:dPt>
          <c:dPt>
            <c:idx val="1"/>
            <c:invertIfNegative val="0"/>
            <c:bubble3D val="0"/>
            <c:spPr>
              <a:solidFill>
                <a:srgbClr val="881C1C"/>
              </a:solidFill>
              <a:ln>
                <a:noFill/>
              </a:ln>
              <a:effectLst/>
            </c:spPr>
            <c:extLst>
              <c:ext xmlns:c16="http://schemas.microsoft.com/office/drawing/2014/chart" uri="{C3380CC4-5D6E-409C-BE32-E72D297353CC}">
                <c16:uniqueId val="{00000003-AD9B-4664-ABDC-939A04744C19}"/>
              </c:ext>
            </c:extLst>
          </c:dPt>
          <c:dPt>
            <c:idx val="2"/>
            <c:invertIfNegative val="0"/>
            <c:bubble3D val="0"/>
            <c:spPr>
              <a:solidFill>
                <a:srgbClr val="881C1C"/>
              </a:solidFill>
              <a:ln>
                <a:noFill/>
              </a:ln>
              <a:effectLst/>
            </c:spPr>
            <c:extLst>
              <c:ext xmlns:c16="http://schemas.microsoft.com/office/drawing/2014/chart" uri="{C3380CC4-5D6E-409C-BE32-E72D297353CC}">
                <c16:uniqueId val="{00000005-AD9B-4664-ABDC-939A04744C19}"/>
              </c:ext>
            </c:extLst>
          </c:dPt>
          <c:dPt>
            <c:idx val="3"/>
            <c:invertIfNegative val="0"/>
            <c:bubble3D val="0"/>
            <c:spPr>
              <a:solidFill>
                <a:srgbClr val="881C1C"/>
              </a:solidFill>
              <a:ln>
                <a:noFill/>
              </a:ln>
              <a:effectLst/>
            </c:spPr>
            <c:extLst>
              <c:ext xmlns:c16="http://schemas.microsoft.com/office/drawing/2014/chart" uri="{C3380CC4-5D6E-409C-BE32-E72D297353CC}">
                <c16:uniqueId val="{00000007-AD9B-4664-ABDC-939A04744C19}"/>
              </c:ext>
            </c:extLst>
          </c:dPt>
          <c:dPt>
            <c:idx val="4"/>
            <c:invertIfNegative val="0"/>
            <c:bubble3D val="0"/>
            <c:spPr>
              <a:solidFill>
                <a:srgbClr val="212721"/>
              </a:solidFill>
              <a:ln>
                <a:noFill/>
              </a:ln>
              <a:effectLst/>
            </c:spPr>
            <c:extLst>
              <c:ext xmlns:c16="http://schemas.microsoft.com/office/drawing/2014/chart" uri="{C3380CC4-5D6E-409C-BE32-E72D297353CC}">
                <c16:uniqueId val="{00000009-AD9B-4664-ABDC-939A04744C19}"/>
              </c:ext>
            </c:extLst>
          </c:dPt>
          <c:dPt>
            <c:idx val="5"/>
            <c:invertIfNegative val="0"/>
            <c:bubble3D val="0"/>
            <c:spPr>
              <a:solidFill>
                <a:srgbClr val="212721"/>
              </a:solidFill>
              <a:ln>
                <a:noFill/>
              </a:ln>
              <a:effectLst/>
            </c:spPr>
            <c:extLst>
              <c:ext xmlns:c16="http://schemas.microsoft.com/office/drawing/2014/chart" uri="{C3380CC4-5D6E-409C-BE32-E72D297353CC}">
                <c16:uniqueId val="{0000000B-AD9B-4664-ABDC-939A04744C19}"/>
              </c:ext>
            </c:extLst>
          </c:dPt>
          <c:dPt>
            <c:idx val="6"/>
            <c:invertIfNegative val="0"/>
            <c:bubble3D val="0"/>
            <c:spPr>
              <a:solidFill>
                <a:srgbClr val="212721"/>
              </a:solidFill>
              <a:ln>
                <a:noFill/>
              </a:ln>
              <a:effectLst/>
            </c:spPr>
            <c:extLst>
              <c:ext xmlns:c16="http://schemas.microsoft.com/office/drawing/2014/chart" uri="{C3380CC4-5D6E-409C-BE32-E72D297353CC}">
                <c16:uniqueId val="{0000000D-AD9B-4664-ABDC-939A04744C19}"/>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Sheet3!$A$3:$A$9</c:f>
              <c:strCache>
                <c:ptCount val="7"/>
                <c:pt idx="0">
                  <c:v>African American / Black 
(n = 12)</c:v>
                </c:pt>
                <c:pt idx="1">
                  <c:v>Asian
(n = 11)</c:v>
                </c:pt>
                <c:pt idx="2">
                  <c:v>Hispanic / Latino
(n = 15)</c:v>
                </c:pt>
                <c:pt idx="3">
                  <c:v>White
(n = 15)</c:v>
                </c:pt>
                <c:pt idx="4">
                  <c:v>EL
(n = 11)</c:v>
                </c:pt>
                <c:pt idx="5">
                  <c:v>SWD
(n = 13)</c:v>
                </c:pt>
                <c:pt idx="6">
                  <c:v>Low-Income 
(n = 16)</c:v>
                </c:pt>
              </c:strCache>
            </c:strRef>
          </c:cat>
          <c:val>
            <c:numRef>
              <c:f>Sheet3!$B$3:$B$9</c:f>
              <c:numCache>
                <c:formatCode>0%</c:formatCode>
                <c:ptCount val="7"/>
                <c:pt idx="0">
                  <c:v>0.75</c:v>
                </c:pt>
                <c:pt idx="1">
                  <c:v>0.82</c:v>
                </c:pt>
                <c:pt idx="2">
                  <c:v>0.73333333333333328</c:v>
                </c:pt>
                <c:pt idx="3">
                  <c:v>1</c:v>
                </c:pt>
                <c:pt idx="4">
                  <c:v>0.72727272727272729</c:v>
                </c:pt>
                <c:pt idx="5">
                  <c:v>0.76923076923076927</c:v>
                </c:pt>
                <c:pt idx="6">
                  <c:v>0.75</c:v>
                </c:pt>
              </c:numCache>
            </c:numRef>
          </c:val>
          <c:extLst>
            <c:ext xmlns:c16="http://schemas.microsoft.com/office/drawing/2014/chart" uri="{C3380CC4-5D6E-409C-BE32-E72D297353CC}">
              <c16:uniqueId val="{0000000E-AD9B-4664-ABDC-939A04744C19}"/>
            </c:ext>
          </c:extLst>
        </c:ser>
        <c:dLbls>
          <c:dLblPos val="outEnd"/>
          <c:showLegendKey val="0"/>
          <c:showVal val="1"/>
          <c:showCatName val="0"/>
          <c:showSerName val="0"/>
          <c:showPercent val="0"/>
          <c:showBubbleSize val="0"/>
        </c:dLbls>
        <c:gapWidth val="219"/>
        <c:overlap val="-27"/>
        <c:axId val="1784513424"/>
        <c:axId val="1784494704"/>
      </c:barChart>
      <c:catAx>
        <c:axId val="17845134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en-US"/>
          </a:p>
        </c:txPr>
        <c:crossAx val="1784494704"/>
        <c:crosses val="autoZero"/>
        <c:auto val="1"/>
        <c:lblAlgn val="ctr"/>
        <c:lblOffset val="100"/>
        <c:noMultiLvlLbl val="0"/>
      </c:catAx>
      <c:valAx>
        <c:axId val="1784494704"/>
        <c:scaling>
          <c:orientation val="minMax"/>
          <c:max val="1"/>
        </c:scaling>
        <c:delete val="1"/>
        <c:axPos val="l"/>
        <c:majorGridlines>
          <c:spPr>
            <a:ln w="9525" cap="flat" cmpd="sng" algn="ctr">
              <a:noFill/>
              <a:round/>
            </a:ln>
            <a:effectLst/>
          </c:spPr>
        </c:majorGridlines>
        <c:numFmt formatCode="0%" sourceLinked="1"/>
        <c:majorTickMark val="none"/>
        <c:minorTickMark val="none"/>
        <c:tickLblPos val="nextTo"/>
        <c:crossAx val="1784513424"/>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6320117995263104"/>
          <c:y val="3.2934131736526949E-2"/>
          <c:w val="0.71925628820802912"/>
          <c:h val="0.83145009194210007"/>
        </c:manualLayout>
      </c:layout>
      <c:barChart>
        <c:barDir val="bar"/>
        <c:grouping val="stacked"/>
        <c:varyColors val="0"/>
        <c:ser>
          <c:idx val="0"/>
          <c:order val="0"/>
          <c:tx>
            <c:strRef>
              <c:f>'New Question 5 without AP AF'!$J$18</c:f>
              <c:strCache>
                <c:ptCount val="1"/>
                <c:pt idx="0">
                  <c:v>Frequently use</c:v>
                </c:pt>
              </c:strCache>
            </c:strRef>
          </c:tx>
          <c:spPr>
            <a:solidFill>
              <a:srgbClr val="881C1C"/>
            </a:solidFill>
            <a:ln>
              <a:noFill/>
            </a:ln>
            <a:effectLst/>
          </c:spPr>
          <c:invertIfNegative val="0"/>
          <c:dLbls>
            <c:spPr>
              <a:noFill/>
              <a:ln>
                <a:noFill/>
              </a:ln>
              <a:effectLst/>
            </c:spPr>
            <c:txPr>
              <a:bodyPr rot="0" spcFirstLastPara="1" vertOverflow="ellipsis" vert="horz" wrap="square" anchor="ctr" anchorCtr="1"/>
              <a:lstStyle/>
              <a:p>
                <a:pPr>
                  <a:defRPr sz="1100" b="1"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'New Question 5 without AP AF'!$I$19:$I$26</c:f>
              <c:strCache>
                <c:ptCount val="8"/>
                <c:pt idx="0">
                  <c:v>Syllabus Development Guides</c:v>
                </c:pt>
                <c:pt idx="1">
                  <c:v>AP Community</c:v>
                </c:pt>
                <c:pt idx="2">
                  <c:v>Instructional Planning Reports</c:v>
                </c:pt>
                <c:pt idx="3">
                  <c:v>Sample Syllabi</c:v>
                </c:pt>
                <c:pt idx="4">
                  <c:v>Topic Questions</c:v>
                </c:pt>
                <c:pt idx="5">
                  <c:v>Unit Guides</c:v>
                </c:pt>
                <c:pt idx="6">
                  <c:v>Question Banks</c:v>
                </c:pt>
                <c:pt idx="7">
                  <c:v>Progress Checks</c:v>
                </c:pt>
              </c:strCache>
            </c:strRef>
          </c:cat>
          <c:val>
            <c:numRef>
              <c:f>'New Question 5 without AP AF'!$J$19:$J$26</c:f>
              <c:numCache>
                <c:formatCode>0%</c:formatCode>
                <c:ptCount val="8"/>
                <c:pt idx="0">
                  <c:v>0.1875</c:v>
                </c:pt>
                <c:pt idx="1">
                  <c:v>0.1875</c:v>
                </c:pt>
                <c:pt idx="2">
                  <c:v>0.25</c:v>
                </c:pt>
                <c:pt idx="3">
                  <c:v>0.25</c:v>
                </c:pt>
                <c:pt idx="4">
                  <c:v>0.4375</c:v>
                </c:pt>
                <c:pt idx="5">
                  <c:v>0.5</c:v>
                </c:pt>
                <c:pt idx="6">
                  <c:v>0.5</c:v>
                </c:pt>
                <c:pt idx="7">
                  <c:v>0.5625</c:v>
                </c:pt>
              </c:numCache>
            </c:numRef>
          </c:val>
          <c:extLst>
            <c:ext xmlns:c16="http://schemas.microsoft.com/office/drawing/2014/chart" uri="{C3380CC4-5D6E-409C-BE32-E72D297353CC}">
              <c16:uniqueId val="{00000000-30EB-4433-B16E-806A3CF4FEC6}"/>
            </c:ext>
          </c:extLst>
        </c:ser>
        <c:ser>
          <c:idx val="1"/>
          <c:order val="1"/>
          <c:tx>
            <c:strRef>
              <c:f>'New Question 5 without AP AF'!$K$18</c:f>
              <c:strCache>
                <c:ptCount val="1"/>
                <c:pt idx="0">
                  <c:v>Sometimes use</c:v>
                </c:pt>
              </c:strCache>
            </c:strRef>
          </c:tx>
          <c:spPr>
            <a:solidFill>
              <a:srgbClr val="212721"/>
            </a:solidFill>
            <a:ln>
              <a:noFill/>
            </a:ln>
            <a:effectLst/>
          </c:spPr>
          <c:invertIfNegative val="0"/>
          <c:dLbls>
            <c:spPr>
              <a:noFill/>
              <a:ln>
                <a:noFill/>
              </a:ln>
              <a:effectLst/>
            </c:spPr>
            <c:txPr>
              <a:bodyPr rot="0" spcFirstLastPara="1" vertOverflow="ellipsis" vert="horz" wrap="square" anchor="ctr" anchorCtr="1"/>
              <a:lstStyle/>
              <a:p>
                <a:pPr>
                  <a:defRPr sz="1100" b="1"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'New Question 5 without AP AF'!$I$19:$I$26</c:f>
              <c:strCache>
                <c:ptCount val="8"/>
                <c:pt idx="0">
                  <c:v>Syllabus Development Guides</c:v>
                </c:pt>
                <c:pt idx="1">
                  <c:v>AP Community</c:v>
                </c:pt>
                <c:pt idx="2">
                  <c:v>Instructional Planning Reports</c:v>
                </c:pt>
                <c:pt idx="3">
                  <c:v>Sample Syllabi</c:v>
                </c:pt>
                <c:pt idx="4">
                  <c:v>Topic Questions</c:v>
                </c:pt>
                <c:pt idx="5">
                  <c:v>Unit Guides</c:v>
                </c:pt>
                <c:pt idx="6">
                  <c:v>Question Banks</c:v>
                </c:pt>
                <c:pt idx="7">
                  <c:v>Progress Checks</c:v>
                </c:pt>
              </c:strCache>
            </c:strRef>
          </c:cat>
          <c:val>
            <c:numRef>
              <c:f>'New Question 5 without AP AF'!$K$19:$K$26</c:f>
              <c:numCache>
                <c:formatCode>0%</c:formatCode>
                <c:ptCount val="8"/>
                <c:pt idx="0">
                  <c:v>6.25E-2</c:v>
                </c:pt>
                <c:pt idx="1">
                  <c:v>0.25</c:v>
                </c:pt>
                <c:pt idx="2">
                  <c:v>0.375</c:v>
                </c:pt>
                <c:pt idx="3">
                  <c:v>0.25</c:v>
                </c:pt>
                <c:pt idx="4">
                  <c:v>0.375</c:v>
                </c:pt>
                <c:pt idx="5">
                  <c:v>0.4375</c:v>
                </c:pt>
                <c:pt idx="6">
                  <c:v>0.3125</c:v>
                </c:pt>
                <c:pt idx="7">
                  <c:v>0.25</c:v>
                </c:pt>
              </c:numCache>
            </c:numRef>
          </c:val>
          <c:extLst>
            <c:ext xmlns:c16="http://schemas.microsoft.com/office/drawing/2014/chart" uri="{C3380CC4-5D6E-409C-BE32-E72D297353CC}">
              <c16:uniqueId val="{00000001-30EB-4433-B16E-806A3CF4FEC6}"/>
            </c:ext>
          </c:extLst>
        </c:ser>
        <c:ser>
          <c:idx val="2"/>
          <c:order val="2"/>
          <c:tx>
            <c:strRef>
              <c:f>'New Question 5 without AP AF'!$L$18</c:f>
              <c:strCache>
                <c:ptCount val="1"/>
                <c:pt idx="0">
                  <c:v>Rarely use</c:v>
                </c:pt>
              </c:strCache>
            </c:strRef>
          </c:tx>
          <c:spPr>
            <a:solidFill>
              <a:srgbClr val="A2AAAD"/>
            </a:solidFill>
            <a:ln>
              <a:noFill/>
            </a:ln>
            <a:effectLst/>
          </c:spPr>
          <c:invertIfNegative val="0"/>
          <c:dLbls>
            <c:spPr>
              <a:noFill/>
              <a:ln>
                <a:noFill/>
              </a:ln>
              <a:effectLst/>
            </c:spPr>
            <c:txPr>
              <a:bodyPr rot="0" spcFirstLastPara="1" vertOverflow="ellipsis" vert="horz" wrap="square" anchor="ctr" anchorCtr="1"/>
              <a:lstStyle/>
              <a:p>
                <a:pPr>
                  <a:defRPr sz="1100" b="1"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'New Question 5 without AP AF'!$I$19:$I$26</c:f>
              <c:strCache>
                <c:ptCount val="8"/>
                <c:pt idx="0">
                  <c:v>Syllabus Development Guides</c:v>
                </c:pt>
                <c:pt idx="1">
                  <c:v>AP Community</c:v>
                </c:pt>
                <c:pt idx="2">
                  <c:v>Instructional Planning Reports</c:v>
                </c:pt>
                <c:pt idx="3">
                  <c:v>Sample Syllabi</c:v>
                </c:pt>
                <c:pt idx="4">
                  <c:v>Topic Questions</c:v>
                </c:pt>
                <c:pt idx="5">
                  <c:v>Unit Guides</c:v>
                </c:pt>
                <c:pt idx="6">
                  <c:v>Question Banks</c:v>
                </c:pt>
                <c:pt idx="7">
                  <c:v>Progress Checks</c:v>
                </c:pt>
              </c:strCache>
            </c:strRef>
          </c:cat>
          <c:val>
            <c:numRef>
              <c:f>'New Question 5 without AP AF'!$L$19:$L$26</c:f>
              <c:numCache>
                <c:formatCode>0%</c:formatCode>
                <c:ptCount val="8"/>
                <c:pt idx="0">
                  <c:v>0.4375</c:v>
                </c:pt>
                <c:pt idx="1">
                  <c:v>0.25</c:v>
                </c:pt>
                <c:pt idx="2">
                  <c:v>0.1875</c:v>
                </c:pt>
                <c:pt idx="3">
                  <c:v>0.375</c:v>
                </c:pt>
                <c:pt idx="4">
                  <c:v>6.25E-2</c:v>
                </c:pt>
                <c:pt idx="5">
                  <c:v>6.25E-2</c:v>
                </c:pt>
                <c:pt idx="6">
                  <c:v>0.125</c:v>
                </c:pt>
                <c:pt idx="7">
                  <c:v>0.1875</c:v>
                </c:pt>
              </c:numCache>
            </c:numRef>
          </c:val>
          <c:extLst>
            <c:ext xmlns:c16="http://schemas.microsoft.com/office/drawing/2014/chart" uri="{C3380CC4-5D6E-409C-BE32-E72D297353CC}">
              <c16:uniqueId val="{00000002-30EB-4433-B16E-806A3CF4FEC6}"/>
            </c:ext>
          </c:extLst>
        </c:ser>
        <c:ser>
          <c:idx val="3"/>
          <c:order val="3"/>
          <c:tx>
            <c:strRef>
              <c:f>'New Question 5 without AP AF'!$M$18</c:f>
              <c:strCache>
                <c:ptCount val="1"/>
                <c:pt idx="0">
                  <c:v>Never use</c:v>
                </c:pt>
              </c:strCache>
            </c:strRef>
          </c:tx>
          <c:spPr>
            <a:solidFill>
              <a:srgbClr val="44692D"/>
            </a:solidFill>
            <a:ln>
              <a:noFill/>
            </a:ln>
            <a:effectLst/>
          </c:spPr>
          <c:invertIfNegative val="0"/>
          <c:dLbls>
            <c:spPr>
              <a:noFill/>
              <a:ln>
                <a:noFill/>
              </a:ln>
              <a:effectLst/>
            </c:spPr>
            <c:txPr>
              <a:bodyPr rot="0" spcFirstLastPara="1" vertOverflow="ellipsis" vert="horz" wrap="square" anchor="ctr" anchorCtr="1"/>
              <a:lstStyle/>
              <a:p>
                <a:pPr>
                  <a:defRPr sz="1100" b="1"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'New Question 5 without AP AF'!$I$19:$I$26</c:f>
              <c:strCache>
                <c:ptCount val="8"/>
                <c:pt idx="0">
                  <c:v>Syllabus Development Guides</c:v>
                </c:pt>
                <c:pt idx="1">
                  <c:v>AP Community</c:v>
                </c:pt>
                <c:pt idx="2">
                  <c:v>Instructional Planning Reports</c:v>
                </c:pt>
                <c:pt idx="3">
                  <c:v>Sample Syllabi</c:v>
                </c:pt>
                <c:pt idx="4">
                  <c:v>Topic Questions</c:v>
                </c:pt>
                <c:pt idx="5">
                  <c:v>Unit Guides</c:v>
                </c:pt>
                <c:pt idx="6">
                  <c:v>Question Banks</c:v>
                </c:pt>
                <c:pt idx="7">
                  <c:v>Progress Checks</c:v>
                </c:pt>
              </c:strCache>
            </c:strRef>
          </c:cat>
          <c:val>
            <c:numRef>
              <c:f>'New Question 5 without AP AF'!$M$19:$M$26</c:f>
              <c:numCache>
                <c:formatCode>0%</c:formatCode>
                <c:ptCount val="8"/>
                <c:pt idx="0">
                  <c:v>0.25</c:v>
                </c:pt>
                <c:pt idx="1">
                  <c:v>0.25</c:v>
                </c:pt>
                <c:pt idx="2">
                  <c:v>6.25E-2</c:v>
                </c:pt>
                <c:pt idx="3">
                  <c:v>6.25E-2</c:v>
                </c:pt>
                <c:pt idx="4">
                  <c:v>6.25E-2</c:v>
                </c:pt>
                <c:pt idx="6">
                  <c:v>6.25E-2</c:v>
                </c:pt>
              </c:numCache>
            </c:numRef>
          </c:val>
          <c:extLst>
            <c:ext xmlns:c16="http://schemas.microsoft.com/office/drawing/2014/chart" uri="{C3380CC4-5D6E-409C-BE32-E72D297353CC}">
              <c16:uniqueId val="{00000003-30EB-4433-B16E-806A3CF4FEC6}"/>
            </c:ext>
          </c:extLst>
        </c:ser>
        <c:ser>
          <c:idx val="4"/>
          <c:order val="4"/>
          <c:tx>
            <c:strRef>
              <c:f>'New Question 5 without AP AF'!$N$18</c:f>
              <c:strCache>
                <c:ptCount val="1"/>
                <c:pt idx="0">
                  <c:v>I was not exposed to this resource during the APSI</c:v>
                </c:pt>
              </c:strCache>
            </c:strRef>
          </c:tx>
          <c:spPr>
            <a:solidFill>
              <a:srgbClr val="5E4B3C"/>
            </a:solidFill>
            <a:ln>
              <a:noFill/>
            </a:ln>
            <a:effectLst/>
          </c:spPr>
          <c:invertIfNegative val="0"/>
          <c:dLbls>
            <c:spPr>
              <a:noFill/>
              <a:ln>
                <a:noFill/>
              </a:ln>
              <a:effectLst/>
            </c:spPr>
            <c:txPr>
              <a:bodyPr rot="0" spcFirstLastPara="1" vertOverflow="ellipsis" vert="horz" wrap="square" anchor="ctr" anchorCtr="1"/>
              <a:lstStyle/>
              <a:p>
                <a:pPr>
                  <a:defRPr sz="1100" b="1"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'New Question 5 without AP AF'!$I$19:$I$26</c:f>
              <c:strCache>
                <c:ptCount val="8"/>
                <c:pt idx="0">
                  <c:v>Syllabus Development Guides</c:v>
                </c:pt>
                <c:pt idx="1">
                  <c:v>AP Community</c:v>
                </c:pt>
                <c:pt idx="2">
                  <c:v>Instructional Planning Reports</c:v>
                </c:pt>
                <c:pt idx="3">
                  <c:v>Sample Syllabi</c:v>
                </c:pt>
                <c:pt idx="4">
                  <c:v>Topic Questions</c:v>
                </c:pt>
                <c:pt idx="5">
                  <c:v>Unit Guides</c:v>
                </c:pt>
                <c:pt idx="6">
                  <c:v>Question Banks</c:v>
                </c:pt>
                <c:pt idx="7">
                  <c:v>Progress Checks</c:v>
                </c:pt>
              </c:strCache>
            </c:strRef>
          </c:cat>
          <c:val>
            <c:numRef>
              <c:f>'New Question 5 without AP AF'!$N$19:$N$26</c:f>
              <c:numCache>
                <c:formatCode>0%</c:formatCode>
                <c:ptCount val="8"/>
                <c:pt idx="0">
                  <c:v>6.25E-2</c:v>
                </c:pt>
                <c:pt idx="1">
                  <c:v>6.25E-2</c:v>
                </c:pt>
                <c:pt idx="2">
                  <c:v>0.125</c:v>
                </c:pt>
                <c:pt idx="3">
                  <c:v>6.25E-2</c:v>
                </c:pt>
                <c:pt idx="4">
                  <c:v>6.25E-2</c:v>
                </c:pt>
              </c:numCache>
            </c:numRef>
          </c:val>
          <c:extLst>
            <c:ext xmlns:c16="http://schemas.microsoft.com/office/drawing/2014/chart" uri="{C3380CC4-5D6E-409C-BE32-E72D297353CC}">
              <c16:uniqueId val="{00000004-30EB-4433-B16E-806A3CF4FEC6}"/>
            </c:ext>
          </c:extLst>
        </c:ser>
        <c:dLbls>
          <c:showLegendKey val="0"/>
          <c:showVal val="0"/>
          <c:showCatName val="0"/>
          <c:showSerName val="0"/>
          <c:showPercent val="0"/>
          <c:showBubbleSize val="0"/>
        </c:dLbls>
        <c:gapWidth val="150"/>
        <c:overlap val="100"/>
        <c:axId val="1845194192"/>
        <c:axId val="1845196592"/>
      </c:barChart>
      <c:catAx>
        <c:axId val="1845194192"/>
        <c:scaling>
          <c:orientation val="minMax"/>
        </c:scaling>
        <c:delete val="0"/>
        <c:axPos val="l"/>
        <c:numFmt formatCode="General" sourceLinked="1"/>
        <c:majorTickMark val="cross"/>
        <c:minorTickMark val="none"/>
        <c:tickLblPos val="nextTo"/>
        <c:spPr>
          <a:noFill/>
          <a:ln w="12700" cap="flat" cmpd="sng" algn="ctr">
            <a:solidFill>
              <a:schemeClr val="tx1"/>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en-US"/>
          </a:p>
        </c:txPr>
        <c:crossAx val="1845196592"/>
        <c:crosses val="autoZero"/>
        <c:auto val="1"/>
        <c:lblAlgn val="ctr"/>
        <c:lblOffset val="100"/>
        <c:noMultiLvlLbl val="0"/>
      </c:catAx>
      <c:valAx>
        <c:axId val="1845196592"/>
        <c:scaling>
          <c:orientation val="minMax"/>
          <c:max val="1"/>
        </c:scaling>
        <c:delete val="1"/>
        <c:axPos val="b"/>
        <c:title>
          <c:tx>
            <c:rich>
              <a:bodyPr rot="0" spcFirstLastPara="1" vertOverflow="ellipsis" vert="horz" wrap="square" anchor="ctr" anchorCtr="1"/>
              <a:lstStyle/>
              <a:p>
                <a:pPr>
                  <a:defRPr sz="1100" b="1" i="0" u="none" strike="noStrike" kern="1200" baseline="0">
                    <a:solidFill>
                      <a:schemeClr val="tx1">
                        <a:lumMod val="65000"/>
                        <a:lumOff val="35000"/>
                      </a:schemeClr>
                    </a:solidFill>
                    <a:latin typeface="+mn-lt"/>
                    <a:ea typeface="+mn-ea"/>
                    <a:cs typeface="+mn-cs"/>
                  </a:defRPr>
                </a:pPr>
                <a:r>
                  <a:rPr lang="en-US" sz="1100" b="1">
                    <a:solidFill>
                      <a:schemeClr val="tx1"/>
                    </a:solidFill>
                  </a:rPr>
                  <a:t>n = 16</a:t>
                </a:r>
              </a:p>
            </c:rich>
          </c:tx>
          <c:layout>
            <c:manualLayout>
              <c:xMode val="edge"/>
              <c:yMode val="edge"/>
              <c:x val="0.94339938230948928"/>
              <c:y val="0.9482165590079682"/>
            </c:manualLayout>
          </c:layout>
          <c:overlay val="0"/>
          <c:spPr>
            <a:noFill/>
            <a:ln>
              <a:noFill/>
            </a:ln>
            <a:effectLst/>
          </c:spPr>
          <c:txPr>
            <a:bodyPr rot="0" spcFirstLastPara="1" vertOverflow="ellipsis" vert="horz" wrap="square" anchor="ctr" anchorCtr="1"/>
            <a:lstStyle/>
            <a:p>
              <a:pPr>
                <a:defRPr sz="1100" b="1"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out"/>
        <c:minorTickMark val="none"/>
        <c:tickLblPos val="nextTo"/>
        <c:crossAx val="1845194192"/>
        <c:crosses val="autoZero"/>
        <c:crossBetween val="between"/>
      </c:valAx>
      <c:spPr>
        <a:noFill/>
        <a:ln>
          <a:noFill/>
        </a:ln>
        <a:effectLst/>
      </c:spPr>
    </c:plotArea>
    <c:legend>
      <c:legendPos val="b"/>
      <c:layout>
        <c:manualLayout>
          <c:xMode val="edge"/>
          <c:yMode val="edge"/>
          <c:x val="6.594772296473865E-2"/>
          <c:y val="0.88534230751096232"/>
          <c:w val="0.89999993721381266"/>
          <c:h val="5.7771464944127493E-2"/>
        </c:manualLayout>
      </c:layout>
      <c:overlay val="0"/>
      <c:spPr>
        <a:noFill/>
        <a:ln>
          <a:solidFill>
            <a:schemeClr val="bg2"/>
          </a:solidFill>
        </a:ln>
        <a:effectLst/>
      </c:spPr>
      <c:txPr>
        <a:bodyPr rot="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bg2"/>
      </a:solidFill>
      <a:round/>
    </a:ln>
    <a:effectLst/>
  </c:spPr>
  <c:txPr>
    <a:bodyPr/>
    <a:lstStyle/>
    <a:p>
      <a:pPr>
        <a:defRPr sz="1000"/>
      </a:pPr>
      <a:endParaRPr lang="en-US"/>
    </a:p>
  </c:txPr>
  <c:externalData r:id="rId3">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spc="0" baseline="0">
                <a:solidFill>
                  <a:sysClr val="windowText" lastClr="000000"/>
                </a:solidFill>
                <a:latin typeface="+mn-lt"/>
                <a:ea typeface="+mn-ea"/>
                <a:cs typeface="+mn-cs"/>
              </a:defRPr>
            </a:pPr>
            <a:r>
              <a:rPr lang="en-US" sz="1100" b="1">
                <a:solidFill>
                  <a:sysClr val="windowText" lastClr="000000"/>
                </a:solidFill>
              </a:rPr>
              <a:t>n = 16</a:t>
            </a:r>
          </a:p>
        </c:rich>
      </c:tx>
      <c:layout>
        <c:manualLayout>
          <c:xMode val="edge"/>
          <c:yMode val="edge"/>
          <c:x val="0.94572783444086306"/>
          <c:y val="0.93971618778202837"/>
        </c:manualLayout>
      </c:layout>
      <c:overlay val="0"/>
      <c:spPr>
        <a:noFill/>
        <a:ln>
          <a:noFill/>
        </a:ln>
        <a:effectLst/>
      </c:spPr>
      <c:txPr>
        <a:bodyPr rot="0" spcFirstLastPara="1" vertOverflow="ellipsis" vert="horz" wrap="square" anchor="ctr" anchorCtr="1"/>
        <a:lstStyle/>
        <a:p>
          <a:pPr>
            <a:defRPr sz="1100" b="1"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50201403877401607"/>
          <c:y val="5.5329818928889281E-2"/>
          <c:w val="0.4827768357506988"/>
          <c:h val="0.83499761517092885"/>
        </c:manualLayout>
      </c:layout>
      <c:barChart>
        <c:barDir val="bar"/>
        <c:grouping val="stacked"/>
        <c:varyColors val="0"/>
        <c:ser>
          <c:idx val="0"/>
          <c:order val="0"/>
          <c:tx>
            <c:strRef>
              <c:f>'New question 6'!$J$13</c:f>
              <c:strCache>
                <c:ptCount val="1"/>
                <c:pt idx="0">
                  <c:v>Very useful</c:v>
                </c:pt>
              </c:strCache>
            </c:strRef>
          </c:tx>
          <c:spPr>
            <a:solidFill>
              <a:srgbClr val="21272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'New question 6'!$I$14:$I$22</c:f>
              <c:strCache>
                <c:ptCount val="9"/>
                <c:pt idx="0">
                  <c:v>Developing connections with the AP community</c:v>
                </c:pt>
                <c:pt idx="1">
                  <c:v>Identifying student strengths/weaknesses using available data  </c:v>
                </c:pt>
                <c:pt idx="2">
                  <c:v>Exploring ready-to-use pedagogical tools</c:v>
                </c:pt>
                <c:pt idx="3">
                  <c:v>Exploring course/exam descriptions</c:v>
                </c:pt>
                <c:pt idx="4">
                  <c:v>Begin to develop a course/instructional plan by unit</c:v>
                </c:pt>
                <c:pt idx="5">
                  <c:v>Examining assessment items to identify content and skill pairing</c:v>
                </c:pt>
                <c:pt idx="6">
                  <c:v>Practice applying the scoring guidelines from the most recent AP Exam to samples of student work</c:v>
                </c:pt>
                <c:pt idx="7">
                  <c:v>Exploring ready-to-use strategies</c:v>
                </c:pt>
                <c:pt idx="8">
                  <c:v>Exploring ready-to-use instructional materials</c:v>
                </c:pt>
              </c:strCache>
            </c:strRef>
          </c:cat>
          <c:val>
            <c:numRef>
              <c:f>'New question 6'!$J$14:$J$22</c:f>
              <c:numCache>
                <c:formatCode>0%</c:formatCode>
                <c:ptCount val="9"/>
                <c:pt idx="0">
                  <c:v>0.5</c:v>
                </c:pt>
                <c:pt idx="1">
                  <c:v>0.5625</c:v>
                </c:pt>
                <c:pt idx="2">
                  <c:v>0.6875</c:v>
                </c:pt>
                <c:pt idx="3">
                  <c:v>0.75</c:v>
                </c:pt>
                <c:pt idx="4">
                  <c:v>0.8125</c:v>
                </c:pt>
                <c:pt idx="5">
                  <c:v>0.8125</c:v>
                </c:pt>
                <c:pt idx="6">
                  <c:v>0.875</c:v>
                </c:pt>
                <c:pt idx="7">
                  <c:v>0.9375</c:v>
                </c:pt>
                <c:pt idx="8">
                  <c:v>0.9375</c:v>
                </c:pt>
              </c:numCache>
            </c:numRef>
          </c:val>
          <c:extLst>
            <c:ext xmlns:c16="http://schemas.microsoft.com/office/drawing/2014/chart" uri="{C3380CC4-5D6E-409C-BE32-E72D297353CC}">
              <c16:uniqueId val="{00000000-390E-4D6E-9800-20E3211EE4BA}"/>
            </c:ext>
          </c:extLst>
        </c:ser>
        <c:ser>
          <c:idx val="1"/>
          <c:order val="1"/>
          <c:tx>
            <c:strRef>
              <c:f>'New question 6'!$K$13</c:f>
              <c:strCache>
                <c:ptCount val="1"/>
                <c:pt idx="0">
                  <c:v>Moderately useful</c:v>
                </c:pt>
              </c:strCache>
            </c:strRef>
          </c:tx>
          <c:spPr>
            <a:solidFill>
              <a:srgbClr val="80001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'New question 6'!$I$14:$I$22</c:f>
              <c:strCache>
                <c:ptCount val="9"/>
                <c:pt idx="0">
                  <c:v>Developing connections with the AP community</c:v>
                </c:pt>
                <c:pt idx="1">
                  <c:v>Identifying student strengths/weaknesses using available data  </c:v>
                </c:pt>
                <c:pt idx="2">
                  <c:v>Exploring ready-to-use pedagogical tools</c:v>
                </c:pt>
                <c:pt idx="3">
                  <c:v>Exploring course/exam descriptions</c:v>
                </c:pt>
                <c:pt idx="4">
                  <c:v>Begin to develop a course/instructional plan by unit</c:v>
                </c:pt>
                <c:pt idx="5">
                  <c:v>Examining assessment items to identify content and skill pairing</c:v>
                </c:pt>
                <c:pt idx="6">
                  <c:v>Practice applying the scoring guidelines from the most recent AP Exam to samples of student work</c:v>
                </c:pt>
                <c:pt idx="7">
                  <c:v>Exploring ready-to-use strategies</c:v>
                </c:pt>
                <c:pt idx="8">
                  <c:v>Exploring ready-to-use instructional materials</c:v>
                </c:pt>
              </c:strCache>
            </c:strRef>
          </c:cat>
          <c:val>
            <c:numRef>
              <c:f>'New question 6'!$K$14:$K$22</c:f>
              <c:numCache>
                <c:formatCode>0%</c:formatCode>
                <c:ptCount val="9"/>
                <c:pt idx="0">
                  <c:v>0.1875</c:v>
                </c:pt>
                <c:pt idx="1">
                  <c:v>0.25</c:v>
                </c:pt>
                <c:pt idx="2">
                  <c:v>0.25</c:v>
                </c:pt>
                <c:pt idx="3">
                  <c:v>0.1875</c:v>
                </c:pt>
                <c:pt idx="4">
                  <c:v>6.25E-2</c:v>
                </c:pt>
                <c:pt idx="5">
                  <c:v>0.125</c:v>
                </c:pt>
                <c:pt idx="6">
                  <c:v>6.25E-2</c:v>
                </c:pt>
              </c:numCache>
            </c:numRef>
          </c:val>
          <c:extLst>
            <c:ext xmlns:c16="http://schemas.microsoft.com/office/drawing/2014/chart" uri="{C3380CC4-5D6E-409C-BE32-E72D297353CC}">
              <c16:uniqueId val="{00000001-390E-4D6E-9800-20E3211EE4BA}"/>
            </c:ext>
          </c:extLst>
        </c:ser>
        <c:ser>
          <c:idx val="2"/>
          <c:order val="2"/>
          <c:tx>
            <c:strRef>
              <c:f>'New question 6'!$L$13</c:f>
              <c:strCache>
                <c:ptCount val="1"/>
                <c:pt idx="0">
                  <c:v>Slightly useful</c:v>
                </c:pt>
              </c:strCache>
            </c:strRef>
          </c:tx>
          <c:spPr>
            <a:solidFill>
              <a:srgbClr val="A2AAAD"/>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'New question 6'!$I$14:$I$22</c:f>
              <c:strCache>
                <c:ptCount val="9"/>
                <c:pt idx="0">
                  <c:v>Developing connections with the AP community</c:v>
                </c:pt>
                <c:pt idx="1">
                  <c:v>Identifying student strengths/weaknesses using available data  </c:v>
                </c:pt>
                <c:pt idx="2">
                  <c:v>Exploring ready-to-use pedagogical tools</c:v>
                </c:pt>
                <c:pt idx="3">
                  <c:v>Exploring course/exam descriptions</c:v>
                </c:pt>
                <c:pt idx="4">
                  <c:v>Begin to develop a course/instructional plan by unit</c:v>
                </c:pt>
                <c:pt idx="5">
                  <c:v>Examining assessment items to identify content and skill pairing</c:v>
                </c:pt>
                <c:pt idx="6">
                  <c:v>Practice applying the scoring guidelines from the most recent AP Exam to samples of student work</c:v>
                </c:pt>
                <c:pt idx="7">
                  <c:v>Exploring ready-to-use strategies</c:v>
                </c:pt>
                <c:pt idx="8">
                  <c:v>Exploring ready-to-use instructional materials</c:v>
                </c:pt>
              </c:strCache>
            </c:strRef>
          </c:cat>
          <c:val>
            <c:numRef>
              <c:f>'New question 6'!$L$14:$L$22</c:f>
              <c:numCache>
                <c:formatCode>0%</c:formatCode>
                <c:ptCount val="9"/>
                <c:pt idx="0">
                  <c:v>0.1875</c:v>
                </c:pt>
                <c:pt idx="1">
                  <c:v>0.125</c:v>
                </c:pt>
                <c:pt idx="2">
                  <c:v>6.25E-2</c:v>
                </c:pt>
                <c:pt idx="3">
                  <c:v>6.25E-2</c:v>
                </c:pt>
                <c:pt idx="4">
                  <c:v>0.125</c:v>
                </c:pt>
                <c:pt idx="6">
                  <c:v>6.25E-2</c:v>
                </c:pt>
                <c:pt idx="7">
                  <c:v>6.25E-2</c:v>
                </c:pt>
                <c:pt idx="8">
                  <c:v>6.25E-2</c:v>
                </c:pt>
              </c:numCache>
            </c:numRef>
          </c:val>
          <c:extLst>
            <c:ext xmlns:c16="http://schemas.microsoft.com/office/drawing/2014/chart" uri="{C3380CC4-5D6E-409C-BE32-E72D297353CC}">
              <c16:uniqueId val="{00000002-390E-4D6E-9800-20E3211EE4BA}"/>
            </c:ext>
          </c:extLst>
        </c:ser>
        <c:ser>
          <c:idx val="3"/>
          <c:order val="3"/>
          <c:tx>
            <c:strRef>
              <c:f>'New question 6'!$M$13</c:f>
              <c:strCache>
                <c:ptCount val="1"/>
                <c:pt idx="0">
                  <c:v>Not at all useful</c:v>
                </c:pt>
              </c:strCache>
            </c:strRef>
          </c:tx>
          <c:spPr>
            <a:solidFill>
              <a:srgbClr val="44692D"/>
            </a:solidFill>
            <a:ln>
              <a:noFill/>
            </a:ln>
            <a:effectLst/>
          </c:spPr>
          <c:invertIfNegative val="0"/>
          <c:dLbls>
            <c:dLbl>
              <c:idx val="0"/>
              <c:layout>
                <c:manualLayout>
                  <c:x val="-1.0139299853466319E-16"/>
                  <c:y val="0"/>
                </c:manualLayout>
              </c:layout>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90E-4D6E-9800-20E3211EE4BA}"/>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'New question 6'!$I$14:$I$22</c:f>
              <c:strCache>
                <c:ptCount val="9"/>
                <c:pt idx="0">
                  <c:v>Developing connections with the AP community</c:v>
                </c:pt>
                <c:pt idx="1">
                  <c:v>Identifying student strengths/weaknesses using available data  </c:v>
                </c:pt>
                <c:pt idx="2">
                  <c:v>Exploring ready-to-use pedagogical tools</c:v>
                </c:pt>
                <c:pt idx="3">
                  <c:v>Exploring course/exam descriptions</c:v>
                </c:pt>
                <c:pt idx="4">
                  <c:v>Begin to develop a course/instructional plan by unit</c:v>
                </c:pt>
                <c:pt idx="5">
                  <c:v>Examining assessment items to identify content and skill pairing</c:v>
                </c:pt>
                <c:pt idx="6">
                  <c:v>Practice applying the scoring guidelines from the most recent AP Exam to samples of student work</c:v>
                </c:pt>
                <c:pt idx="7">
                  <c:v>Exploring ready-to-use strategies</c:v>
                </c:pt>
                <c:pt idx="8">
                  <c:v>Exploring ready-to-use instructional materials</c:v>
                </c:pt>
              </c:strCache>
            </c:strRef>
          </c:cat>
          <c:val>
            <c:numRef>
              <c:f>'New question 6'!$M$14:$M$22</c:f>
              <c:numCache>
                <c:formatCode>General</c:formatCode>
                <c:ptCount val="9"/>
                <c:pt idx="0" formatCode="0%">
                  <c:v>6.25E-2</c:v>
                </c:pt>
              </c:numCache>
            </c:numRef>
          </c:val>
          <c:extLst>
            <c:ext xmlns:c16="http://schemas.microsoft.com/office/drawing/2014/chart" uri="{C3380CC4-5D6E-409C-BE32-E72D297353CC}">
              <c16:uniqueId val="{00000004-390E-4D6E-9800-20E3211EE4BA}"/>
            </c:ext>
          </c:extLst>
        </c:ser>
        <c:ser>
          <c:idx val="4"/>
          <c:order val="4"/>
          <c:tx>
            <c:strRef>
              <c:f>'New question 6'!$N$13</c:f>
              <c:strCache>
                <c:ptCount val="1"/>
                <c:pt idx="0">
                  <c:v>I did not participate in this activity during the APSI</c:v>
                </c:pt>
              </c:strCache>
            </c:strRef>
          </c:tx>
          <c:spPr>
            <a:solidFill>
              <a:srgbClr val="5E4B3C"/>
            </a:solidFill>
            <a:ln>
              <a:noFill/>
            </a:ln>
            <a:effectLst/>
          </c:spPr>
          <c:invertIfNegative val="0"/>
          <c:dLbls>
            <c:dLbl>
              <c:idx val="5"/>
              <c:layout>
                <c:manualLayout>
                  <c:x val="0"/>
                  <c:y val="-5.9354493600186819E-1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90E-4D6E-9800-20E3211EE4BA}"/>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'New question 6'!$I$14:$I$22</c:f>
              <c:strCache>
                <c:ptCount val="9"/>
                <c:pt idx="0">
                  <c:v>Developing connections with the AP community</c:v>
                </c:pt>
                <c:pt idx="1">
                  <c:v>Identifying student strengths/weaknesses using available data  </c:v>
                </c:pt>
                <c:pt idx="2">
                  <c:v>Exploring ready-to-use pedagogical tools</c:v>
                </c:pt>
                <c:pt idx="3">
                  <c:v>Exploring course/exam descriptions</c:v>
                </c:pt>
                <c:pt idx="4">
                  <c:v>Begin to develop a course/instructional plan by unit</c:v>
                </c:pt>
                <c:pt idx="5">
                  <c:v>Examining assessment items to identify content and skill pairing</c:v>
                </c:pt>
                <c:pt idx="6">
                  <c:v>Practice applying the scoring guidelines from the most recent AP Exam to samples of student work</c:v>
                </c:pt>
                <c:pt idx="7">
                  <c:v>Exploring ready-to-use strategies</c:v>
                </c:pt>
                <c:pt idx="8">
                  <c:v>Exploring ready-to-use instructional materials</c:v>
                </c:pt>
              </c:strCache>
            </c:strRef>
          </c:cat>
          <c:val>
            <c:numRef>
              <c:f>'New question 6'!$N$14:$N$22</c:f>
              <c:numCache>
                <c:formatCode>0%</c:formatCode>
                <c:ptCount val="9"/>
                <c:pt idx="0">
                  <c:v>6.25E-2</c:v>
                </c:pt>
                <c:pt idx="1">
                  <c:v>6.25E-2</c:v>
                </c:pt>
                <c:pt idx="5">
                  <c:v>6.25E-2</c:v>
                </c:pt>
              </c:numCache>
            </c:numRef>
          </c:val>
          <c:extLst>
            <c:ext xmlns:c16="http://schemas.microsoft.com/office/drawing/2014/chart" uri="{C3380CC4-5D6E-409C-BE32-E72D297353CC}">
              <c16:uniqueId val="{00000006-390E-4D6E-9800-20E3211EE4BA}"/>
            </c:ext>
          </c:extLst>
        </c:ser>
        <c:dLbls>
          <c:dLblPos val="ctr"/>
          <c:showLegendKey val="0"/>
          <c:showVal val="1"/>
          <c:showCatName val="0"/>
          <c:showSerName val="0"/>
          <c:showPercent val="0"/>
          <c:showBubbleSize val="0"/>
        </c:dLbls>
        <c:gapWidth val="130"/>
        <c:overlap val="100"/>
        <c:axId val="84556319"/>
        <c:axId val="84544319"/>
      </c:barChart>
      <c:catAx>
        <c:axId val="84556319"/>
        <c:scaling>
          <c:orientation val="minMax"/>
        </c:scaling>
        <c:delete val="0"/>
        <c:axPos val="l"/>
        <c:numFmt formatCode="General" sourceLinked="1"/>
        <c:majorTickMark val="cross"/>
        <c:minorTickMark val="none"/>
        <c:tickLblPos val="nextTo"/>
        <c:spPr>
          <a:noFill/>
          <a:ln w="9525" cap="flat" cmpd="sng" algn="ctr">
            <a:solidFill>
              <a:srgbClr val="000000"/>
            </a:solidFill>
            <a:round/>
          </a:ln>
          <a:effectLst/>
        </c:spPr>
        <c:txPr>
          <a:bodyPr rot="-60000000" spcFirstLastPara="1" vertOverflow="ellipsis" vert="horz" wrap="square" anchor="ctr" anchorCtr="1"/>
          <a:lstStyle/>
          <a:p>
            <a:pPr>
              <a:defRPr sz="1050" b="0" i="0" u="none" strike="noStrike" kern="1200" baseline="0">
                <a:ln>
                  <a:noFill/>
                </a:ln>
                <a:solidFill>
                  <a:sysClr val="windowText" lastClr="000000"/>
                </a:solidFill>
                <a:latin typeface="+mn-lt"/>
                <a:ea typeface="+mn-ea"/>
                <a:cs typeface="+mn-cs"/>
              </a:defRPr>
            </a:pPr>
            <a:endParaRPr lang="en-US"/>
          </a:p>
        </c:txPr>
        <c:crossAx val="84544319"/>
        <c:crosses val="autoZero"/>
        <c:auto val="1"/>
        <c:lblAlgn val="ctr"/>
        <c:lblOffset val="100"/>
        <c:noMultiLvlLbl val="0"/>
      </c:catAx>
      <c:valAx>
        <c:axId val="84544319"/>
        <c:scaling>
          <c:orientation val="minMax"/>
          <c:max val="1"/>
        </c:scaling>
        <c:delete val="1"/>
        <c:axPos val="b"/>
        <c:numFmt formatCode="0%" sourceLinked="1"/>
        <c:majorTickMark val="out"/>
        <c:minorTickMark val="none"/>
        <c:tickLblPos val="nextTo"/>
        <c:crossAx val="84556319"/>
        <c:crosses val="autoZero"/>
        <c:crossBetween val="between"/>
      </c:valAx>
      <c:spPr>
        <a:noFill/>
        <a:ln>
          <a:noFill/>
        </a:ln>
        <a:effectLst/>
      </c:spPr>
    </c:plotArea>
    <c:legend>
      <c:legendPos val="b"/>
      <c:overlay val="0"/>
      <c:spPr>
        <a:noFill/>
        <a:ln>
          <a:solidFill>
            <a:schemeClr val="bg2"/>
          </a:solidFill>
        </a:ln>
        <a:effectLst/>
      </c:spPr>
      <c:txPr>
        <a:bodyPr rot="0" spcFirstLastPara="1" vertOverflow="ellipsis" vert="horz" wrap="square" anchor="ctr" anchorCtr="1"/>
        <a:lstStyle/>
        <a:p>
          <a:pPr>
            <a:defRPr sz="105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30512117235345582"/>
          <c:y val="3.6968576709796676E-2"/>
          <c:w val="0.5355260279965004"/>
          <c:h val="0.87496205891420353"/>
        </c:manualLayout>
      </c:layout>
      <c:barChart>
        <c:barDir val="bar"/>
        <c:grouping val="clustered"/>
        <c:varyColors val="0"/>
        <c:ser>
          <c:idx val="1"/>
          <c:order val="0"/>
          <c:tx>
            <c:strRef>
              <c:f>'DESC 8'!$I$14</c:f>
              <c:strCache>
                <c:ptCount val="1"/>
                <c:pt idx="0">
                  <c:v>SY2024</c:v>
                </c:pt>
              </c:strCache>
            </c:strRef>
          </c:tx>
          <c:spPr>
            <a:solidFill>
              <a:srgbClr val="881C1C"/>
            </a:solidFill>
            <a:ln>
              <a:noFill/>
            </a:ln>
            <a:effectLst/>
          </c:spPr>
          <c:invertIfNegative val="0"/>
          <c:dLbls>
            <c:spPr>
              <a:noFill/>
              <a:ln>
                <a:noFill/>
              </a:ln>
              <a:effectLst/>
            </c:spPr>
            <c:txPr>
              <a:bodyPr wrap="square" lIns="38100" tIns="19050" rIns="38100" bIns="19050" anchor="ctr">
                <a:spAutoFit/>
              </a:bodyPr>
              <a:lstStyle/>
              <a:p>
                <a:pPr>
                  <a:defRPr b="1"/>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'DESC 8'!$J$12:$P$12</c:f>
              <c:strCache>
                <c:ptCount val="7"/>
                <c:pt idx="0">
                  <c:v>12th Grade</c:v>
                </c:pt>
                <c:pt idx="1">
                  <c:v>11th Grade</c:v>
                </c:pt>
                <c:pt idx="2">
                  <c:v>9th/10th Grade</c:v>
                </c:pt>
                <c:pt idx="3">
                  <c:v>SWD</c:v>
                </c:pt>
                <c:pt idx="4">
                  <c:v>Low-income</c:v>
                </c:pt>
                <c:pt idx="5">
                  <c:v>Female</c:v>
                </c:pt>
                <c:pt idx="6">
                  <c:v>EL</c:v>
                </c:pt>
              </c:strCache>
            </c:strRef>
          </c:cat>
          <c:val>
            <c:numRef>
              <c:f>'DESC 8'!$J$14:$P$14</c:f>
              <c:numCache>
                <c:formatCode>0.0%</c:formatCode>
                <c:ptCount val="7"/>
                <c:pt idx="0">
                  <c:v>0.48759986684420764</c:v>
                </c:pt>
                <c:pt idx="1">
                  <c:v>0.41319906790945404</c:v>
                </c:pt>
                <c:pt idx="2">
                  <c:v>9.9201065246338219E-2</c:v>
                </c:pt>
                <c:pt idx="3">
                  <c:v>3.0792276964047939E-2</c:v>
                </c:pt>
                <c:pt idx="4">
                  <c:v>0.38373834886817576</c:v>
                </c:pt>
                <c:pt idx="5">
                  <c:v>0.57599999999999996</c:v>
                </c:pt>
                <c:pt idx="6">
                  <c:v>2.371837549933422E-2</c:v>
                </c:pt>
              </c:numCache>
            </c:numRef>
          </c:val>
          <c:extLst>
            <c:ext xmlns:c16="http://schemas.microsoft.com/office/drawing/2014/chart" uri="{C3380CC4-5D6E-409C-BE32-E72D297353CC}">
              <c16:uniqueId val="{00000000-9306-4EDA-B261-DB275F597293}"/>
            </c:ext>
          </c:extLst>
        </c:ser>
        <c:ser>
          <c:idx val="0"/>
          <c:order val="1"/>
          <c:tx>
            <c:strRef>
              <c:f>'DESC 8'!$I$13</c:f>
              <c:strCache>
                <c:ptCount val="1"/>
                <c:pt idx="0">
                  <c:v>SY2023</c:v>
                </c:pt>
              </c:strCache>
            </c:strRef>
          </c:tx>
          <c:spPr>
            <a:solidFill>
              <a:srgbClr val="212721"/>
            </a:solidFill>
            <a:ln>
              <a:noFill/>
            </a:ln>
            <a:effectLst/>
          </c:spPr>
          <c:invertIfNegative val="0"/>
          <c:dLbls>
            <c:spPr>
              <a:noFill/>
              <a:ln>
                <a:noFill/>
              </a:ln>
              <a:effectLst/>
            </c:spPr>
            <c:txPr>
              <a:bodyPr wrap="square" lIns="38100" tIns="19050" rIns="38100" bIns="19050" anchor="ctr">
                <a:spAutoFit/>
              </a:bodyPr>
              <a:lstStyle/>
              <a:p>
                <a:pPr>
                  <a:defRPr b="1"/>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'DESC 8'!$J$12:$P$12</c:f>
              <c:strCache>
                <c:ptCount val="7"/>
                <c:pt idx="0">
                  <c:v>12th Grade</c:v>
                </c:pt>
                <c:pt idx="1">
                  <c:v>11th Grade</c:v>
                </c:pt>
                <c:pt idx="2">
                  <c:v>9th/10th Grade</c:v>
                </c:pt>
                <c:pt idx="3">
                  <c:v>SWD</c:v>
                </c:pt>
                <c:pt idx="4">
                  <c:v>Low-income</c:v>
                </c:pt>
                <c:pt idx="5">
                  <c:v>Female</c:v>
                </c:pt>
                <c:pt idx="6">
                  <c:v>EL</c:v>
                </c:pt>
              </c:strCache>
            </c:strRef>
          </c:cat>
          <c:val>
            <c:numRef>
              <c:f>'DESC 8'!$J$13:$P$13</c:f>
              <c:numCache>
                <c:formatCode>0.0%</c:formatCode>
                <c:ptCount val="7"/>
                <c:pt idx="0">
                  <c:v>0.48516230093116358</c:v>
                </c:pt>
                <c:pt idx="1">
                  <c:v>0.41075624401705679</c:v>
                </c:pt>
                <c:pt idx="2">
                  <c:v>0.10408145505177964</c:v>
                </c:pt>
                <c:pt idx="3">
                  <c:v>2.7151683926551217E-2</c:v>
                </c:pt>
                <c:pt idx="4">
                  <c:v>0.38752066834914278</c:v>
                </c:pt>
                <c:pt idx="5">
                  <c:v>0.58299999999999996</c:v>
                </c:pt>
                <c:pt idx="6">
                  <c:v>2.7151683926551217E-2</c:v>
                </c:pt>
              </c:numCache>
            </c:numRef>
          </c:val>
          <c:extLst>
            <c:ext xmlns:c16="http://schemas.microsoft.com/office/drawing/2014/chart" uri="{C3380CC4-5D6E-409C-BE32-E72D297353CC}">
              <c16:uniqueId val="{00000001-9306-4EDA-B261-DB275F597293}"/>
            </c:ext>
          </c:extLst>
        </c:ser>
        <c:dLbls>
          <c:dLblPos val="outEnd"/>
          <c:showLegendKey val="0"/>
          <c:showVal val="1"/>
          <c:showCatName val="0"/>
          <c:showSerName val="0"/>
          <c:showPercent val="0"/>
          <c:showBubbleSize val="0"/>
        </c:dLbls>
        <c:gapWidth val="50"/>
        <c:overlap val="-10"/>
        <c:axId val="728093104"/>
        <c:axId val="728093584"/>
      </c:barChart>
      <c:catAx>
        <c:axId val="728093104"/>
        <c:scaling>
          <c:orientation val="minMax"/>
        </c:scaling>
        <c:delete val="0"/>
        <c:axPos val="l"/>
        <c:numFmt formatCode="General" sourceLinked="1"/>
        <c:majorTickMark val="cross"/>
        <c:minorTickMark val="none"/>
        <c:tickLblPos val="nextTo"/>
        <c:spPr>
          <a:noFill/>
          <a:ln w="12700" cap="flat" cmpd="sng" algn="ctr">
            <a:solidFill>
              <a:schemeClr val="tx1"/>
            </a:solidFill>
            <a:round/>
          </a:ln>
          <a:effectLst/>
        </c:spPr>
        <c:txPr>
          <a:bodyPr rot="-60000000" spcFirstLastPara="1" vertOverflow="ellipsis" vert="horz" wrap="square" anchor="ctr" anchorCtr="1"/>
          <a:lstStyle/>
          <a:p>
            <a:pPr>
              <a:defRPr sz="1100" b="0" i="0" u="none" strike="noStrike" kern="1200" baseline="0">
                <a:solidFill>
                  <a:schemeClr val="tx1"/>
                </a:solidFill>
                <a:latin typeface="+mn-lt"/>
                <a:ea typeface="+mn-ea"/>
                <a:cs typeface="+mn-cs"/>
              </a:defRPr>
            </a:pPr>
            <a:endParaRPr lang="en-US"/>
          </a:p>
        </c:txPr>
        <c:crossAx val="728093584"/>
        <c:crosses val="autoZero"/>
        <c:auto val="1"/>
        <c:lblAlgn val="ctr"/>
        <c:lblOffset val="100"/>
        <c:noMultiLvlLbl val="0"/>
      </c:catAx>
      <c:valAx>
        <c:axId val="728093584"/>
        <c:scaling>
          <c:orientation val="minMax"/>
        </c:scaling>
        <c:delete val="1"/>
        <c:axPos val="b"/>
        <c:numFmt formatCode="#,##0" sourceLinked="0"/>
        <c:majorTickMark val="none"/>
        <c:minorTickMark val="none"/>
        <c:tickLblPos val="nextTo"/>
        <c:crossAx val="728093104"/>
        <c:crosses val="autoZero"/>
        <c:crossBetween val="between"/>
      </c:valAx>
    </c:plotArea>
    <c:legend>
      <c:legendPos val="r"/>
      <c:layout>
        <c:manualLayout>
          <c:xMode val="edge"/>
          <c:yMode val="edge"/>
          <c:x val="0.72398053368328963"/>
          <c:y val="0.44523397774740425"/>
          <c:w val="0.18157502187226593"/>
          <c:h val="0.15994347539022755"/>
        </c:manualLayout>
      </c:layout>
      <c:overlay val="0"/>
      <c:spPr>
        <a:noFill/>
        <a:ln>
          <a:solidFill>
            <a:schemeClr val="bg2"/>
          </a:solidFill>
        </a:ln>
        <a:effectLst/>
      </c:spPr>
      <c:txPr>
        <a:bodyPr rot="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en-US"/>
        </a:p>
      </c:txPr>
    </c:legend>
    <c:plotVisOnly val="1"/>
    <c:dispBlanksAs val="gap"/>
    <c:showDLblsOverMax val="0"/>
    <c:extLst/>
  </c:chart>
  <c:spPr>
    <a:ln>
      <a:solidFill>
        <a:schemeClr val="bg2"/>
      </a:solidFill>
    </a:ln>
  </c:spPr>
  <c:txPr>
    <a:bodyPr/>
    <a:lstStyle/>
    <a:p>
      <a:pPr>
        <a:defRPr/>
      </a:pPr>
      <a:endParaRPr lang="en-US"/>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185197787655246"/>
          <c:y val="2.5364334270535725E-2"/>
          <c:w val="0.85266513376861652"/>
          <c:h val="0.82419202853583762"/>
        </c:manualLayout>
      </c:layout>
      <c:barChart>
        <c:barDir val="bar"/>
        <c:grouping val="percentStacked"/>
        <c:varyColors val="0"/>
        <c:ser>
          <c:idx val="2"/>
          <c:order val="0"/>
          <c:tx>
            <c:strRef>
              <c:f>'DESC 10'!$J$9</c:f>
              <c:strCache>
                <c:ptCount val="1"/>
                <c:pt idx="0">
                  <c:v>Both Supports</c:v>
                </c:pt>
              </c:strCache>
            </c:strRef>
          </c:tx>
          <c:spPr>
            <a:solidFill>
              <a:srgbClr val="212721"/>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'DESC 10'!$J$12:$J$13</c:f>
              <c:strCache>
                <c:ptCount val="2"/>
                <c:pt idx="0">
                  <c:v>SY2023</c:v>
                </c:pt>
                <c:pt idx="1">
                  <c:v>SY2024</c:v>
                </c:pt>
              </c:strCache>
            </c:strRef>
          </c:cat>
          <c:val>
            <c:numRef>
              <c:f>('DESC 10'!$L$9,'DESC 10'!$N$9)</c:f>
              <c:numCache>
                <c:formatCode>0.0%</c:formatCode>
                <c:ptCount val="2"/>
                <c:pt idx="0">
                  <c:v>0.29066225741884955</c:v>
                </c:pt>
                <c:pt idx="1">
                  <c:v>0.27804593874833555</c:v>
                </c:pt>
              </c:numCache>
            </c:numRef>
          </c:val>
          <c:extLst>
            <c:ext xmlns:c16="http://schemas.microsoft.com/office/drawing/2014/chart" uri="{C3380CC4-5D6E-409C-BE32-E72D297353CC}">
              <c16:uniqueId val="{00000000-E585-4EF8-B90A-FC1C386AEA21}"/>
            </c:ext>
          </c:extLst>
        </c:ser>
        <c:ser>
          <c:idx val="0"/>
          <c:order val="1"/>
          <c:tx>
            <c:strRef>
              <c:f>'DESC 10'!$J$8</c:f>
              <c:strCache>
                <c:ptCount val="1"/>
                <c:pt idx="0">
                  <c:v>Mock Exam Only</c:v>
                </c:pt>
              </c:strCache>
            </c:strRef>
          </c:tx>
          <c:spPr>
            <a:solidFill>
              <a:srgbClr val="881C1C"/>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'DESC 10'!$J$12:$J$13</c:f>
              <c:strCache>
                <c:ptCount val="2"/>
                <c:pt idx="0">
                  <c:v>SY2023</c:v>
                </c:pt>
                <c:pt idx="1">
                  <c:v>SY2024</c:v>
                </c:pt>
              </c:strCache>
            </c:strRef>
          </c:cat>
          <c:val>
            <c:numRef>
              <c:f>('DESC 10'!$L$8,'DESC 10'!$N$8)</c:f>
              <c:numCache>
                <c:formatCode>0.0%</c:formatCode>
                <c:ptCount val="2"/>
                <c:pt idx="0">
                  <c:v>0.31441998085458184</c:v>
                </c:pt>
                <c:pt idx="1">
                  <c:v>0.35319573901464713</c:v>
                </c:pt>
              </c:numCache>
            </c:numRef>
          </c:val>
          <c:extLst>
            <c:ext xmlns:c16="http://schemas.microsoft.com/office/drawing/2014/chart" uri="{C3380CC4-5D6E-409C-BE32-E72D297353CC}">
              <c16:uniqueId val="{00000001-E585-4EF8-B90A-FC1C386AEA21}"/>
            </c:ext>
          </c:extLst>
        </c:ser>
        <c:ser>
          <c:idx val="1"/>
          <c:order val="2"/>
          <c:tx>
            <c:strRef>
              <c:f>'DESC 10'!$J$7</c:f>
              <c:strCache>
                <c:ptCount val="1"/>
                <c:pt idx="0">
                  <c:v>Study Session Only</c:v>
                </c:pt>
              </c:strCache>
            </c:strRef>
          </c:tx>
          <c:spPr>
            <a:solidFill>
              <a:srgbClr val="44692D"/>
            </a:solidFill>
            <a:ln>
              <a:noFill/>
            </a:ln>
            <a:effectLst/>
          </c:spPr>
          <c:invertIfNegative val="0"/>
          <c:dLbls>
            <c:dLbl>
              <c:idx val="0"/>
              <c:layout>
                <c:manualLayout>
                  <c:x val="0"/>
                  <c:y val="0.14116263619116914"/>
                </c:manualLayout>
              </c:layout>
              <c:numFmt formatCode="0.0%" sourceLinked="0"/>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585-4EF8-B90A-FC1C386AEA21}"/>
                </c:ext>
              </c:extLst>
            </c:dLbl>
            <c:dLbl>
              <c:idx val="1"/>
              <c:layout>
                <c:manualLayout>
                  <c:x val="2.5876568766980551E-3"/>
                  <c:y val="0.14116137311517485"/>
                </c:manualLayout>
              </c:layout>
              <c:tx>
                <c:rich>
                  <a:bodyPr/>
                  <a:lstStyle/>
                  <a:p>
                    <a:fld id="{F3584813-FA67-499F-ADFB-EF220795E31C}" type="VALUE">
                      <a:rPr lang="en-US">
                        <a:solidFill>
                          <a:schemeClr val="tx1"/>
                        </a:solidFill>
                      </a:rPr>
                      <a:pPr/>
                      <a:t>[VALUE]</a:t>
                    </a:fld>
                    <a:endParaRPr lang="en-US"/>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E585-4EF8-B90A-FC1C386AEA21}"/>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'DESC 10'!$J$12:$J$13</c:f>
              <c:strCache>
                <c:ptCount val="2"/>
                <c:pt idx="0">
                  <c:v>SY2023</c:v>
                </c:pt>
                <c:pt idx="1">
                  <c:v>SY2024</c:v>
                </c:pt>
              </c:strCache>
            </c:strRef>
          </c:cat>
          <c:val>
            <c:numRef>
              <c:f>('DESC 10'!$L$7,'DESC 10'!$N$7)</c:f>
              <c:numCache>
                <c:formatCode>0.0%</c:formatCode>
                <c:ptCount val="2"/>
                <c:pt idx="0">
                  <c:v>5.082238273431381E-2</c:v>
                </c:pt>
                <c:pt idx="1">
                  <c:v>3.7117177097203725E-2</c:v>
                </c:pt>
              </c:numCache>
            </c:numRef>
          </c:val>
          <c:extLst>
            <c:ext xmlns:c16="http://schemas.microsoft.com/office/drawing/2014/chart" uri="{C3380CC4-5D6E-409C-BE32-E72D297353CC}">
              <c16:uniqueId val="{00000004-E585-4EF8-B90A-FC1C386AEA21}"/>
            </c:ext>
          </c:extLst>
        </c:ser>
        <c:ser>
          <c:idx val="3"/>
          <c:order val="3"/>
          <c:tx>
            <c:strRef>
              <c:f>'DESC 10'!$J$6</c:f>
              <c:strCache>
                <c:ptCount val="1"/>
                <c:pt idx="0">
                  <c:v>Neither Support</c:v>
                </c:pt>
              </c:strCache>
            </c:strRef>
          </c:tx>
          <c:spPr>
            <a:solidFill>
              <a:srgbClr val="5E4B3C"/>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'DESC 10'!$J$12:$J$13</c:f>
              <c:strCache>
                <c:ptCount val="2"/>
                <c:pt idx="0">
                  <c:v>SY2023</c:v>
                </c:pt>
                <c:pt idx="1">
                  <c:v>SY2024</c:v>
                </c:pt>
              </c:strCache>
            </c:strRef>
          </c:cat>
          <c:val>
            <c:numRef>
              <c:f>('DESC 10'!$L$6,'DESC 10'!$N$6)</c:f>
              <c:numCache>
                <c:formatCode>0.0%</c:formatCode>
                <c:ptCount val="2"/>
                <c:pt idx="0">
                  <c:v>0.34409537899225479</c:v>
                </c:pt>
                <c:pt idx="1">
                  <c:v>0.33164114513981358</c:v>
                </c:pt>
              </c:numCache>
            </c:numRef>
          </c:val>
          <c:extLst>
            <c:ext xmlns:c16="http://schemas.microsoft.com/office/drawing/2014/chart" uri="{C3380CC4-5D6E-409C-BE32-E72D297353CC}">
              <c16:uniqueId val="{00000005-E585-4EF8-B90A-FC1C386AEA21}"/>
            </c:ext>
          </c:extLst>
        </c:ser>
        <c:dLbls>
          <c:dLblPos val="ctr"/>
          <c:showLegendKey val="0"/>
          <c:showVal val="1"/>
          <c:showCatName val="0"/>
          <c:showSerName val="0"/>
          <c:showPercent val="0"/>
          <c:showBubbleSize val="0"/>
        </c:dLbls>
        <c:gapWidth val="99"/>
        <c:overlap val="100"/>
        <c:axId val="728093104"/>
        <c:axId val="728093584"/>
      </c:barChart>
      <c:catAx>
        <c:axId val="728093104"/>
        <c:scaling>
          <c:orientation val="maxMin"/>
        </c:scaling>
        <c:delete val="0"/>
        <c:axPos val="l"/>
        <c:numFmt formatCode="General" sourceLinked="1"/>
        <c:majorTickMark val="cross"/>
        <c:minorTickMark val="none"/>
        <c:tickLblPos val="nextTo"/>
        <c:spPr>
          <a:noFill/>
          <a:ln w="12700" cap="flat" cmpd="sng" algn="ctr">
            <a:solidFill>
              <a:schemeClr val="tx1"/>
            </a:solidFill>
            <a:round/>
          </a:ln>
          <a:effectLst/>
        </c:spPr>
        <c:txPr>
          <a:bodyPr rot="-5400000" spcFirstLastPara="1" vertOverflow="ellipsis" vert="horz" wrap="square" anchor="ctr" anchorCtr="1"/>
          <a:lstStyle/>
          <a:p>
            <a:pPr>
              <a:defRPr sz="1100" b="1" i="0" u="none" strike="noStrike" kern="1200" baseline="0">
                <a:solidFill>
                  <a:schemeClr val="tx1"/>
                </a:solidFill>
                <a:latin typeface="+mn-lt"/>
                <a:ea typeface="+mn-ea"/>
                <a:cs typeface="+mn-cs"/>
              </a:defRPr>
            </a:pPr>
            <a:endParaRPr lang="en-US"/>
          </a:p>
        </c:txPr>
        <c:crossAx val="728093584"/>
        <c:crosses val="autoZero"/>
        <c:auto val="1"/>
        <c:lblAlgn val="ctr"/>
        <c:lblOffset val="100"/>
        <c:noMultiLvlLbl val="0"/>
      </c:catAx>
      <c:valAx>
        <c:axId val="728093584"/>
        <c:scaling>
          <c:orientation val="minMax"/>
        </c:scaling>
        <c:delete val="1"/>
        <c:axPos val="t"/>
        <c:numFmt formatCode="0%" sourceLinked="0"/>
        <c:majorTickMark val="none"/>
        <c:minorTickMark val="none"/>
        <c:tickLblPos val="nextTo"/>
        <c:crossAx val="728093104"/>
        <c:crosses val="autoZero"/>
        <c:crossBetween val="between"/>
      </c:valAx>
    </c:plotArea>
    <c:legend>
      <c:legendPos val="r"/>
      <c:legendEntry>
        <c:idx val="2"/>
        <c:txPr>
          <a:bodyPr rot="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en-US"/>
          </a:p>
        </c:txPr>
      </c:legendEntry>
      <c:layout>
        <c:manualLayout>
          <c:xMode val="edge"/>
          <c:yMode val="edge"/>
          <c:x val="6.7104951612334443E-2"/>
          <c:y val="0.87025215907417508"/>
          <c:w val="0.90443090395819814"/>
          <c:h val="0.12561928007685555"/>
        </c:manualLayout>
      </c:layout>
      <c:overlay val="0"/>
      <c:spPr>
        <a:noFill/>
        <a:ln>
          <a:solidFill>
            <a:schemeClr val="bg2"/>
          </a:solidFill>
        </a:ln>
        <a:effectLst/>
      </c:spPr>
      <c:txPr>
        <a:bodyPr rot="0" spcFirstLastPara="1" vertOverflow="ellipsis" vert="horz" wrap="square" anchor="ctr" anchorCtr="1"/>
        <a:lstStyle/>
        <a:p>
          <a:pPr>
            <a:defRPr sz="1100" b="0" i="0" u="none" strike="noStrike" kern="1200" baseline="0">
              <a:solidFill>
                <a:schemeClr val="tx1"/>
              </a:solidFill>
              <a:latin typeface="+mn-lt"/>
              <a:ea typeface="+mn-ea"/>
              <a:cs typeface="+mn-cs"/>
            </a:defRPr>
          </a:pPr>
          <a:endParaRPr lang="en-US"/>
        </a:p>
      </c:txPr>
    </c:legend>
    <c:plotVisOnly val="1"/>
    <c:dispBlanksAs val="gap"/>
    <c:showDLblsOverMax val="0"/>
    <c:extLst/>
  </c:chart>
  <c:spPr>
    <a:ln>
      <a:solidFill>
        <a:schemeClr val="bg2"/>
      </a:solidFill>
    </a:ln>
  </c:spPr>
  <c:txPr>
    <a:bodyPr/>
    <a:lstStyle/>
    <a:p>
      <a:pPr>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1691021806130734"/>
          <c:y val="3.4997111434440259E-2"/>
          <c:w val="0.77591766836320353"/>
          <c:h val="0.8742495078740159"/>
        </c:manualLayout>
      </c:layout>
      <c:barChart>
        <c:barDir val="bar"/>
        <c:grouping val="clustered"/>
        <c:varyColors val="0"/>
        <c:ser>
          <c:idx val="1"/>
          <c:order val="0"/>
          <c:tx>
            <c:v>Asian</c:v>
          </c:tx>
          <c:spPr>
            <a:solidFill>
              <a:srgbClr val="212721"/>
            </a:solidFill>
            <a:ln>
              <a:solidFill>
                <a:srgbClr val="21272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'DESC 18'!$AU$134:$AU$135</c:f>
              <c:strCache>
                <c:ptCount val="2"/>
                <c:pt idx="0">
                  <c:v>Any AP Mock Exams</c:v>
                </c:pt>
                <c:pt idx="1">
                  <c:v>Any AP Study Sessions </c:v>
                </c:pt>
              </c:strCache>
            </c:strRef>
          </c:cat>
          <c:val>
            <c:numRef>
              <c:f>('DESC 18'!$AI$8,'DESC 18'!$AI$35)</c:f>
              <c:numCache>
                <c:formatCode>0.0%</c:formatCode>
                <c:ptCount val="2"/>
                <c:pt idx="0">
                  <c:v>0.67348927875243669</c:v>
                </c:pt>
                <c:pt idx="1">
                  <c:v>0.41228070175438597</c:v>
                </c:pt>
              </c:numCache>
            </c:numRef>
          </c:val>
          <c:extLst>
            <c:ext xmlns:c16="http://schemas.microsoft.com/office/drawing/2014/chart" uri="{C3380CC4-5D6E-409C-BE32-E72D297353CC}">
              <c16:uniqueId val="{00000000-7A27-4840-ABEB-B14BFE0A4CC2}"/>
            </c:ext>
          </c:extLst>
        </c:ser>
        <c:ser>
          <c:idx val="2"/>
          <c:order val="1"/>
          <c:tx>
            <c:v>Black</c:v>
          </c:tx>
          <c:spPr>
            <a:solidFill>
              <a:srgbClr val="881C1C"/>
            </a:solidFill>
            <a:ln>
              <a:solidFill>
                <a:srgbClr val="881C1C"/>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'DESC 18'!$AU$134:$AU$135</c:f>
              <c:strCache>
                <c:ptCount val="2"/>
                <c:pt idx="0">
                  <c:v>Any AP Mock Exams</c:v>
                </c:pt>
                <c:pt idx="1">
                  <c:v>Any AP Study Sessions </c:v>
                </c:pt>
              </c:strCache>
            </c:strRef>
          </c:cat>
          <c:val>
            <c:numRef>
              <c:f>('DESC 18'!$AI$7,'DESC 18'!$AI$34)</c:f>
              <c:numCache>
                <c:formatCode>0.0%</c:formatCode>
                <c:ptCount val="2"/>
                <c:pt idx="0">
                  <c:v>0.57093663911845727</c:v>
                </c:pt>
                <c:pt idx="1">
                  <c:v>0.39669421487603307</c:v>
                </c:pt>
              </c:numCache>
            </c:numRef>
          </c:val>
          <c:extLst>
            <c:ext xmlns:c16="http://schemas.microsoft.com/office/drawing/2014/chart" uri="{C3380CC4-5D6E-409C-BE32-E72D297353CC}">
              <c16:uniqueId val="{00000001-7A27-4840-ABEB-B14BFE0A4CC2}"/>
            </c:ext>
          </c:extLst>
        </c:ser>
        <c:ser>
          <c:idx val="4"/>
          <c:order val="2"/>
          <c:tx>
            <c:v>Latino</c:v>
          </c:tx>
          <c:spPr>
            <a:solidFill>
              <a:srgbClr val="A2AAAD"/>
            </a:solidFill>
            <a:ln>
              <a:solidFill>
                <a:srgbClr val="A2AAAD"/>
              </a:solidFill>
            </a:ln>
          </c:spPr>
          <c:invertIfNegative val="0"/>
          <c:dLbls>
            <c:spPr>
              <a:noFill/>
              <a:ln>
                <a:noFill/>
              </a:ln>
              <a:effectLst/>
            </c:spPr>
            <c:txPr>
              <a:bodyPr wrap="square" lIns="38100" tIns="19050" rIns="38100" bIns="19050" anchor="ctr">
                <a:spAutoFit/>
              </a:bodyPr>
              <a:lstStyle/>
              <a:p>
                <a:pPr>
                  <a:defRPr sz="1100" b="1">
                    <a:solidFill>
                      <a:sysClr val="windowText" lastClr="000000"/>
                    </a:solidFill>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'DESC 18'!$AU$134:$AU$135</c:f>
              <c:strCache>
                <c:ptCount val="2"/>
                <c:pt idx="0">
                  <c:v>Any AP Mock Exams</c:v>
                </c:pt>
                <c:pt idx="1">
                  <c:v>Any AP Study Sessions </c:v>
                </c:pt>
              </c:strCache>
            </c:strRef>
          </c:cat>
          <c:val>
            <c:numRef>
              <c:f>('DESC 18'!$AI$12,'DESC 18'!$AI$39)</c:f>
              <c:numCache>
                <c:formatCode>0.0%</c:formatCode>
                <c:ptCount val="2"/>
                <c:pt idx="0">
                  <c:v>0.51420029895366215</c:v>
                </c:pt>
                <c:pt idx="1">
                  <c:v>0.28736920777279523</c:v>
                </c:pt>
              </c:numCache>
            </c:numRef>
          </c:val>
          <c:extLst>
            <c:ext xmlns:c16="http://schemas.microsoft.com/office/drawing/2014/chart" uri="{C3380CC4-5D6E-409C-BE32-E72D297353CC}">
              <c16:uniqueId val="{00000002-7A27-4840-ABEB-B14BFE0A4CC2}"/>
            </c:ext>
          </c:extLst>
        </c:ser>
        <c:ser>
          <c:idx val="0"/>
          <c:order val="3"/>
          <c:tx>
            <c:v>Multiracial</c:v>
          </c:tx>
          <c:spPr>
            <a:solidFill>
              <a:srgbClr val="44692D"/>
            </a:solidFill>
            <a:ln>
              <a:solidFill>
                <a:srgbClr val="44692D"/>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'DESC 18'!$AU$134:$AU$135</c:f>
              <c:strCache>
                <c:ptCount val="2"/>
                <c:pt idx="0">
                  <c:v>Any AP Mock Exams</c:v>
                </c:pt>
                <c:pt idx="1">
                  <c:v>Any AP Study Sessions </c:v>
                </c:pt>
              </c:strCache>
            </c:strRef>
          </c:cat>
          <c:val>
            <c:numRef>
              <c:f>('DESC 18'!$AI$11,'DESC 18'!$AI$38)</c:f>
              <c:numCache>
                <c:formatCode>0.0%</c:formatCode>
                <c:ptCount val="2"/>
                <c:pt idx="0">
                  <c:v>0.60256410256410253</c:v>
                </c:pt>
                <c:pt idx="1">
                  <c:v>0.35384615384615387</c:v>
                </c:pt>
              </c:numCache>
            </c:numRef>
          </c:val>
          <c:extLst>
            <c:ext xmlns:c16="http://schemas.microsoft.com/office/drawing/2014/chart" uri="{C3380CC4-5D6E-409C-BE32-E72D297353CC}">
              <c16:uniqueId val="{00000003-7A27-4840-ABEB-B14BFE0A4CC2}"/>
            </c:ext>
          </c:extLst>
        </c:ser>
        <c:ser>
          <c:idx val="3"/>
          <c:order val="4"/>
          <c:tx>
            <c:v>White</c:v>
          </c:tx>
          <c:spPr>
            <a:solidFill>
              <a:srgbClr val="5E4B3C"/>
            </a:solidFill>
            <a:ln>
              <a:solidFill>
                <a:srgbClr val="5E4B3C"/>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'DESC 18'!$AU$134:$AU$135</c:f>
              <c:strCache>
                <c:ptCount val="2"/>
                <c:pt idx="0">
                  <c:v>Any AP Mock Exams</c:v>
                </c:pt>
                <c:pt idx="1">
                  <c:v>Any AP Study Sessions </c:v>
                </c:pt>
              </c:strCache>
            </c:strRef>
          </c:cat>
          <c:val>
            <c:numRef>
              <c:f>('DESC 18'!$AI$6,'DESC 18'!$AK$33)</c:f>
              <c:numCache>
                <c:formatCode>0.0%</c:formatCode>
                <c:ptCount val="2"/>
                <c:pt idx="0">
                  <c:v>0.6428571428571429</c:v>
                </c:pt>
                <c:pt idx="1">
                  <c:v>0.28465443186255368</c:v>
                </c:pt>
              </c:numCache>
            </c:numRef>
          </c:val>
          <c:extLst>
            <c:ext xmlns:c16="http://schemas.microsoft.com/office/drawing/2014/chart" uri="{C3380CC4-5D6E-409C-BE32-E72D297353CC}">
              <c16:uniqueId val="{00000004-7A27-4840-ABEB-B14BFE0A4CC2}"/>
            </c:ext>
          </c:extLst>
        </c:ser>
        <c:dLbls>
          <c:dLblPos val="inEnd"/>
          <c:showLegendKey val="0"/>
          <c:showVal val="1"/>
          <c:showCatName val="0"/>
          <c:showSerName val="0"/>
          <c:showPercent val="0"/>
          <c:showBubbleSize val="0"/>
        </c:dLbls>
        <c:gapWidth val="182"/>
        <c:overlap val="-10"/>
        <c:axId val="1131719743"/>
        <c:axId val="1131720223"/>
      </c:barChart>
      <c:catAx>
        <c:axId val="1131719743"/>
        <c:scaling>
          <c:orientation val="maxMin"/>
        </c:scaling>
        <c:delete val="0"/>
        <c:axPos val="l"/>
        <c:numFmt formatCode="General" sourceLinked="1"/>
        <c:majorTickMark val="cross"/>
        <c:minorTickMark val="none"/>
        <c:tickLblPos val="nextTo"/>
        <c:spPr>
          <a:noFill/>
          <a:ln w="15875" cap="flat" cmpd="sng" algn="ctr">
            <a:solidFill>
              <a:schemeClr val="tx1"/>
            </a:solidFill>
            <a:round/>
          </a:ln>
          <a:effectLst/>
        </c:spPr>
        <c:txPr>
          <a:bodyPr rot="-60000000" spcFirstLastPara="1" vertOverflow="ellipsis" vert="horz" wrap="square" anchor="ctr" anchorCtr="1"/>
          <a:lstStyle/>
          <a:p>
            <a:pPr>
              <a:defRPr sz="1100" b="1" i="0" u="none" strike="noStrike" kern="1200" baseline="0">
                <a:solidFill>
                  <a:sysClr val="windowText" lastClr="000000"/>
                </a:solidFill>
                <a:latin typeface="+mn-lt"/>
                <a:ea typeface="+mn-ea"/>
                <a:cs typeface="+mn-cs"/>
              </a:defRPr>
            </a:pPr>
            <a:endParaRPr lang="en-US"/>
          </a:p>
        </c:txPr>
        <c:crossAx val="1131720223"/>
        <c:crosses val="autoZero"/>
        <c:auto val="1"/>
        <c:lblAlgn val="ctr"/>
        <c:lblOffset val="100"/>
        <c:noMultiLvlLbl val="0"/>
      </c:catAx>
      <c:valAx>
        <c:axId val="1131720223"/>
        <c:scaling>
          <c:orientation val="minMax"/>
        </c:scaling>
        <c:delete val="1"/>
        <c:axPos val="t"/>
        <c:numFmt formatCode="0.0%" sourceLinked="1"/>
        <c:majorTickMark val="none"/>
        <c:minorTickMark val="none"/>
        <c:tickLblPos val="nextTo"/>
        <c:crossAx val="1131719743"/>
        <c:crosses val="autoZero"/>
        <c:crossBetween val="between"/>
      </c:valAx>
    </c:plotArea>
    <c:legend>
      <c:legendPos val="b"/>
      <c:overlay val="0"/>
      <c:txPr>
        <a:bodyPr/>
        <a:lstStyle/>
        <a:p>
          <a:pPr>
            <a:defRPr sz="1100"/>
          </a:pPr>
          <a:endParaRPr lang="en-US"/>
        </a:p>
      </c:txPr>
    </c:legend>
    <c:plotVisOnly val="1"/>
    <c:dispBlanksAs val="gap"/>
    <c:showDLblsOverMax val="0"/>
    <c:extLst/>
  </c:chart>
  <c:spPr>
    <a:ln>
      <a:solidFill>
        <a:schemeClr val="bg2"/>
      </a:solidFill>
    </a:ln>
  </c:spPr>
  <c:txPr>
    <a:bodyPr/>
    <a:lstStyle/>
    <a:p>
      <a:pPr>
        <a:defRPr/>
      </a:pPr>
      <a:endParaRPr lang="en-US"/>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020986667424457"/>
          <c:y val="3.4997111434440259E-2"/>
          <c:w val="0.76734575367785607"/>
          <c:h val="0.8742495078740159"/>
        </c:manualLayout>
      </c:layout>
      <c:barChart>
        <c:barDir val="bar"/>
        <c:grouping val="clustered"/>
        <c:varyColors val="0"/>
        <c:ser>
          <c:idx val="1"/>
          <c:order val="0"/>
          <c:tx>
            <c:v>Asian</c:v>
          </c:tx>
          <c:spPr>
            <a:solidFill>
              <a:srgbClr val="212721"/>
            </a:solidFill>
            <a:ln>
              <a:solidFill>
                <a:srgbClr val="21272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'DESC 18'!$BC$134:$BC$135</c:f>
              <c:strCache>
                <c:ptCount val="2"/>
                <c:pt idx="0">
                  <c:v>Any AP Mock Exams</c:v>
                </c:pt>
                <c:pt idx="1">
                  <c:v>Any AP Study Sessions</c:v>
                </c:pt>
              </c:strCache>
            </c:strRef>
          </c:cat>
          <c:val>
            <c:numRef>
              <c:f>('DESC 18'!$AQ$8,'DESC 18'!$AQ$35)</c:f>
              <c:numCache>
                <c:formatCode>0.0%</c:formatCode>
                <c:ptCount val="2"/>
                <c:pt idx="0">
                  <c:v>0.70594479830148615</c:v>
                </c:pt>
                <c:pt idx="1">
                  <c:v>0.43312101910828027</c:v>
                </c:pt>
              </c:numCache>
            </c:numRef>
          </c:val>
          <c:extLst>
            <c:ext xmlns:c16="http://schemas.microsoft.com/office/drawing/2014/chart" uri="{C3380CC4-5D6E-409C-BE32-E72D297353CC}">
              <c16:uniqueId val="{00000000-0551-4114-A63F-60ABF5654417}"/>
            </c:ext>
          </c:extLst>
        </c:ser>
        <c:ser>
          <c:idx val="2"/>
          <c:order val="1"/>
          <c:tx>
            <c:v>Black</c:v>
          </c:tx>
          <c:spPr>
            <a:solidFill>
              <a:srgbClr val="881C1C"/>
            </a:solidFill>
            <a:ln>
              <a:solidFill>
                <a:srgbClr val="881C1C"/>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'DESC 18'!$BC$134:$BC$135</c:f>
              <c:strCache>
                <c:ptCount val="2"/>
                <c:pt idx="0">
                  <c:v>Any AP Mock Exams</c:v>
                </c:pt>
                <c:pt idx="1">
                  <c:v>Any AP Study Sessions</c:v>
                </c:pt>
              </c:strCache>
            </c:strRef>
          </c:cat>
          <c:val>
            <c:numRef>
              <c:f>('DESC 18'!$AQ$7,'DESC 18'!$AQ$34)</c:f>
              <c:numCache>
                <c:formatCode>0.0%</c:formatCode>
                <c:ptCount val="2"/>
                <c:pt idx="0">
                  <c:v>0.57049608355091386</c:v>
                </c:pt>
                <c:pt idx="1">
                  <c:v>0.32245430809399478</c:v>
                </c:pt>
              </c:numCache>
            </c:numRef>
          </c:val>
          <c:extLst>
            <c:ext xmlns:c16="http://schemas.microsoft.com/office/drawing/2014/chart" uri="{C3380CC4-5D6E-409C-BE32-E72D297353CC}">
              <c16:uniqueId val="{00000001-0551-4114-A63F-60ABF5654417}"/>
            </c:ext>
          </c:extLst>
        </c:ser>
        <c:ser>
          <c:idx val="4"/>
          <c:order val="2"/>
          <c:tx>
            <c:v>Latino</c:v>
          </c:tx>
          <c:spPr>
            <a:solidFill>
              <a:srgbClr val="A2AAAD"/>
            </a:solidFill>
            <a:ln>
              <a:solidFill>
                <a:srgbClr val="A2AAAD"/>
              </a:solidFill>
            </a:ln>
          </c:spPr>
          <c:invertIfNegative val="0"/>
          <c:dLbls>
            <c:spPr>
              <a:noFill/>
              <a:ln>
                <a:noFill/>
              </a:ln>
              <a:effectLst/>
            </c:spPr>
            <c:txPr>
              <a:bodyPr wrap="square" lIns="38100" tIns="19050" rIns="38100" bIns="19050" anchor="ctr">
                <a:spAutoFit/>
              </a:bodyPr>
              <a:lstStyle/>
              <a:p>
                <a:pPr>
                  <a:defRPr sz="1100" b="1">
                    <a:solidFill>
                      <a:sysClr val="windowText" lastClr="000000"/>
                    </a:solidFill>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'DESC 18'!$BC$134:$BC$135</c:f>
              <c:strCache>
                <c:ptCount val="2"/>
                <c:pt idx="0">
                  <c:v>Any AP Mock Exams</c:v>
                </c:pt>
                <c:pt idx="1">
                  <c:v>Any AP Study Sessions</c:v>
                </c:pt>
              </c:strCache>
            </c:strRef>
          </c:cat>
          <c:val>
            <c:numRef>
              <c:f>('DESC 18'!$AQ$12,'DESC 18'!$AQ$39)</c:f>
              <c:numCache>
                <c:formatCode>0.0%</c:formatCode>
                <c:ptCount val="2"/>
                <c:pt idx="0">
                  <c:v>0.55053763440860215</c:v>
                </c:pt>
                <c:pt idx="1">
                  <c:v>0.27025089605734764</c:v>
                </c:pt>
              </c:numCache>
            </c:numRef>
          </c:val>
          <c:extLst>
            <c:ext xmlns:c16="http://schemas.microsoft.com/office/drawing/2014/chart" uri="{C3380CC4-5D6E-409C-BE32-E72D297353CC}">
              <c16:uniqueId val="{00000002-0551-4114-A63F-60ABF5654417}"/>
            </c:ext>
          </c:extLst>
        </c:ser>
        <c:ser>
          <c:idx val="0"/>
          <c:order val="3"/>
          <c:tx>
            <c:v>Multiracial</c:v>
          </c:tx>
          <c:spPr>
            <a:solidFill>
              <a:srgbClr val="44692D"/>
            </a:solidFill>
            <a:ln>
              <a:solidFill>
                <a:srgbClr val="44692D"/>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'DESC 18'!$BC$134:$BC$135</c:f>
              <c:strCache>
                <c:ptCount val="2"/>
                <c:pt idx="0">
                  <c:v>Any AP Mock Exams</c:v>
                </c:pt>
                <c:pt idx="1">
                  <c:v>Any AP Study Sessions</c:v>
                </c:pt>
              </c:strCache>
            </c:strRef>
          </c:cat>
          <c:val>
            <c:numRef>
              <c:f>('DESC 18'!$AQ$11,'DESC 18'!$AQ$38)</c:f>
              <c:numCache>
                <c:formatCode>0.0%</c:formatCode>
                <c:ptCount val="2"/>
                <c:pt idx="0">
                  <c:v>0.65410199556541015</c:v>
                </c:pt>
                <c:pt idx="1">
                  <c:v>0.35698447893569851</c:v>
                </c:pt>
              </c:numCache>
            </c:numRef>
          </c:val>
          <c:extLst>
            <c:ext xmlns:c16="http://schemas.microsoft.com/office/drawing/2014/chart" uri="{C3380CC4-5D6E-409C-BE32-E72D297353CC}">
              <c16:uniqueId val="{00000003-0551-4114-A63F-60ABF5654417}"/>
            </c:ext>
          </c:extLst>
        </c:ser>
        <c:ser>
          <c:idx val="3"/>
          <c:order val="4"/>
          <c:tx>
            <c:v>White</c:v>
          </c:tx>
          <c:spPr>
            <a:solidFill>
              <a:srgbClr val="5E4B3C"/>
            </a:solidFill>
            <a:ln>
              <a:solidFill>
                <a:srgbClr val="5E4B3C"/>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'DESC 18'!$BC$134:$BC$135</c:f>
              <c:strCache>
                <c:ptCount val="2"/>
                <c:pt idx="0">
                  <c:v>Any AP Mock Exams</c:v>
                </c:pt>
                <c:pt idx="1">
                  <c:v>Any AP Study Sessions</c:v>
                </c:pt>
              </c:strCache>
            </c:strRef>
          </c:cat>
          <c:val>
            <c:numRef>
              <c:f>('DESC 18'!$AQ$6,'DESC 18'!$AQ$33)</c:f>
              <c:numCache>
                <c:formatCode>0.0%</c:formatCode>
                <c:ptCount val="2"/>
                <c:pt idx="0">
                  <c:v>0.66868429436126153</c:v>
                </c:pt>
                <c:pt idx="1">
                  <c:v>0.3122013380057343</c:v>
                </c:pt>
              </c:numCache>
            </c:numRef>
          </c:val>
          <c:extLst>
            <c:ext xmlns:c16="http://schemas.microsoft.com/office/drawing/2014/chart" uri="{C3380CC4-5D6E-409C-BE32-E72D297353CC}">
              <c16:uniqueId val="{00000004-0551-4114-A63F-60ABF5654417}"/>
            </c:ext>
          </c:extLst>
        </c:ser>
        <c:dLbls>
          <c:dLblPos val="inEnd"/>
          <c:showLegendKey val="0"/>
          <c:showVal val="1"/>
          <c:showCatName val="0"/>
          <c:showSerName val="0"/>
          <c:showPercent val="0"/>
          <c:showBubbleSize val="0"/>
        </c:dLbls>
        <c:gapWidth val="182"/>
        <c:overlap val="-10"/>
        <c:axId val="1131719743"/>
        <c:axId val="1131720223"/>
      </c:barChart>
      <c:catAx>
        <c:axId val="1131719743"/>
        <c:scaling>
          <c:orientation val="maxMin"/>
        </c:scaling>
        <c:delete val="0"/>
        <c:axPos val="l"/>
        <c:numFmt formatCode="General" sourceLinked="1"/>
        <c:majorTickMark val="cross"/>
        <c:minorTickMark val="none"/>
        <c:tickLblPos val="nextTo"/>
        <c:spPr>
          <a:noFill/>
          <a:ln w="15875" cap="flat" cmpd="sng" algn="ctr">
            <a:solidFill>
              <a:schemeClr val="tx1"/>
            </a:solidFill>
            <a:round/>
          </a:ln>
          <a:effectLst/>
        </c:spPr>
        <c:txPr>
          <a:bodyPr rot="-60000000" spcFirstLastPara="1" vertOverflow="ellipsis" vert="horz" wrap="square" anchor="ctr" anchorCtr="1"/>
          <a:lstStyle/>
          <a:p>
            <a:pPr>
              <a:defRPr sz="1100" b="1" i="0" u="none" strike="noStrike" kern="1200" baseline="0">
                <a:solidFill>
                  <a:sysClr val="windowText" lastClr="000000"/>
                </a:solidFill>
                <a:latin typeface="Aptos Narrow" panose="020B0004020202020204" pitchFamily="34" charset="0"/>
                <a:ea typeface="+mn-ea"/>
                <a:cs typeface="+mn-cs"/>
              </a:defRPr>
            </a:pPr>
            <a:endParaRPr lang="en-US"/>
          </a:p>
        </c:txPr>
        <c:crossAx val="1131720223"/>
        <c:crosses val="autoZero"/>
        <c:auto val="1"/>
        <c:lblAlgn val="ctr"/>
        <c:lblOffset val="100"/>
        <c:noMultiLvlLbl val="0"/>
      </c:catAx>
      <c:valAx>
        <c:axId val="1131720223"/>
        <c:scaling>
          <c:orientation val="minMax"/>
        </c:scaling>
        <c:delete val="1"/>
        <c:axPos val="t"/>
        <c:numFmt formatCode="0.0%" sourceLinked="1"/>
        <c:majorTickMark val="none"/>
        <c:minorTickMark val="none"/>
        <c:tickLblPos val="nextTo"/>
        <c:crossAx val="1131719743"/>
        <c:crosses val="autoZero"/>
        <c:crossBetween val="between"/>
      </c:valAx>
    </c:plotArea>
    <c:legend>
      <c:legendPos val="b"/>
      <c:overlay val="0"/>
      <c:txPr>
        <a:bodyPr/>
        <a:lstStyle/>
        <a:p>
          <a:pPr>
            <a:defRPr sz="1100"/>
          </a:pPr>
          <a:endParaRPr lang="en-US"/>
        </a:p>
      </c:txPr>
    </c:legend>
    <c:plotVisOnly val="1"/>
    <c:dispBlanksAs val="gap"/>
    <c:showDLblsOverMax val="0"/>
    <c:extLst/>
  </c:chart>
  <c:spPr>
    <a:ln>
      <a:solidFill>
        <a:schemeClr val="bg2"/>
      </a:solidFill>
    </a:ln>
  </c:spPr>
  <c:txPr>
    <a:bodyPr/>
    <a:lstStyle/>
    <a:p>
      <a:pPr>
        <a:defRPr/>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375696458876316"/>
          <c:y val="2.203704233605339E-2"/>
          <c:w val="0.77624307846231855"/>
          <c:h val="0.77896919939834497"/>
        </c:manualLayout>
      </c:layout>
      <c:barChart>
        <c:barDir val="bar"/>
        <c:grouping val="clustered"/>
        <c:varyColors val="0"/>
        <c:ser>
          <c:idx val="0"/>
          <c:order val="0"/>
          <c:tx>
            <c:v>Female</c:v>
          </c:tx>
          <c:spPr>
            <a:solidFill>
              <a:srgbClr val="212721"/>
            </a:solidFill>
            <a:ln>
              <a:solidFill>
                <a:srgbClr val="212721"/>
              </a:solidFill>
            </a:ln>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'DESC 18'!$AU$157:$AU$158</c:f>
              <c:strCache>
                <c:ptCount val="2"/>
                <c:pt idx="0">
                  <c:v>Any AP Mock Exams</c:v>
                </c:pt>
                <c:pt idx="1">
                  <c:v>Any AP Study Sessions</c:v>
                </c:pt>
              </c:strCache>
            </c:strRef>
          </c:cat>
          <c:val>
            <c:numRef>
              <c:f>('DESC 18'!$AI$15,'DESC 18'!$AI$42)</c:f>
              <c:numCache>
                <c:formatCode>0.0%</c:formatCode>
                <c:ptCount val="2"/>
                <c:pt idx="0">
                  <c:v>0.63951059385258135</c:v>
                </c:pt>
                <c:pt idx="1">
                  <c:v>0.35810205908683979</c:v>
                </c:pt>
              </c:numCache>
            </c:numRef>
          </c:val>
          <c:extLst>
            <c:ext xmlns:c16="http://schemas.microsoft.com/office/drawing/2014/chart" uri="{C3380CC4-5D6E-409C-BE32-E72D297353CC}">
              <c16:uniqueId val="{00000000-F56E-4A8B-9FE3-0A2F98BF62BB}"/>
            </c:ext>
          </c:extLst>
        </c:ser>
        <c:ser>
          <c:idx val="3"/>
          <c:order val="1"/>
          <c:tx>
            <c:v>Male</c:v>
          </c:tx>
          <c:spPr>
            <a:solidFill>
              <a:srgbClr val="212721">
                <a:alpha val="40000"/>
              </a:srgbClr>
            </a:solidFill>
            <a:ln>
              <a:solidFill>
                <a:srgbClr val="212721"/>
              </a:solidFill>
            </a:ln>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'DESC 18'!$AU$157:$AU$158</c:f>
              <c:strCache>
                <c:ptCount val="2"/>
                <c:pt idx="0">
                  <c:v>Any AP Mock Exams</c:v>
                </c:pt>
                <c:pt idx="1">
                  <c:v>Any AP Study Sessions</c:v>
                </c:pt>
              </c:strCache>
            </c:strRef>
          </c:cat>
          <c:val>
            <c:numRef>
              <c:f>('DESC 18'!$AI$14,'DESC 18'!$AI$41)</c:f>
              <c:numCache>
                <c:formatCode>0.0%</c:formatCode>
                <c:ptCount val="2"/>
                <c:pt idx="0">
                  <c:v>0.55733558178752107</c:v>
                </c:pt>
                <c:pt idx="1">
                  <c:v>0.31913996627318719</c:v>
                </c:pt>
              </c:numCache>
            </c:numRef>
          </c:val>
          <c:extLst>
            <c:ext xmlns:c16="http://schemas.microsoft.com/office/drawing/2014/chart" uri="{C3380CC4-5D6E-409C-BE32-E72D297353CC}">
              <c16:uniqueId val="{00000001-F56E-4A8B-9FE3-0A2F98BF62BB}"/>
            </c:ext>
          </c:extLst>
        </c:ser>
        <c:ser>
          <c:idx val="8"/>
          <c:order val="2"/>
          <c:tx>
            <c:v>Series1</c:v>
          </c:tx>
          <c:invertIfNegative val="0"/>
          <c:dLbls>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'DESC 18'!$AU$157:$AU$158</c:f>
              <c:strCache>
                <c:ptCount val="2"/>
                <c:pt idx="0">
                  <c:v>Any AP Mock Exams</c:v>
                </c:pt>
                <c:pt idx="1">
                  <c:v>Any AP Study Sessions</c:v>
                </c:pt>
              </c:strCache>
            </c:strRef>
          </c:cat>
          <c:val>
            <c:numRef>
              <c:f>'DESC 18'!$BK$161</c:f>
              <c:numCache>
                <c:formatCode>General</c:formatCode>
                <c:ptCount val="1"/>
              </c:numCache>
            </c:numRef>
          </c:val>
          <c:extLst>
            <c:ext xmlns:c16="http://schemas.microsoft.com/office/drawing/2014/chart" uri="{C3380CC4-5D6E-409C-BE32-E72D297353CC}">
              <c16:uniqueId val="{00000002-F56E-4A8B-9FE3-0A2F98BF62BB}"/>
            </c:ext>
          </c:extLst>
        </c:ser>
        <c:ser>
          <c:idx val="5"/>
          <c:order val="3"/>
          <c:tx>
            <c:v>EL</c:v>
          </c:tx>
          <c:spPr>
            <a:solidFill>
              <a:srgbClr val="881C1C"/>
            </a:solidFill>
            <a:ln>
              <a:solidFill>
                <a:srgbClr val="881C1C"/>
              </a:solidFill>
            </a:ln>
          </c:spPr>
          <c:invertIfNegative val="0"/>
          <c:dLbls>
            <c:spPr>
              <a:noFill/>
              <a:ln>
                <a:noFill/>
              </a:ln>
              <a:effectLst/>
            </c:spPr>
            <c:txPr>
              <a:bodyPr wrap="square" lIns="38100" tIns="19050" rIns="38100" bIns="19050" anchor="ctr">
                <a:spAutoFit/>
              </a:bodyPr>
              <a:lstStyle/>
              <a:p>
                <a:pPr>
                  <a:defRPr sz="1000" b="1">
                    <a:solidFill>
                      <a:schemeClr val="bg1"/>
                    </a:solidFill>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'DESC 18'!$AU$157:$AU$158</c:f>
              <c:strCache>
                <c:ptCount val="2"/>
                <c:pt idx="0">
                  <c:v>Any AP Mock Exams</c:v>
                </c:pt>
                <c:pt idx="1">
                  <c:v>Any AP Study Sessions</c:v>
                </c:pt>
              </c:strCache>
            </c:strRef>
          </c:cat>
          <c:val>
            <c:numRef>
              <c:f>('DESC 18'!$AI$20,'DESC 18'!$AI$47)</c:f>
              <c:numCache>
                <c:formatCode>0.0%</c:formatCode>
                <c:ptCount val="2"/>
                <c:pt idx="0">
                  <c:v>0.25320512820512819</c:v>
                </c:pt>
                <c:pt idx="1">
                  <c:v>0.15064102564102563</c:v>
                </c:pt>
              </c:numCache>
            </c:numRef>
          </c:val>
          <c:extLst>
            <c:ext xmlns:c16="http://schemas.microsoft.com/office/drawing/2014/chart" uri="{C3380CC4-5D6E-409C-BE32-E72D297353CC}">
              <c16:uniqueId val="{00000003-F56E-4A8B-9FE3-0A2F98BF62BB}"/>
            </c:ext>
          </c:extLst>
        </c:ser>
        <c:ser>
          <c:idx val="1"/>
          <c:order val="4"/>
          <c:tx>
            <c:v>Non EL</c:v>
          </c:tx>
          <c:spPr>
            <a:solidFill>
              <a:srgbClr val="881C1C">
                <a:alpha val="40000"/>
              </a:srgbClr>
            </a:solidFill>
            <a:ln>
              <a:solidFill>
                <a:srgbClr val="881C1C"/>
              </a:solidFill>
            </a:ln>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'DESC 18'!$AU$157:$AU$158</c:f>
              <c:strCache>
                <c:ptCount val="2"/>
                <c:pt idx="0">
                  <c:v>Any AP Mock Exams</c:v>
                </c:pt>
                <c:pt idx="1">
                  <c:v>Any AP Study Sessions</c:v>
                </c:pt>
              </c:strCache>
            </c:strRef>
          </c:cat>
          <c:val>
            <c:numRef>
              <c:f>('DESC 18'!$AI$19,'DESC 18'!$AI$46)</c:f>
              <c:numCache>
                <c:formatCode>0.0%</c:formatCode>
                <c:ptCount val="2"/>
                <c:pt idx="0">
                  <c:v>0.61490294301815906</c:v>
                </c:pt>
                <c:pt idx="1">
                  <c:v>0.34681098488236872</c:v>
                </c:pt>
              </c:numCache>
            </c:numRef>
          </c:val>
          <c:extLst>
            <c:ext xmlns:c16="http://schemas.microsoft.com/office/drawing/2014/chart" uri="{C3380CC4-5D6E-409C-BE32-E72D297353CC}">
              <c16:uniqueId val="{00000004-F56E-4A8B-9FE3-0A2F98BF62BB}"/>
            </c:ext>
          </c:extLst>
        </c:ser>
        <c:ser>
          <c:idx val="9"/>
          <c:order val="5"/>
          <c:tx>
            <c:v>Series2</c:v>
          </c:tx>
          <c:invertIfNegative val="0"/>
          <c:dLbls>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'DESC 18'!$AU$157:$AU$158</c:f>
              <c:strCache>
                <c:ptCount val="2"/>
                <c:pt idx="0">
                  <c:v>Any AP Mock Exams</c:v>
                </c:pt>
                <c:pt idx="1">
                  <c:v>Any AP Study Sessions</c:v>
                </c:pt>
              </c:strCache>
            </c:strRef>
          </c:cat>
          <c:val>
            <c:numRef>
              <c:f>'DESC 18'!$BK$163</c:f>
              <c:numCache>
                <c:formatCode>General</c:formatCode>
                <c:ptCount val="1"/>
              </c:numCache>
            </c:numRef>
          </c:val>
          <c:extLst>
            <c:ext xmlns:c16="http://schemas.microsoft.com/office/drawing/2014/chart" uri="{C3380CC4-5D6E-409C-BE32-E72D297353CC}">
              <c16:uniqueId val="{00000005-F56E-4A8B-9FE3-0A2F98BF62BB}"/>
            </c:ext>
          </c:extLst>
        </c:ser>
        <c:ser>
          <c:idx val="2"/>
          <c:order val="6"/>
          <c:tx>
            <c:v>Low-income</c:v>
          </c:tx>
          <c:spPr>
            <a:solidFill>
              <a:srgbClr val="44692D"/>
            </a:solidFill>
            <a:ln>
              <a:solidFill>
                <a:srgbClr val="44692D"/>
              </a:solidFill>
            </a:ln>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'DESC 18'!$AU$157:$AU$158</c:f>
              <c:strCache>
                <c:ptCount val="2"/>
                <c:pt idx="0">
                  <c:v>Any AP Mock Exams</c:v>
                </c:pt>
                <c:pt idx="1">
                  <c:v>Any AP Study Sessions</c:v>
                </c:pt>
              </c:strCache>
            </c:strRef>
          </c:cat>
          <c:val>
            <c:numRef>
              <c:f>('DESC 18'!$AI$18,'DESC 18'!$AI$45)</c:f>
              <c:numCache>
                <c:formatCode>0.0%</c:formatCode>
                <c:ptCount val="2"/>
                <c:pt idx="0">
                  <c:v>0.54053447114304964</c:v>
                </c:pt>
                <c:pt idx="1">
                  <c:v>0.32854255558050754</c:v>
                </c:pt>
              </c:numCache>
            </c:numRef>
          </c:val>
          <c:extLst>
            <c:ext xmlns:c16="http://schemas.microsoft.com/office/drawing/2014/chart" uri="{C3380CC4-5D6E-409C-BE32-E72D297353CC}">
              <c16:uniqueId val="{00000006-F56E-4A8B-9FE3-0A2F98BF62BB}"/>
            </c:ext>
          </c:extLst>
        </c:ser>
        <c:ser>
          <c:idx val="4"/>
          <c:order val="7"/>
          <c:tx>
            <c:v>Non Low-income</c:v>
          </c:tx>
          <c:spPr>
            <a:solidFill>
              <a:srgbClr val="44692D">
                <a:alpha val="40000"/>
              </a:srgbClr>
            </a:solidFill>
            <a:ln>
              <a:solidFill>
                <a:srgbClr val="44692D"/>
              </a:solidFill>
            </a:ln>
          </c:spPr>
          <c:invertIfNegative val="0"/>
          <c:dLbls>
            <c:spPr>
              <a:noFill/>
              <a:ln>
                <a:noFill/>
              </a:ln>
              <a:effectLst/>
            </c:spPr>
            <c:txPr>
              <a:bodyPr wrap="square" lIns="38100" tIns="19050" rIns="38100" bIns="19050" anchor="ctr">
                <a:spAutoFit/>
              </a:bodyPr>
              <a:lstStyle/>
              <a:p>
                <a:pPr>
                  <a:defRPr b="1">
                    <a:solidFill>
                      <a:schemeClr val="tx1"/>
                    </a:solidFill>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'DESC 18'!$AU$157:$AU$158</c:f>
              <c:strCache>
                <c:ptCount val="2"/>
                <c:pt idx="0">
                  <c:v>Any AP Mock Exams</c:v>
                </c:pt>
                <c:pt idx="1">
                  <c:v>Any AP Study Sessions</c:v>
                </c:pt>
              </c:strCache>
            </c:strRef>
          </c:cat>
          <c:val>
            <c:numRef>
              <c:f>('DESC 18'!$AI$17,'DESC 18'!$AI$44)</c:f>
              <c:numCache>
                <c:formatCode>0.0%</c:formatCode>
                <c:ptCount val="2"/>
                <c:pt idx="0">
                  <c:v>0.64592213697073031</c:v>
                </c:pt>
                <c:pt idx="1">
                  <c:v>0.34967320261437906</c:v>
                </c:pt>
              </c:numCache>
            </c:numRef>
          </c:val>
          <c:extLst>
            <c:ext xmlns:c16="http://schemas.microsoft.com/office/drawing/2014/chart" uri="{C3380CC4-5D6E-409C-BE32-E72D297353CC}">
              <c16:uniqueId val="{00000007-F56E-4A8B-9FE3-0A2F98BF62BB}"/>
            </c:ext>
          </c:extLst>
        </c:ser>
        <c:ser>
          <c:idx val="10"/>
          <c:order val="8"/>
          <c:tx>
            <c:v>Series3</c:v>
          </c:tx>
          <c:invertIfNegative val="0"/>
          <c:dLbls>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'DESC 18'!$AU$157:$AU$158</c:f>
              <c:strCache>
                <c:ptCount val="2"/>
                <c:pt idx="0">
                  <c:v>Any AP Mock Exams</c:v>
                </c:pt>
                <c:pt idx="1">
                  <c:v>Any AP Study Sessions</c:v>
                </c:pt>
              </c:strCache>
            </c:strRef>
          </c:cat>
          <c:val>
            <c:numRef>
              <c:f>'DESC 18'!$BK$162</c:f>
              <c:numCache>
                <c:formatCode>General</c:formatCode>
                <c:ptCount val="1"/>
              </c:numCache>
            </c:numRef>
          </c:val>
          <c:extLst>
            <c:ext xmlns:c16="http://schemas.microsoft.com/office/drawing/2014/chart" uri="{C3380CC4-5D6E-409C-BE32-E72D297353CC}">
              <c16:uniqueId val="{00000008-F56E-4A8B-9FE3-0A2F98BF62BB}"/>
            </c:ext>
          </c:extLst>
        </c:ser>
        <c:ser>
          <c:idx val="7"/>
          <c:order val="9"/>
          <c:tx>
            <c:v>SWD</c:v>
          </c:tx>
          <c:spPr>
            <a:solidFill>
              <a:srgbClr val="5E4B3C"/>
            </a:solidFill>
            <a:ln>
              <a:solidFill>
                <a:srgbClr val="5E4B3C"/>
              </a:solidFill>
            </a:ln>
          </c:spPr>
          <c:invertIfNegative val="0"/>
          <c:dLbls>
            <c:spPr>
              <a:noFill/>
              <a:ln>
                <a:noFill/>
              </a:ln>
              <a:effectLst/>
            </c:spPr>
            <c:txPr>
              <a:bodyPr wrap="square" lIns="38100" tIns="19050" rIns="38100" bIns="19050" anchor="ctr">
                <a:spAutoFit/>
              </a:bodyPr>
              <a:lstStyle/>
              <a:p>
                <a:pPr>
                  <a:defRPr b="1">
                    <a:solidFill>
                      <a:schemeClr val="bg1"/>
                    </a:solidFill>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'DESC 18'!$AU$157:$AU$158</c:f>
              <c:strCache>
                <c:ptCount val="2"/>
                <c:pt idx="0">
                  <c:v>Any AP Mock Exams</c:v>
                </c:pt>
                <c:pt idx="1">
                  <c:v>Any AP Study Sessions</c:v>
                </c:pt>
              </c:strCache>
            </c:strRef>
          </c:cat>
          <c:val>
            <c:numRef>
              <c:f>('DESC 18'!$AI$22,'DESC 18'!$AI$49)</c:f>
              <c:numCache>
                <c:formatCode>0.0%</c:formatCode>
                <c:ptCount val="2"/>
                <c:pt idx="0">
                  <c:v>0.375</c:v>
                </c:pt>
                <c:pt idx="1">
                  <c:v>0.20833333333333337</c:v>
                </c:pt>
              </c:numCache>
            </c:numRef>
          </c:val>
          <c:extLst>
            <c:ext xmlns:c16="http://schemas.microsoft.com/office/drawing/2014/chart" uri="{C3380CC4-5D6E-409C-BE32-E72D297353CC}">
              <c16:uniqueId val="{00000009-F56E-4A8B-9FE3-0A2F98BF62BB}"/>
            </c:ext>
          </c:extLst>
        </c:ser>
        <c:ser>
          <c:idx val="6"/>
          <c:order val="10"/>
          <c:tx>
            <c:v>Non SWD</c:v>
          </c:tx>
          <c:spPr>
            <a:solidFill>
              <a:srgbClr val="5E4B3C">
                <a:alpha val="40000"/>
              </a:srgbClr>
            </a:solidFill>
            <a:ln>
              <a:solidFill>
                <a:srgbClr val="5E4B3C"/>
              </a:solidFill>
            </a:ln>
          </c:spPr>
          <c:invertIfNegative val="0"/>
          <c:dLbls>
            <c:spPr>
              <a:noFill/>
              <a:ln>
                <a:noFill/>
              </a:ln>
              <a:effectLst/>
            </c:spPr>
            <c:txPr>
              <a:bodyPr wrap="square" lIns="38100" tIns="19050" rIns="38100" bIns="19050" anchor="ctr">
                <a:spAutoFit/>
              </a:bodyPr>
              <a:lstStyle/>
              <a:p>
                <a:pPr>
                  <a:defRPr b="1">
                    <a:solidFill>
                      <a:schemeClr val="tx1"/>
                    </a:solidFill>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'DESC 18'!$AU$157:$AU$158</c:f>
              <c:strCache>
                <c:ptCount val="2"/>
                <c:pt idx="0">
                  <c:v>Any AP Mock Exams</c:v>
                </c:pt>
                <c:pt idx="1">
                  <c:v>Any AP Study Sessions</c:v>
                </c:pt>
              </c:strCache>
            </c:strRef>
          </c:cat>
          <c:val>
            <c:numRef>
              <c:f>('DESC 18'!$AI$21,'DESC 18'!$AI$48)</c:f>
              <c:numCache>
                <c:formatCode>0.0%</c:formatCode>
                <c:ptCount val="2"/>
                <c:pt idx="0">
                  <c:v>0.61150371231773859</c:v>
                </c:pt>
                <c:pt idx="1">
                  <c:v>0.34520082297164328</c:v>
                </c:pt>
              </c:numCache>
            </c:numRef>
          </c:val>
          <c:extLst>
            <c:ext xmlns:c16="http://schemas.microsoft.com/office/drawing/2014/chart" uri="{C3380CC4-5D6E-409C-BE32-E72D297353CC}">
              <c16:uniqueId val="{0000000A-F56E-4A8B-9FE3-0A2F98BF62BB}"/>
            </c:ext>
          </c:extLst>
        </c:ser>
        <c:dLbls>
          <c:dLblPos val="inEnd"/>
          <c:showLegendKey val="0"/>
          <c:showVal val="1"/>
          <c:showCatName val="0"/>
          <c:showSerName val="0"/>
          <c:showPercent val="0"/>
          <c:showBubbleSize val="0"/>
        </c:dLbls>
        <c:gapWidth val="182"/>
        <c:axId val="1131719743"/>
        <c:axId val="1131720223"/>
      </c:barChart>
      <c:catAx>
        <c:axId val="1131719743"/>
        <c:scaling>
          <c:orientation val="maxMin"/>
        </c:scaling>
        <c:delete val="0"/>
        <c:axPos val="l"/>
        <c:numFmt formatCode="General" sourceLinked="1"/>
        <c:majorTickMark val="cross"/>
        <c:minorTickMark val="none"/>
        <c:tickLblPos val="nextTo"/>
        <c:spPr>
          <a:noFill/>
          <a:ln w="15875" cap="flat" cmpd="sng" algn="ctr">
            <a:solidFill>
              <a:schemeClr val="tx1"/>
            </a:solidFill>
            <a:round/>
          </a:ln>
          <a:effectLst/>
        </c:spPr>
        <c:txPr>
          <a:bodyPr rot="-60000000" spcFirstLastPara="1" vertOverflow="ellipsis" vert="horz" wrap="square" anchor="ctr" anchorCtr="1"/>
          <a:lstStyle/>
          <a:p>
            <a:pPr>
              <a:defRPr sz="1100" b="1" i="0" u="none" strike="noStrike" kern="1200" baseline="0">
                <a:solidFill>
                  <a:sysClr val="windowText" lastClr="000000"/>
                </a:solidFill>
                <a:latin typeface="+mn-lt"/>
                <a:ea typeface="+mn-ea"/>
                <a:cs typeface="+mn-cs"/>
              </a:defRPr>
            </a:pPr>
            <a:endParaRPr lang="en-US"/>
          </a:p>
        </c:txPr>
        <c:crossAx val="1131720223"/>
        <c:crosses val="autoZero"/>
        <c:auto val="1"/>
        <c:lblAlgn val="ctr"/>
        <c:lblOffset val="100"/>
        <c:noMultiLvlLbl val="0"/>
      </c:catAx>
      <c:valAx>
        <c:axId val="1131720223"/>
        <c:scaling>
          <c:orientation val="minMax"/>
        </c:scaling>
        <c:delete val="1"/>
        <c:axPos val="t"/>
        <c:numFmt formatCode="0.0%" sourceLinked="1"/>
        <c:majorTickMark val="none"/>
        <c:minorTickMark val="none"/>
        <c:tickLblPos val="nextTo"/>
        <c:crossAx val="1131719743"/>
        <c:crosses val="autoZero"/>
        <c:crossBetween val="between"/>
      </c:valAx>
    </c:plotArea>
    <c:legend>
      <c:legendPos val="r"/>
      <c:legendEntry>
        <c:idx val="2"/>
        <c:delete val="1"/>
      </c:legendEntry>
      <c:legendEntry>
        <c:idx val="5"/>
        <c:delete val="1"/>
      </c:legendEntry>
      <c:legendEntry>
        <c:idx val="8"/>
        <c:delete val="1"/>
      </c:legendEntry>
      <c:layout>
        <c:manualLayout>
          <c:xMode val="edge"/>
          <c:yMode val="edge"/>
          <c:x val="0.23176771270938071"/>
          <c:y val="0.80832463488279793"/>
          <c:w val="0.59804973357922098"/>
          <c:h val="0.17833743684551676"/>
        </c:manualLayout>
      </c:layout>
      <c:overlay val="0"/>
      <c:spPr>
        <a:ln>
          <a:solidFill>
            <a:schemeClr val="bg2"/>
          </a:solidFill>
        </a:ln>
      </c:spPr>
      <c:txPr>
        <a:bodyPr/>
        <a:lstStyle/>
        <a:p>
          <a:pPr>
            <a:defRPr sz="1100"/>
          </a:pPr>
          <a:endParaRPr lang="en-US"/>
        </a:p>
      </c:txPr>
    </c:legend>
    <c:plotVisOnly val="1"/>
    <c:dispBlanksAs val="gap"/>
    <c:showDLblsOverMax val="0"/>
    <c:extLst/>
  </c:chart>
  <c:spPr>
    <a:ln>
      <a:solidFill>
        <a:schemeClr val="bg2"/>
      </a:solidFill>
    </a:ln>
  </c:spPr>
  <c:txPr>
    <a:bodyPr/>
    <a:lstStyle/>
    <a:p>
      <a:pPr>
        <a:defRPr/>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855699104789541"/>
          <c:y val="2.5399686747465695E-2"/>
          <c:w val="0.79088753914668875"/>
          <c:h val="0.76741608120599714"/>
        </c:manualLayout>
      </c:layout>
      <c:barChart>
        <c:barDir val="bar"/>
        <c:grouping val="clustered"/>
        <c:varyColors val="0"/>
        <c:ser>
          <c:idx val="0"/>
          <c:order val="0"/>
          <c:tx>
            <c:v>Female</c:v>
          </c:tx>
          <c:spPr>
            <a:solidFill>
              <a:srgbClr val="212721"/>
            </a:solidFill>
            <a:ln>
              <a:solidFill>
                <a:srgbClr val="212721"/>
              </a:solidFill>
            </a:ln>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'DESC 18'!$BC$157:$BC$158</c:f>
              <c:strCache>
                <c:ptCount val="2"/>
                <c:pt idx="0">
                  <c:v>Any AP Mock Exams</c:v>
                </c:pt>
                <c:pt idx="1">
                  <c:v>Any AP Study Sessions</c:v>
                </c:pt>
              </c:strCache>
            </c:strRef>
          </c:cat>
          <c:val>
            <c:numRef>
              <c:f>('DESC 18'!$AQ$15,'DESC 18'!$AQ$42)</c:f>
              <c:numCache>
                <c:formatCode>0.0%</c:formatCode>
                <c:ptCount val="2"/>
                <c:pt idx="0">
                  <c:v>0.66204506065857882</c:v>
                </c:pt>
                <c:pt idx="1">
                  <c:v>0.32813402657423457</c:v>
                </c:pt>
              </c:numCache>
            </c:numRef>
          </c:val>
          <c:extLst>
            <c:ext xmlns:c16="http://schemas.microsoft.com/office/drawing/2014/chart" uri="{C3380CC4-5D6E-409C-BE32-E72D297353CC}">
              <c16:uniqueId val="{00000000-800E-4493-B9C8-A4CB943F7793}"/>
            </c:ext>
          </c:extLst>
        </c:ser>
        <c:ser>
          <c:idx val="3"/>
          <c:order val="1"/>
          <c:tx>
            <c:v>Male</c:v>
          </c:tx>
          <c:spPr>
            <a:solidFill>
              <a:srgbClr val="212721">
                <a:alpha val="40000"/>
              </a:srgbClr>
            </a:solidFill>
          </c:spPr>
          <c:invertIfNegative val="0"/>
          <c:dPt>
            <c:idx val="0"/>
            <c:invertIfNegative val="0"/>
            <c:bubble3D val="0"/>
            <c:spPr>
              <a:solidFill>
                <a:srgbClr val="212721">
                  <a:alpha val="40000"/>
                </a:srgbClr>
              </a:solidFill>
              <a:ln>
                <a:solidFill>
                  <a:srgbClr val="212721"/>
                </a:solidFill>
              </a:ln>
            </c:spPr>
            <c:extLst>
              <c:ext xmlns:c16="http://schemas.microsoft.com/office/drawing/2014/chart" uri="{C3380CC4-5D6E-409C-BE32-E72D297353CC}">
                <c16:uniqueId val="{00000002-800E-4493-B9C8-A4CB943F7793}"/>
              </c:ext>
            </c:extLst>
          </c:dPt>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'DESC 18'!$BC$157:$BC$158</c:f>
              <c:strCache>
                <c:ptCount val="2"/>
                <c:pt idx="0">
                  <c:v>Any AP Mock Exams</c:v>
                </c:pt>
                <c:pt idx="1">
                  <c:v>Any AP Study Sessions</c:v>
                </c:pt>
              </c:strCache>
            </c:strRef>
          </c:cat>
          <c:val>
            <c:numRef>
              <c:f>('DESC 18'!$AQ$14,'DESC 18'!$AQ$41)</c:f>
              <c:numCache>
                <c:formatCode>0.0%</c:formatCode>
                <c:ptCount val="2"/>
                <c:pt idx="0">
                  <c:v>0.59024196747322488</c:v>
                </c:pt>
                <c:pt idx="1">
                  <c:v>0.29710432368107892</c:v>
                </c:pt>
              </c:numCache>
            </c:numRef>
          </c:val>
          <c:extLst>
            <c:ext xmlns:c16="http://schemas.microsoft.com/office/drawing/2014/chart" uri="{C3380CC4-5D6E-409C-BE32-E72D297353CC}">
              <c16:uniqueId val="{00000003-800E-4493-B9C8-A4CB943F7793}"/>
            </c:ext>
          </c:extLst>
        </c:ser>
        <c:ser>
          <c:idx val="8"/>
          <c:order val="2"/>
          <c:tx>
            <c:v>Series1</c:v>
          </c:tx>
          <c:invertIfNegative val="0"/>
          <c:dLbls>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'DESC 18'!$BC$157:$BC$158</c:f>
              <c:strCache>
                <c:ptCount val="2"/>
                <c:pt idx="0">
                  <c:v>Any AP Mock Exams</c:v>
                </c:pt>
                <c:pt idx="1">
                  <c:v>Any AP Study Sessions</c:v>
                </c:pt>
              </c:strCache>
            </c:strRef>
          </c:cat>
          <c:val>
            <c:numRef>
              <c:f>'DESC 18'!$BK$162</c:f>
              <c:numCache>
                <c:formatCode>General</c:formatCode>
                <c:ptCount val="1"/>
              </c:numCache>
            </c:numRef>
          </c:val>
          <c:extLst>
            <c:ext xmlns:c16="http://schemas.microsoft.com/office/drawing/2014/chart" uri="{C3380CC4-5D6E-409C-BE32-E72D297353CC}">
              <c16:uniqueId val="{00000004-800E-4493-B9C8-A4CB943F7793}"/>
            </c:ext>
          </c:extLst>
        </c:ser>
        <c:ser>
          <c:idx val="5"/>
          <c:order val="3"/>
          <c:tx>
            <c:v>EL</c:v>
          </c:tx>
          <c:spPr>
            <a:solidFill>
              <a:srgbClr val="881C1C"/>
            </a:solidFill>
            <a:ln>
              <a:solidFill>
                <a:srgbClr val="881C1C"/>
              </a:solidFill>
            </a:ln>
          </c:spPr>
          <c:invertIfNegative val="0"/>
          <c:dLbls>
            <c:spPr>
              <a:noFill/>
              <a:ln>
                <a:noFill/>
              </a:ln>
              <a:effectLst/>
            </c:spPr>
            <c:txPr>
              <a:bodyPr wrap="square" lIns="38100" tIns="19050" rIns="38100" bIns="19050" anchor="ctr">
                <a:spAutoFit/>
              </a:bodyPr>
              <a:lstStyle/>
              <a:p>
                <a:pPr>
                  <a:defRPr b="1">
                    <a:solidFill>
                      <a:schemeClr val="bg1"/>
                    </a:solidFill>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'DESC 18'!$BC$157:$BC$158</c:f>
              <c:strCache>
                <c:ptCount val="2"/>
                <c:pt idx="0">
                  <c:v>Any AP Mock Exams</c:v>
                </c:pt>
                <c:pt idx="1">
                  <c:v>Any AP Study Sessions</c:v>
                </c:pt>
              </c:strCache>
            </c:strRef>
          </c:cat>
          <c:val>
            <c:numRef>
              <c:f>('DESC 18'!$AQ$20,'DESC 18'!$AQ$47)</c:f>
              <c:numCache>
                <c:formatCode>0.0%</c:formatCode>
                <c:ptCount val="2"/>
                <c:pt idx="0">
                  <c:v>0.33333333333333326</c:v>
                </c:pt>
                <c:pt idx="1">
                  <c:v>0.17894736842105263</c:v>
                </c:pt>
              </c:numCache>
            </c:numRef>
          </c:val>
          <c:extLst>
            <c:ext xmlns:c16="http://schemas.microsoft.com/office/drawing/2014/chart" uri="{C3380CC4-5D6E-409C-BE32-E72D297353CC}">
              <c16:uniqueId val="{00000005-800E-4493-B9C8-A4CB943F7793}"/>
            </c:ext>
          </c:extLst>
        </c:ser>
        <c:ser>
          <c:idx val="1"/>
          <c:order val="4"/>
          <c:tx>
            <c:v>Non EL</c:v>
          </c:tx>
          <c:spPr>
            <a:solidFill>
              <a:srgbClr val="881C1C">
                <a:alpha val="40000"/>
              </a:srgbClr>
            </a:solidFill>
            <a:ln>
              <a:solidFill>
                <a:srgbClr val="881C1C"/>
              </a:solidFill>
            </a:ln>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'DESC 18'!$BC$157:$BC$158</c:f>
              <c:strCache>
                <c:ptCount val="2"/>
                <c:pt idx="0">
                  <c:v>Any AP Mock Exams</c:v>
                </c:pt>
                <c:pt idx="1">
                  <c:v>Any AP Study Sessions</c:v>
                </c:pt>
              </c:strCache>
            </c:strRef>
          </c:cat>
          <c:val>
            <c:numRef>
              <c:f>('DESC 18'!$AQ$19,'DESC 18'!$AQ$46)</c:f>
              <c:numCache>
                <c:formatCode>0.0%</c:formatCode>
                <c:ptCount val="2"/>
                <c:pt idx="0">
                  <c:v>0.63847924303128467</c:v>
                </c:pt>
                <c:pt idx="1">
                  <c:v>0.31847242349330834</c:v>
                </c:pt>
              </c:numCache>
            </c:numRef>
          </c:val>
          <c:extLst>
            <c:ext xmlns:c16="http://schemas.microsoft.com/office/drawing/2014/chart" uri="{C3380CC4-5D6E-409C-BE32-E72D297353CC}">
              <c16:uniqueId val="{00000006-800E-4493-B9C8-A4CB943F7793}"/>
            </c:ext>
          </c:extLst>
        </c:ser>
        <c:ser>
          <c:idx val="9"/>
          <c:order val="5"/>
          <c:tx>
            <c:v>Series2</c:v>
          </c:tx>
          <c:invertIfNegative val="0"/>
          <c:dLbls>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'DESC 18'!$BC$157:$BC$158</c:f>
              <c:strCache>
                <c:ptCount val="2"/>
                <c:pt idx="0">
                  <c:v>Any AP Mock Exams</c:v>
                </c:pt>
                <c:pt idx="1">
                  <c:v>Any AP Study Sessions</c:v>
                </c:pt>
              </c:strCache>
            </c:strRef>
          </c:cat>
          <c:val>
            <c:numRef>
              <c:f>'DESC 18'!$BK$162</c:f>
              <c:numCache>
                <c:formatCode>General</c:formatCode>
                <c:ptCount val="1"/>
              </c:numCache>
            </c:numRef>
          </c:val>
          <c:extLst>
            <c:ext xmlns:c16="http://schemas.microsoft.com/office/drawing/2014/chart" uri="{C3380CC4-5D6E-409C-BE32-E72D297353CC}">
              <c16:uniqueId val="{00000007-800E-4493-B9C8-A4CB943F7793}"/>
            </c:ext>
          </c:extLst>
        </c:ser>
        <c:ser>
          <c:idx val="2"/>
          <c:order val="6"/>
          <c:tx>
            <c:v>Low-income</c:v>
          </c:tx>
          <c:spPr>
            <a:solidFill>
              <a:srgbClr val="44692D"/>
            </a:solidFill>
            <a:ln>
              <a:solidFill>
                <a:srgbClr val="44692D"/>
              </a:solidFill>
            </a:ln>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'DESC 18'!$BC$157:$BC$158</c:f>
              <c:strCache>
                <c:ptCount val="2"/>
                <c:pt idx="0">
                  <c:v>Any AP Mock Exams</c:v>
                </c:pt>
                <c:pt idx="1">
                  <c:v>Any AP Study Sessions</c:v>
                </c:pt>
              </c:strCache>
            </c:strRef>
          </c:cat>
          <c:val>
            <c:numRef>
              <c:f>('DESC 18'!$AQ$18,'DESC 18'!$AQ$45)</c:f>
              <c:numCache>
                <c:formatCode>0.0%</c:formatCode>
                <c:ptCount val="2"/>
                <c:pt idx="0">
                  <c:v>0.56907395358924306</c:v>
                </c:pt>
                <c:pt idx="1">
                  <c:v>0.30145304706137499</c:v>
                </c:pt>
              </c:numCache>
            </c:numRef>
          </c:val>
          <c:extLst>
            <c:ext xmlns:c16="http://schemas.microsoft.com/office/drawing/2014/chart" uri="{C3380CC4-5D6E-409C-BE32-E72D297353CC}">
              <c16:uniqueId val="{00000008-800E-4493-B9C8-A4CB943F7793}"/>
            </c:ext>
          </c:extLst>
        </c:ser>
        <c:ser>
          <c:idx val="4"/>
          <c:order val="7"/>
          <c:tx>
            <c:v>Non Low-income</c:v>
          </c:tx>
          <c:spPr>
            <a:solidFill>
              <a:srgbClr val="44692D">
                <a:alpha val="40000"/>
              </a:srgbClr>
            </a:solidFill>
            <a:ln>
              <a:solidFill>
                <a:srgbClr val="44692D"/>
              </a:solidFill>
            </a:ln>
          </c:spPr>
          <c:invertIfNegative val="0"/>
          <c:dLbls>
            <c:spPr>
              <a:noFill/>
              <a:ln>
                <a:noFill/>
              </a:ln>
              <a:effectLst/>
            </c:spPr>
            <c:txPr>
              <a:bodyPr wrap="square" lIns="38100" tIns="19050" rIns="38100" bIns="19050" anchor="ctr">
                <a:spAutoFit/>
              </a:bodyPr>
              <a:lstStyle/>
              <a:p>
                <a:pPr>
                  <a:defRPr sz="1000" b="1">
                    <a:solidFill>
                      <a:schemeClr val="tx1"/>
                    </a:solidFill>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'DESC 18'!$BC$157:$BC$158</c:f>
              <c:strCache>
                <c:ptCount val="2"/>
                <c:pt idx="0">
                  <c:v>Any AP Mock Exams</c:v>
                </c:pt>
                <c:pt idx="1">
                  <c:v>Any AP Study Sessions</c:v>
                </c:pt>
              </c:strCache>
            </c:strRef>
          </c:cat>
          <c:val>
            <c:numRef>
              <c:f>('DESC 18'!$AQ$17,'DESC 18'!$AQ$44)</c:f>
              <c:numCache>
                <c:formatCode>0.0%</c:formatCode>
                <c:ptCount val="2"/>
                <c:pt idx="0">
                  <c:v>0.6699527346387576</c:v>
                </c:pt>
                <c:pt idx="1">
                  <c:v>0.32370020256583387</c:v>
                </c:pt>
              </c:numCache>
            </c:numRef>
          </c:val>
          <c:extLst>
            <c:ext xmlns:c16="http://schemas.microsoft.com/office/drawing/2014/chart" uri="{C3380CC4-5D6E-409C-BE32-E72D297353CC}">
              <c16:uniqueId val="{00000009-800E-4493-B9C8-A4CB943F7793}"/>
            </c:ext>
          </c:extLst>
        </c:ser>
        <c:ser>
          <c:idx val="10"/>
          <c:order val="8"/>
          <c:tx>
            <c:v>Series3</c:v>
          </c:tx>
          <c:invertIfNegative val="0"/>
          <c:dPt>
            <c:idx val="0"/>
            <c:invertIfNegative val="0"/>
            <c:bubble3D val="0"/>
            <c:extLst>
              <c:ext xmlns:c16="http://schemas.microsoft.com/office/drawing/2014/chart" uri="{C3380CC4-5D6E-409C-BE32-E72D297353CC}">
                <c16:uniqueId val="{0000000A-800E-4493-B9C8-A4CB943F7793}"/>
              </c:ext>
            </c:extLst>
          </c:dPt>
          <c:dLbls>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'DESC 18'!$BC$157:$BC$158</c:f>
              <c:strCache>
                <c:ptCount val="2"/>
                <c:pt idx="0">
                  <c:v>Any AP Mock Exams</c:v>
                </c:pt>
                <c:pt idx="1">
                  <c:v>Any AP Study Sessions</c:v>
                </c:pt>
              </c:strCache>
            </c:strRef>
          </c:cat>
          <c:val>
            <c:numRef>
              <c:f>'DESC 18'!$BK$162</c:f>
              <c:numCache>
                <c:formatCode>General</c:formatCode>
                <c:ptCount val="1"/>
              </c:numCache>
            </c:numRef>
          </c:val>
          <c:extLst>
            <c:ext xmlns:c16="http://schemas.microsoft.com/office/drawing/2014/chart" uri="{C3380CC4-5D6E-409C-BE32-E72D297353CC}">
              <c16:uniqueId val="{0000000B-800E-4493-B9C8-A4CB943F7793}"/>
            </c:ext>
          </c:extLst>
        </c:ser>
        <c:ser>
          <c:idx val="7"/>
          <c:order val="9"/>
          <c:tx>
            <c:v>SWD</c:v>
          </c:tx>
          <c:spPr>
            <a:solidFill>
              <a:srgbClr val="5E4B3C"/>
            </a:solidFill>
            <a:ln>
              <a:solidFill>
                <a:srgbClr val="5E4B3C"/>
              </a:solidFill>
            </a:ln>
          </c:spPr>
          <c:invertIfNegative val="0"/>
          <c:dPt>
            <c:idx val="0"/>
            <c:invertIfNegative val="0"/>
            <c:bubble3D val="0"/>
            <c:extLst>
              <c:ext xmlns:c16="http://schemas.microsoft.com/office/drawing/2014/chart" uri="{C3380CC4-5D6E-409C-BE32-E72D297353CC}">
                <c16:uniqueId val="{0000000C-800E-4493-B9C8-A4CB943F7793}"/>
              </c:ext>
            </c:extLst>
          </c:dPt>
          <c:dLbls>
            <c:spPr>
              <a:noFill/>
              <a:ln>
                <a:noFill/>
              </a:ln>
              <a:effectLst/>
            </c:spPr>
            <c:txPr>
              <a:bodyPr wrap="square" lIns="38100" tIns="19050" rIns="38100" bIns="19050" anchor="ctr">
                <a:spAutoFit/>
              </a:bodyPr>
              <a:lstStyle/>
              <a:p>
                <a:pPr>
                  <a:defRPr b="1">
                    <a:solidFill>
                      <a:schemeClr val="bg1"/>
                    </a:solidFill>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'DESC 18'!$BC$157:$BC$158</c:f>
              <c:strCache>
                <c:ptCount val="2"/>
                <c:pt idx="0">
                  <c:v>Any AP Mock Exams</c:v>
                </c:pt>
                <c:pt idx="1">
                  <c:v>Any AP Study Sessions</c:v>
                </c:pt>
              </c:strCache>
            </c:strRef>
          </c:cat>
          <c:val>
            <c:numRef>
              <c:f>('DESC 18'!$AQ$22,'DESC 18'!$AQ$49)</c:f>
              <c:numCache>
                <c:formatCode>0.0%</c:formatCode>
                <c:ptCount val="2"/>
                <c:pt idx="0">
                  <c:v>0.44054054054054054</c:v>
                </c:pt>
                <c:pt idx="1">
                  <c:v>0.16216216216216217</c:v>
                </c:pt>
              </c:numCache>
            </c:numRef>
          </c:val>
          <c:extLst>
            <c:ext xmlns:c16="http://schemas.microsoft.com/office/drawing/2014/chart" uri="{C3380CC4-5D6E-409C-BE32-E72D297353CC}">
              <c16:uniqueId val="{0000000D-800E-4493-B9C8-A4CB943F7793}"/>
            </c:ext>
          </c:extLst>
        </c:ser>
        <c:ser>
          <c:idx val="6"/>
          <c:order val="10"/>
          <c:tx>
            <c:v>Non SWD</c:v>
          </c:tx>
          <c:spPr>
            <a:solidFill>
              <a:srgbClr val="5E4B3C">
                <a:alpha val="40000"/>
              </a:srgbClr>
            </a:solidFill>
            <a:ln>
              <a:solidFill>
                <a:srgbClr val="5E4B3C"/>
              </a:solidFill>
            </a:ln>
          </c:spPr>
          <c:invertIfNegative val="0"/>
          <c:dLbls>
            <c:spPr>
              <a:noFill/>
              <a:ln>
                <a:noFill/>
              </a:ln>
              <a:effectLst/>
            </c:spPr>
            <c:txPr>
              <a:bodyPr wrap="square" lIns="38100" tIns="19050" rIns="38100" bIns="19050" anchor="ctr">
                <a:spAutoFit/>
              </a:bodyPr>
              <a:lstStyle/>
              <a:p>
                <a:pPr>
                  <a:defRPr b="1">
                    <a:solidFill>
                      <a:schemeClr val="tx1"/>
                    </a:solidFill>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'DESC 18'!$BC$157:$BC$158</c:f>
              <c:strCache>
                <c:ptCount val="2"/>
                <c:pt idx="0">
                  <c:v>Any AP Mock Exams</c:v>
                </c:pt>
                <c:pt idx="1">
                  <c:v>Any AP Study Sessions</c:v>
                </c:pt>
              </c:strCache>
            </c:strRef>
          </c:cat>
          <c:val>
            <c:numRef>
              <c:f>('DESC 18'!$AQ$21,'DESC 18'!$AQ$48)</c:f>
              <c:numCache>
                <c:formatCode>0.0%</c:formatCode>
                <c:ptCount val="2"/>
                <c:pt idx="0">
                  <c:v>0.63730036063884599</c:v>
                </c:pt>
                <c:pt idx="1">
                  <c:v>0.32002404258973038</c:v>
                </c:pt>
              </c:numCache>
            </c:numRef>
          </c:val>
          <c:extLst>
            <c:ext xmlns:c16="http://schemas.microsoft.com/office/drawing/2014/chart" uri="{C3380CC4-5D6E-409C-BE32-E72D297353CC}">
              <c16:uniqueId val="{0000000E-800E-4493-B9C8-A4CB943F7793}"/>
            </c:ext>
          </c:extLst>
        </c:ser>
        <c:dLbls>
          <c:dLblPos val="inEnd"/>
          <c:showLegendKey val="0"/>
          <c:showVal val="1"/>
          <c:showCatName val="0"/>
          <c:showSerName val="0"/>
          <c:showPercent val="0"/>
          <c:showBubbleSize val="0"/>
        </c:dLbls>
        <c:gapWidth val="182"/>
        <c:axId val="1131719743"/>
        <c:axId val="1131720223"/>
      </c:barChart>
      <c:catAx>
        <c:axId val="1131719743"/>
        <c:scaling>
          <c:orientation val="maxMin"/>
        </c:scaling>
        <c:delete val="0"/>
        <c:axPos val="l"/>
        <c:numFmt formatCode="General" sourceLinked="1"/>
        <c:majorTickMark val="cross"/>
        <c:minorTickMark val="none"/>
        <c:tickLblPos val="nextTo"/>
        <c:spPr>
          <a:noFill/>
          <a:ln w="15875" cap="flat" cmpd="sng" algn="ctr">
            <a:solidFill>
              <a:schemeClr val="tx1"/>
            </a:solidFill>
            <a:round/>
          </a:ln>
          <a:effectLst/>
        </c:spPr>
        <c:txPr>
          <a:bodyPr rot="-60000000" spcFirstLastPara="1" vertOverflow="ellipsis" vert="horz" wrap="square" anchor="ctr" anchorCtr="1"/>
          <a:lstStyle/>
          <a:p>
            <a:pPr>
              <a:defRPr sz="1100" b="1" i="0" u="none" strike="noStrike" kern="1200" baseline="0">
                <a:solidFill>
                  <a:sysClr val="windowText" lastClr="000000"/>
                </a:solidFill>
                <a:latin typeface="+mn-lt"/>
                <a:ea typeface="+mn-ea"/>
                <a:cs typeface="+mn-cs"/>
              </a:defRPr>
            </a:pPr>
            <a:endParaRPr lang="en-US"/>
          </a:p>
        </c:txPr>
        <c:crossAx val="1131720223"/>
        <c:crosses val="autoZero"/>
        <c:auto val="1"/>
        <c:lblAlgn val="ctr"/>
        <c:lblOffset val="100"/>
        <c:noMultiLvlLbl val="0"/>
      </c:catAx>
      <c:valAx>
        <c:axId val="1131720223"/>
        <c:scaling>
          <c:orientation val="minMax"/>
        </c:scaling>
        <c:delete val="1"/>
        <c:axPos val="t"/>
        <c:numFmt formatCode="0.0%" sourceLinked="1"/>
        <c:majorTickMark val="none"/>
        <c:minorTickMark val="none"/>
        <c:tickLblPos val="nextTo"/>
        <c:crossAx val="1131719743"/>
        <c:crosses val="autoZero"/>
        <c:crossBetween val="between"/>
      </c:valAx>
    </c:plotArea>
    <c:legend>
      <c:legendPos val="r"/>
      <c:legendEntry>
        <c:idx val="2"/>
        <c:delete val="1"/>
      </c:legendEntry>
      <c:legendEntry>
        <c:idx val="5"/>
        <c:delete val="1"/>
      </c:legendEntry>
      <c:legendEntry>
        <c:idx val="8"/>
        <c:delete val="1"/>
      </c:legendEntry>
      <c:layout>
        <c:manualLayout>
          <c:xMode val="edge"/>
          <c:yMode val="edge"/>
          <c:x val="0.24482912574072574"/>
          <c:y val="0.80575777293125128"/>
          <c:w val="0.59166379170387207"/>
          <c:h val="0.17469839496481016"/>
        </c:manualLayout>
      </c:layout>
      <c:overlay val="0"/>
      <c:spPr>
        <a:ln>
          <a:solidFill>
            <a:schemeClr val="bg2"/>
          </a:solidFill>
        </a:ln>
      </c:spPr>
      <c:txPr>
        <a:bodyPr/>
        <a:lstStyle/>
        <a:p>
          <a:pPr>
            <a:defRPr sz="1100"/>
          </a:pPr>
          <a:endParaRPr lang="en-US"/>
        </a:p>
      </c:txPr>
    </c:legend>
    <c:plotVisOnly val="1"/>
    <c:dispBlanksAs val="gap"/>
    <c:showDLblsOverMax val="0"/>
    <c:extLst/>
  </c:chart>
  <c:spPr>
    <a:ln>
      <a:solidFill>
        <a:schemeClr val="bg2"/>
      </a:solidFill>
    </a:ln>
  </c:spPr>
  <c:txPr>
    <a:bodyPr/>
    <a:lstStyle/>
    <a:p>
      <a:pPr>
        <a:defRPr/>
      </a:pPr>
      <a:endParaRPr lang="en-US"/>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ocumenttasks/documenttasks1.xml><?xml version="1.0" encoding="utf-8"?>
<t:Tasks xmlns:t="http://schemas.microsoft.com/office/tasks/2019/documenttasks" xmlns:oel="http://schemas.microsoft.com/office/2019/extlst">
  <t:Task id="{EC66AF85-8F6B-4CAB-A666-03C6B1EC1F94}">
    <t:Anchor>
      <t:Comment id="207485934"/>
    </t:Anchor>
    <t:History>
      <t:Event id="{54C76995-3264-4E8B-B623-B38EFEC5CD2D}" time="2025-08-09T13:43:53.416Z">
        <t:Attribution userId="S::Kendra.L.Winner@mass.gov::c4a8ae17-bfa4-40c2-a450-c325afb6dbe1" userProvider="AD" userName="Winner, Kendra (DESE)"/>
        <t:Anchor>
          <t:Comment id="207485934"/>
        </t:Anchor>
        <t:Create/>
      </t:Event>
      <t:Event id="{2AC496B0-3AE1-422B-8C28-EDED81EA1B5B}" time="2025-08-09T13:43:53.416Z">
        <t:Attribution userId="S::Kendra.L.Winner@mass.gov::c4a8ae17-bfa4-40c2-a450-c325afb6dbe1" userProvider="AD" userName="Winner, Kendra (DESE)"/>
        <t:Anchor>
          <t:Comment id="207485934"/>
        </t:Anchor>
        <t:Assign userId="S::Kendra.L.Winner@mass.gov::c4a8ae17-bfa4-40c2-a450-c325afb6dbe1" userProvider="AD" userName="Winner, Kendra (DESE)"/>
      </t:Event>
      <t:Event id="{395BACE1-F978-45D4-BF58-4A4D6C000963}" time="2025-08-09T13:43:53.416Z">
        <t:Attribution userId="S::Kendra.L.Winner@mass.gov::c4a8ae17-bfa4-40c2-a450-c325afb6dbe1" userProvider="AD" userName="Winner, Kendra (DESE)"/>
        <t:Anchor>
          <t:Comment id="207485934"/>
        </t:Anchor>
        <t:SetTitle title="@Winner, Kendra (DESE) Generally summarizing for myself: While participation in AP student supports is associated with statistically significantly higher rates of AP course taking, exam taking, and exam passing, these benefits did not generally apply to…"/>
      </t:Event>
      <t:Event id="{448D2F51-0826-439D-BC9A-901A91BC634A}" time="2025-08-15T18:33:18.405Z">
        <t:Attribution userId="S::hanni@umass.edu::a2be7722-8f55-4d5b-9564-8517ae9dcd59" userProvider="AD" userName="Hanni Thoma"/>
        <t:Progress percentComplete="100"/>
      </t:Event>
      <t:Event id="{D54538D7-8782-4173-B977-19540C1E348F}" time="2025-08-15T18:33:20.778Z">
        <t:Attribution userId="S::hanni@umass.edu::a2be7722-8f55-4d5b-9564-8517ae9dcd59" userProvider="AD" userName="Hanni Thoma"/>
        <t:Undo id="{448D2F51-0826-439D-BC9A-901A91BC634A}"/>
      </t:Event>
      <t:Event id="{C639B874-A25B-4806-AA21-B7C423E3F482}" time="2025-08-21T16:00:18.066Z">
        <t:Attribution userId="S::hanni@umass.edu::a2be7722-8f55-4d5b-9564-8517ae9dcd59" userProvider="AD" userName="Hanni Thoma"/>
        <t:Progress percentComplete="100"/>
      </t:Event>
    </t:History>
  </t:Task>
</t:Task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9ED680F534A2470B8CE74994D965F04D"/>
        <w:category>
          <w:name w:val="General"/>
          <w:gallery w:val="placeholder"/>
        </w:category>
        <w:types>
          <w:type w:val="bbPlcHdr"/>
        </w:types>
        <w:behaviors>
          <w:behavior w:val="content"/>
        </w:behaviors>
        <w:guid w:val="{EFBD2A14-E26F-4C87-8FBD-0A23A2C972C9}"/>
      </w:docPartPr>
      <w:docPartBody>
        <w:p w:rsidR="00205531" w:rsidRDefault="00205531">
          <w:pPr>
            <w:pStyle w:val="9ED680F534A2470B8CE74994D965F04D"/>
          </w:pPr>
          <w:r>
            <w:rPr>
              <w:rStyle w:val="PlaceholderText"/>
            </w:rPr>
            <w:t>Report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Open Sans">
    <w:charset w:val="00"/>
    <w:family w:val="swiss"/>
    <w:pitch w:val="variable"/>
    <w:sig w:usb0="E00002EF" w:usb1="4000205B" w:usb2="00000028"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Open Sans SemiBold">
    <w:altName w:val="Segoe UI"/>
    <w:charset w:val="00"/>
    <w:family w:val="swiss"/>
    <w:pitch w:val="variable"/>
    <w:sig w:usb0="E00002EF" w:usb1="4000205B" w:usb2="00000028" w:usb3="00000000" w:csb0="0000019F" w:csb1="00000000"/>
  </w:font>
  <w:font w:name="SimHei">
    <w:altName w:val="黑体"/>
    <w:panose1 w:val="02010609060101010101"/>
    <w:charset w:val="86"/>
    <w:family w:val="modern"/>
    <w:pitch w:val="fixed"/>
    <w:sig w:usb0="800002BF" w:usb1="38CF7CFA" w:usb2="00000016" w:usb3="00000000" w:csb0="00040001" w:csb1="00000000"/>
  </w:font>
  <w:font w:name="Times New Roman (Headings CS)">
    <w:altName w:val="Times New Roman"/>
    <w:charset w:val="00"/>
    <w:family w:val="roman"/>
    <w:pitch w:val="default"/>
  </w:font>
  <w:font w:name="Times New Roman (Body CS)">
    <w:altName w:val="Times New Roman"/>
    <w:panose1 w:val="00000000000000000000"/>
    <w:charset w:val="00"/>
    <w:family w:val="roman"/>
    <w:notTrueType/>
    <w:pitch w:val="default"/>
  </w:font>
  <w:font w:name="Minion Pro">
    <w:charset w:val="00"/>
    <w:family w:val="roman"/>
    <w:pitch w:val="variable"/>
    <w:sig w:usb0="60000287" w:usb1="00000001"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ptos">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Cordia New">
    <w:panose1 w:val="020B0304020202020204"/>
    <w:charset w:val="DE"/>
    <w:family w:val="swiss"/>
    <w:pitch w:val="variable"/>
    <w:sig w:usb0="81000003" w:usb1="00000000" w:usb2="00000000" w:usb3="00000000" w:csb0="00010001" w:csb1="00000000"/>
  </w:font>
  <w:font w:name="DengXian Light">
    <w:altName w:val="等线 Light"/>
    <w:panose1 w:val="02010600030101010101"/>
    <w:charset w:val="86"/>
    <w:family w:val="auto"/>
    <w:pitch w:val="variable"/>
    <w:sig w:usb0="A00002BF" w:usb1="38CF7CFA" w:usb2="00000016" w:usb3="00000000" w:csb0="0004000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5531"/>
    <w:rsid w:val="00006EDD"/>
    <w:rsid w:val="0002078E"/>
    <w:rsid w:val="00055402"/>
    <w:rsid w:val="00072C25"/>
    <w:rsid w:val="0008677F"/>
    <w:rsid w:val="000F3067"/>
    <w:rsid w:val="00124509"/>
    <w:rsid w:val="00174A3E"/>
    <w:rsid w:val="00194F72"/>
    <w:rsid w:val="00205531"/>
    <w:rsid w:val="002362BF"/>
    <w:rsid w:val="0026217D"/>
    <w:rsid w:val="00285A40"/>
    <w:rsid w:val="002A7F69"/>
    <w:rsid w:val="002B75AF"/>
    <w:rsid w:val="003170D2"/>
    <w:rsid w:val="003745D7"/>
    <w:rsid w:val="00390EB4"/>
    <w:rsid w:val="003A1761"/>
    <w:rsid w:val="003A7162"/>
    <w:rsid w:val="003F1016"/>
    <w:rsid w:val="00401DFC"/>
    <w:rsid w:val="00424A86"/>
    <w:rsid w:val="00493601"/>
    <w:rsid w:val="004B549D"/>
    <w:rsid w:val="005204CE"/>
    <w:rsid w:val="0052276D"/>
    <w:rsid w:val="00524A17"/>
    <w:rsid w:val="00526647"/>
    <w:rsid w:val="0055610D"/>
    <w:rsid w:val="00560058"/>
    <w:rsid w:val="00572B63"/>
    <w:rsid w:val="0068030E"/>
    <w:rsid w:val="006B6722"/>
    <w:rsid w:val="006C6EEA"/>
    <w:rsid w:val="0070129C"/>
    <w:rsid w:val="00785C8B"/>
    <w:rsid w:val="0079662A"/>
    <w:rsid w:val="007B4B5A"/>
    <w:rsid w:val="007C329A"/>
    <w:rsid w:val="007D3D9E"/>
    <w:rsid w:val="0080001F"/>
    <w:rsid w:val="008A67A3"/>
    <w:rsid w:val="008B3863"/>
    <w:rsid w:val="008D642D"/>
    <w:rsid w:val="00947EC3"/>
    <w:rsid w:val="009D02BC"/>
    <w:rsid w:val="009D1FDC"/>
    <w:rsid w:val="009E4527"/>
    <w:rsid w:val="00A0175D"/>
    <w:rsid w:val="00A03AD8"/>
    <w:rsid w:val="00A13BFC"/>
    <w:rsid w:val="00A657C7"/>
    <w:rsid w:val="00A7335A"/>
    <w:rsid w:val="00AF4535"/>
    <w:rsid w:val="00B52522"/>
    <w:rsid w:val="00B723FB"/>
    <w:rsid w:val="00B749C1"/>
    <w:rsid w:val="00BE609B"/>
    <w:rsid w:val="00C10F51"/>
    <w:rsid w:val="00C33E27"/>
    <w:rsid w:val="00C53474"/>
    <w:rsid w:val="00CC0816"/>
    <w:rsid w:val="00CD434E"/>
    <w:rsid w:val="00CE2B4C"/>
    <w:rsid w:val="00D02999"/>
    <w:rsid w:val="00D43372"/>
    <w:rsid w:val="00D57F7F"/>
    <w:rsid w:val="00E10981"/>
    <w:rsid w:val="00E17B77"/>
    <w:rsid w:val="00EA053D"/>
    <w:rsid w:val="00EB0666"/>
    <w:rsid w:val="00EC5A85"/>
    <w:rsid w:val="00F8074A"/>
    <w:rsid w:val="00FD7544"/>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9ED680F534A2470B8CE74994D965F04D">
    <w:name w:val="9ED680F534A2470B8CE74994D965F04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UMDI">
      <a:dk1>
        <a:sysClr val="windowText" lastClr="000000"/>
      </a:dk1>
      <a:lt1>
        <a:sysClr val="window" lastClr="FFFFFF"/>
      </a:lt1>
      <a:dk2>
        <a:srgbClr val="A32638"/>
      </a:dk2>
      <a:lt2>
        <a:srgbClr val="EAEAEA"/>
      </a:lt2>
      <a:accent1>
        <a:srgbClr val="800014"/>
      </a:accent1>
      <a:accent2>
        <a:srgbClr val="337BAD"/>
      </a:accent2>
      <a:accent3>
        <a:srgbClr val="A4C264"/>
      </a:accent3>
      <a:accent4>
        <a:srgbClr val="FED79E"/>
      </a:accent4>
      <a:accent5>
        <a:srgbClr val="D07C53"/>
      </a:accent5>
      <a:accent6>
        <a:srgbClr val="ADA4B9"/>
      </a:accent6>
      <a:hlink>
        <a:srgbClr val="000000"/>
      </a:hlink>
      <a:folHlink>
        <a:srgbClr val="800014"/>
      </a:folHlink>
    </a:clrScheme>
    <a:fontScheme name="UMDI">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4B8FF542EE31B429B9FD7C1CC47E951" ma:contentTypeVersion="8" ma:contentTypeDescription="Create a new document." ma:contentTypeScope="" ma:versionID="606625eeea750a672d527a8b58a3f587">
  <xsd:schema xmlns:xsd="http://www.w3.org/2001/XMLSchema" xmlns:xs="http://www.w3.org/2001/XMLSchema" xmlns:p="http://schemas.microsoft.com/office/2006/metadata/properties" xmlns:ns2="6e48962f-a266-4439-9d65-96d876cb34df" targetNamespace="http://schemas.microsoft.com/office/2006/metadata/properties" ma:root="true" ma:fieldsID="50caa8f1fcbc19beb278bdeb83d24368" ns2:_="">
    <xsd:import namespace="6e48962f-a266-4439-9d65-96d876cb34df"/>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e48962f-a266-4439-9d65-96d876cb34d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953506-3D97-41AD-9863-7531AAC6536B}">
  <ds:schemaRefs>
    <ds:schemaRef ds:uri="http://schemas.microsoft.com/sharepoint/v3/contenttype/forms"/>
  </ds:schemaRefs>
</ds:datastoreItem>
</file>

<file path=customXml/itemProps2.xml><?xml version="1.0" encoding="utf-8"?>
<ds:datastoreItem xmlns:ds="http://schemas.openxmlformats.org/officeDocument/2006/customXml" ds:itemID="{241DA3EB-725C-4043-B545-52DC92D99E36}">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D3774FC1-F23E-48FA-A376-E869DA84191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e48962f-a266-4439-9d65-96d876cb34d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21FD326-E3E6-4403-9301-5B5BE32FE0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61</Pages>
  <Words>13236</Words>
  <Characters>75449</Characters>
  <Application>Microsoft Office Word</Application>
  <DocSecurity>0</DocSecurity>
  <Lines>628</Lines>
  <Paragraphs>177</Paragraphs>
  <ScaleCrop>false</ScaleCrop>
  <HeadingPairs>
    <vt:vector size="2" baseType="variant">
      <vt:variant>
        <vt:lpstr>Title</vt:lpstr>
      </vt:variant>
      <vt:variant>
        <vt:i4>1</vt:i4>
      </vt:variant>
    </vt:vector>
  </HeadingPairs>
  <TitlesOfParts>
    <vt:vector size="1" baseType="lpstr">
      <vt:lpstr>UMDI EPPR Report Template</vt:lpstr>
    </vt:vector>
  </TitlesOfParts>
  <Manager/>
  <Company/>
  <LinksUpToDate>false</LinksUpToDate>
  <CharactersWithSpaces>88508</CharactersWithSpaces>
  <SharedDoc>false</SharedDoc>
  <HyperlinkBase/>
  <HLinks>
    <vt:vector size="402" baseType="variant">
      <vt:variant>
        <vt:i4>7209049</vt:i4>
      </vt:variant>
      <vt:variant>
        <vt:i4>339</vt:i4>
      </vt:variant>
      <vt:variant>
        <vt:i4>0</vt:i4>
      </vt:variant>
      <vt:variant>
        <vt:i4>5</vt:i4>
      </vt:variant>
      <vt:variant>
        <vt:lpwstr/>
      </vt:variant>
      <vt:variant>
        <vt:lpwstr>_Discussion_and_Conclusion</vt:lpwstr>
      </vt:variant>
      <vt:variant>
        <vt:i4>1966139</vt:i4>
      </vt:variant>
      <vt:variant>
        <vt:i4>336</vt:i4>
      </vt:variant>
      <vt:variant>
        <vt:i4>0</vt:i4>
      </vt:variant>
      <vt:variant>
        <vt:i4>5</vt:i4>
      </vt:variant>
      <vt:variant>
        <vt:lpwstr/>
      </vt:variant>
      <vt:variant>
        <vt:lpwstr>_Results</vt:lpwstr>
      </vt:variant>
      <vt:variant>
        <vt:i4>983101</vt:i4>
      </vt:variant>
      <vt:variant>
        <vt:i4>333</vt:i4>
      </vt:variant>
      <vt:variant>
        <vt:i4>0</vt:i4>
      </vt:variant>
      <vt:variant>
        <vt:i4>5</vt:i4>
      </vt:variant>
      <vt:variant>
        <vt:lpwstr/>
      </vt:variant>
      <vt:variant>
        <vt:lpwstr>_Methodology</vt:lpwstr>
      </vt:variant>
      <vt:variant>
        <vt:i4>1835053</vt:i4>
      </vt:variant>
      <vt:variant>
        <vt:i4>330</vt:i4>
      </vt:variant>
      <vt:variant>
        <vt:i4>0</vt:i4>
      </vt:variant>
      <vt:variant>
        <vt:i4>5</vt:i4>
      </vt:variant>
      <vt:variant>
        <vt:lpwstr/>
      </vt:variant>
      <vt:variant>
        <vt:lpwstr>_Introduction</vt:lpwstr>
      </vt:variant>
      <vt:variant>
        <vt:i4>1638458</vt:i4>
      </vt:variant>
      <vt:variant>
        <vt:i4>323</vt:i4>
      </vt:variant>
      <vt:variant>
        <vt:i4>0</vt:i4>
      </vt:variant>
      <vt:variant>
        <vt:i4>5</vt:i4>
      </vt:variant>
      <vt:variant>
        <vt:lpwstr/>
      </vt:variant>
      <vt:variant>
        <vt:lpwstr>_Toc206681697</vt:lpwstr>
      </vt:variant>
      <vt:variant>
        <vt:i4>1638458</vt:i4>
      </vt:variant>
      <vt:variant>
        <vt:i4>317</vt:i4>
      </vt:variant>
      <vt:variant>
        <vt:i4>0</vt:i4>
      </vt:variant>
      <vt:variant>
        <vt:i4>5</vt:i4>
      </vt:variant>
      <vt:variant>
        <vt:lpwstr/>
      </vt:variant>
      <vt:variant>
        <vt:lpwstr>_Toc206681696</vt:lpwstr>
      </vt:variant>
      <vt:variant>
        <vt:i4>1638458</vt:i4>
      </vt:variant>
      <vt:variant>
        <vt:i4>311</vt:i4>
      </vt:variant>
      <vt:variant>
        <vt:i4>0</vt:i4>
      </vt:variant>
      <vt:variant>
        <vt:i4>5</vt:i4>
      </vt:variant>
      <vt:variant>
        <vt:lpwstr/>
      </vt:variant>
      <vt:variant>
        <vt:lpwstr>_Toc206681695</vt:lpwstr>
      </vt:variant>
      <vt:variant>
        <vt:i4>1638458</vt:i4>
      </vt:variant>
      <vt:variant>
        <vt:i4>305</vt:i4>
      </vt:variant>
      <vt:variant>
        <vt:i4>0</vt:i4>
      </vt:variant>
      <vt:variant>
        <vt:i4>5</vt:i4>
      </vt:variant>
      <vt:variant>
        <vt:lpwstr/>
      </vt:variant>
      <vt:variant>
        <vt:lpwstr>_Toc206681694</vt:lpwstr>
      </vt:variant>
      <vt:variant>
        <vt:i4>1638458</vt:i4>
      </vt:variant>
      <vt:variant>
        <vt:i4>299</vt:i4>
      </vt:variant>
      <vt:variant>
        <vt:i4>0</vt:i4>
      </vt:variant>
      <vt:variant>
        <vt:i4>5</vt:i4>
      </vt:variant>
      <vt:variant>
        <vt:lpwstr/>
      </vt:variant>
      <vt:variant>
        <vt:lpwstr>_Toc206681692</vt:lpwstr>
      </vt:variant>
      <vt:variant>
        <vt:i4>1638458</vt:i4>
      </vt:variant>
      <vt:variant>
        <vt:i4>293</vt:i4>
      </vt:variant>
      <vt:variant>
        <vt:i4>0</vt:i4>
      </vt:variant>
      <vt:variant>
        <vt:i4>5</vt:i4>
      </vt:variant>
      <vt:variant>
        <vt:lpwstr/>
      </vt:variant>
      <vt:variant>
        <vt:lpwstr>_Toc206681691</vt:lpwstr>
      </vt:variant>
      <vt:variant>
        <vt:i4>1638458</vt:i4>
      </vt:variant>
      <vt:variant>
        <vt:i4>287</vt:i4>
      </vt:variant>
      <vt:variant>
        <vt:i4>0</vt:i4>
      </vt:variant>
      <vt:variant>
        <vt:i4>5</vt:i4>
      </vt:variant>
      <vt:variant>
        <vt:lpwstr/>
      </vt:variant>
      <vt:variant>
        <vt:lpwstr>_Toc206681690</vt:lpwstr>
      </vt:variant>
      <vt:variant>
        <vt:i4>1572922</vt:i4>
      </vt:variant>
      <vt:variant>
        <vt:i4>281</vt:i4>
      </vt:variant>
      <vt:variant>
        <vt:i4>0</vt:i4>
      </vt:variant>
      <vt:variant>
        <vt:i4>5</vt:i4>
      </vt:variant>
      <vt:variant>
        <vt:lpwstr/>
      </vt:variant>
      <vt:variant>
        <vt:lpwstr>_Toc206681689</vt:lpwstr>
      </vt:variant>
      <vt:variant>
        <vt:i4>1572922</vt:i4>
      </vt:variant>
      <vt:variant>
        <vt:i4>275</vt:i4>
      </vt:variant>
      <vt:variant>
        <vt:i4>0</vt:i4>
      </vt:variant>
      <vt:variant>
        <vt:i4>5</vt:i4>
      </vt:variant>
      <vt:variant>
        <vt:lpwstr/>
      </vt:variant>
      <vt:variant>
        <vt:lpwstr>_Toc206681688</vt:lpwstr>
      </vt:variant>
      <vt:variant>
        <vt:i4>1572922</vt:i4>
      </vt:variant>
      <vt:variant>
        <vt:i4>269</vt:i4>
      </vt:variant>
      <vt:variant>
        <vt:i4>0</vt:i4>
      </vt:variant>
      <vt:variant>
        <vt:i4>5</vt:i4>
      </vt:variant>
      <vt:variant>
        <vt:lpwstr/>
      </vt:variant>
      <vt:variant>
        <vt:lpwstr>_Toc206681687</vt:lpwstr>
      </vt:variant>
      <vt:variant>
        <vt:i4>1572922</vt:i4>
      </vt:variant>
      <vt:variant>
        <vt:i4>263</vt:i4>
      </vt:variant>
      <vt:variant>
        <vt:i4>0</vt:i4>
      </vt:variant>
      <vt:variant>
        <vt:i4>5</vt:i4>
      </vt:variant>
      <vt:variant>
        <vt:lpwstr/>
      </vt:variant>
      <vt:variant>
        <vt:lpwstr>_Toc206681686</vt:lpwstr>
      </vt:variant>
      <vt:variant>
        <vt:i4>1572922</vt:i4>
      </vt:variant>
      <vt:variant>
        <vt:i4>257</vt:i4>
      </vt:variant>
      <vt:variant>
        <vt:i4>0</vt:i4>
      </vt:variant>
      <vt:variant>
        <vt:i4>5</vt:i4>
      </vt:variant>
      <vt:variant>
        <vt:lpwstr/>
      </vt:variant>
      <vt:variant>
        <vt:lpwstr>_Toc206681685</vt:lpwstr>
      </vt:variant>
      <vt:variant>
        <vt:i4>1572922</vt:i4>
      </vt:variant>
      <vt:variant>
        <vt:i4>251</vt:i4>
      </vt:variant>
      <vt:variant>
        <vt:i4>0</vt:i4>
      </vt:variant>
      <vt:variant>
        <vt:i4>5</vt:i4>
      </vt:variant>
      <vt:variant>
        <vt:lpwstr/>
      </vt:variant>
      <vt:variant>
        <vt:lpwstr>_Toc206681684</vt:lpwstr>
      </vt:variant>
      <vt:variant>
        <vt:i4>1572922</vt:i4>
      </vt:variant>
      <vt:variant>
        <vt:i4>245</vt:i4>
      </vt:variant>
      <vt:variant>
        <vt:i4>0</vt:i4>
      </vt:variant>
      <vt:variant>
        <vt:i4>5</vt:i4>
      </vt:variant>
      <vt:variant>
        <vt:lpwstr/>
      </vt:variant>
      <vt:variant>
        <vt:lpwstr>_Toc206681683</vt:lpwstr>
      </vt:variant>
      <vt:variant>
        <vt:i4>1572922</vt:i4>
      </vt:variant>
      <vt:variant>
        <vt:i4>239</vt:i4>
      </vt:variant>
      <vt:variant>
        <vt:i4>0</vt:i4>
      </vt:variant>
      <vt:variant>
        <vt:i4>5</vt:i4>
      </vt:variant>
      <vt:variant>
        <vt:lpwstr/>
      </vt:variant>
      <vt:variant>
        <vt:lpwstr>_Toc206681682</vt:lpwstr>
      </vt:variant>
      <vt:variant>
        <vt:i4>1572922</vt:i4>
      </vt:variant>
      <vt:variant>
        <vt:i4>233</vt:i4>
      </vt:variant>
      <vt:variant>
        <vt:i4>0</vt:i4>
      </vt:variant>
      <vt:variant>
        <vt:i4>5</vt:i4>
      </vt:variant>
      <vt:variant>
        <vt:lpwstr/>
      </vt:variant>
      <vt:variant>
        <vt:lpwstr>_Toc206681681</vt:lpwstr>
      </vt:variant>
      <vt:variant>
        <vt:i4>1572922</vt:i4>
      </vt:variant>
      <vt:variant>
        <vt:i4>227</vt:i4>
      </vt:variant>
      <vt:variant>
        <vt:i4>0</vt:i4>
      </vt:variant>
      <vt:variant>
        <vt:i4>5</vt:i4>
      </vt:variant>
      <vt:variant>
        <vt:lpwstr/>
      </vt:variant>
      <vt:variant>
        <vt:lpwstr>_Toc206681680</vt:lpwstr>
      </vt:variant>
      <vt:variant>
        <vt:i4>1507386</vt:i4>
      </vt:variant>
      <vt:variant>
        <vt:i4>221</vt:i4>
      </vt:variant>
      <vt:variant>
        <vt:i4>0</vt:i4>
      </vt:variant>
      <vt:variant>
        <vt:i4>5</vt:i4>
      </vt:variant>
      <vt:variant>
        <vt:lpwstr/>
      </vt:variant>
      <vt:variant>
        <vt:lpwstr>_Toc206681679</vt:lpwstr>
      </vt:variant>
      <vt:variant>
        <vt:i4>1507386</vt:i4>
      </vt:variant>
      <vt:variant>
        <vt:i4>215</vt:i4>
      </vt:variant>
      <vt:variant>
        <vt:i4>0</vt:i4>
      </vt:variant>
      <vt:variant>
        <vt:i4>5</vt:i4>
      </vt:variant>
      <vt:variant>
        <vt:lpwstr/>
      </vt:variant>
      <vt:variant>
        <vt:lpwstr>_Toc206681678</vt:lpwstr>
      </vt:variant>
      <vt:variant>
        <vt:i4>1507386</vt:i4>
      </vt:variant>
      <vt:variant>
        <vt:i4>209</vt:i4>
      </vt:variant>
      <vt:variant>
        <vt:i4>0</vt:i4>
      </vt:variant>
      <vt:variant>
        <vt:i4>5</vt:i4>
      </vt:variant>
      <vt:variant>
        <vt:lpwstr/>
      </vt:variant>
      <vt:variant>
        <vt:lpwstr>_Toc206681677</vt:lpwstr>
      </vt:variant>
      <vt:variant>
        <vt:i4>1507386</vt:i4>
      </vt:variant>
      <vt:variant>
        <vt:i4>203</vt:i4>
      </vt:variant>
      <vt:variant>
        <vt:i4>0</vt:i4>
      </vt:variant>
      <vt:variant>
        <vt:i4>5</vt:i4>
      </vt:variant>
      <vt:variant>
        <vt:lpwstr/>
      </vt:variant>
      <vt:variant>
        <vt:lpwstr>_Toc206681676</vt:lpwstr>
      </vt:variant>
      <vt:variant>
        <vt:i4>1507386</vt:i4>
      </vt:variant>
      <vt:variant>
        <vt:i4>197</vt:i4>
      </vt:variant>
      <vt:variant>
        <vt:i4>0</vt:i4>
      </vt:variant>
      <vt:variant>
        <vt:i4>5</vt:i4>
      </vt:variant>
      <vt:variant>
        <vt:lpwstr/>
      </vt:variant>
      <vt:variant>
        <vt:lpwstr>_Toc206681675</vt:lpwstr>
      </vt:variant>
      <vt:variant>
        <vt:i4>1507386</vt:i4>
      </vt:variant>
      <vt:variant>
        <vt:i4>191</vt:i4>
      </vt:variant>
      <vt:variant>
        <vt:i4>0</vt:i4>
      </vt:variant>
      <vt:variant>
        <vt:i4>5</vt:i4>
      </vt:variant>
      <vt:variant>
        <vt:lpwstr/>
      </vt:variant>
      <vt:variant>
        <vt:lpwstr>_Toc206681674</vt:lpwstr>
      </vt:variant>
      <vt:variant>
        <vt:i4>1507386</vt:i4>
      </vt:variant>
      <vt:variant>
        <vt:i4>185</vt:i4>
      </vt:variant>
      <vt:variant>
        <vt:i4>0</vt:i4>
      </vt:variant>
      <vt:variant>
        <vt:i4>5</vt:i4>
      </vt:variant>
      <vt:variant>
        <vt:lpwstr/>
      </vt:variant>
      <vt:variant>
        <vt:lpwstr>_Toc206681673</vt:lpwstr>
      </vt:variant>
      <vt:variant>
        <vt:i4>1507386</vt:i4>
      </vt:variant>
      <vt:variant>
        <vt:i4>179</vt:i4>
      </vt:variant>
      <vt:variant>
        <vt:i4>0</vt:i4>
      </vt:variant>
      <vt:variant>
        <vt:i4>5</vt:i4>
      </vt:variant>
      <vt:variant>
        <vt:lpwstr/>
      </vt:variant>
      <vt:variant>
        <vt:lpwstr>_Toc206681672</vt:lpwstr>
      </vt:variant>
      <vt:variant>
        <vt:i4>1507386</vt:i4>
      </vt:variant>
      <vt:variant>
        <vt:i4>173</vt:i4>
      </vt:variant>
      <vt:variant>
        <vt:i4>0</vt:i4>
      </vt:variant>
      <vt:variant>
        <vt:i4>5</vt:i4>
      </vt:variant>
      <vt:variant>
        <vt:lpwstr/>
      </vt:variant>
      <vt:variant>
        <vt:lpwstr>_Toc206681671</vt:lpwstr>
      </vt:variant>
      <vt:variant>
        <vt:i4>1507386</vt:i4>
      </vt:variant>
      <vt:variant>
        <vt:i4>167</vt:i4>
      </vt:variant>
      <vt:variant>
        <vt:i4>0</vt:i4>
      </vt:variant>
      <vt:variant>
        <vt:i4>5</vt:i4>
      </vt:variant>
      <vt:variant>
        <vt:lpwstr/>
      </vt:variant>
      <vt:variant>
        <vt:lpwstr>_Toc206681670</vt:lpwstr>
      </vt:variant>
      <vt:variant>
        <vt:i4>1441850</vt:i4>
      </vt:variant>
      <vt:variant>
        <vt:i4>161</vt:i4>
      </vt:variant>
      <vt:variant>
        <vt:i4>0</vt:i4>
      </vt:variant>
      <vt:variant>
        <vt:i4>5</vt:i4>
      </vt:variant>
      <vt:variant>
        <vt:lpwstr/>
      </vt:variant>
      <vt:variant>
        <vt:lpwstr>_Toc206681669</vt:lpwstr>
      </vt:variant>
      <vt:variant>
        <vt:i4>1441850</vt:i4>
      </vt:variant>
      <vt:variant>
        <vt:i4>155</vt:i4>
      </vt:variant>
      <vt:variant>
        <vt:i4>0</vt:i4>
      </vt:variant>
      <vt:variant>
        <vt:i4>5</vt:i4>
      </vt:variant>
      <vt:variant>
        <vt:lpwstr/>
      </vt:variant>
      <vt:variant>
        <vt:lpwstr>_Toc206681668</vt:lpwstr>
      </vt:variant>
      <vt:variant>
        <vt:i4>1441850</vt:i4>
      </vt:variant>
      <vt:variant>
        <vt:i4>149</vt:i4>
      </vt:variant>
      <vt:variant>
        <vt:i4>0</vt:i4>
      </vt:variant>
      <vt:variant>
        <vt:i4>5</vt:i4>
      </vt:variant>
      <vt:variant>
        <vt:lpwstr/>
      </vt:variant>
      <vt:variant>
        <vt:lpwstr>_Toc206681667</vt:lpwstr>
      </vt:variant>
      <vt:variant>
        <vt:i4>1441850</vt:i4>
      </vt:variant>
      <vt:variant>
        <vt:i4>143</vt:i4>
      </vt:variant>
      <vt:variant>
        <vt:i4>0</vt:i4>
      </vt:variant>
      <vt:variant>
        <vt:i4>5</vt:i4>
      </vt:variant>
      <vt:variant>
        <vt:lpwstr/>
      </vt:variant>
      <vt:variant>
        <vt:lpwstr>_Toc206681666</vt:lpwstr>
      </vt:variant>
      <vt:variant>
        <vt:i4>1441850</vt:i4>
      </vt:variant>
      <vt:variant>
        <vt:i4>137</vt:i4>
      </vt:variant>
      <vt:variant>
        <vt:i4>0</vt:i4>
      </vt:variant>
      <vt:variant>
        <vt:i4>5</vt:i4>
      </vt:variant>
      <vt:variant>
        <vt:lpwstr/>
      </vt:variant>
      <vt:variant>
        <vt:lpwstr>_Toc206681665</vt:lpwstr>
      </vt:variant>
      <vt:variant>
        <vt:i4>1310769</vt:i4>
      </vt:variant>
      <vt:variant>
        <vt:i4>128</vt:i4>
      </vt:variant>
      <vt:variant>
        <vt:i4>0</vt:i4>
      </vt:variant>
      <vt:variant>
        <vt:i4>5</vt:i4>
      </vt:variant>
      <vt:variant>
        <vt:lpwstr/>
      </vt:variant>
      <vt:variant>
        <vt:lpwstr>_Toc206742164</vt:lpwstr>
      </vt:variant>
      <vt:variant>
        <vt:i4>1310769</vt:i4>
      </vt:variant>
      <vt:variant>
        <vt:i4>122</vt:i4>
      </vt:variant>
      <vt:variant>
        <vt:i4>0</vt:i4>
      </vt:variant>
      <vt:variant>
        <vt:i4>5</vt:i4>
      </vt:variant>
      <vt:variant>
        <vt:lpwstr/>
      </vt:variant>
      <vt:variant>
        <vt:lpwstr>_Toc206742163</vt:lpwstr>
      </vt:variant>
      <vt:variant>
        <vt:i4>1310769</vt:i4>
      </vt:variant>
      <vt:variant>
        <vt:i4>116</vt:i4>
      </vt:variant>
      <vt:variant>
        <vt:i4>0</vt:i4>
      </vt:variant>
      <vt:variant>
        <vt:i4>5</vt:i4>
      </vt:variant>
      <vt:variant>
        <vt:lpwstr/>
      </vt:variant>
      <vt:variant>
        <vt:lpwstr>_Toc206742162</vt:lpwstr>
      </vt:variant>
      <vt:variant>
        <vt:i4>1310769</vt:i4>
      </vt:variant>
      <vt:variant>
        <vt:i4>110</vt:i4>
      </vt:variant>
      <vt:variant>
        <vt:i4>0</vt:i4>
      </vt:variant>
      <vt:variant>
        <vt:i4>5</vt:i4>
      </vt:variant>
      <vt:variant>
        <vt:lpwstr/>
      </vt:variant>
      <vt:variant>
        <vt:lpwstr>_Toc206742161</vt:lpwstr>
      </vt:variant>
      <vt:variant>
        <vt:i4>1310769</vt:i4>
      </vt:variant>
      <vt:variant>
        <vt:i4>104</vt:i4>
      </vt:variant>
      <vt:variant>
        <vt:i4>0</vt:i4>
      </vt:variant>
      <vt:variant>
        <vt:i4>5</vt:i4>
      </vt:variant>
      <vt:variant>
        <vt:lpwstr/>
      </vt:variant>
      <vt:variant>
        <vt:lpwstr>_Toc206742160</vt:lpwstr>
      </vt:variant>
      <vt:variant>
        <vt:i4>1507377</vt:i4>
      </vt:variant>
      <vt:variant>
        <vt:i4>98</vt:i4>
      </vt:variant>
      <vt:variant>
        <vt:i4>0</vt:i4>
      </vt:variant>
      <vt:variant>
        <vt:i4>5</vt:i4>
      </vt:variant>
      <vt:variant>
        <vt:lpwstr/>
      </vt:variant>
      <vt:variant>
        <vt:lpwstr>_Toc206742159</vt:lpwstr>
      </vt:variant>
      <vt:variant>
        <vt:i4>1048625</vt:i4>
      </vt:variant>
      <vt:variant>
        <vt:i4>89</vt:i4>
      </vt:variant>
      <vt:variant>
        <vt:i4>0</vt:i4>
      </vt:variant>
      <vt:variant>
        <vt:i4>5</vt:i4>
      </vt:variant>
      <vt:variant>
        <vt:lpwstr/>
      </vt:variant>
      <vt:variant>
        <vt:lpwstr>_Toc206742121</vt:lpwstr>
      </vt:variant>
      <vt:variant>
        <vt:i4>1245233</vt:i4>
      </vt:variant>
      <vt:variant>
        <vt:i4>83</vt:i4>
      </vt:variant>
      <vt:variant>
        <vt:i4>0</vt:i4>
      </vt:variant>
      <vt:variant>
        <vt:i4>5</vt:i4>
      </vt:variant>
      <vt:variant>
        <vt:lpwstr/>
      </vt:variant>
      <vt:variant>
        <vt:lpwstr>_Toc206742118</vt:lpwstr>
      </vt:variant>
      <vt:variant>
        <vt:i4>1245233</vt:i4>
      </vt:variant>
      <vt:variant>
        <vt:i4>77</vt:i4>
      </vt:variant>
      <vt:variant>
        <vt:i4>0</vt:i4>
      </vt:variant>
      <vt:variant>
        <vt:i4>5</vt:i4>
      </vt:variant>
      <vt:variant>
        <vt:lpwstr/>
      </vt:variant>
      <vt:variant>
        <vt:lpwstr>_Toc206742112</vt:lpwstr>
      </vt:variant>
      <vt:variant>
        <vt:i4>1179697</vt:i4>
      </vt:variant>
      <vt:variant>
        <vt:i4>71</vt:i4>
      </vt:variant>
      <vt:variant>
        <vt:i4>0</vt:i4>
      </vt:variant>
      <vt:variant>
        <vt:i4>5</vt:i4>
      </vt:variant>
      <vt:variant>
        <vt:lpwstr/>
      </vt:variant>
      <vt:variant>
        <vt:lpwstr>_Toc206742109</vt:lpwstr>
      </vt:variant>
      <vt:variant>
        <vt:i4>1179697</vt:i4>
      </vt:variant>
      <vt:variant>
        <vt:i4>65</vt:i4>
      </vt:variant>
      <vt:variant>
        <vt:i4>0</vt:i4>
      </vt:variant>
      <vt:variant>
        <vt:i4>5</vt:i4>
      </vt:variant>
      <vt:variant>
        <vt:lpwstr/>
      </vt:variant>
      <vt:variant>
        <vt:lpwstr>_Toc206742106</vt:lpwstr>
      </vt:variant>
      <vt:variant>
        <vt:i4>1179697</vt:i4>
      </vt:variant>
      <vt:variant>
        <vt:i4>59</vt:i4>
      </vt:variant>
      <vt:variant>
        <vt:i4>0</vt:i4>
      </vt:variant>
      <vt:variant>
        <vt:i4>5</vt:i4>
      </vt:variant>
      <vt:variant>
        <vt:lpwstr/>
      </vt:variant>
      <vt:variant>
        <vt:lpwstr>_Toc206742105</vt:lpwstr>
      </vt:variant>
      <vt:variant>
        <vt:i4>1179697</vt:i4>
      </vt:variant>
      <vt:variant>
        <vt:i4>53</vt:i4>
      </vt:variant>
      <vt:variant>
        <vt:i4>0</vt:i4>
      </vt:variant>
      <vt:variant>
        <vt:i4>5</vt:i4>
      </vt:variant>
      <vt:variant>
        <vt:lpwstr/>
      </vt:variant>
      <vt:variant>
        <vt:lpwstr>_Toc206742102</vt:lpwstr>
      </vt:variant>
      <vt:variant>
        <vt:i4>1179697</vt:i4>
      </vt:variant>
      <vt:variant>
        <vt:i4>47</vt:i4>
      </vt:variant>
      <vt:variant>
        <vt:i4>0</vt:i4>
      </vt:variant>
      <vt:variant>
        <vt:i4>5</vt:i4>
      </vt:variant>
      <vt:variant>
        <vt:lpwstr/>
      </vt:variant>
      <vt:variant>
        <vt:lpwstr>_Toc206742101</vt:lpwstr>
      </vt:variant>
      <vt:variant>
        <vt:i4>1769520</vt:i4>
      </vt:variant>
      <vt:variant>
        <vt:i4>41</vt:i4>
      </vt:variant>
      <vt:variant>
        <vt:i4>0</vt:i4>
      </vt:variant>
      <vt:variant>
        <vt:i4>5</vt:i4>
      </vt:variant>
      <vt:variant>
        <vt:lpwstr/>
      </vt:variant>
      <vt:variant>
        <vt:lpwstr>_Toc206742092</vt:lpwstr>
      </vt:variant>
      <vt:variant>
        <vt:i4>1769520</vt:i4>
      </vt:variant>
      <vt:variant>
        <vt:i4>35</vt:i4>
      </vt:variant>
      <vt:variant>
        <vt:i4>0</vt:i4>
      </vt:variant>
      <vt:variant>
        <vt:i4>5</vt:i4>
      </vt:variant>
      <vt:variant>
        <vt:lpwstr/>
      </vt:variant>
      <vt:variant>
        <vt:lpwstr>_Toc206742091</vt:lpwstr>
      </vt:variant>
      <vt:variant>
        <vt:i4>1703984</vt:i4>
      </vt:variant>
      <vt:variant>
        <vt:i4>29</vt:i4>
      </vt:variant>
      <vt:variant>
        <vt:i4>0</vt:i4>
      </vt:variant>
      <vt:variant>
        <vt:i4>5</vt:i4>
      </vt:variant>
      <vt:variant>
        <vt:lpwstr/>
      </vt:variant>
      <vt:variant>
        <vt:lpwstr>_Toc206742083</vt:lpwstr>
      </vt:variant>
      <vt:variant>
        <vt:i4>1703984</vt:i4>
      </vt:variant>
      <vt:variant>
        <vt:i4>23</vt:i4>
      </vt:variant>
      <vt:variant>
        <vt:i4>0</vt:i4>
      </vt:variant>
      <vt:variant>
        <vt:i4>5</vt:i4>
      </vt:variant>
      <vt:variant>
        <vt:lpwstr/>
      </vt:variant>
      <vt:variant>
        <vt:lpwstr>_Toc206742082</vt:lpwstr>
      </vt:variant>
      <vt:variant>
        <vt:i4>1703984</vt:i4>
      </vt:variant>
      <vt:variant>
        <vt:i4>17</vt:i4>
      </vt:variant>
      <vt:variant>
        <vt:i4>0</vt:i4>
      </vt:variant>
      <vt:variant>
        <vt:i4>5</vt:i4>
      </vt:variant>
      <vt:variant>
        <vt:lpwstr/>
      </vt:variant>
      <vt:variant>
        <vt:lpwstr>_Toc206742081</vt:lpwstr>
      </vt:variant>
      <vt:variant>
        <vt:i4>1703984</vt:i4>
      </vt:variant>
      <vt:variant>
        <vt:i4>11</vt:i4>
      </vt:variant>
      <vt:variant>
        <vt:i4>0</vt:i4>
      </vt:variant>
      <vt:variant>
        <vt:i4>5</vt:i4>
      </vt:variant>
      <vt:variant>
        <vt:lpwstr/>
      </vt:variant>
      <vt:variant>
        <vt:lpwstr>_Toc206742080</vt:lpwstr>
      </vt:variant>
      <vt:variant>
        <vt:i4>1376304</vt:i4>
      </vt:variant>
      <vt:variant>
        <vt:i4>5</vt:i4>
      </vt:variant>
      <vt:variant>
        <vt:i4>0</vt:i4>
      </vt:variant>
      <vt:variant>
        <vt:i4>5</vt:i4>
      </vt:variant>
      <vt:variant>
        <vt:lpwstr/>
      </vt:variant>
      <vt:variant>
        <vt:lpwstr>_Toc206742079</vt:lpwstr>
      </vt:variant>
      <vt:variant>
        <vt:i4>5963857</vt:i4>
      </vt:variant>
      <vt:variant>
        <vt:i4>0</vt:i4>
      </vt:variant>
      <vt:variant>
        <vt:i4>0</vt:i4>
      </vt:variant>
      <vt:variant>
        <vt:i4>5</vt:i4>
      </vt:variant>
      <vt:variant>
        <vt:lpwstr>http://www.donahue.umass.edu/</vt:lpwstr>
      </vt:variant>
      <vt:variant>
        <vt:lpwstr/>
      </vt:variant>
      <vt:variant>
        <vt:i4>4128783</vt:i4>
      </vt:variant>
      <vt:variant>
        <vt:i4>24</vt:i4>
      </vt:variant>
      <vt:variant>
        <vt:i4>0</vt:i4>
      </vt:variant>
      <vt:variant>
        <vt:i4>5</vt:i4>
      </vt:variant>
      <vt:variant>
        <vt:lpwstr>mailto:Kendra.L.Winner@mass.gov</vt:lpwstr>
      </vt:variant>
      <vt:variant>
        <vt:lpwstr/>
      </vt:variant>
      <vt:variant>
        <vt:i4>7995473</vt:i4>
      </vt:variant>
      <vt:variant>
        <vt:i4>21</vt:i4>
      </vt:variant>
      <vt:variant>
        <vt:i4>0</vt:i4>
      </vt:variant>
      <vt:variant>
        <vt:i4>5</vt:i4>
      </vt:variant>
      <vt:variant>
        <vt:lpwstr>mailto:hanni@umass.edu</vt:lpwstr>
      </vt:variant>
      <vt:variant>
        <vt:lpwstr/>
      </vt:variant>
      <vt:variant>
        <vt:i4>1310752</vt:i4>
      </vt:variant>
      <vt:variant>
        <vt:i4>18</vt:i4>
      </vt:variant>
      <vt:variant>
        <vt:i4>0</vt:i4>
      </vt:variant>
      <vt:variant>
        <vt:i4>5</vt:i4>
      </vt:variant>
      <vt:variant>
        <vt:lpwstr>mailto:wrainey@umass.edu</vt:lpwstr>
      </vt:variant>
      <vt:variant>
        <vt:lpwstr/>
      </vt:variant>
      <vt:variant>
        <vt:i4>5242978</vt:i4>
      </vt:variant>
      <vt:variant>
        <vt:i4>15</vt:i4>
      </vt:variant>
      <vt:variant>
        <vt:i4>0</vt:i4>
      </vt:variant>
      <vt:variant>
        <vt:i4>5</vt:i4>
      </vt:variant>
      <vt:variant>
        <vt:lpwstr>mailto:Nyal.F.Fuentes@mass.gov</vt:lpwstr>
      </vt:variant>
      <vt:variant>
        <vt:lpwstr/>
      </vt:variant>
      <vt:variant>
        <vt:i4>7995473</vt:i4>
      </vt:variant>
      <vt:variant>
        <vt:i4>12</vt:i4>
      </vt:variant>
      <vt:variant>
        <vt:i4>0</vt:i4>
      </vt:variant>
      <vt:variant>
        <vt:i4>5</vt:i4>
      </vt:variant>
      <vt:variant>
        <vt:lpwstr>mailto:hanni@umass.edu</vt:lpwstr>
      </vt:variant>
      <vt:variant>
        <vt:lpwstr/>
      </vt:variant>
      <vt:variant>
        <vt:i4>7995473</vt:i4>
      </vt:variant>
      <vt:variant>
        <vt:i4>9</vt:i4>
      </vt:variant>
      <vt:variant>
        <vt:i4>0</vt:i4>
      </vt:variant>
      <vt:variant>
        <vt:i4>5</vt:i4>
      </vt:variant>
      <vt:variant>
        <vt:lpwstr>mailto:hanni@umass.edu</vt:lpwstr>
      </vt:variant>
      <vt:variant>
        <vt:lpwstr/>
      </vt:variant>
      <vt:variant>
        <vt:i4>1310752</vt:i4>
      </vt:variant>
      <vt:variant>
        <vt:i4>6</vt:i4>
      </vt:variant>
      <vt:variant>
        <vt:i4>0</vt:i4>
      </vt:variant>
      <vt:variant>
        <vt:i4>5</vt:i4>
      </vt:variant>
      <vt:variant>
        <vt:lpwstr>mailto:wrainey@umass.edu</vt:lpwstr>
      </vt:variant>
      <vt:variant>
        <vt:lpwstr/>
      </vt:variant>
      <vt:variant>
        <vt:i4>5242978</vt:i4>
      </vt:variant>
      <vt:variant>
        <vt:i4>3</vt:i4>
      </vt:variant>
      <vt:variant>
        <vt:i4>0</vt:i4>
      </vt:variant>
      <vt:variant>
        <vt:i4>5</vt:i4>
      </vt:variant>
      <vt:variant>
        <vt:lpwstr>mailto:Nyal.F.Fuentes@mass.gov</vt:lpwstr>
      </vt:variant>
      <vt:variant>
        <vt:lpwstr/>
      </vt:variant>
      <vt:variant>
        <vt:i4>2752638</vt:i4>
      </vt:variant>
      <vt:variant>
        <vt:i4>0</vt:i4>
      </vt:variant>
      <vt:variant>
        <vt:i4>0</vt:i4>
      </vt:variant>
      <vt:variant>
        <vt:i4>5</vt:i4>
      </vt:variant>
      <vt:variant>
        <vt:lpwstr>http://www.doe.mass.edu/nmg/accessibility.html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 STEM and English Year 13 Program Evaluation</dc:title>
  <dc:subject/>
  <dc:creator>DESE</dc:creator>
  <cp:keywords/>
  <dc:description/>
  <cp:lastModifiedBy>Zou, Dong (EOE)</cp:lastModifiedBy>
  <cp:revision>7</cp:revision>
  <dcterms:created xsi:type="dcterms:W3CDTF">2026-02-03T05:15:00Z</dcterms:created>
  <dcterms:modified xsi:type="dcterms:W3CDTF">2026-02-18T20:51:00Z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tadate">
    <vt:lpwstr>Feb 18 2026 12:00AM</vt:lpwstr>
  </property>
</Properties>
</file>