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11" w:rsidRPr="0082422E" w:rsidRDefault="0082422E" w:rsidP="00343036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82422E">
        <w:rPr>
          <w:rFonts w:asciiTheme="majorHAnsi" w:hAnsiTheme="majorHAnsi" w:cs="Arial"/>
          <w:b/>
          <w:sz w:val="28"/>
          <w:szCs w:val="28"/>
        </w:rPr>
        <w:t xml:space="preserve">Cape Cod Regional Technical High School: District Plan </w:t>
      </w:r>
      <w:r w:rsidR="00642594">
        <w:rPr>
          <w:rFonts w:asciiTheme="majorHAnsi" w:hAnsiTheme="majorHAnsi" w:cs="Arial"/>
          <w:b/>
          <w:sz w:val="28"/>
          <w:szCs w:val="28"/>
        </w:rPr>
        <w:t xml:space="preserve">Overview </w:t>
      </w:r>
      <w:r w:rsidRPr="0082422E">
        <w:rPr>
          <w:rFonts w:asciiTheme="majorHAnsi" w:hAnsiTheme="majorHAnsi" w:cs="Arial"/>
          <w:b/>
          <w:sz w:val="28"/>
          <w:szCs w:val="28"/>
        </w:rPr>
        <w:t>2015-2018</w:t>
      </w:r>
    </w:p>
    <w:p w:rsidR="00C70C11" w:rsidRPr="0082422E" w:rsidRDefault="00C70C11" w:rsidP="0082422E">
      <w:pPr>
        <w:spacing w:after="0" w:line="240" w:lineRule="auto"/>
        <w:rPr>
          <w:rFonts w:asciiTheme="majorHAnsi" w:hAnsiTheme="majorHAnsi" w:cs="Arial"/>
          <w:b/>
          <w:i/>
          <w:szCs w:val="6"/>
        </w:rPr>
      </w:pPr>
    </w:p>
    <w:tbl>
      <w:tblPr>
        <w:tblW w:w="1044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0"/>
        <w:gridCol w:w="2070"/>
        <w:gridCol w:w="1980"/>
        <w:gridCol w:w="2250"/>
        <w:gridCol w:w="2070"/>
      </w:tblGrid>
      <w:tr w:rsidR="00C70C11" w:rsidRPr="0082422E">
        <w:trPr>
          <w:trHeight w:val="278"/>
        </w:trPr>
        <w:tc>
          <w:tcPr>
            <w:tcW w:w="10440" w:type="dxa"/>
            <w:gridSpan w:val="5"/>
            <w:shd w:val="clear" w:color="auto" w:fill="E6E6E6"/>
          </w:tcPr>
          <w:p w:rsidR="00C70C11" w:rsidRPr="0082422E" w:rsidRDefault="00C70C11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</w:rPr>
            </w:pPr>
            <w:r w:rsidRPr="0082422E">
              <w:rPr>
                <w:rFonts w:asciiTheme="majorHAnsi" w:hAnsiTheme="majorHAnsi" w:cs="Arial"/>
                <w:b/>
                <w:i/>
              </w:rPr>
              <w:t>Mission</w:t>
            </w:r>
          </w:p>
        </w:tc>
      </w:tr>
      <w:tr w:rsidR="00C70C11" w:rsidRPr="0082422E">
        <w:trPr>
          <w:trHeight w:val="269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328E4" w:rsidRDefault="0082422E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</w:rPr>
            </w:pPr>
            <w:r w:rsidRPr="0082422E">
              <w:rPr>
                <w:rFonts w:asciiTheme="majorHAnsi" w:hAnsiTheme="majorHAnsi" w:cs="Arial"/>
                <w:sz w:val="20"/>
              </w:rPr>
              <w:t>Cape Cod Regional Technical High School will provide an opportunity to acquire high quality technic</w:t>
            </w:r>
            <w:r w:rsidR="00343036">
              <w:rPr>
                <w:rFonts w:asciiTheme="majorHAnsi" w:hAnsiTheme="majorHAnsi" w:cs="Arial"/>
                <w:sz w:val="20"/>
              </w:rPr>
              <w:t xml:space="preserve">al, academic, and social skills, </w:t>
            </w:r>
            <w:r w:rsidRPr="0082422E">
              <w:rPr>
                <w:rFonts w:asciiTheme="majorHAnsi" w:hAnsiTheme="majorHAnsi" w:cs="Arial"/>
                <w:sz w:val="20"/>
              </w:rPr>
              <w:t xml:space="preserve">which prepare our students in our changing world. </w:t>
            </w:r>
          </w:p>
          <w:p w:rsidR="00C70C11" w:rsidRPr="0082422E" w:rsidRDefault="00C70C11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6"/>
              </w:rPr>
            </w:pPr>
          </w:p>
        </w:tc>
      </w:tr>
      <w:tr w:rsidR="00C70C11" w:rsidRPr="0082422E">
        <w:trPr>
          <w:trHeight w:val="251"/>
        </w:trPr>
        <w:tc>
          <w:tcPr>
            <w:tcW w:w="10440" w:type="dxa"/>
            <w:gridSpan w:val="5"/>
            <w:shd w:val="clear" w:color="auto" w:fill="E6E6E6"/>
          </w:tcPr>
          <w:p w:rsidR="00C70C11" w:rsidRPr="001B2876" w:rsidRDefault="00C70C11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</w:rPr>
            </w:pPr>
            <w:r w:rsidRPr="0082422E">
              <w:rPr>
                <w:rFonts w:asciiTheme="majorHAnsi" w:hAnsiTheme="majorHAnsi" w:cs="Arial"/>
                <w:b/>
                <w:i/>
              </w:rPr>
              <w:t>Vision</w:t>
            </w:r>
          </w:p>
        </w:tc>
      </w:tr>
      <w:tr w:rsidR="00C70C11" w:rsidRPr="0082422E">
        <w:trPr>
          <w:trHeight w:val="530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328E4" w:rsidRPr="004352C3" w:rsidRDefault="004352C3" w:rsidP="004352C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The Cape Cod Tech </w:t>
            </w:r>
            <w:r w:rsidR="00F26E50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>offers students a premier technical education, engaging</w:t>
            </w: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 </w:t>
            </w:r>
            <w:r w:rsidR="00F26E50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students in the </w:t>
            </w: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>learning</w:t>
            </w:r>
            <w:r w:rsidR="00F26E50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 necessary </w:t>
            </w: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>to succeed in their chosen career</w:t>
            </w:r>
            <w:r w:rsidR="00F26E50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 and college</w:t>
            </w: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 pathway</w:t>
            </w:r>
            <w:r w:rsidR="00F26E50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>s</w:t>
            </w: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>. Through their academic and technical education</w:t>
            </w:r>
            <w:r w:rsidR="00F26E50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>,</w:t>
            </w:r>
            <w:r w:rsidRPr="004352C3"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 xml:space="preserve"> students gain the skill sets establishing them as essential partners and shareholders for business and industry. The Cape Cod Tech 21st-century technical education prepares students to grow and emerge as viable members and leaders of the Cape Cod community and beyond.</w:t>
            </w:r>
          </w:p>
          <w:p w:rsidR="00C70C11" w:rsidRPr="0082422E" w:rsidRDefault="00C70C11" w:rsidP="00C70C1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</w:tc>
      </w:tr>
      <w:tr w:rsidR="00C70C11" w:rsidRPr="0082422E">
        <w:trPr>
          <w:trHeight w:val="278"/>
        </w:trPr>
        <w:tc>
          <w:tcPr>
            <w:tcW w:w="10440" w:type="dxa"/>
            <w:gridSpan w:val="5"/>
            <w:shd w:val="clear" w:color="auto" w:fill="E6E6E6"/>
          </w:tcPr>
          <w:p w:rsidR="00C70C11" w:rsidRPr="0082422E" w:rsidRDefault="0082422E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6"/>
              </w:rPr>
            </w:pPr>
            <w:r w:rsidRPr="0082422E">
              <w:rPr>
                <w:rFonts w:asciiTheme="majorHAnsi" w:hAnsiTheme="majorHAnsi" w:cs="Arial"/>
                <w:b/>
                <w:i/>
                <w:szCs w:val="6"/>
              </w:rPr>
              <w:t>Theory of Action</w:t>
            </w:r>
          </w:p>
        </w:tc>
      </w:tr>
      <w:tr w:rsidR="00C70C11" w:rsidRPr="0082422E">
        <w:trPr>
          <w:trHeight w:val="278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43036" w:rsidRPr="00997FE6" w:rsidRDefault="00343036" w:rsidP="00997FE6">
            <w:pPr>
              <w:spacing w:after="0" w:line="240" w:lineRule="auto"/>
              <w:rPr>
                <w:rFonts w:asciiTheme="majorHAnsi" w:hAnsiTheme="majorHAnsi" w:cs="Arial"/>
                <w:sz w:val="20"/>
                <w:szCs w:val="6"/>
              </w:rPr>
            </w:pPr>
          </w:p>
          <w:p w:rsidR="00C70C11" w:rsidRPr="0082422E" w:rsidRDefault="00C70C11" w:rsidP="0082422E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sz w:val="20"/>
                <w:szCs w:val="6"/>
              </w:rPr>
            </w:pPr>
          </w:p>
          <w:p w:rsidR="00C70C11" w:rsidRPr="0082422E" w:rsidRDefault="00C70C11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20"/>
                <w:szCs w:val="6"/>
              </w:rPr>
            </w:pPr>
          </w:p>
        </w:tc>
      </w:tr>
      <w:tr w:rsidR="00C70C11" w:rsidRPr="0082422E">
        <w:trPr>
          <w:trHeight w:val="278"/>
        </w:trPr>
        <w:tc>
          <w:tcPr>
            <w:tcW w:w="10440" w:type="dxa"/>
            <w:gridSpan w:val="5"/>
            <w:shd w:val="clear" w:color="auto" w:fill="E6E6E6"/>
          </w:tcPr>
          <w:p w:rsidR="00C70C11" w:rsidRPr="0082422E" w:rsidRDefault="0082422E" w:rsidP="0082422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20"/>
              </w:rPr>
            </w:pPr>
            <w:r w:rsidRPr="0082422E">
              <w:rPr>
                <w:rFonts w:asciiTheme="majorHAnsi" w:hAnsiTheme="majorHAnsi" w:cs="Arial"/>
                <w:b/>
                <w:i/>
                <w:szCs w:val="20"/>
              </w:rPr>
              <w:t>Strategic Objectives and Initiatives</w:t>
            </w:r>
          </w:p>
          <w:p w:rsidR="00C70C11" w:rsidRPr="0082422E" w:rsidRDefault="00C70C11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i/>
                <w:sz w:val="20"/>
                <w:szCs w:val="6"/>
              </w:rPr>
            </w:pPr>
          </w:p>
        </w:tc>
      </w:tr>
      <w:tr w:rsidR="0082422E" w:rsidRPr="0082422E">
        <w:trPr>
          <w:trHeight w:val="1736"/>
        </w:trPr>
        <w:tc>
          <w:tcPr>
            <w:tcW w:w="2070" w:type="dxa"/>
            <w:shd w:val="clear" w:color="auto" w:fill="99CCFF"/>
          </w:tcPr>
          <w:p w:rsidR="002A191F" w:rsidRPr="0082422E" w:rsidRDefault="00317BED" w:rsidP="00C731C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6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1. </w:t>
            </w:r>
            <w:r w:rsidR="00AF0F81">
              <w:rPr>
                <w:rFonts w:asciiTheme="majorHAnsi" w:hAnsiTheme="majorHAnsi"/>
                <w:b/>
                <w:i/>
                <w:sz w:val="20"/>
              </w:rPr>
              <w:t>E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>ngage and retain students</w:t>
            </w:r>
          </w:p>
        </w:tc>
        <w:tc>
          <w:tcPr>
            <w:tcW w:w="2070" w:type="dxa"/>
            <w:shd w:val="clear" w:color="auto" w:fill="FFCC99"/>
          </w:tcPr>
          <w:p w:rsidR="0082422E" w:rsidRPr="0082422E" w:rsidRDefault="00317BED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2. 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>Empower, develop</w:t>
            </w:r>
            <w:r w:rsidR="00C60415">
              <w:rPr>
                <w:rFonts w:asciiTheme="majorHAnsi" w:hAnsiTheme="majorHAnsi"/>
                <w:b/>
                <w:i/>
                <w:sz w:val="20"/>
              </w:rPr>
              <w:t>,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 xml:space="preserve"> and retain staff</w:t>
            </w:r>
          </w:p>
          <w:p w:rsidR="002A191F" w:rsidRPr="0082422E" w:rsidRDefault="002A191F" w:rsidP="00C731C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18"/>
              </w:rPr>
            </w:pPr>
          </w:p>
        </w:tc>
        <w:tc>
          <w:tcPr>
            <w:tcW w:w="1980" w:type="dxa"/>
            <w:shd w:val="clear" w:color="auto" w:fill="99CCFF"/>
          </w:tcPr>
          <w:p w:rsidR="0082422E" w:rsidRPr="0082422E" w:rsidRDefault="00317BED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3. 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>Strengthen our identity as a premier Technical High School</w:t>
            </w:r>
          </w:p>
          <w:p w:rsidR="002A191F" w:rsidRPr="0082422E" w:rsidRDefault="002A191F" w:rsidP="00C731C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18"/>
              </w:rPr>
            </w:pPr>
          </w:p>
        </w:tc>
        <w:tc>
          <w:tcPr>
            <w:tcW w:w="2250" w:type="dxa"/>
            <w:shd w:val="clear" w:color="auto" w:fill="FFCC99"/>
          </w:tcPr>
          <w:p w:rsidR="002A191F" w:rsidRPr="001B2876" w:rsidRDefault="00317BED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4. 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>Increase students’ 21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  <w:vertAlign w:val="superscript"/>
              </w:rPr>
              <w:t>st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 xml:space="preserve"> Century skill sets to succeed in a changing technological environment and global community</w:t>
            </w:r>
          </w:p>
        </w:tc>
        <w:tc>
          <w:tcPr>
            <w:tcW w:w="2070" w:type="dxa"/>
            <w:shd w:val="clear" w:color="auto" w:fill="99CCFF"/>
          </w:tcPr>
          <w:p w:rsidR="0082422E" w:rsidRPr="0082422E" w:rsidRDefault="00317BED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5. </w:t>
            </w:r>
            <w:r w:rsidR="0082422E" w:rsidRPr="0082422E">
              <w:rPr>
                <w:rFonts w:asciiTheme="majorHAnsi" w:hAnsiTheme="majorHAnsi"/>
                <w:b/>
                <w:i/>
                <w:sz w:val="20"/>
              </w:rPr>
              <w:t xml:space="preserve">Enhance </w:t>
            </w:r>
            <w:r w:rsidR="00AF0F81">
              <w:rPr>
                <w:rFonts w:asciiTheme="majorHAnsi" w:hAnsiTheme="majorHAnsi"/>
                <w:b/>
                <w:i/>
                <w:sz w:val="20"/>
              </w:rPr>
              <w:t xml:space="preserve">the </w:t>
            </w:r>
            <w:r w:rsidR="00975CF6">
              <w:rPr>
                <w:rFonts w:asciiTheme="majorHAnsi" w:hAnsiTheme="majorHAnsi"/>
                <w:b/>
                <w:i/>
                <w:sz w:val="20"/>
              </w:rPr>
              <w:t xml:space="preserve">TCCT </w:t>
            </w:r>
            <w:r w:rsidR="00AF0F81">
              <w:rPr>
                <w:rFonts w:asciiTheme="majorHAnsi" w:hAnsiTheme="majorHAnsi"/>
                <w:b/>
                <w:i/>
                <w:sz w:val="20"/>
              </w:rPr>
              <w:t xml:space="preserve">image to attract students and improve community presence </w:t>
            </w:r>
          </w:p>
          <w:p w:rsidR="0082422E" w:rsidRPr="0082422E" w:rsidRDefault="0082422E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  <w:p w:rsidR="002A191F" w:rsidRPr="0082422E" w:rsidRDefault="002A191F" w:rsidP="00C731C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6"/>
              </w:rPr>
            </w:pPr>
          </w:p>
        </w:tc>
      </w:tr>
      <w:tr w:rsidR="0082422E" w:rsidRPr="0082422E">
        <w:tc>
          <w:tcPr>
            <w:tcW w:w="2070" w:type="dxa"/>
            <w:shd w:val="clear" w:color="auto" w:fill="99CCFF"/>
          </w:tcPr>
          <w:p w:rsidR="00B46AB3" w:rsidRPr="00EF55C8" w:rsidRDefault="00EF55C8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Build</w:t>
            </w:r>
            <w:r w:rsidR="00BB0518">
              <w:rPr>
                <w:rFonts w:asciiTheme="majorHAnsi" w:hAnsiTheme="majorHAnsi"/>
                <w:b/>
                <w:sz w:val="20"/>
              </w:rPr>
              <w:t xml:space="preserve"> the TCCT community</w:t>
            </w:r>
          </w:p>
          <w:p w:rsidR="0082422E" w:rsidRPr="0082422E" w:rsidRDefault="00B46AB3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Peer leaders/ upperclassmen mentoring; </w:t>
            </w:r>
            <w:r w:rsidR="00EF55C8">
              <w:rPr>
                <w:rFonts w:asciiTheme="majorHAnsi" w:hAnsiTheme="majorHAnsi"/>
                <w:sz w:val="20"/>
              </w:rPr>
              <w:t xml:space="preserve">increased activity period length; </w:t>
            </w:r>
            <w:r>
              <w:rPr>
                <w:rFonts w:asciiTheme="majorHAnsi" w:hAnsiTheme="majorHAnsi"/>
                <w:sz w:val="20"/>
              </w:rPr>
              <w:t>school-wide assemblies; improved athletic fields and support; outdoor graduation</w:t>
            </w:r>
            <w:r w:rsidR="00EF55C8">
              <w:rPr>
                <w:rFonts w:asciiTheme="majorHAnsi" w:hAnsiTheme="majorHAnsi"/>
                <w:sz w:val="20"/>
              </w:rPr>
              <w:t>; improved nutritional choices</w:t>
            </w:r>
          </w:p>
        </w:tc>
        <w:tc>
          <w:tcPr>
            <w:tcW w:w="2070" w:type="dxa"/>
            <w:shd w:val="clear" w:color="auto" w:fill="FFCC99"/>
          </w:tcPr>
          <w:p w:rsidR="006934A1" w:rsidRDefault="00C936B2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</w:t>
            </w:r>
            <w:r w:rsidR="005411E7">
              <w:rPr>
                <w:rFonts w:asciiTheme="majorHAnsi" w:hAnsiTheme="majorHAnsi"/>
                <w:b/>
                <w:sz w:val="20"/>
              </w:rPr>
              <w:t>evelop</w:t>
            </w:r>
            <w:r w:rsidR="00F13407" w:rsidRPr="00286DA1">
              <w:rPr>
                <w:rFonts w:asciiTheme="majorHAnsi" w:hAnsiTheme="majorHAnsi"/>
                <w:b/>
                <w:sz w:val="20"/>
              </w:rPr>
              <w:t xml:space="preserve"> leadership team</w:t>
            </w:r>
            <w:r w:rsidR="006934A1" w:rsidRPr="00286DA1">
              <w:rPr>
                <w:rFonts w:asciiTheme="majorHAnsi" w:hAnsiTheme="majorHAnsi"/>
                <w:b/>
                <w:sz w:val="20"/>
              </w:rPr>
              <w:t xml:space="preserve"> comprised of all parties from the school community</w:t>
            </w:r>
            <w:r w:rsidR="00286DA1">
              <w:rPr>
                <w:rFonts w:asciiTheme="majorHAnsi" w:hAnsiTheme="majorHAnsi"/>
                <w:sz w:val="20"/>
              </w:rPr>
              <w:t xml:space="preserve"> T</w:t>
            </w:r>
            <w:r w:rsidR="006934A1">
              <w:rPr>
                <w:rFonts w:asciiTheme="majorHAnsi" w:hAnsiTheme="majorHAnsi"/>
                <w:sz w:val="20"/>
              </w:rPr>
              <w:t xml:space="preserve">eam will help lead initiatives and </w:t>
            </w:r>
          </w:p>
          <w:p w:rsidR="0082422E" w:rsidRPr="0082422E" w:rsidRDefault="00F1340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improve in-school communication</w:t>
            </w:r>
          </w:p>
        </w:tc>
        <w:tc>
          <w:tcPr>
            <w:tcW w:w="1980" w:type="dxa"/>
            <w:shd w:val="clear" w:color="auto" w:fill="99CCFF"/>
          </w:tcPr>
          <w:p w:rsidR="00C936B2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411E7">
              <w:rPr>
                <w:rFonts w:asciiTheme="majorHAnsi" w:hAnsiTheme="majorHAnsi"/>
                <w:b/>
                <w:sz w:val="20"/>
              </w:rPr>
              <w:t xml:space="preserve">Develop innovative </w:t>
            </w:r>
            <w:r w:rsidR="00C936B2">
              <w:rPr>
                <w:rFonts w:asciiTheme="majorHAnsi" w:hAnsiTheme="majorHAnsi"/>
                <w:b/>
                <w:sz w:val="20"/>
              </w:rPr>
              <w:t xml:space="preserve">teaching and </w:t>
            </w:r>
            <w:r w:rsidR="00BB0518">
              <w:rPr>
                <w:rFonts w:asciiTheme="majorHAnsi" w:hAnsiTheme="majorHAnsi"/>
                <w:b/>
                <w:sz w:val="20"/>
              </w:rPr>
              <w:t xml:space="preserve">ways to deliver curriculum </w:t>
            </w:r>
          </w:p>
          <w:p w:rsidR="0082422E" w:rsidRPr="0082422E" w:rsidRDefault="00C936B2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D</w:t>
            </w:r>
            <w:r w:rsidR="005411E7">
              <w:rPr>
                <w:rFonts w:asciiTheme="majorHAnsi" w:hAnsiTheme="majorHAnsi"/>
                <w:sz w:val="20"/>
              </w:rPr>
              <w:t>istance learning, after school opportunities, out-of-box ideas to provide students with options</w:t>
            </w:r>
          </w:p>
        </w:tc>
        <w:tc>
          <w:tcPr>
            <w:tcW w:w="2250" w:type="dxa"/>
            <w:shd w:val="clear" w:color="auto" w:fill="FFCC99"/>
          </w:tcPr>
          <w:p w:rsidR="003713AC" w:rsidRDefault="00133F96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133F96">
              <w:rPr>
                <w:rFonts w:asciiTheme="majorHAnsi" w:hAnsiTheme="majorHAnsi"/>
                <w:b/>
                <w:sz w:val="20"/>
              </w:rPr>
              <w:t>Develop curriculum that enhances problem solving</w:t>
            </w:r>
            <w:r w:rsidR="005402B1">
              <w:rPr>
                <w:rFonts w:asciiTheme="majorHAnsi" w:hAnsiTheme="majorHAnsi"/>
                <w:b/>
                <w:sz w:val="20"/>
              </w:rPr>
              <w:t xml:space="preserve">, </w:t>
            </w:r>
            <w:r w:rsidRPr="00133F96">
              <w:rPr>
                <w:rFonts w:asciiTheme="majorHAnsi" w:hAnsiTheme="majorHAnsi"/>
                <w:b/>
                <w:sz w:val="20"/>
              </w:rPr>
              <w:t>critical</w:t>
            </w:r>
            <w:r w:rsidR="005402B1">
              <w:rPr>
                <w:rFonts w:asciiTheme="majorHAnsi" w:hAnsiTheme="majorHAnsi"/>
                <w:b/>
                <w:sz w:val="20"/>
              </w:rPr>
              <w:t xml:space="preserve"> and creative</w:t>
            </w:r>
            <w:r w:rsidRPr="00133F96">
              <w:rPr>
                <w:rFonts w:asciiTheme="majorHAnsi" w:hAnsiTheme="majorHAnsi"/>
                <w:b/>
                <w:sz w:val="20"/>
              </w:rPr>
              <w:t xml:space="preserve"> thinking</w:t>
            </w:r>
            <w:r w:rsidR="005402B1">
              <w:rPr>
                <w:rFonts w:asciiTheme="majorHAnsi" w:hAnsiTheme="majorHAnsi"/>
                <w:b/>
                <w:sz w:val="20"/>
              </w:rPr>
              <w:t>,</w:t>
            </w:r>
            <w:r w:rsidRPr="00133F96">
              <w:rPr>
                <w:rFonts w:asciiTheme="majorHAnsi" w:hAnsiTheme="majorHAnsi"/>
                <w:b/>
                <w:sz w:val="20"/>
              </w:rPr>
              <w:t xml:space="preserve"> and collaboration skills</w:t>
            </w:r>
          </w:p>
          <w:p w:rsidR="0082422E" w:rsidRPr="003713AC" w:rsidRDefault="003713AC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Project-based lear</w:t>
            </w:r>
            <w:r w:rsidR="005402B1">
              <w:rPr>
                <w:rFonts w:asciiTheme="majorHAnsi" w:hAnsiTheme="majorHAnsi"/>
                <w:sz w:val="20"/>
              </w:rPr>
              <w:t>ning; real-life application; Academic and Technical Integration</w:t>
            </w:r>
            <w:r>
              <w:rPr>
                <w:rFonts w:asciiTheme="majorHAnsi" w:hAnsiTheme="majorHAnsi"/>
                <w:sz w:val="20"/>
              </w:rPr>
              <w:t>; explore current trends in industry</w:t>
            </w:r>
          </w:p>
        </w:tc>
        <w:tc>
          <w:tcPr>
            <w:tcW w:w="2070" w:type="dxa"/>
            <w:shd w:val="clear" w:color="auto" w:fill="99CCFF"/>
          </w:tcPr>
          <w:p w:rsidR="00975CF6" w:rsidRPr="005411E7" w:rsidRDefault="00C936B2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Develop </w:t>
            </w:r>
            <w:r w:rsidR="009353FF">
              <w:rPr>
                <w:rFonts w:asciiTheme="majorHAnsi" w:hAnsiTheme="majorHAnsi"/>
                <w:b/>
                <w:sz w:val="20"/>
              </w:rPr>
              <w:t>TCCT Standards</w:t>
            </w:r>
          </w:p>
          <w:p w:rsidR="0082422E" w:rsidRPr="0082422E" w:rsidRDefault="00975CF6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Tech</w:t>
            </w:r>
            <w:r w:rsidR="00AF0F81">
              <w:rPr>
                <w:rFonts w:asciiTheme="majorHAnsi" w:hAnsiTheme="majorHAnsi"/>
                <w:sz w:val="20"/>
              </w:rPr>
              <w:t>nical, Academic, Business</w:t>
            </w:r>
            <w:r>
              <w:rPr>
                <w:rFonts w:asciiTheme="majorHAnsi" w:hAnsiTheme="majorHAnsi"/>
                <w:sz w:val="20"/>
              </w:rPr>
              <w:t>, Professional</w:t>
            </w:r>
            <w:r w:rsidR="00AF0F81">
              <w:rPr>
                <w:rFonts w:asciiTheme="majorHAnsi" w:hAnsiTheme="majorHAnsi"/>
                <w:sz w:val="20"/>
              </w:rPr>
              <w:t>, and Admissions Standards</w:t>
            </w:r>
          </w:p>
        </w:tc>
      </w:tr>
      <w:tr w:rsidR="0082422E" w:rsidRPr="0082422E">
        <w:tc>
          <w:tcPr>
            <w:tcW w:w="2070" w:type="dxa"/>
            <w:shd w:val="clear" w:color="auto" w:fill="99CCFF"/>
          </w:tcPr>
          <w:p w:rsidR="001B2876" w:rsidRPr="00EF55C8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Define the school</w:t>
            </w:r>
            <w:r w:rsidR="00EF55C8" w:rsidRPr="00EF55C8">
              <w:rPr>
                <w:rFonts w:asciiTheme="majorHAnsi" w:hAnsiTheme="majorHAnsi"/>
                <w:b/>
                <w:sz w:val="20"/>
              </w:rPr>
              <w:t xml:space="preserve"> social emotional program that supports a healthy CCT community</w:t>
            </w:r>
          </w:p>
          <w:p w:rsidR="0082422E" w:rsidRPr="0082422E" w:rsidRDefault="0082422E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070" w:type="dxa"/>
            <w:shd w:val="clear" w:color="auto" w:fill="FFCC99"/>
          </w:tcPr>
          <w:p w:rsidR="006934A1" w:rsidRPr="00286DA1" w:rsidRDefault="006934A1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286DA1">
              <w:rPr>
                <w:rFonts w:asciiTheme="majorHAnsi" w:hAnsiTheme="majorHAnsi"/>
                <w:b/>
                <w:sz w:val="20"/>
              </w:rPr>
              <w:t>C</w:t>
            </w:r>
            <w:r w:rsidR="00F13407" w:rsidRPr="00286DA1">
              <w:rPr>
                <w:rFonts w:asciiTheme="majorHAnsi" w:hAnsiTheme="majorHAnsi"/>
                <w:b/>
                <w:sz w:val="20"/>
              </w:rPr>
              <w:t>r</w:t>
            </w:r>
            <w:r w:rsidR="009353FF">
              <w:rPr>
                <w:rFonts w:asciiTheme="majorHAnsi" w:hAnsiTheme="majorHAnsi"/>
                <w:b/>
                <w:sz w:val="20"/>
              </w:rPr>
              <w:t>eate PD plan for all employees</w:t>
            </w:r>
          </w:p>
          <w:p w:rsidR="0082422E" w:rsidRPr="0082422E" w:rsidRDefault="006934A1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</w:t>
            </w:r>
            <w:r w:rsidR="00F13407">
              <w:rPr>
                <w:rFonts w:asciiTheme="majorHAnsi" w:hAnsiTheme="majorHAnsi"/>
                <w:sz w:val="20"/>
              </w:rPr>
              <w:t>xamine P</w:t>
            </w:r>
            <w:r w:rsidR="00EF55C8">
              <w:rPr>
                <w:rFonts w:asciiTheme="majorHAnsi" w:hAnsiTheme="majorHAnsi"/>
                <w:sz w:val="20"/>
              </w:rPr>
              <w:t>LC vs. common planning time;</w:t>
            </w:r>
            <w:r w:rsidR="00F13407">
              <w:rPr>
                <w:rFonts w:asciiTheme="majorHAnsi" w:hAnsiTheme="majorHAnsi"/>
                <w:sz w:val="20"/>
              </w:rPr>
              <w:t xml:space="preserve"> Technical/</w:t>
            </w:r>
            <w:r w:rsidR="009353FF">
              <w:rPr>
                <w:rFonts w:asciiTheme="majorHAnsi" w:hAnsiTheme="majorHAnsi"/>
                <w:sz w:val="20"/>
              </w:rPr>
              <w:t xml:space="preserve"> </w:t>
            </w:r>
            <w:r w:rsidR="00F13407">
              <w:rPr>
                <w:rFonts w:asciiTheme="majorHAnsi" w:hAnsiTheme="majorHAnsi"/>
                <w:sz w:val="20"/>
              </w:rPr>
              <w:t>Academic integration</w:t>
            </w:r>
            <w:r w:rsidR="00AF0F81">
              <w:rPr>
                <w:rFonts w:asciiTheme="majorHAnsi" w:hAnsiTheme="majorHAnsi"/>
                <w:sz w:val="20"/>
              </w:rPr>
              <w:t>; classroom management;</w:t>
            </w:r>
            <w:r w:rsidR="005402B1">
              <w:rPr>
                <w:rFonts w:asciiTheme="majorHAnsi" w:hAnsiTheme="majorHAnsi"/>
                <w:sz w:val="20"/>
              </w:rPr>
              <w:t xml:space="preserve"> 21</w:t>
            </w:r>
            <w:r w:rsidR="005402B1" w:rsidRPr="005402B1">
              <w:rPr>
                <w:rFonts w:asciiTheme="majorHAnsi" w:hAnsiTheme="majorHAnsi"/>
                <w:sz w:val="20"/>
                <w:vertAlign w:val="superscript"/>
              </w:rPr>
              <w:t>st</w:t>
            </w:r>
            <w:r w:rsidR="005402B1">
              <w:rPr>
                <w:rFonts w:asciiTheme="majorHAnsi" w:hAnsiTheme="majorHAnsi"/>
                <w:sz w:val="20"/>
              </w:rPr>
              <w:t xml:space="preserve"> century instructional strategies;</w:t>
            </w:r>
            <w:r w:rsidR="00AF0F81">
              <w:rPr>
                <w:rFonts w:asciiTheme="majorHAnsi" w:hAnsiTheme="majorHAnsi"/>
                <w:sz w:val="20"/>
              </w:rPr>
              <w:t xml:space="preserve"> </w:t>
            </w:r>
            <w:r w:rsidR="003713AC">
              <w:rPr>
                <w:rFonts w:asciiTheme="majorHAnsi" w:hAnsiTheme="majorHAnsi"/>
                <w:sz w:val="20"/>
              </w:rPr>
              <w:t xml:space="preserve"> technology; </w:t>
            </w:r>
            <w:r w:rsidR="00AF0F81">
              <w:rPr>
                <w:rFonts w:asciiTheme="majorHAnsi" w:hAnsiTheme="majorHAnsi"/>
                <w:sz w:val="20"/>
              </w:rPr>
              <w:t>perseverance strategies</w:t>
            </w:r>
          </w:p>
        </w:tc>
        <w:tc>
          <w:tcPr>
            <w:tcW w:w="1980" w:type="dxa"/>
            <w:shd w:val="clear" w:color="auto" w:fill="99CCFF"/>
          </w:tcPr>
          <w:p w:rsidR="005411E7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Develop a culture of</w:t>
            </w:r>
            <w:r w:rsidR="005411E7">
              <w:rPr>
                <w:rFonts w:asciiTheme="majorHAnsi" w:hAnsiTheme="majorHAnsi"/>
                <w:b/>
                <w:sz w:val="20"/>
              </w:rPr>
              <w:t xml:space="preserve"> h</w:t>
            </w:r>
            <w:r w:rsidR="005411E7" w:rsidRPr="005411E7">
              <w:rPr>
                <w:rFonts w:asciiTheme="majorHAnsi" w:hAnsiTheme="majorHAnsi"/>
                <w:b/>
                <w:sz w:val="20"/>
              </w:rPr>
              <w:t>igh expectations</w:t>
            </w:r>
            <w:r w:rsidR="005411E7">
              <w:rPr>
                <w:rFonts w:asciiTheme="majorHAnsi" w:hAnsiTheme="majorHAnsi"/>
                <w:b/>
                <w:sz w:val="20"/>
              </w:rPr>
              <w:t xml:space="preserve"> for students</w:t>
            </w:r>
            <w:r w:rsidR="005411E7">
              <w:rPr>
                <w:rFonts w:asciiTheme="majorHAnsi" w:hAnsiTheme="majorHAnsi"/>
                <w:sz w:val="20"/>
              </w:rPr>
              <w:t xml:space="preserve"> </w:t>
            </w:r>
          </w:p>
          <w:p w:rsidR="0082422E" w:rsidRPr="0082422E" w:rsidRDefault="00C936B2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Help students develop grit and </w:t>
            </w:r>
            <w:r w:rsidR="005411E7">
              <w:rPr>
                <w:rFonts w:asciiTheme="majorHAnsi" w:hAnsiTheme="majorHAnsi"/>
                <w:sz w:val="20"/>
              </w:rPr>
              <w:t>mind-set needed to meet high expectations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250" w:type="dxa"/>
            <w:shd w:val="clear" w:color="auto" w:fill="FFCC99"/>
          </w:tcPr>
          <w:p w:rsidR="0082422E" w:rsidRPr="00133F96" w:rsidRDefault="00133F96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133F96">
              <w:rPr>
                <w:rFonts w:asciiTheme="majorHAnsi" w:hAnsiTheme="majorHAnsi"/>
                <w:b/>
                <w:sz w:val="20"/>
              </w:rPr>
              <w:t>Explore ways to help students become independent life-long learners</w:t>
            </w:r>
          </w:p>
        </w:tc>
        <w:tc>
          <w:tcPr>
            <w:tcW w:w="2070" w:type="dxa"/>
            <w:shd w:val="clear" w:color="auto" w:fill="99CCFF"/>
          </w:tcPr>
          <w:p w:rsidR="00975CF6" w:rsidRPr="005411E7" w:rsidRDefault="00C936B2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Formalize a TCCT PR</w:t>
            </w:r>
            <w:r w:rsidR="009353FF">
              <w:rPr>
                <w:rFonts w:asciiTheme="majorHAnsi" w:hAnsiTheme="majorHAnsi"/>
                <w:b/>
                <w:sz w:val="20"/>
              </w:rPr>
              <w:t xml:space="preserve"> Process</w:t>
            </w:r>
          </w:p>
          <w:p w:rsidR="0082422E" w:rsidRPr="0082422E" w:rsidRDefault="00975CF6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Alumni; Events; Branding</w:t>
            </w:r>
          </w:p>
        </w:tc>
      </w:tr>
      <w:tr w:rsidR="0082422E" w:rsidRPr="0082422E">
        <w:tc>
          <w:tcPr>
            <w:tcW w:w="2070" w:type="dxa"/>
            <w:shd w:val="clear" w:color="auto" w:fill="99CCFF"/>
          </w:tcPr>
          <w:p w:rsidR="00EF55C8" w:rsidRPr="00EF55C8" w:rsidRDefault="00BB0518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Improve academic programming</w:t>
            </w:r>
          </w:p>
          <w:p w:rsidR="0082422E" w:rsidRPr="0082422E" w:rsidRDefault="00EF55C8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College prep; AP </w:t>
            </w:r>
            <w:r w:rsidR="009353FF">
              <w:rPr>
                <w:rFonts w:asciiTheme="majorHAnsi" w:hAnsiTheme="majorHAnsi"/>
                <w:sz w:val="20"/>
              </w:rPr>
              <w:t>classes; o</w:t>
            </w:r>
            <w:r>
              <w:rPr>
                <w:rFonts w:asciiTheme="majorHAnsi" w:hAnsiTheme="majorHAnsi"/>
                <w:sz w:val="20"/>
              </w:rPr>
              <w:t xml:space="preserve">nline credit </w:t>
            </w:r>
            <w:r>
              <w:rPr>
                <w:rFonts w:asciiTheme="majorHAnsi" w:hAnsiTheme="majorHAnsi"/>
                <w:sz w:val="20"/>
              </w:rPr>
              <w:lastRenderedPageBreak/>
              <w:t>recovery; life skills/ senior math; tutors</w:t>
            </w:r>
          </w:p>
        </w:tc>
        <w:tc>
          <w:tcPr>
            <w:tcW w:w="2070" w:type="dxa"/>
            <w:shd w:val="clear" w:color="auto" w:fill="FFCC99"/>
          </w:tcPr>
          <w:p w:rsidR="00405539" w:rsidRPr="00286DA1" w:rsidRDefault="009353FF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Streamline evaluation process</w:t>
            </w:r>
          </w:p>
          <w:p w:rsidR="0082422E" w:rsidRPr="0082422E" w:rsidRDefault="00405539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Form committee to study and implement </w:t>
            </w:r>
            <w:r>
              <w:rPr>
                <w:rFonts w:asciiTheme="majorHAnsi" w:hAnsiTheme="majorHAnsi"/>
                <w:sz w:val="20"/>
              </w:rPr>
              <w:lastRenderedPageBreak/>
              <w:t>ways to improve</w:t>
            </w:r>
          </w:p>
        </w:tc>
        <w:tc>
          <w:tcPr>
            <w:tcW w:w="1980" w:type="dxa"/>
            <w:shd w:val="clear" w:color="auto" w:fill="99CCFF"/>
          </w:tcPr>
          <w:p w:rsidR="005411E7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411E7">
              <w:rPr>
                <w:rFonts w:asciiTheme="majorHAnsi" w:hAnsiTheme="majorHAnsi"/>
                <w:b/>
                <w:sz w:val="20"/>
              </w:rPr>
              <w:lastRenderedPageBreak/>
              <w:t xml:space="preserve">Examine </w:t>
            </w:r>
            <w:r w:rsidR="00184D6C">
              <w:rPr>
                <w:rFonts w:asciiTheme="majorHAnsi" w:hAnsiTheme="majorHAnsi"/>
                <w:b/>
                <w:sz w:val="20"/>
              </w:rPr>
              <w:t>schedule redesign</w:t>
            </w:r>
          </w:p>
          <w:p w:rsidR="0082422E" w:rsidRPr="005411E7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Strengthen technical learning while </w:t>
            </w:r>
            <w:r>
              <w:rPr>
                <w:rFonts w:asciiTheme="majorHAnsi" w:hAnsiTheme="majorHAnsi"/>
                <w:sz w:val="20"/>
              </w:rPr>
              <w:lastRenderedPageBreak/>
              <w:t>continuing to improve academic outcomes</w:t>
            </w:r>
          </w:p>
        </w:tc>
        <w:tc>
          <w:tcPr>
            <w:tcW w:w="2250" w:type="dxa"/>
            <w:shd w:val="clear" w:color="auto" w:fill="FFCC99"/>
          </w:tcPr>
          <w:p w:rsidR="003713AC" w:rsidRDefault="00133F96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133F96">
              <w:rPr>
                <w:rFonts w:asciiTheme="majorHAnsi" w:hAnsiTheme="majorHAnsi"/>
                <w:b/>
                <w:sz w:val="20"/>
              </w:rPr>
              <w:lastRenderedPageBreak/>
              <w:t xml:space="preserve">Develop means to use technology and digital media strategically and capably for students </w:t>
            </w:r>
            <w:r w:rsidRPr="00133F96">
              <w:rPr>
                <w:rFonts w:asciiTheme="majorHAnsi" w:hAnsiTheme="majorHAnsi"/>
                <w:b/>
                <w:sz w:val="20"/>
              </w:rPr>
              <w:lastRenderedPageBreak/>
              <w:t>and staff</w:t>
            </w:r>
          </w:p>
          <w:p w:rsidR="0082422E" w:rsidRPr="003713AC" w:rsidRDefault="003713AC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1-1 devices; technology PD for staff</w:t>
            </w:r>
          </w:p>
        </w:tc>
        <w:tc>
          <w:tcPr>
            <w:tcW w:w="2070" w:type="dxa"/>
            <w:shd w:val="clear" w:color="auto" w:fill="99CCFF"/>
          </w:tcPr>
          <w:p w:rsidR="00975CF6" w:rsidRPr="005411E7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Promote</w:t>
            </w:r>
            <w:r w:rsidR="00C936B2">
              <w:rPr>
                <w:rFonts w:asciiTheme="majorHAnsi" w:hAnsiTheme="majorHAnsi"/>
                <w:b/>
                <w:sz w:val="20"/>
              </w:rPr>
              <w:t xml:space="preserve"> TCCT </w:t>
            </w:r>
            <w:r w:rsidR="009353FF">
              <w:rPr>
                <w:rFonts w:asciiTheme="majorHAnsi" w:hAnsiTheme="majorHAnsi"/>
                <w:b/>
                <w:sz w:val="20"/>
              </w:rPr>
              <w:t>Community Service</w:t>
            </w:r>
          </w:p>
          <w:p w:rsidR="0082422E" w:rsidRPr="0082422E" w:rsidRDefault="00975CF6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Projects; Events</w:t>
            </w:r>
          </w:p>
        </w:tc>
      </w:tr>
      <w:tr w:rsidR="005411E7" w:rsidRPr="0082422E">
        <w:tc>
          <w:tcPr>
            <w:tcW w:w="2070" w:type="dxa"/>
            <w:shd w:val="clear" w:color="auto" w:fill="99CCFF"/>
          </w:tcPr>
          <w:p w:rsidR="00EF55C8" w:rsidRPr="00EF55C8" w:rsidRDefault="00BB0518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Improve technical programming</w:t>
            </w:r>
          </w:p>
          <w:p w:rsidR="005411E7" w:rsidRPr="0082422E" w:rsidRDefault="00EF55C8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Promote COOP, increasing tech time and internship opportunities; add public safety/ pre-law enforcement shop</w:t>
            </w:r>
          </w:p>
        </w:tc>
        <w:tc>
          <w:tcPr>
            <w:tcW w:w="2070" w:type="dxa"/>
            <w:shd w:val="clear" w:color="auto" w:fill="FFCC99"/>
          </w:tcPr>
          <w:p w:rsidR="00405539" w:rsidRPr="00286DA1" w:rsidRDefault="00405539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286DA1">
              <w:rPr>
                <w:rFonts w:asciiTheme="majorHAnsi" w:hAnsiTheme="majorHAnsi"/>
                <w:b/>
                <w:sz w:val="20"/>
              </w:rPr>
              <w:t>I</w:t>
            </w:r>
            <w:r w:rsidR="00184D6C">
              <w:rPr>
                <w:rFonts w:asciiTheme="majorHAnsi" w:hAnsiTheme="majorHAnsi"/>
                <w:b/>
                <w:sz w:val="20"/>
              </w:rPr>
              <w:t>mprove support for new teachers</w:t>
            </w:r>
          </w:p>
          <w:p w:rsidR="005411E7" w:rsidRPr="0082422E" w:rsidRDefault="00405539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Revise evaluation process (focus on meeting goals only); limit preps in first year to 3 for new academic teachers; evaluate mentoring process </w:t>
            </w:r>
          </w:p>
        </w:tc>
        <w:tc>
          <w:tcPr>
            <w:tcW w:w="1980" w:type="dxa"/>
            <w:shd w:val="clear" w:color="auto" w:fill="99CCFF"/>
          </w:tcPr>
          <w:p w:rsidR="005411E7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411E7">
              <w:rPr>
                <w:rFonts w:asciiTheme="majorHAnsi" w:hAnsiTheme="majorHAnsi"/>
                <w:b/>
                <w:sz w:val="20"/>
              </w:rPr>
              <w:t>Increase shop hours to optimize technical learning</w:t>
            </w: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:rsidR="005411E7" w:rsidRPr="0082422E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(not necessarily related to schedule changes)</w:t>
            </w:r>
          </w:p>
        </w:tc>
        <w:tc>
          <w:tcPr>
            <w:tcW w:w="2250" w:type="dxa"/>
            <w:shd w:val="clear" w:color="auto" w:fill="FFCC99"/>
          </w:tcPr>
          <w:p w:rsidR="005411E7" w:rsidRPr="00133F96" w:rsidRDefault="00133F96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133F96">
              <w:rPr>
                <w:rFonts w:asciiTheme="majorHAnsi" w:hAnsiTheme="majorHAnsi"/>
                <w:b/>
                <w:sz w:val="20"/>
              </w:rPr>
              <w:t>Explore ways to</w:t>
            </w:r>
            <w:r w:rsidR="00FB1DAB">
              <w:rPr>
                <w:rFonts w:asciiTheme="majorHAnsi" w:hAnsiTheme="majorHAnsi"/>
                <w:b/>
                <w:sz w:val="20"/>
              </w:rPr>
              <w:t xml:space="preserve"> help students understand and respect </w:t>
            </w:r>
            <w:r w:rsidRPr="00133F96">
              <w:rPr>
                <w:rFonts w:asciiTheme="majorHAnsi" w:hAnsiTheme="majorHAnsi"/>
                <w:b/>
                <w:sz w:val="20"/>
              </w:rPr>
              <w:t>other perspectives and cultures</w:t>
            </w:r>
          </w:p>
        </w:tc>
        <w:tc>
          <w:tcPr>
            <w:tcW w:w="2070" w:type="dxa"/>
            <w:shd w:val="clear" w:color="auto" w:fill="99CCFF"/>
          </w:tcPr>
          <w:p w:rsidR="00AF0F81" w:rsidRDefault="00AF0F81" w:rsidP="00AF0F8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152A1B">
              <w:rPr>
                <w:rFonts w:asciiTheme="majorHAnsi" w:hAnsiTheme="majorHAnsi"/>
                <w:b/>
                <w:sz w:val="20"/>
              </w:rPr>
              <w:t>Develop a plan for attracting students:</w:t>
            </w:r>
            <w:r>
              <w:rPr>
                <w:rFonts w:asciiTheme="majorHAnsi" w:hAnsiTheme="majorHAnsi"/>
                <w:sz w:val="20"/>
              </w:rPr>
              <w:t xml:space="preserve"> Target/train staff, faculty, parents to be ambassadors; develop</w:t>
            </w:r>
          </w:p>
          <w:p w:rsidR="005411E7" w:rsidRPr="0082422E" w:rsidRDefault="00AF0F81" w:rsidP="00AF0F8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signage, TV, radio, social media; community-based PR Carnival Day, fair participation; letters to 7-8 graders in sending districts from Alumni students/ seniors; package for early acceptance in Jan the prior year; free 7-8 grade summer camp in tech areas</w:t>
            </w:r>
          </w:p>
        </w:tc>
      </w:tr>
      <w:tr w:rsidR="005411E7" w:rsidRPr="0082422E">
        <w:tc>
          <w:tcPr>
            <w:tcW w:w="2070" w:type="dxa"/>
            <w:tcBorders>
              <w:bottom w:val="single" w:sz="4" w:space="0" w:color="auto"/>
            </w:tcBorders>
            <w:shd w:val="clear" w:color="auto" w:fill="99CCFF"/>
          </w:tcPr>
          <w:p w:rsidR="00C731C0" w:rsidRPr="000B124A" w:rsidRDefault="00C731C0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0B124A">
              <w:rPr>
                <w:rFonts w:asciiTheme="majorHAnsi" w:hAnsiTheme="majorHAnsi"/>
                <w:b/>
                <w:sz w:val="20"/>
              </w:rPr>
              <w:t>Innovate to increase student choice</w:t>
            </w:r>
            <w:r>
              <w:rPr>
                <w:rFonts w:asciiTheme="majorHAnsi" w:hAnsiTheme="majorHAnsi"/>
                <w:b/>
                <w:sz w:val="20"/>
              </w:rPr>
              <w:t>:</w:t>
            </w:r>
          </w:p>
          <w:p w:rsidR="005411E7" w:rsidRDefault="00C731C0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Create public transportation partnership; provide more choices for electives (gym part of academics; credit for sports/gym); shorten exploratory (fewer top choices); create rotating block to add more time to academic class; long days M-Th with early Friday dismissal (30 min)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:rsidR="005411E7" w:rsidRPr="00286DA1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Implement annual staff climate and culture survey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CCFF"/>
          </w:tcPr>
          <w:p w:rsidR="005411E7" w:rsidRPr="005411E7" w:rsidRDefault="00FB1DAB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Develop Academic and Technical Integration</w:t>
            </w:r>
            <w:r w:rsidR="005411E7" w:rsidRPr="005411E7">
              <w:rPr>
                <w:rFonts w:asciiTheme="majorHAnsi" w:hAnsiTheme="majorHAnsi"/>
                <w:b/>
                <w:sz w:val="20"/>
              </w:rPr>
              <w:t xml:space="preserve"> plan</w:t>
            </w:r>
            <w:r w:rsidR="005411E7">
              <w:rPr>
                <w:rFonts w:asciiTheme="majorHAnsi" w:hAnsiTheme="majorHAnsi"/>
                <w:sz w:val="20"/>
              </w:rPr>
              <w:t xml:space="preserve"> (sharing resources, common planning)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CC99"/>
          </w:tcPr>
          <w:p w:rsidR="005411E7" w:rsidRPr="0082422E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9CCFF"/>
          </w:tcPr>
          <w:p w:rsidR="005411E7" w:rsidRPr="0082422E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411E7" w:rsidRPr="0082422E">
        <w:tc>
          <w:tcPr>
            <w:tcW w:w="2070" w:type="dxa"/>
            <w:tcBorders>
              <w:bottom w:val="single" w:sz="4" w:space="0" w:color="auto"/>
            </w:tcBorders>
            <w:shd w:val="clear" w:color="auto" w:fill="99CCFF"/>
          </w:tcPr>
          <w:p w:rsidR="005411E7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:rsidR="005411E7" w:rsidRPr="00286DA1" w:rsidRDefault="00AF0F81" w:rsidP="00AF0F8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Educate and support staff understanding of new discipline policy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CCFF"/>
          </w:tcPr>
          <w:p w:rsidR="005411E7" w:rsidRPr="0082422E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  <w:r w:rsidRPr="005411E7">
              <w:rPr>
                <w:rFonts w:asciiTheme="majorHAnsi" w:hAnsiTheme="majorHAnsi"/>
                <w:b/>
                <w:sz w:val="20"/>
              </w:rPr>
              <w:t xml:space="preserve">Increase CCT presence and involvement in </w:t>
            </w:r>
            <w:r>
              <w:rPr>
                <w:rFonts w:asciiTheme="majorHAnsi" w:hAnsiTheme="majorHAnsi"/>
                <w:b/>
                <w:sz w:val="20"/>
              </w:rPr>
              <w:t>Skills USA &amp; FFA</w:t>
            </w:r>
            <w:r w:rsidRPr="005411E7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CC99"/>
          </w:tcPr>
          <w:p w:rsidR="005411E7" w:rsidRPr="0082422E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9CCFF"/>
          </w:tcPr>
          <w:p w:rsidR="005411E7" w:rsidRPr="0082422E" w:rsidRDefault="005411E7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AF0F81" w:rsidRPr="0082422E">
        <w:tc>
          <w:tcPr>
            <w:tcW w:w="2070" w:type="dxa"/>
            <w:tcBorders>
              <w:bottom w:val="single" w:sz="4" w:space="0" w:color="auto"/>
            </w:tcBorders>
            <w:shd w:val="clear" w:color="auto" w:fill="99CCFF"/>
          </w:tcPr>
          <w:p w:rsidR="00AF0F81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CC99"/>
          </w:tcPr>
          <w:p w:rsidR="00AF0F81" w:rsidRDefault="00AF0F81" w:rsidP="00AF0F8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Establish an exit interview protocol</w:t>
            </w:r>
          </w:p>
          <w:p w:rsidR="00AF0F81" w:rsidRDefault="00AF0F81" w:rsidP="00AF0F8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CCFF"/>
          </w:tcPr>
          <w:p w:rsidR="00AF0F81" w:rsidRPr="005411E7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CC99"/>
          </w:tcPr>
          <w:p w:rsidR="00AF0F81" w:rsidRPr="0082422E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99CCFF"/>
          </w:tcPr>
          <w:p w:rsidR="00AF0F81" w:rsidRPr="0082422E" w:rsidRDefault="00AF0F81" w:rsidP="00C731C0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5411E7" w:rsidRPr="0082422E">
        <w:trPr>
          <w:trHeight w:val="341"/>
        </w:trPr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5411E7" w:rsidRPr="001B2876" w:rsidRDefault="005411E7" w:rsidP="0082422E">
            <w:pPr>
              <w:spacing w:after="0"/>
              <w:jc w:val="center"/>
              <w:rPr>
                <w:rFonts w:asciiTheme="majorHAnsi" w:hAnsiTheme="majorHAnsi"/>
                <w:b/>
                <w:i/>
              </w:rPr>
            </w:pPr>
            <w:r w:rsidRPr="001B2876">
              <w:rPr>
                <w:rFonts w:asciiTheme="majorHAnsi" w:hAnsiTheme="majorHAnsi"/>
                <w:b/>
                <w:i/>
              </w:rPr>
              <w:t>Outcomes</w:t>
            </w:r>
          </w:p>
        </w:tc>
      </w:tr>
      <w:tr w:rsidR="005411E7" w:rsidRPr="0082422E">
        <w:trPr>
          <w:trHeight w:val="530"/>
        </w:trPr>
        <w:tc>
          <w:tcPr>
            <w:tcW w:w="10440" w:type="dxa"/>
            <w:gridSpan w:val="5"/>
            <w:shd w:val="clear" w:color="auto" w:fill="auto"/>
          </w:tcPr>
          <w:p w:rsidR="00E2640C" w:rsidRDefault="00E2640C" w:rsidP="008205FE">
            <w:pPr>
              <w:pStyle w:val="ListParagraph"/>
              <w:spacing w:after="0"/>
              <w:rPr>
                <w:rFonts w:asciiTheme="majorHAnsi" w:hAnsiTheme="majorHAnsi"/>
                <w:sz w:val="20"/>
              </w:rPr>
            </w:pPr>
            <w:bookmarkStart w:id="0" w:name="_GoBack"/>
            <w:bookmarkEnd w:id="0"/>
          </w:p>
          <w:p w:rsidR="00E2640C" w:rsidRDefault="00E2640C" w:rsidP="008205FE">
            <w:pPr>
              <w:pStyle w:val="ListParagraph"/>
              <w:spacing w:after="0"/>
              <w:rPr>
                <w:rFonts w:asciiTheme="majorHAnsi" w:hAnsiTheme="majorHAnsi"/>
                <w:sz w:val="20"/>
              </w:rPr>
            </w:pPr>
          </w:p>
          <w:p w:rsidR="00E2640C" w:rsidRDefault="00E2640C" w:rsidP="008205FE">
            <w:pPr>
              <w:pStyle w:val="ListParagraph"/>
              <w:spacing w:after="0"/>
              <w:rPr>
                <w:rFonts w:asciiTheme="majorHAnsi" w:hAnsiTheme="majorHAnsi"/>
                <w:sz w:val="20"/>
              </w:rPr>
            </w:pPr>
          </w:p>
          <w:p w:rsidR="005411E7" w:rsidRDefault="005411E7" w:rsidP="008205FE">
            <w:pPr>
              <w:pStyle w:val="ListParagraph"/>
              <w:spacing w:after="0"/>
              <w:rPr>
                <w:rFonts w:asciiTheme="majorHAnsi" w:hAnsiTheme="majorHAnsi"/>
                <w:sz w:val="20"/>
              </w:rPr>
            </w:pPr>
          </w:p>
        </w:tc>
      </w:tr>
    </w:tbl>
    <w:p w:rsidR="00C70C11" w:rsidRPr="00BB0518" w:rsidRDefault="00C70C11">
      <w:pPr>
        <w:rPr>
          <w:rFonts w:asciiTheme="majorHAnsi" w:hAnsiTheme="majorHAnsi"/>
        </w:rPr>
      </w:pPr>
    </w:p>
    <w:sectPr w:rsidR="00C70C11" w:rsidRPr="00BB0518" w:rsidSect="001B2876">
      <w:footerReference w:type="first" r:id="rId11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9A" w:rsidRDefault="00A47B9A" w:rsidP="00902522">
      <w:pPr>
        <w:spacing w:after="0" w:line="240" w:lineRule="auto"/>
      </w:pPr>
      <w:r>
        <w:separator/>
      </w:r>
    </w:p>
  </w:endnote>
  <w:endnote w:type="continuationSeparator" w:id="0">
    <w:p w:rsidR="00A47B9A" w:rsidRDefault="00A47B9A" w:rsidP="0090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ED" w:rsidRDefault="00317BED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317BED" w:rsidRDefault="00317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9A" w:rsidRDefault="00A47B9A" w:rsidP="00902522">
      <w:pPr>
        <w:spacing w:after="0" w:line="240" w:lineRule="auto"/>
      </w:pPr>
      <w:r>
        <w:separator/>
      </w:r>
    </w:p>
  </w:footnote>
  <w:footnote w:type="continuationSeparator" w:id="0">
    <w:p w:rsidR="00A47B9A" w:rsidRDefault="00A47B9A" w:rsidP="0090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9EC"/>
    <w:multiLevelType w:val="hybridMultilevel"/>
    <w:tmpl w:val="312832DA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44154"/>
    <w:multiLevelType w:val="hybridMultilevel"/>
    <w:tmpl w:val="E5B6162C"/>
    <w:lvl w:ilvl="0" w:tplc="DB722B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66519B"/>
    <w:multiLevelType w:val="hybridMultilevel"/>
    <w:tmpl w:val="40D222D0"/>
    <w:lvl w:ilvl="0" w:tplc="E7A8A03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30861"/>
    <w:multiLevelType w:val="hybridMultilevel"/>
    <w:tmpl w:val="4650D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6364D4"/>
    <w:multiLevelType w:val="hybridMultilevel"/>
    <w:tmpl w:val="B142B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7BD3"/>
    <w:multiLevelType w:val="hybridMultilevel"/>
    <w:tmpl w:val="3D901068"/>
    <w:lvl w:ilvl="0" w:tplc="A2CE64F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4688B"/>
    <w:multiLevelType w:val="hybridMultilevel"/>
    <w:tmpl w:val="665C5082"/>
    <w:lvl w:ilvl="0" w:tplc="7E7CBB56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5CDB0FF1"/>
    <w:multiLevelType w:val="hybridMultilevel"/>
    <w:tmpl w:val="955088D6"/>
    <w:lvl w:ilvl="0" w:tplc="F4D2DA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C11"/>
    <w:rsid w:val="0003058F"/>
    <w:rsid w:val="000400BD"/>
    <w:rsid w:val="000B124A"/>
    <w:rsid w:val="000C7ED9"/>
    <w:rsid w:val="000F0F10"/>
    <w:rsid w:val="0010210E"/>
    <w:rsid w:val="00133F96"/>
    <w:rsid w:val="00150290"/>
    <w:rsid w:val="00152A1B"/>
    <w:rsid w:val="00176B0C"/>
    <w:rsid w:val="00184D6C"/>
    <w:rsid w:val="001B2876"/>
    <w:rsid w:val="002066B0"/>
    <w:rsid w:val="0024598D"/>
    <w:rsid w:val="00286DA1"/>
    <w:rsid w:val="002A191F"/>
    <w:rsid w:val="00317BED"/>
    <w:rsid w:val="00343036"/>
    <w:rsid w:val="003713AC"/>
    <w:rsid w:val="00394E0A"/>
    <w:rsid w:val="00405539"/>
    <w:rsid w:val="004352C3"/>
    <w:rsid w:val="00443393"/>
    <w:rsid w:val="0044563C"/>
    <w:rsid w:val="00460D36"/>
    <w:rsid w:val="00480865"/>
    <w:rsid w:val="004A5096"/>
    <w:rsid w:val="004E7D36"/>
    <w:rsid w:val="00500FC3"/>
    <w:rsid w:val="005402B1"/>
    <w:rsid w:val="005411E7"/>
    <w:rsid w:val="00642594"/>
    <w:rsid w:val="006934A1"/>
    <w:rsid w:val="006D3C48"/>
    <w:rsid w:val="00724A96"/>
    <w:rsid w:val="007915BE"/>
    <w:rsid w:val="008205FE"/>
    <w:rsid w:val="0082422E"/>
    <w:rsid w:val="00902522"/>
    <w:rsid w:val="009353FF"/>
    <w:rsid w:val="00975CF6"/>
    <w:rsid w:val="00997FE6"/>
    <w:rsid w:val="009A63D1"/>
    <w:rsid w:val="00A32216"/>
    <w:rsid w:val="00A47B9A"/>
    <w:rsid w:val="00AD75EB"/>
    <w:rsid w:val="00AE1A2D"/>
    <w:rsid w:val="00AF0F81"/>
    <w:rsid w:val="00B46AB3"/>
    <w:rsid w:val="00B765B6"/>
    <w:rsid w:val="00BB0518"/>
    <w:rsid w:val="00BE258B"/>
    <w:rsid w:val="00C27051"/>
    <w:rsid w:val="00C328E4"/>
    <w:rsid w:val="00C342D7"/>
    <w:rsid w:val="00C60415"/>
    <w:rsid w:val="00C62239"/>
    <w:rsid w:val="00C70C11"/>
    <w:rsid w:val="00C731C0"/>
    <w:rsid w:val="00C936B2"/>
    <w:rsid w:val="00CD0DD6"/>
    <w:rsid w:val="00CD41F8"/>
    <w:rsid w:val="00CE76B7"/>
    <w:rsid w:val="00D53B39"/>
    <w:rsid w:val="00D67168"/>
    <w:rsid w:val="00D84D28"/>
    <w:rsid w:val="00DC12DB"/>
    <w:rsid w:val="00DD4674"/>
    <w:rsid w:val="00DE170B"/>
    <w:rsid w:val="00E2640C"/>
    <w:rsid w:val="00E94203"/>
    <w:rsid w:val="00EF55C8"/>
    <w:rsid w:val="00F13407"/>
    <w:rsid w:val="00F26E50"/>
    <w:rsid w:val="00F8526E"/>
    <w:rsid w:val="00FB1D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C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1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1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5B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70C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C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1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1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5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DESE-231-20655</_dlc_DocId>
    <_dlc_DocIdUrl xmlns="733efe1c-5bbe-4968-87dc-d400e65c879f">
      <Url>https://sharepoint.doemass.org/ese/webteam/cps/_layouts/DocIdRedir.aspx?ID=DESE-231-20655</Url>
      <Description>DESE-231-20655</Description>
    </_dlc_DocIdUrl>
  </documentManagement>
</p:properties>
</file>

<file path=customXml/itemProps1.xml><?xml version="1.0" encoding="utf-8"?>
<ds:datastoreItem xmlns:ds="http://schemas.openxmlformats.org/officeDocument/2006/customXml" ds:itemID="{06777D00-0102-4CB2-BFD0-452855A2D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A1718-822A-42F8-BC46-4CFC6C016E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ACE160-2059-45CE-AE84-B499C1D8A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00C4E-A44A-466C-A3EC-F03097F44EC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Cape Cod Regional Technical High School: District Plan Overview</vt:lpstr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 Cod Regional Technical High School: District Plan Overview</dc:title>
  <dc:creator>ESE</dc:creator>
  <cp:lastModifiedBy>dzou</cp:lastModifiedBy>
  <cp:revision>4</cp:revision>
  <cp:lastPrinted>2015-05-03T20:11:00Z</cp:lastPrinted>
  <dcterms:created xsi:type="dcterms:W3CDTF">2015-10-27T20:59:00Z</dcterms:created>
  <dcterms:modified xsi:type="dcterms:W3CDTF">2015-10-29T20:22:00Z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29 2015</vt:lpwstr>
  </property>
</Properties>
</file>