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477" w:rsidRDefault="00473477" w:rsidP="00B07434">
      <w:pPr>
        <w:spacing w:after="0"/>
        <w:rPr>
          <w:b/>
          <w:sz w:val="28"/>
          <w:szCs w:val="28"/>
        </w:rPr>
      </w:pPr>
      <w:r w:rsidRPr="006C7FA1">
        <w:rPr>
          <w:b/>
          <w:sz w:val="28"/>
          <w:szCs w:val="28"/>
        </w:rPr>
        <w:t>Planning for Success</w:t>
      </w:r>
      <w:r w:rsidR="00B07434">
        <w:rPr>
          <w:b/>
          <w:sz w:val="28"/>
          <w:szCs w:val="28"/>
        </w:rPr>
        <w:t xml:space="preserve">:  </w:t>
      </w:r>
      <w:bookmarkStart w:id="0" w:name="_GoBack"/>
      <w:r w:rsidR="00B07434">
        <w:rPr>
          <w:b/>
          <w:sz w:val="28"/>
          <w:szCs w:val="28"/>
        </w:rPr>
        <w:t>Additional Plan Requirements Checklist</w:t>
      </w:r>
      <w:bookmarkEnd w:id="0"/>
    </w:p>
    <w:p w:rsidR="00B07434" w:rsidRDefault="00B07434" w:rsidP="00473477">
      <w:pPr>
        <w:rPr>
          <w:b/>
          <w:sz w:val="28"/>
          <w:szCs w:val="28"/>
        </w:rPr>
      </w:pPr>
    </w:p>
    <w:p w:rsidR="00473477" w:rsidRPr="006A79BE" w:rsidRDefault="00473477" w:rsidP="00473477">
      <w:pPr>
        <w:rPr>
          <w:i/>
        </w:rPr>
      </w:pPr>
      <w:r w:rsidRPr="006A79BE">
        <w:rPr>
          <w:i/>
        </w:rPr>
        <w:t xml:space="preserve">Planning for Success a planning process designed to create a plan rooted in identified district needs, stakeholder input, defined outcomes, and aligned resources.  A plan resulting from the </w:t>
      </w:r>
      <w:proofErr w:type="spellStart"/>
      <w:r w:rsidRPr="006A79BE">
        <w:rPr>
          <w:i/>
        </w:rPr>
        <w:t>PfS</w:t>
      </w:r>
      <w:proofErr w:type="spellEnd"/>
      <w:r w:rsidRPr="006A79BE">
        <w:rPr>
          <w:i/>
        </w:rPr>
        <w:t xml:space="preserve"> protocols should meet most state and federal plan requirements. </w:t>
      </w:r>
    </w:p>
    <w:p w:rsidR="00473477" w:rsidRPr="006A79BE" w:rsidRDefault="00473477" w:rsidP="00473477">
      <w:pPr>
        <w:rPr>
          <w:i/>
        </w:rPr>
      </w:pPr>
      <w:r w:rsidRPr="006A79BE">
        <w:rPr>
          <w:i/>
        </w:rPr>
        <w:t>However, there are some discre</w:t>
      </w:r>
      <w:r w:rsidR="00C76646">
        <w:rPr>
          <w:i/>
        </w:rPr>
        <w:t>t</w:t>
      </w:r>
      <w:r w:rsidRPr="006A79BE">
        <w:rPr>
          <w:i/>
        </w:rPr>
        <w:t xml:space="preserve">e state requirements that may not be obvious, but </w:t>
      </w:r>
      <w:proofErr w:type="gramStart"/>
      <w:r w:rsidRPr="006A79BE">
        <w:rPr>
          <w:i/>
        </w:rPr>
        <w:t>should be incorporated</w:t>
      </w:r>
      <w:proofErr w:type="gramEnd"/>
      <w:r w:rsidRPr="006A79BE">
        <w:rPr>
          <w:i/>
        </w:rPr>
        <w:t xml:space="preserve"> into</w:t>
      </w:r>
      <w:r>
        <w:rPr>
          <w:i/>
        </w:rPr>
        <w:t xml:space="preserve"> some school and/or</w:t>
      </w:r>
      <w:r w:rsidRPr="006A79BE">
        <w:rPr>
          <w:i/>
        </w:rPr>
        <w:t xml:space="preserve"> district plans in order to comply with state law.  A brief description of those requirements</w:t>
      </w:r>
      <w:r w:rsidR="00C76646">
        <w:rPr>
          <w:i/>
        </w:rPr>
        <w:t>, with references to more detailed laws and resources,</w:t>
      </w:r>
      <w:r w:rsidRPr="006A79BE">
        <w:rPr>
          <w:i/>
        </w:rPr>
        <w:t xml:space="preserve"> follows:</w:t>
      </w:r>
    </w:p>
    <w:tbl>
      <w:tblPr>
        <w:tblStyle w:val="TableGrid"/>
        <w:tblW w:w="0" w:type="auto"/>
        <w:tblLook w:val="04A0" w:firstRow="1" w:lastRow="0" w:firstColumn="1" w:lastColumn="0" w:noHBand="0" w:noVBand="1"/>
        <w:tblCaption w:val="Table describing statutory requirements for district and school plans"/>
        <w:tblDescription w:val="This table describes requirements for plan for Civics projects, English learners and turnaround schools and districts."/>
      </w:tblPr>
      <w:tblGrid>
        <w:gridCol w:w="3685"/>
        <w:gridCol w:w="4320"/>
        <w:gridCol w:w="1345"/>
      </w:tblGrid>
      <w:tr w:rsidR="00473477" w:rsidTr="00B07434">
        <w:trPr>
          <w:tblHeader/>
        </w:trPr>
        <w:tc>
          <w:tcPr>
            <w:tcW w:w="3685" w:type="dxa"/>
          </w:tcPr>
          <w:p w:rsidR="00473477" w:rsidRPr="0070751E" w:rsidRDefault="00473477" w:rsidP="00F119AB">
            <w:pPr>
              <w:rPr>
                <w:rFonts w:ascii="Times New Roman" w:hAnsi="Times New Roman" w:cs="Times New Roman"/>
                <w:b/>
              </w:rPr>
            </w:pPr>
            <w:r>
              <w:rPr>
                <w:rFonts w:ascii="Times New Roman" w:hAnsi="Times New Roman" w:cs="Times New Roman"/>
                <w:b/>
              </w:rPr>
              <w:t>Requirement/Eligibility</w:t>
            </w:r>
          </w:p>
        </w:tc>
        <w:tc>
          <w:tcPr>
            <w:tcW w:w="4320" w:type="dxa"/>
          </w:tcPr>
          <w:p w:rsidR="00473477" w:rsidRDefault="00473477" w:rsidP="00F119AB">
            <w:pPr>
              <w:spacing w:before="100" w:beforeAutospacing="1" w:after="100" w:afterAutospacing="1"/>
              <w:ind w:left="-27"/>
              <w:rPr>
                <w:rFonts w:ascii="&amp;quot" w:hAnsi="&amp;quot"/>
                <w:color w:val="000000"/>
                <w:sz w:val="20"/>
                <w:szCs w:val="20"/>
              </w:rPr>
            </w:pPr>
            <w:r>
              <w:rPr>
                <w:rFonts w:ascii="Times New Roman" w:hAnsi="Times New Roman" w:cs="Times New Roman"/>
                <w:b/>
              </w:rPr>
              <w:t>Details</w:t>
            </w:r>
          </w:p>
        </w:tc>
        <w:tc>
          <w:tcPr>
            <w:tcW w:w="1345" w:type="dxa"/>
          </w:tcPr>
          <w:p w:rsidR="00473477" w:rsidRDefault="00473477" w:rsidP="00F119AB">
            <w:pPr>
              <w:spacing w:before="100" w:beforeAutospacing="1" w:after="100" w:afterAutospacing="1"/>
              <w:ind w:left="-27"/>
              <w:rPr>
                <w:rFonts w:ascii="&amp;quot" w:hAnsi="&amp;quot"/>
                <w:color w:val="000000"/>
                <w:sz w:val="20"/>
                <w:szCs w:val="20"/>
              </w:rPr>
            </w:pPr>
            <w:r>
              <w:rPr>
                <w:rFonts w:ascii="Times New Roman" w:hAnsi="Times New Roman" w:cs="Times New Roman"/>
                <w:b/>
              </w:rPr>
              <w:t>In our Plan</w:t>
            </w:r>
            <w:r w:rsidRPr="007E406B">
              <w:rPr>
                <w:rFonts w:ascii="Times New Roman" w:hAnsi="Times New Roman" w:cs="Times New Roman"/>
                <w:b/>
              </w:rPr>
              <w:t>?</w:t>
            </w:r>
          </w:p>
        </w:tc>
      </w:tr>
      <w:tr w:rsidR="00473477" w:rsidTr="00F119AB">
        <w:tc>
          <w:tcPr>
            <w:tcW w:w="3685" w:type="dxa"/>
          </w:tcPr>
          <w:p w:rsidR="00473477" w:rsidRDefault="00473477" w:rsidP="00F119AB">
            <w:pPr>
              <w:rPr>
                <w:rFonts w:ascii="&amp;quot" w:hAnsi="&amp;quot"/>
                <w:b/>
                <w:bCs/>
                <w:color w:val="000000"/>
                <w:sz w:val="21"/>
                <w:szCs w:val="21"/>
              </w:rPr>
            </w:pPr>
            <w:r w:rsidRPr="0070751E">
              <w:rPr>
                <w:rFonts w:ascii="Times New Roman" w:hAnsi="Times New Roman" w:cs="Times New Roman"/>
                <w:b/>
              </w:rPr>
              <w:t xml:space="preserve">Civics:  </w:t>
            </w:r>
            <w:r>
              <w:rPr>
                <w:rFonts w:ascii="&amp;quot" w:hAnsi="&amp;quot"/>
                <w:b/>
                <w:bCs/>
                <w:color w:val="000000"/>
                <w:sz w:val="21"/>
                <w:szCs w:val="21"/>
              </w:rPr>
              <w:t>Describing Student-Led Civics Projects</w:t>
            </w:r>
          </w:p>
          <w:p w:rsidR="00473477" w:rsidRDefault="00473477" w:rsidP="00F119AB">
            <w:pPr>
              <w:spacing w:before="100" w:beforeAutospacing="1" w:after="100" w:afterAutospacing="1"/>
              <w:rPr>
                <w:rFonts w:ascii="&amp;quot" w:hAnsi="&amp;quot"/>
                <w:color w:val="000000"/>
                <w:sz w:val="20"/>
                <w:szCs w:val="20"/>
              </w:rPr>
            </w:pPr>
            <w:r w:rsidRPr="007E406B">
              <w:rPr>
                <w:rFonts w:ascii="&amp;quot" w:hAnsi="&amp;quot"/>
                <w:b/>
                <w:color w:val="000000"/>
                <w:sz w:val="20"/>
                <w:szCs w:val="20"/>
              </w:rPr>
              <w:t>Background:</w:t>
            </w:r>
            <w:r>
              <w:rPr>
                <w:rFonts w:ascii="&amp;quot" w:hAnsi="&amp;quot"/>
                <w:color w:val="000000"/>
                <w:sz w:val="20"/>
                <w:szCs w:val="20"/>
              </w:rPr>
              <w:t xml:space="preserve">  Signed into law by Governor Baker on November 8, 2018, </w:t>
            </w:r>
            <w:hyperlink r:id="rId11" w:history="1">
              <w:r>
                <w:rPr>
                  <w:rStyle w:val="Hyperlink"/>
                  <w:rFonts w:ascii="&amp;quot" w:hAnsi="&amp;quot"/>
                  <w:sz w:val="20"/>
                  <w:szCs w:val="20"/>
                </w:rPr>
                <w:t>Chapter 296 of the Acts of 2018</w:t>
              </w:r>
            </w:hyperlink>
            <w:r>
              <w:rPr>
                <w:rFonts w:ascii="&amp;quot" w:hAnsi="&amp;quot"/>
                <w:color w:val="000000"/>
                <w:sz w:val="20"/>
                <w:szCs w:val="20"/>
              </w:rPr>
              <w:t xml:space="preserve"> is a law to promote and enhance civic engagement and support implementation of the </w:t>
            </w:r>
            <w:hyperlink r:id="rId12" w:history="1">
              <w:r>
                <w:rPr>
                  <w:rStyle w:val="Hyperlink"/>
                  <w:rFonts w:ascii="&amp;quot" w:hAnsi="&amp;quot"/>
                  <w:sz w:val="20"/>
                  <w:szCs w:val="20"/>
                </w:rPr>
                <w:t>2018 History and Social Science Curriculum Framework</w:t>
              </w:r>
            </w:hyperlink>
            <w:r>
              <w:rPr>
                <w:rFonts w:ascii="&amp;quot" w:hAnsi="&amp;quot"/>
                <w:color w:val="000000"/>
                <w:sz w:val="20"/>
                <w:szCs w:val="20"/>
              </w:rPr>
              <w:t xml:space="preserve">. </w:t>
            </w:r>
          </w:p>
          <w:p w:rsidR="00473477" w:rsidRDefault="00473477" w:rsidP="00F119AB">
            <w:pPr>
              <w:spacing w:before="100" w:beforeAutospacing="1" w:after="100" w:afterAutospacing="1"/>
              <w:rPr>
                <w:rFonts w:ascii="&amp;quot" w:hAnsi="&amp;quot"/>
                <w:color w:val="000000"/>
                <w:sz w:val="20"/>
                <w:szCs w:val="20"/>
              </w:rPr>
            </w:pPr>
            <w:r w:rsidRPr="007E406B">
              <w:rPr>
                <w:rFonts w:ascii="&amp;quot" w:hAnsi="&amp;quot"/>
                <w:b/>
                <w:color w:val="000000"/>
                <w:sz w:val="20"/>
                <w:szCs w:val="20"/>
              </w:rPr>
              <w:t>Requirement:</w:t>
            </w:r>
            <w:r>
              <w:rPr>
                <w:rFonts w:ascii="&amp;quot" w:hAnsi="&amp;quot"/>
                <w:color w:val="000000"/>
                <w:sz w:val="20"/>
                <w:szCs w:val="20"/>
              </w:rPr>
              <w:t xml:space="preserve">  The law includes a provision that </w:t>
            </w:r>
            <w:r w:rsidRPr="007E406B">
              <w:rPr>
                <w:rFonts w:ascii="&amp;quot" w:hAnsi="&amp;quot"/>
                <w:b/>
                <w:color w:val="000000"/>
                <w:sz w:val="20"/>
                <w:szCs w:val="20"/>
              </w:rPr>
              <w:t>each public school serving students in grade 8, and each public high school</w:t>
            </w:r>
            <w:r>
              <w:rPr>
                <w:rFonts w:ascii="&amp;quot" w:hAnsi="&amp;quot"/>
                <w:color w:val="000000"/>
                <w:sz w:val="20"/>
                <w:szCs w:val="20"/>
              </w:rPr>
              <w:t>, shall provide for each student not less than 1 student-led, non-partisan civics project consistent with the framework.</w:t>
            </w:r>
          </w:p>
          <w:p w:rsidR="00473477" w:rsidRDefault="00473477" w:rsidP="00F119AB">
            <w:pPr>
              <w:spacing w:before="100" w:beforeAutospacing="1" w:after="100" w:afterAutospacing="1"/>
            </w:pPr>
          </w:p>
        </w:tc>
        <w:tc>
          <w:tcPr>
            <w:tcW w:w="4320" w:type="dxa"/>
          </w:tcPr>
          <w:p w:rsidR="00473477" w:rsidRDefault="00473477" w:rsidP="00F119AB">
            <w:pPr>
              <w:rPr>
                <w:rFonts w:ascii="&amp;quot" w:hAnsi="&amp;quot"/>
                <w:color w:val="000000"/>
                <w:sz w:val="20"/>
                <w:szCs w:val="20"/>
              </w:rPr>
            </w:pPr>
          </w:p>
          <w:p w:rsidR="00473477" w:rsidRDefault="00473477" w:rsidP="00F119AB">
            <w:pPr>
              <w:rPr>
                <w:rFonts w:ascii="&amp;quot" w:hAnsi="&amp;quot"/>
                <w:color w:val="000000"/>
                <w:sz w:val="20"/>
                <w:szCs w:val="20"/>
              </w:rPr>
            </w:pPr>
            <w:r>
              <w:rPr>
                <w:rFonts w:ascii="&amp;quot" w:hAnsi="&amp;quot"/>
                <w:color w:val="000000"/>
                <w:sz w:val="20"/>
                <w:szCs w:val="20"/>
              </w:rPr>
              <w:t xml:space="preserve">Districts must include in their 3-year district improvement plans a </w:t>
            </w:r>
            <w:r w:rsidRPr="006A79BE">
              <w:rPr>
                <w:rFonts w:ascii="&amp;quot" w:hAnsi="&amp;quot"/>
                <w:b/>
                <w:color w:val="000000"/>
                <w:sz w:val="20"/>
                <w:szCs w:val="20"/>
              </w:rPr>
              <w:t>description of how the district implements the following project requirements</w:t>
            </w:r>
            <w:r>
              <w:rPr>
                <w:rFonts w:ascii="&amp;quot" w:hAnsi="&amp;quot"/>
                <w:color w:val="000000"/>
                <w:sz w:val="20"/>
                <w:szCs w:val="20"/>
              </w:rPr>
              <w:t>.</w:t>
            </w:r>
          </w:p>
          <w:p w:rsidR="00FF7ECF" w:rsidRDefault="00FF7ECF" w:rsidP="00F119AB">
            <w:pPr>
              <w:rPr>
                <w:rFonts w:ascii="&amp;quot" w:hAnsi="&amp;quot"/>
                <w:color w:val="000000"/>
                <w:sz w:val="20"/>
                <w:szCs w:val="20"/>
              </w:rPr>
            </w:pPr>
          </w:p>
          <w:p w:rsidR="00FF7ECF" w:rsidRDefault="00473477" w:rsidP="00FF7ECF">
            <w:pPr>
              <w:rPr>
                <w:rFonts w:ascii="&amp;quot" w:hAnsi="&amp;quot"/>
                <w:color w:val="000000"/>
                <w:sz w:val="20"/>
                <w:szCs w:val="20"/>
              </w:rPr>
            </w:pPr>
            <w:proofErr w:type="gramStart"/>
            <w:r w:rsidRPr="006A79BE">
              <w:rPr>
                <w:rFonts w:ascii="&amp;quot" w:hAnsi="&amp;quot"/>
                <w:b/>
                <w:color w:val="000000"/>
                <w:sz w:val="20"/>
                <w:szCs w:val="20"/>
              </w:rPr>
              <w:t>Civics projects</w:t>
            </w:r>
            <w:r w:rsidRPr="007E406B">
              <w:rPr>
                <w:rFonts w:ascii="&amp;quot" w:hAnsi="&amp;quot"/>
                <w:color w:val="000000"/>
                <w:sz w:val="20"/>
                <w:szCs w:val="20"/>
              </w:rPr>
              <w:t xml:space="preserve"> may be individual, small group or class wide, and designed to promote a student’s ability to: (</w:t>
            </w:r>
            <w:proofErr w:type="spellStart"/>
            <w:r w:rsidRPr="007E406B">
              <w:rPr>
                <w:rFonts w:ascii="&amp;quot" w:hAnsi="&amp;quot"/>
                <w:color w:val="000000"/>
                <w:sz w:val="20"/>
                <w:szCs w:val="20"/>
              </w:rPr>
              <w:t>i</w:t>
            </w:r>
            <w:proofErr w:type="spellEnd"/>
            <w:r w:rsidRPr="007E406B">
              <w:rPr>
                <w:rFonts w:ascii="&amp;quot" w:hAnsi="&amp;quot"/>
                <w:color w:val="000000"/>
                <w:sz w:val="20"/>
                <w:szCs w:val="20"/>
              </w:rPr>
              <w:t>) analyze complex issues; (ii) consider differing points of view; (iii) reason, make logical arguments and support claims using valid evidence; (iv) engage in civil discourse with those who hold opposing positions; and (v) demonstrate an understanding of the connections between federal, state and local policies, including issues that may impact the student’s school or community.</w:t>
            </w:r>
            <w:proofErr w:type="gramEnd"/>
            <w:r w:rsidRPr="007E406B">
              <w:rPr>
                <w:rFonts w:ascii="&amp;quot" w:hAnsi="&amp;quot"/>
                <w:color w:val="000000"/>
                <w:sz w:val="20"/>
                <w:szCs w:val="20"/>
              </w:rPr>
              <w:t xml:space="preserve"> </w:t>
            </w:r>
          </w:p>
          <w:p w:rsidR="00FF7ECF" w:rsidRDefault="00FF7ECF" w:rsidP="00FF7ECF">
            <w:pPr>
              <w:rPr>
                <w:rFonts w:ascii="&amp;quot" w:hAnsi="&amp;quot"/>
                <w:color w:val="000000"/>
                <w:sz w:val="20"/>
                <w:szCs w:val="20"/>
              </w:rPr>
            </w:pPr>
          </w:p>
          <w:p w:rsidR="00FF7ECF" w:rsidRDefault="00473477" w:rsidP="00FF7ECF">
            <w:pPr>
              <w:rPr>
                <w:rFonts w:ascii="&amp;quot" w:hAnsi="&amp;quot"/>
                <w:color w:val="000000"/>
                <w:sz w:val="20"/>
                <w:szCs w:val="20"/>
              </w:rPr>
            </w:pPr>
            <w:r w:rsidRPr="007E406B">
              <w:rPr>
                <w:rFonts w:ascii="&amp;quot" w:hAnsi="&amp;quot"/>
                <w:color w:val="000000"/>
                <w:sz w:val="20"/>
                <w:szCs w:val="20"/>
              </w:rPr>
              <w:t xml:space="preserve">Any student choosing not to participate in a particular group or class-wide project </w:t>
            </w:r>
            <w:proofErr w:type="gramStart"/>
            <w:r w:rsidRPr="007E406B">
              <w:rPr>
                <w:rFonts w:ascii="&amp;quot" w:hAnsi="&amp;quot"/>
                <w:color w:val="000000"/>
                <w:sz w:val="20"/>
                <w:szCs w:val="20"/>
              </w:rPr>
              <w:t>shall be offered</w:t>
            </w:r>
            <w:proofErr w:type="gramEnd"/>
            <w:r w:rsidRPr="007E406B">
              <w:rPr>
                <w:rFonts w:ascii="&amp;quot" w:hAnsi="&amp;quot"/>
                <w:color w:val="000000"/>
                <w:sz w:val="20"/>
                <w:szCs w:val="20"/>
              </w:rPr>
              <w:t xml:space="preserve"> the opportunity to develop an individual civics project, with approval by the principal.</w:t>
            </w:r>
          </w:p>
          <w:p w:rsidR="00FF7ECF" w:rsidRPr="00FF7ECF" w:rsidRDefault="00FF7ECF" w:rsidP="00FF7ECF">
            <w:pPr>
              <w:rPr>
                <w:rFonts w:ascii="&amp;quot" w:hAnsi="&amp;quot"/>
                <w:color w:val="000000"/>
                <w:sz w:val="20"/>
                <w:szCs w:val="20"/>
              </w:rPr>
            </w:pPr>
          </w:p>
        </w:tc>
        <w:tc>
          <w:tcPr>
            <w:tcW w:w="1345" w:type="dxa"/>
          </w:tcPr>
          <w:p w:rsidR="00473477" w:rsidRDefault="00473477" w:rsidP="00F119AB">
            <w:pPr>
              <w:spacing w:before="100" w:beforeAutospacing="1" w:after="100" w:afterAutospacing="1"/>
              <w:ind w:left="-27"/>
              <w:jc w:val="center"/>
              <w:rPr>
                <w:rFonts w:ascii="&amp;quot" w:hAnsi="&amp;quot"/>
                <w:color w:val="000000"/>
                <w:sz w:val="20"/>
                <w:szCs w:val="20"/>
              </w:rPr>
            </w:pPr>
          </w:p>
        </w:tc>
      </w:tr>
      <w:tr w:rsidR="00473477" w:rsidRPr="006D3C00" w:rsidTr="00F119AB">
        <w:tc>
          <w:tcPr>
            <w:tcW w:w="3685" w:type="dxa"/>
          </w:tcPr>
          <w:p w:rsidR="00473477" w:rsidRPr="006D3C00" w:rsidRDefault="00473477" w:rsidP="00F119AB">
            <w:pPr>
              <w:spacing w:before="100" w:beforeAutospacing="1" w:after="100" w:afterAutospacing="1"/>
              <w:rPr>
                <w:rFonts w:ascii="&amp;quot" w:hAnsi="&amp;quot"/>
                <w:b/>
                <w:color w:val="000000"/>
                <w:sz w:val="20"/>
                <w:szCs w:val="20"/>
              </w:rPr>
            </w:pPr>
            <w:r w:rsidRPr="005550EE">
              <w:rPr>
                <w:rFonts w:ascii="&amp;quot" w:hAnsi="&amp;quot"/>
                <w:b/>
                <w:color w:val="000000"/>
                <w:sz w:val="21"/>
                <w:szCs w:val="21"/>
              </w:rPr>
              <w:t>English Learners</w:t>
            </w:r>
            <w:r w:rsidRPr="006D3C00">
              <w:rPr>
                <w:rFonts w:ascii="&amp;quot" w:hAnsi="&amp;quot"/>
                <w:b/>
                <w:color w:val="000000"/>
                <w:sz w:val="20"/>
                <w:szCs w:val="20"/>
              </w:rPr>
              <w:t xml:space="preserve">:  </w:t>
            </w:r>
            <w:hyperlink r:id="rId13" w:history="1">
              <w:r w:rsidRPr="00EF07E8">
                <w:rPr>
                  <w:rStyle w:val="Hyperlink"/>
                  <w:rFonts w:ascii="&amp;quot" w:hAnsi="&amp;quot"/>
                  <w:b/>
                  <w:sz w:val="20"/>
                  <w:szCs w:val="20"/>
                </w:rPr>
                <w:t>LOOK Act of 2017</w:t>
              </w:r>
            </w:hyperlink>
          </w:p>
          <w:p w:rsidR="00473477" w:rsidRPr="006D3C00" w:rsidRDefault="00473477" w:rsidP="00F119AB">
            <w:pPr>
              <w:spacing w:before="100" w:beforeAutospacing="1" w:after="100" w:afterAutospacing="1"/>
              <w:rPr>
                <w:rFonts w:ascii="&amp;quot" w:hAnsi="&amp;quot"/>
                <w:color w:val="000000"/>
                <w:sz w:val="20"/>
                <w:szCs w:val="20"/>
              </w:rPr>
            </w:pPr>
            <w:r w:rsidRPr="006D3C00">
              <w:rPr>
                <w:rFonts w:ascii="&amp;quot" w:hAnsi="&amp;quot"/>
                <w:color w:val="000000"/>
                <w:sz w:val="20"/>
                <w:szCs w:val="20"/>
              </w:rPr>
              <w:t>On November 22, 2017, Governor Baker signed into law the LOOK Act (An Act Relative to Language Opportunities for Our Kids). Broadly, the new law aims to provide districts with more flexibility as to the language acquisition programs they choose to meet the needs of English learners, while maintaining accountability for timely and effective English language acquisition.</w:t>
            </w:r>
          </w:p>
          <w:p w:rsidR="00473477" w:rsidRPr="006D3C00" w:rsidRDefault="00473477" w:rsidP="00F119AB">
            <w:pPr>
              <w:spacing w:before="100" w:beforeAutospacing="1" w:after="100" w:afterAutospacing="1"/>
              <w:rPr>
                <w:rFonts w:ascii="&amp;quot" w:hAnsi="&amp;quot"/>
                <w:color w:val="000000"/>
                <w:sz w:val="20"/>
                <w:szCs w:val="20"/>
              </w:rPr>
            </w:pPr>
            <w:r w:rsidRPr="00162C96">
              <w:rPr>
                <w:rFonts w:ascii="&amp;quot" w:hAnsi="&amp;quot"/>
                <w:b/>
                <w:color w:val="000000"/>
                <w:sz w:val="20"/>
                <w:szCs w:val="20"/>
              </w:rPr>
              <w:t>Requirement:</w:t>
            </w:r>
            <w:r>
              <w:rPr>
                <w:rFonts w:ascii="&amp;quot" w:hAnsi="&amp;quot"/>
                <w:color w:val="000000"/>
                <w:sz w:val="20"/>
                <w:szCs w:val="20"/>
              </w:rPr>
              <w:t xml:space="preserve">  </w:t>
            </w:r>
            <w:r w:rsidRPr="006D3C00">
              <w:rPr>
                <w:rFonts w:ascii="&amp;quot" w:hAnsi="&amp;quot"/>
                <w:color w:val="000000"/>
                <w:sz w:val="20"/>
                <w:szCs w:val="20"/>
              </w:rPr>
              <w:t xml:space="preserve">The new law requires that for </w:t>
            </w:r>
            <w:r w:rsidRPr="006A79BE">
              <w:rPr>
                <w:rFonts w:ascii="&amp;quot" w:hAnsi="&amp;quot"/>
                <w:b/>
                <w:color w:val="000000"/>
                <w:sz w:val="20"/>
                <w:szCs w:val="20"/>
              </w:rPr>
              <w:t>districts/schools meeting certain English learner enrollment minimums</w:t>
            </w:r>
            <w:r w:rsidRPr="006D3C00">
              <w:rPr>
                <w:rFonts w:ascii="&amp;quot" w:hAnsi="&amp;quot"/>
                <w:color w:val="000000"/>
                <w:sz w:val="20"/>
                <w:szCs w:val="20"/>
              </w:rPr>
              <w:t xml:space="preserve"> to include 1) </w:t>
            </w:r>
            <w:r w:rsidR="00CF35CF">
              <w:rPr>
                <w:rFonts w:ascii="&amp;quot" w:hAnsi="&amp;quot"/>
                <w:color w:val="000000"/>
                <w:sz w:val="20"/>
                <w:szCs w:val="20"/>
              </w:rPr>
              <w:t xml:space="preserve">a description of </w:t>
            </w:r>
            <w:r w:rsidR="00CF35CF" w:rsidRPr="006D3C00">
              <w:rPr>
                <w:rFonts w:ascii="&amp;quot" w:hAnsi="&amp;quot"/>
                <w:color w:val="000000"/>
                <w:sz w:val="20"/>
                <w:szCs w:val="20"/>
              </w:rPr>
              <w:t xml:space="preserve">educational </w:t>
            </w:r>
            <w:r w:rsidR="00CF35CF" w:rsidRPr="006D3C00">
              <w:rPr>
                <w:rFonts w:ascii="&amp;quot" w:hAnsi="&amp;quot"/>
                <w:color w:val="000000"/>
                <w:sz w:val="20"/>
                <w:szCs w:val="20"/>
              </w:rPr>
              <w:lastRenderedPageBreak/>
              <w:t>program models for English learners to help them meet state academic standards and curriculum frameworks</w:t>
            </w:r>
            <w:r w:rsidR="00CF35CF">
              <w:rPr>
                <w:rFonts w:ascii="&amp;quot" w:hAnsi="&amp;quot"/>
                <w:color w:val="000000"/>
                <w:sz w:val="20"/>
                <w:szCs w:val="20"/>
              </w:rPr>
              <w:t xml:space="preserve"> in school improvement plans</w:t>
            </w:r>
            <w:r w:rsidR="00CF35CF" w:rsidRPr="006D3C00">
              <w:rPr>
                <w:rFonts w:ascii="&amp;quot" w:hAnsi="&amp;quot"/>
                <w:color w:val="000000"/>
                <w:sz w:val="20"/>
                <w:szCs w:val="20"/>
              </w:rPr>
              <w:t xml:space="preserve"> </w:t>
            </w:r>
            <w:r w:rsidRPr="006D3C00">
              <w:rPr>
                <w:rFonts w:ascii="&amp;quot" w:hAnsi="&amp;quot"/>
                <w:color w:val="000000"/>
                <w:sz w:val="20"/>
                <w:szCs w:val="20"/>
              </w:rPr>
              <w:t xml:space="preserve">and 2) </w:t>
            </w:r>
            <w:r w:rsidR="00CF35CF" w:rsidRPr="006D3C00">
              <w:rPr>
                <w:rFonts w:ascii="&amp;quot" w:hAnsi="&amp;quot"/>
                <w:color w:val="000000"/>
                <w:sz w:val="20"/>
                <w:szCs w:val="20"/>
              </w:rPr>
              <w:t>English learner parent advisory councils in the review of district and school improvement plans</w:t>
            </w:r>
            <w:r w:rsidRPr="006D3C00">
              <w:rPr>
                <w:rFonts w:ascii="&amp;quot" w:hAnsi="&amp;quot"/>
                <w:color w:val="000000"/>
                <w:sz w:val="20"/>
                <w:szCs w:val="20"/>
              </w:rPr>
              <w:t>.</w:t>
            </w:r>
          </w:p>
          <w:p w:rsidR="00473477" w:rsidRPr="006D3C00" w:rsidRDefault="00473477" w:rsidP="00F119AB">
            <w:pPr>
              <w:spacing w:before="100" w:beforeAutospacing="1" w:after="100" w:afterAutospacing="1"/>
              <w:rPr>
                <w:rFonts w:ascii="&amp;quot" w:hAnsi="&amp;quot"/>
                <w:color w:val="000000"/>
                <w:sz w:val="20"/>
                <w:szCs w:val="20"/>
              </w:rPr>
            </w:pPr>
          </w:p>
        </w:tc>
        <w:tc>
          <w:tcPr>
            <w:tcW w:w="4320" w:type="dxa"/>
          </w:tcPr>
          <w:p w:rsidR="00473477" w:rsidRDefault="00473477" w:rsidP="00F119AB">
            <w:pPr>
              <w:pStyle w:val="ListParagraph"/>
              <w:ind w:left="346"/>
              <w:rPr>
                <w:rFonts w:ascii="&amp;quot" w:hAnsi="&amp;quot"/>
                <w:color w:val="000000"/>
                <w:sz w:val="20"/>
                <w:szCs w:val="20"/>
              </w:rPr>
            </w:pPr>
          </w:p>
          <w:p w:rsidR="00473477" w:rsidRDefault="00473477" w:rsidP="00473477">
            <w:pPr>
              <w:pStyle w:val="ListParagraph"/>
              <w:numPr>
                <w:ilvl w:val="0"/>
                <w:numId w:val="1"/>
              </w:numPr>
              <w:ind w:left="346"/>
              <w:rPr>
                <w:rFonts w:ascii="&amp;quot" w:hAnsi="&amp;quot"/>
                <w:color w:val="000000"/>
                <w:sz w:val="20"/>
                <w:szCs w:val="20"/>
              </w:rPr>
            </w:pPr>
            <w:r w:rsidRPr="006D3C00">
              <w:rPr>
                <w:rFonts w:ascii="&amp;quot" w:hAnsi="&amp;quot"/>
                <w:color w:val="000000"/>
                <w:sz w:val="20"/>
                <w:szCs w:val="20"/>
              </w:rPr>
              <w:t xml:space="preserve">For </w:t>
            </w:r>
            <w:r w:rsidRPr="006B369B">
              <w:rPr>
                <w:rFonts w:ascii="&amp;quot" w:hAnsi="&amp;quot"/>
                <w:b/>
                <w:color w:val="000000"/>
                <w:sz w:val="20"/>
                <w:szCs w:val="20"/>
              </w:rPr>
              <w:t>schools</w:t>
            </w:r>
            <w:r w:rsidRPr="006B369B">
              <w:rPr>
                <w:rFonts w:ascii="&amp;quot" w:hAnsi="&amp;quot"/>
                <w:color w:val="000000"/>
                <w:sz w:val="20"/>
                <w:szCs w:val="20"/>
              </w:rPr>
              <w:t xml:space="preserve"> serving 10 or more English learners or in which English learners comprise 5% of the student population, whichever is less</w:t>
            </w:r>
            <w:r w:rsidRPr="006D3C00">
              <w:rPr>
                <w:rFonts w:ascii="&amp;quot" w:hAnsi="&amp;quot"/>
                <w:color w:val="000000"/>
                <w:sz w:val="20"/>
                <w:szCs w:val="20"/>
              </w:rPr>
              <w:t xml:space="preserve">, </w:t>
            </w:r>
            <w:r w:rsidRPr="006B369B">
              <w:rPr>
                <w:rFonts w:ascii="&amp;quot" w:hAnsi="&amp;quot"/>
                <w:b/>
                <w:color w:val="000000"/>
                <w:sz w:val="20"/>
                <w:szCs w:val="20"/>
              </w:rPr>
              <w:t>plans to improve student performance must include a description of the education program models offered for English learners</w:t>
            </w:r>
            <w:r w:rsidRPr="006D3C00">
              <w:rPr>
                <w:rFonts w:ascii="&amp;quot" w:hAnsi="&amp;quot"/>
                <w:color w:val="000000"/>
                <w:sz w:val="20"/>
                <w:szCs w:val="20"/>
              </w:rPr>
              <w:t xml:space="preserve"> to attain speaking, reading, writing, and oral comprehension skill and in meeting state academic standards and curriculum frameworks.</w:t>
            </w:r>
            <w:r>
              <w:rPr>
                <w:rFonts w:ascii="&amp;quot" w:hAnsi="&amp;quot"/>
                <w:color w:val="000000"/>
                <w:sz w:val="20"/>
                <w:szCs w:val="20"/>
              </w:rPr>
              <w:t xml:space="preserve">  LOOK Act, </w:t>
            </w:r>
            <w:r>
              <w:rPr>
                <w:rFonts w:ascii="&amp;quot" w:hAnsi="&amp;quot" w:hint="eastAsia"/>
                <w:color w:val="000000"/>
                <w:sz w:val="20"/>
                <w:szCs w:val="20"/>
              </w:rPr>
              <w:t>§</w:t>
            </w:r>
            <w:r>
              <w:rPr>
                <w:rFonts w:ascii="&amp;quot" w:hAnsi="&amp;quot"/>
                <w:color w:val="000000"/>
                <w:sz w:val="20"/>
                <w:szCs w:val="20"/>
              </w:rPr>
              <w:t xml:space="preserve"> 27.</w:t>
            </w:r>
          </w:p>
          <w:p w:rsidR="00473477" w:rsidRPr="006D3C00" w:rsidRDefault="00473477" w:rsidP="00F119AB">
            <w:pPr>
              <w:pStyle w:val="ListParagraph"/>
              <w:ind w:left="346"/>
              <w:rPr>
                <w:rFonts w:ascii="&amp;quot" w:hAnsi="&amp;quot"/>
                <w:color w:val="000000"/>
                <w:sz w:val="20"/>
                <w:szCs w:val="20"/>
              </w:rPr>
            </w:pPr>
          </w:p>
          <w:p w:rsidR="00FF7ECF" w:rsidRPr="00FF7ECF" w:rsidRDefault="00473477" w:rsidP="00473477">
            <w:pPr>
              <w:pStyle w:val="ListParagraph"/>
              <w:numPr>
                <w:ilvl w:val="0"/>
                <w:numId w:val="1"/>
              </w:numPr>
              <w:ind w:left="346"/>
              <w:rPr>
                <w:rFonts w:ascii="&amp;quot" w:hAnsi="&amp;quot"/>
                <w:color w:val="000000"/>
                <w:sz w:val="20"/>
                <w:szCs w:val="20"/>
              </w:rPr>
            </w:pPr>
            <w:r w:rsidRPr="006B369B">
              <w:rPr>
                <w:rFonts w:ascii="&amp;quot" w:hAnsi="&amp;quot"/>
                <w:color w:val="000000"/>
                <w:sz w:val="20"/>
                <w:szCs w:val="20"/>
              </w:rPr>
              <w:t xml:space="preserve">A school district or charter school operating a language acquisition program for English learners serving </w:t>
            </w:r>
            <w:r w:rsidRPr="006A79BE">
              <w:rPr>
                <w:rFonts w:ascii="&amp;quot" w:hAnsi="&amp;quot"/>
                <w:b/>
                <w:color w:val="000000"/>
                <w:sz w:val="20"/>
                <w:szCs w:val="20"/>
              </w:rPr>
              <w:t xml:space="preserve">100 or more English learners or in which English learners </w:t>
            </w:r>
            <w:r w:rsidRPr="006A79BE">
              <w:rPr>
                <w:rFonts w:ascii="&amp;quot" w:hAnsi="&amp;quot"/>
                <w:b/>
                <w:color w:val="000000"/>
                <w:sz w:val="20"/>
                <w:szCs w:val="20"/>
              </w:rPr>
              <w:lastRenderedPageBreak/>
              <w:t>comprise at least 5 per cent of the district’s or charter school’s student</w:t>
            </w:r>
            <w:r w:rsidRPr="006B369B">
              <w:rPr>
                <w:rFonts w:ascii="&amp;quot" w:hAnsi="&amp;quot"/>
                <w:color w:val="000000"/>
                <w:sz w:val="20"/>
                <w:szCs w:val="20"/>
              </w:rPr>
              <w:t xml:space="preserve"> </w:t>
            </w:r>
            <w:r w:rsidRPr="006A79BE">
              <w:rPr>
                <w:rFonts w:ascii="&amp;quot" w:hAnsi="&amp;quot"/>
                <w:b/>
                <w:color w:val="000000"/>
                <w:sz w:val="20"/>
                <w:szCs w:val="20"/>
              </w:rPr>
              <w:t xml:space="preserve">population, </w:t>
            </w:r>
          </w:p>
          <w:p w:rsidR="00FF7ECF" w:rsidRPr="00FF7ECF" w:rsidRDefault="00FF7ECF" w:rsidP="00FF7ECF">
            <w:pPr>
              <w:pStyle w:val="ListParagraph"/>
              <w:rPr>
                <w:rFonts w:ascii="&amp;quot" w:hAnsi="&amp;quot"/>
                <w:b/>
                <w:color w:val="000000"/>
                <w:sz w:val="20"/>
                <w:szCs w:val="20"/>
              </w:rPr>
            </w:pPr>
          </w:p>
          <w:p w:rsidR="00473477" w:rsidRPr="006D3C00" w:rsidRDefault="00473477" w:rsidP="00FF7ECF">
            <w:pPr>
              <w:pStyle w:val="ListParagraph"/>
              <w:ind w:left="346"/>
              <w:rPr>
                <w:rFonts w:ascii="&amp;quot" w:hAnsi="&amp;quot"/>
                <w:color w:val="000000"/>
                <w:sz w:val="20"/>
                <w:szCs w:val="20"/>
              </w:rPr>
            </w:pPr>
            <w:proofErr w:type="gramStart"/>
            <w:r w:rsidRPr="006A79BE">
              <w:rPr>
                <w:rFonts w:ascii="&amp;quot" w:hAnsi="&amp;quot"/>
                <w:b/>
                <w:color w:val="000000"/>
                <w:sz w:val="20"/>
                <w:szCs w:val="20"/>
              </w:rPr>
              <w:t>whichever</w:t>
            </w:r>
            <w:proofErr w:type="gramEnd"/>
            <w:r w:rsidRPr="006A79BE">
              <w:rPr>
                <w:rFonts w:ascii="&amp;quot" w:hAnsi="&amp;quot"/>
                <w:b/>
                <w:color w:val="000000"/>
                <w:sz w:val="20"/>
                <w:szCs w:val="20"/>
              </w:rPr>
              <w:t xml:space="preserve"> is less</w:t>
            </w:r>
            <w:r w:rsidRPr="006B369B">
              <w:rPr>
                <w:rFonts w:ascii="&amp;quot" w:hAnsi="&amp;quot"/>
                <w:color w:val="000000"/>
                <w:sz w:val="20"/>
                <w:szCs w:val="20"/>
              </w:rPr>
              <w:t>,</w:t>
            </w:r>
            <w:r>
              <w:rPr>
                <w:rFonts w:ascii="&amp;quot" w:hAnsi="&amp;quot"/>
                <w:color w:val="000000"/>
                <w:sz w:val="20"/>
                <w:szCs w:val="20"/>
              </w:rPr>
              <w:t xml:space="preserve"> must establish </w:t>
            </w:r>
            <w:r w:rsidRPr="006B369B">
              <w:rPr>
                <w:rFonts w:ascii="&amp;quot" w:hAnsi="&amp;quot"/>
                <w:color w:val="000000"/>
                <w:sz w:val="20"/>
                <w:szCs w:val="20"/>
              </w:rPr>
              <w:t xml:space="preserve">an </w:t>
            </w:r>
            <w:r w:rsidRPr="006B369B">
              <w:rPr>
                <w:rFonts w:ascii="&amp;quot" w:hAnsi="&amp;quot"/>
                <w:b/>
                <w:color w:val="000000"/>
                <w:sz w:val="20"/>
                <w:szCs w:val="20"/>
              </w:rPr>
              <w:t>English learner parent advisory council</w:t>
            </w:r>
            <w:r w:rsidRPr="006B369B">
              <w:rPr>
                <w:rFonts w:ascii="&amp;quot" w:hAnsi="&amp;quot"/>
                <w:color w:val="000000"/>
                <w:sz w:val="20"/>
                <w:szCs w:val="20"/>
              </w:rPr>
              <w:t>.</w:t>
            </w:r>
            <w:r>
              <w:rPr>
                <w:rFonts w:ascii="&amp;quot" w:hAnsi="&amp;quot"/>
                <w:color w:val="000000"/>
                <w:sz w:val="20"/>
                <w:szCs w:val="20"/>
              </w:rPr>
              <w:t xml:space="preserve">  Among the responsibilities of this council is </w:t>
            </w:r>
            <w:r w:rsidRPr="006B369B">
              <w:rPr>
                <w:rFonts w:ascii="&amp;quot" w:hAnsi="&amp;quot"/>
                <w:b/>
                <w:color w:val="000000"/>
                <w:sz w:val="20"/>
                <w:szCs w:val="20"/>
              </w:rPr>
              <w:t>participating in the review of district and school improvement plans</w:t>
            </w:r>
            <w:r>
              <w:rPr>
                <w:rFonts w:ascii="&amp;quot" w:hAnsi="&amp;quot"/>
                <w:color w:val="000000"/>
                <w:sz w:val="20"/>
                <w:szCs w:val="20"/>
              </w:rPr>
              <w:t xml:space="preserve">.  LOOK Act, </w:t>
            </w:r>
            <w:r>
              <w:rPr>
                <w:rFonts w:ascii="&amp;quot" w:hAnsi="&amp;quot" w:hint="eastAsia"/>
                <w:color w:val="000000"/>
                <w:sz w:val="20"/>
                <w:szCs w:val="20"/>
              </w:rPr>
              <w:t>§</w:t>
            </w:r>
            <w:r>
              <w:rPr>
                <w:rFonts w:ascii="&amp;quot" w:hAnsi="&amp;quot" w:hint="eastAsia"/>
                <w:color w:val="000000"/>
                <w:sz w:val="20"/>
                <w:szCs w:val="20"/>
              </w:rPr>
              <w:t xml:space="preserve"> 56.</w:t>
            </w:r>
          </w:p>
        </w:tc>
        <w:tc>
          <w:tcPr>
            <w:tcW w:w="1345" w:type="dxa"/>
          </w:tcPr>
          <w:p w:rsidR="00473477" w:rsidRPr="006D3C00" w:rsidRDefault="00473477" w:rsidP="00F119AB">
            <w:pPr>
              <w:spacing w:before="100" w:beforeAutospacing="1" w:after="100" w:afterAutospacing="1"/>
              <w:rPr>
                <w:rFonts w:ascii="&amp;quot" w:hAnsi="&amp;quot"/>
                <w:color w:val="000000"/>
                <w:sz w:val="20"/>
                <w:szCs w:val="20"/>
              </w:rPr>
            </w:pPr>
          </w:p>
        </w:tc>
      </w:tr>
      <w:tr w:rsidR="00473477" w:rsidRPr="006D3C00" w:rsidTr="00F119AB">
        <w:tc>
          <w:tcPr>
            <w:tcW w:w="3685" w:type="dxa"/>
          </w:tcPr>
          <w:p w:rsidR="00473477" w:rsidRPr="005550EE" w:rsidRDefault="00473477" w:rsidP="00F119AB">
            <w:pPr>
              <w:spacing w:before="100" w:beforeAutospacing="1" w:after="100" w:afterAutospacing="1"/>
              <w:rPr>
                <w:rFonts w:ascii="&amp;quot" w:hAnsi="&amp;quot"/>
                <w:color w:val="000000"/>
                <w:sz w:val="21"/>
                <w:szCs w:val="21"/>
              </w:rPr>
            </w:pPr>
            <w:r w:rsidRPr="005550EE">
              <w:rPr>
                <w:rFonts w:ascii="&amp;quot" w:hAnsi="&amp;quot"/>
                <w:b/>
                <w:color w:val="000000"/>
                <w:sz w:val="21"/>
                <w:szCs w:val="21"/>
              </w:rPr>
              <w:t>Turnaround/Statewide System of Support</w:t>
            </w:r>
            <w:r w:rsidRPr="005550EE">
              <w:rPr>
                <w:rFonts w:ascii="&amp;quot" w:hAnsi="&amp;quot"/>
                <w:color w:val="000000"/>
                <w:sz w:val="21"/>
                <w:szCs w:val="21"/>
              </w:rPr>
              <w:t>:</w:t>
            </w:r>
          </w:p>
          <w:p w:rsidR="00473477" w:rsidRDefault="00473477" w:rsidP="00F119AB">
            <w:pPr>
              <w:spacing w:before="100" w:beforeAutospacing="1" w:after="100" w:afterAutospacing="1"/>
              <w:rPr>
                <w:rFonts w:ascii="&amp;quot" w:hAnsi="&amp;quot"/>
                <w:color w:val="000000"/>
                <w:sz w:val="20"/>
                <w:szCs w:val="20"/>
              </w:rPr>
            </w:pPr>
            <w:r w:rsidRPr="006A79BE">
              <w:rPr>
                <w:rFonts w:ascii="&amp;quot" w:hAnsi="&amp;quot"/>
                <w:b/>
                <w:color w:val="000000"/>
                <w:sz w:val="20"/>
                <w:szCs w:val="20"/>
              </w:rPr>
              <w:t>Requirement:</w:t>
            </w:r>
            <w:r>
              <w:rPr>
                <w:rFonts w:ascii="&amp;quot" w:hAnsi="&amp;quot"/>
                <w:color w:val="000000"/>
                <w:sz w:val="20"/>
                <w:szCs w:val="20"/>
              </w:rPr>
              <w:t xml:space="preserve">  </w:t>
            </w:r>
            <w:r w:rsidRPr="00DE5A9B">
              <w:rPr>
                <w:rFonts w:ascii="&amp;quot" w:hAnsi="&amp;quot"/>
                <w:color w:val="000000"/>
                <w:sz w:val="20"/>
                <w:szCs w:val="20"/>
              </w:rPr>
              <w:t xml:space="preserve">Massachusetts’s new accountability system includes several planning requirements and improvement opportunities for </w:t>
            </w:r>
            <w:r w:rsidRPr="006A79BE">
              <w:rPr>
                <w:rFonts w:ascii="&amp;quot" w:hAnsi="&amp;quot"/>
                <w:b/>
                <w:color w:val="000000"/>
                <w:sz w:val="20"/>
                <w:szCs w:val="20"/>
              </w:rPr>
              <w:t>schools identified as requiring Broad/Comprehensive or Focused/Targeted support</w:t>
            </w:r>
            <w:r w:rsidRPr="00DE5A9B">
              <w:rPr>
                <w:rFonts w:ascii="&amp;quot" w:hAnsi="&amp;quot"/>
                <w:color w:val="000000"/>
                <w:sz w:val="20"/>
                <w:szCs w:val="20"/>
              </w:rPr>
              <w:t>.</w:t>
            </w:r>
          </w:p>
          <w:p w:rsidR="00473477" w:rsidRPr="006D3C00" w:rsidRDefault="00473477" w:rsidP="00F119AB">
            <w:pPr>
              <w:spacing w:before="100" w:beforeAutospacing="1" w:after="100" w:afterAutospacing="1"/>
              <w:rPr>
                <w:rFonts w:ascii="&amp;quot" w:hAnsi="&amp;quot"/>
                <w:color w:val="000000"/>
                <w:sz w:val="20"/>
                <w:szCs w:val="20"/>
              </w:rPr>
            </w:pPr>
          </w:p>
        </w:tc>
        <w:tc>
          <w:tcPr>
            <w:tcW w:w="4320" w:type="dxa"/>
          </w:tcPr>
          <w:p w:rsidR="00473477" w:rsidRDefault="00473477" w:rsidP="00F119AB">
            <w:pPr>
              <w:rPr>
                <w:rFonts w:ascii="&amp;quot" w:hAnsi="&amp;quot"/>
                <w:color w:val="000000"/>
                <w:sz w:val="20"/>
                <w:szCs w:val="20"/>
              </w:rPr>
            </w:pPr>
          </w:p>
          <w:p w:rsidR="00473477" w:rsidRDefault="00473477" w:rsidP="00F119AB">
            <w:pPr>
              <w:rPr>
                <w:rFonts w:ascii="&amp;quot" w:hAnsi="&amp;quot"/>
                <w:color w:val="000000"/>
                <w:sz w:val="20"/>
                <w:szCs w:val="20"/>
              </w:rPr>
            </w:pPr>
            <w:r>
              <w:rPr>
                <w:rFonts w:ascii="&amp;quot" w:hAnsi="&amp;quot"/>
                <w:color w:val="000000"/>
                <w:sz w:val="20"/>
                <w:szCs w:val="20"/>
              </w:rPr>
              <w:t xml:space="preserve">Schools categorized as requiring </w:t>
            </w:r>
            <w:r w:rsidRPr="006A79BE">
              <w:rPr>
                <w:rFonts w:ascii="&amp;quot" w:hAnsi="&amp;quot"/>
                <w:b/>
                <w:color w:val="000000"/>
                <w:sz w:val="20"/>
                <w:szCs w:val="20"/>
              </w:rPr>
              <w:t>Broad/Comprehensive Support</w:t>
            </w:r>
            <w:r>
              <w:rPr>
                <w:rFonts w:ascii="&amp;quot" w:hAnsi="&amp;quot"/>
                <w:color w:val="000000"/>
                <w:sz w:val="20"/>
                <w:szCs w:val="20"/>
              </w:rPr>
              <w:t xml:space="preserve"> are those identified as </w:t>
            </w:r>
            <w:r w:rsidRPr="006A79BE">
              <w:rPr>
                <w:rFonts w:ascii="&amp;quot" w:hAnsi="&amp;quot"/>
                <w:b/>
                <w:color w:val="000000"/>
                <w:sz w:val="20"/>
                <w:szCs w:val="20"/>
              </w:rPr>
              <w:t>underperforming or chronically underperforming under state law</w:t>
            </w:r>
            <w:r>
              <w:rPr>
                <w:rFonts w:ascii="&amp;quot" w:hAnsi="&amp;quot"/>
                <w:color w:val="000000"/>
                <w:sz w:val="20"/>
                <w:szCs w:val="20"/>
              </w:rPr>
              <w:t xml:space="preserve">.  </w:t>
            </w:r>
            <w:r w:rsidRPr="006D1617">
              <w:rPr>
                <w:rFonts w:ascii="&amp;quot" w:hAnsi="&amp;quot"/>
                <w:color w:val="000000"/>
                <w:sz w:val="20"/>
                <w:szCs w:val="20"/>
              </w:rPr>
              <w:t xml:space="preserve">Schools categorized as in need of </w:t>
            </w:r>
            <w:r w:rsidRPr="006A79BE">
              <w:rPr>
                <w:rFonts w:ascii="&amp;quot" w:hAnsi="&amp;quot"/>
                <w:b/>
                <w:color w:val="000000"/>
                <w:sz w:val="20"/>
                <w:szCs w:val="20"/>
              </w:rPr>
              <w:t>Focused/Targeted Support</w:t>
            </w:r>
            <w:r w:rsidRPr="006D1617">
              <w:rPr>
                <w:rFonts w:ascii="&amp;quot" w:hAnsi="&amp;quot"/>
                <w:color w:val="000000"/>
                <w:sz w:val="20"/>
                <w:szCs w:val="20"/>
              </w:rPr>
              <w:t xml:space="preserve"> are those not already designated as "underperforming" or "chronically underperforming" that are in the </w:t>
            </w:r>
            <w:r w:rsidRPr="006A79BE">
              <w:rPr>
                <w:rFonts w:ascii="&amp;quot" w:hAnsi="&amp;quot"/>
                <w:b/>
                <w:color w:val="000000"/>
                <w:sz w:val="20"/>
                <w:szCs w:val="20"/>
              </w:rPr>
              <w:t>lowest 10th percentile of schools</w:t>
            </w:r>
            <w:r w:rsidRPr="006D1617">
              <w:rPr>
                <w:rFonts w:ascii="&amp;quot" w:hAnsi="&amp;quot"/>
                <w:color w:val="000000"/>
                <w:sz w:val="20"/>
                <w:szCs w:val="20"/>
              </w:rPr>
              <w:t xml:space="preserve"> in performance across the state, those with </w:t>
            </w:r>
            <w:r w:rsidRPr="006A79BE">
              <w:rPr>
                <w:rFonts w:ascii="&amp;quot" w:hAnsi="&amp;quot"/>
                <w:b/>
                <w:color w:val="000000"/>
                <w:sz w:val="20"/>
                <w:szCs w:val="20"/>
              </w:rPr>
              <w:t>low-performing subgroups</w:t>
            </w:r>
            <w:r w:rsidRPr="006D1617">
              <w:rPr>
                <w:rFonts w:ascii="&amp;quot" w:hAnsi="&amp;quot"/>
                <w:color w:val="000000"/>
                <w:sz w:val="20"/>
                <w:szCs w:val="20"/>
              </w:rPr>
              <w:t xml:space="preserve">, high schools with a </w:t>
            </w:r>
            <w:r w:rsidRPr="006A79BE">
              <w:rPr>
                <w:rFonts w:ascii="&amp;quot" w:hAnsi="&amp;quot"/>
                <w:b/>
                <w:color w:val="000000"/>
                <w:sz w:val="20"/>
                <w:szCs w:val="20"/>
              </w:rPr>
              <w:t>graduation rate below 67%</w:t>
            </w:r>
            <w:r w:rsidRPr="006D1617">
              <w:rPr>
                <w:rFonts w:ascii="&amp;quot" w:hAnsi="&amp;quot"/>
                <w:color w:val="000000"/>
                <w:sz w:val="20"/>
                <w:szCs w:val="20"/>
              </w:rPr>
              <w:t xml:space="preserve">, and schools with </w:t>
            </w:r>
            <w:r w:rsidRPr="006A79BE">
              <w:rPr>
                <w:rFonts w:ascii="&amp;quot" w:hAnsi="&amp;quot"/>
                <w:b/>
                <w:color w:val="000000"/>
                <w:sz w:val="20"/>
                <w:szCs w:val="20"/>
              </w:rPr>
              <w:t>low participation rates.</w:t>
            </w:r>
            <w:r w:rsidRPr="006D1617">
              <w:rPr>
                <w:rFonts w:ascii="&amp;quot" w:hAnsi="&amp;quot"/>
                <w:color w:val="000000"/>
                <w:sz w:val="20"/>
                <w:szCs w:val="20"/>
              </w:rPr>
              <w:t xml:space="preserve"> All schools with this designation must develop and implement a turnaround plan.</w:t>
            </w:r>
          </w:p>
          <w:p w:rsidR="00473477" w:rsidRDefault="00473477" w:rsidP="00F119AB">
            <w:pPr>
              <w:spacing w:before="100" w:beforeAutospacing="1" w:after="100" w:afterAutospacing="1"/>
              <w:rPr>
                <w:rFonts w:ascii="&amp;quot" w:hAnsi="&amp;quot"/>
                <w:color w:val="000000"/>
                <w:sz w:val="20"/>
                <w:szCs w:val="20"/>
              </w:rPr>
            </w:pPr>
            <w:r>
              <w:rPr>
                <w:rFonts w:ascii="&amp;quot" w:hAnsi="&amp;quot"/>
                <w:color w:val="000000"/>
                <w:sz w:val="20"/>
                <w:szCs w:val="20"/>
              </w:rPr>
              <w:t xml:space="preserve">While the </w:t>
            </w:r>
            <w:proofErr w:type="spellStart"/>
            <w:r>
              <w:rPr>
                <w:rFonts w:ascii="&amp;quot" w:hAnsi="&amp;quot"/>
                <w:color w:val="000000"/>
                <w:sz w:val="20"/>
                <w:szCs w:val="20"/>
              </w:rPr>
              <w:t>PfS</w:t>
            </w:r>
            <w:proofErr w:type="spellEnd"/>
            <w:r>
              <w:rPr>
                <w:rFonts w:ascii="&amp;quot" w:hAnsi="&amp;quot"/>
                <w:color w:val="000000"/>
                <w:sz w:val="20"/>
                <w:szCs w:val="20"/>
              </w:rPr>
              <w:t xml:space="preserve"> model </w:t>
            </w:r>
            <w:proofErr w:type="gramStart"/>
            <w:r>
              <w:rPr>
                <w:rFonts w:ascii="&amp;quot" w:hAnsi="&amp;quot"/>
                <w:color w:val="000000"/>
                <w:sz w:val="20"/>
                <w:szCs w:val="20"/>
              </w:rPr>
              <w:t>is aligned</w:t>
            </w:r>
            <w:proofErr w:type="gramEnd"/>
            <w:r>
              <w:rPr>
                <w:rFonts w:ascii="&amp;quot" w:hAnsi="&amp;quot"/>
                <w:color w:val="000000"/>
                <w:sz w:val="20"/>
                <w:szCs w:val="20"/>
              </w:rPr>
              <w:t xml:space="preserve"> to work for schools and districts creating turnaround plans, these schools and districts are advised to consult specific requirements, guidance, templates, and resources found on the DESE’s </w:t>
            </w:r>
            <w:hyperlink r:id="rId14" w:history="1">
              <w:r w:rsidRPr="006A79BE">
                <w:rPr>
                  <w:rStyle w:val="Hyperlink"/>
                  <w:rFonts w:ascii="&amp;quot" w:hAnsi="&amp;quot"/>
                  <w:sz w:val="20"/>
                  <w:szCs w:val="20"/>
                </w:rPr>
                <w:t>Statewide Systems of Support web pages.</w:t>
              </w:r>
            </w:hyperlink>
          </w:p>
          <w:p w:rsidR="00473477" w:rsidRPr="006D3C00" w:rsidRDefault="00473477" w:rsidP="00F119AB">
            <w:pPr>
              <w:spacing w:before="100" w:beforeAutospacing="1" w:after="100" w:afterAutospacing="1"/>
              <w:rPr>
                <w:rFonts w:ascii="&amp;quot" w:hAnsi="&amp;quot"/>
                <w:color w:val="000000"/>
                <w:sz w:val="20"/>
                <w:szCs w:val="20"/>
              </w:rPr>
            </w:pPr>
          </w:p>
        </w:tc>
        <w:tc>
          <w:tcPr>
            <w:tcW w:w="1345" w:type="dxa"/>
          </w:tcPr>
          <w:p w:rsidR="00473477" w:rsidRPr="006D3C00" w:rsidRDefault="00473477" w:rsidP="00F119AB">
            <w:pPr>
              <w:spacing w:before="100" w:beforeAutospacing="1" w:after="100" w:afterAutospacing="1"/>
              <w:rPr>
                <w:rFonts w:ascii="&amp;quot" w:hAnsi="&amp;quot"/>
                <w:color w:val="000000"/>
                <w:sz w:val="20"/>
                <w:szCs w:val="20"/>
              </w:rPr>
            </w:pPr>
          </w:p>
        </w:tc>
      </w:tr>
    </w:tbl>
    <w:p w:rsidR="00C9294A" w:rsidRDefault="00DA368A"/>
    <w:sectPr w:rsidR="00C9294A">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68A" w:rsidRDefault="00DA368A" w:rsidP="00473477">
      <w:pPr>
        <w:spacing w:after="0" w:line="240" w:lineRule="auto"/>
      </w:pPr>
      <w:r>
        <w:separator/>
      </w:r>
    </w:p>
  </w:endnote>
  <w:endnote w:type="continuationSeparator" w:id="0">
    <w:p w:rsidR="00DA368A" w:rsidRDefault="00DA368A" w:rsidP="00473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mp;quot">
    <w:altName w:val="Times New Roman"/>
    <w:charset w:val="00"/>
    <w:family w:val="auto"/>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A90" w:rsidRDefault="00D32A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443845"/>
      <w:docPartObj>
        <w:docPartGallery w:val="Page Numbers (Bottom of Page)"/>
        <w:docPartUnique/>
      </w:docPartObj>
    </w:sdtPr>
    <w:sdtEndPr>
      <w:rPr>
        <w:noProof/>
      </w:rPr>
    </w:sdtEndPr>
    <w:sdtContent>
      <w:p w:rsidR="00473477" w:rsidRDefault="00473477">
        <w:pPr>
          <w:pStyle w:val="Footer"/>
          <w:jc w:val="center"/>
        </w:pPr>
        <w:r>
          <w:fldChar w:fldCharType="begin"/>
        </w:r>
        <w:r>
          <w:instrText xml:space="preserve"> PAGE   \* MERGEFORMAT </w:instrText>
        </w:r>
        <w:r>
          <w:fldChar w:fldCharType="separate"/>
        </w:r>
        <w:r w:rsidR="0077050A">
          <w:rPr>
            <w:noProof/>
          </w:rPr>
          <w:t>2</w:t>
        </w:r>
        <w:r>
          <w:rPr>
            <w:noProof/>
          </w:rPr>
          <w:fldChar w:fldCharType="end"/>
        </w:r>
      </w:p>
    </w:sdtContent>
  </w:sdt>
  <w:p w:rsidR="00473477" w:rsidRDefault="004734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A90" w:rsidRDefault="00D32A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68A" w:rsidRDefault="00DA368A" w:rsidP="00473477">
      <w:pPr>
        <w:spacing w:after="0" w:line="240" w:lineRule="auto"/>
      </w:pPr>
      <w:r>
        <w:separator/>
      </w:r>
    </w:p>
  </w:footnote>
  <w:footnote w:type="continuationSeparator" w:id="0">
    <w:p w:rsidR="00DA368A" w:rsidRDefault="00DA368A" w:rsidP="004734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A90" w:rsidRDefault="00D32A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A90" w:rsidRDefault="00D32A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A90" w:rsidRDefault="00D32A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92FD9"/>
    <w:multiLevelType w:val="hybridMultilevel"/>
    <w:tmpl w:val="2C16A2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477"/>
    <w:rsid w:val="00004647"/>
    <w:rsid w:val="00267A96"/>
    <w:rsid w:val="00403F0C"/>
    <w:rsid w:val="00473477"/>
    <w:rsid w:val="00544B33"/>
    <w:rsid w:val="005550EE"/>
    <w:rsid w:val="00657979"/>
    <w:rsid w:val="006E38FC"/>
    <w:rsid w:val="0077050A"/>
    <w:rsid w:val="007F4858"/>
    <w:rsid w:val="008C7BB8"/>
    <w:rsid w:val="008F40DE"/>
    <w:rsid w:val="00933472"/>
    <w:rsid w:val="00980634"/>
    <w:rsid w:val="009F66FF"/>
    <w:rsid w:val="00AD6DC0"/>
    <w:rsid w:val="00B07434"/>
    <w:rsid w:val="00C76646"/>
    <w:rsid w:val="00CF35CF"/>
    <w:rsid w:val="00D32A90"/>
    <w:rsid w:val="00DA368A"/>
    <w:rsid w:val="00FF7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C37428-930F-479B-B4F6-3BEBE858D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4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3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3477"/>
    <w:rPr>
      <w:color w:val="0563C1"/>
      <w:u w:val="single"/>
    </w:rPr>
  </w:style>
  <w:style w:type="paragraph" w:styleId="ListParagraph">
    <w:name w:val="List Paragraph"/>
    <w:basedOn w:val="Normal"/>
    <w:uiPriority w:val="34"/>
    <w:qFormat/>
    <w:rsid w:val="00473477"/>
    <w:pPr>
      <w:ind w:left="720"/>
      <w:contextualSpacing/>
    </w:pPr>
  </w:style>
  <w:style w:type="paragraph" w:styleId="Header">
    <w:name w:val="header"/>
    <w:basedOn w:val="Normal"/>
    <w:link w:val="HeaderChar"/>
    <w:uiPriority w:val="99"/>
    <w:unhideWhenUsed/>
    <w:rsid w:val="00473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477"/>
  </w:style>
  <w:style w:type="paragraph" w:styleId="Footer">
    <w:name w:val="footer"/>
    <w:basedOn w:val="Normal"/>
    <w:link w:val="FooterChar"/>
    <w:uiPriority w:val="99"/>
    <w:unhideWhenUsed/>
    <w:rsid w:val="00473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legislature.gov/Laws/SessionLaws/Acts/2017/Chapter138"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doe.mass.edu/frameworks/hss/2018-12.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legislature.gov/Laws/SessionLaws/Acts/2018/Chapter296"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oe.mass.edu/turnaroun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DESE-231-49391</_dlc_DocId>
    <_dlc_DocIdUrl xmlns="733efe1c-5bbe-4968-87dc-d400e65c879f">
      <Url>https://sharepoint.doemass.org/ese/webteam/cps/_layouts/DocIdRedir.aspx?ID=DESE-231-49391</Url>
      <Description>DESE-231-49391</Description>
    </_dlc_DocIdUrl>
  </documentManagement>
</p:properties>
</file>

<file path=customXml/item4.xml><?xml version="1.0" encoding="utf-8"?>
<?mso-contentType ?>
<FormTemplates xmlns="http://schemas.microsoft.com/sharepoint/v3/contenttype/forms">
  <Display>DocumentLibraryForm</Display>
  <Edit>DropOffZoneRoutingForm</Edit>
  <New>DocumentLibraryForm</New>
</FormTemplates>
</file>

<file path=customXml/itemProps1.xml><?xml version="1.0" encoding="utf-8"?>
<ds:datastoreItem xmlns:ds="http://schemas.openxmlformats.org/officeDocument/2006/customXml" ds:itemID="{ADA90592-9BD6-4DF7-A39F-7C0355A91634}">
  <ds:schemaRefs>
    <ds:schemaRef ds:uri="http://schemas.microsoft.com/sharepoint/events"/>
  </ds:schemaRefs>
</ds:datastoreItem>
</file>

<file path=customXml/itemProps2.xml><?xml version="1.0" encoding="utf-8"?>
<ds:datastoreItem xmlns:ds="http://schemas.openxmlformats.org/officeDocument/2006/customXml" ds:itemID="{D9B0B5EE-1573-4B8C-9E96-A7851E3F1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097F61-845F-4910-9790-C37601452B86}">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4.xml><?xml version="1.0" encoding="utf-8"?>
<ds:datastoreItem xmlns:ds="http://schemas.openxmlformats.org/officeDocument/2006/customXml" ds:itemID="{A5135628-D7FB-4109-8A70-2B1DA269FA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PfS Plan Requirements Checklist</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PfS Additional Plan Requirements Checklist</dc:title>
  <dc:subject/>
  <dc:creator>DESE</dc:creator>
  <cp:keywords/>
  <dc:description/>
  <cp:lastModifiedBy>Zou, Dong (EOE)</cp:lastModifiedBy>
  <cp:revision>4</cp:revision>
  <dcterms:created xsi:type="dcterms:W3CDTF">2019-03-11T18:49:00Z</dcterms:created>
  <dcterms:modified xsi:type="dcterms:W3CDTF">2019-04-03T20:12:00Z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3 2019</vt:lpwstr>
  </property>
</Properties>
</file>