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D259" w14:textId="77777777" w:rsidR="000E6320" w:rsidRDefault="00F14684" w:rsidP="00B638E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</w:t>
      </w:r>
      <w:r w:rsidR="000E6320" w:rsidRPr="00B1331A">
        <w:rPr>
          <w:rFonts w:asciiTheme="majorHAnsi" w:hAnsiTheme="majorHAnsi"/>
          <w:b/>
          <w:i/>
        </w:rPr>
        <w:t>Planning for Success</w:t>
      </w:r>
      <w:r w:rsidR="000E6320">
        <w:rPr>
          <w:rFonts w:asciiTheme="majorHAnsi" w:hAnsiTheme="majorHAnsi"/>
          <w:b/>
        </w:rPr>
        <w:t>: Designing the Action Plan Monitoring Process</w:t>
      </w:r>
    </w:p>
    <w:p w14:paraId="5B0CA075" w14:textId="77777777" w:rsidR="000E6320" w:rsidRDefault="000E6320" w:rsidP="000E6320">
      <w:pPr>
        <w:rPr>
          <w:rFonts w:asciiTheme="majorHAnsi" w:hAnsiTheme="majorHAnsi"/>
          <w:b/>
        </w:rPr>
      </w:pPr>
    </w:p>
    <w:p w14:paraId="0E749993" w14:textId="77777777" w:rsidR="000E6320" w:rsidRDefault="000E6320" w:rsidP="000E6320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b/>
          <w:sz w:val="22"/>
        </w:rPr>
        <w:t xml:space="preserve">Instructions: </w:t>
      </w:r>
      <w:r>
        <w:rPr>
          <w:rFonts w:asciiTheme="majorHAnsi" w:hAnsiTheme="majorHAnsi"/>
          <w:i/>
          <w:sz w:val="22"/>
        </w:rPr>
        <w:t>A critical part of the action plan process is the development of a monitoring routine—the regular practices and procedures—</w:t>
      </w:r>
      <w:r w:rsidR="003117EA">
        <w:rPr>
          <w:rFonts w:asciiTheme="majorHAnsi" w:hAnsiTheme="majorHAnsi"/>
          <w:i/>
          <w:sz w:val="22"/>
        </w:rPr>
        <w:t>that the school or district</w:t>
      </w:r>
      <w:r>
        <w:rPr>
          <w:rFonts w:asciiTheme="majorHAnsi" w:hAnsiTheme="majorHAnsi"/>
          <w:i/>
          <w:sz w:val="22"/>
        </w:rPr>
        <w:t xml:space="preserve"> will use to effectively implement, assess, and report on the progress of </w:t>
      </w:r>
      <w:r w:rsidR="003117EA">
        <w:rPr>
          <w:rFonts w:asciiTheme="majorHAnsi" w:hAnsiTheme="majorHAnsi"/>
          <w:i/>
          <w:sz w:val="22"/>
        </w:rPr>
        <w:t>the</w:t>
      </w:r>
      <w:r>
        <w:rPr>
          <w:rFonts w:asciiTheme="majorHAnsi" w:hAnsiTheme="majorHAnsi"/>
          <w:i/>
          <w:sz w:val="22"/>
        </w:rPr>
        <w:t xml:space="preserve"> action plan. This worksheet supports the design of such routines.  </w:t>
      </w:r>
    </w:p>
    <w:p w14:paraId="2A34538D" w14:textId="77777777" w:rsidR="000E6320" w:rsidRDefault="000E6320" w:rsidP="000E6320">
      <w:pPr>
        <w:rPr>
          <w:rFonts w:asciiTheme="majorHAnsi" w:hAnsiTheme="majorHAnsi"/>
          <w:sz w:val="22"/>
        </w:rPr>
      </w:pPr>
    </w:p>
    <w:tbl>
      <w:tblPr>
        <w:tblStyle w:val="TableGrid"/>
        <w:tblW w:w="9918" w:type="dxa"/>
        <w:tblLook w:val="00A0" w:firstRow="1" w:lastRow="0" w:firstColumn="1" w:lastColumn="0" w:noHBand="0" w:noVBand="0"/>
        <w:tblCaption w:val="Table provides rows for recording recommendations for monitoring routines"/>
        <w:tblDescription w:val="Table has columns and rows for recording routine description, timeframe and frequency of moniotring, responsible leader and other factors for suggested monitoring routine."/>
      </w:tblPr>
      <w:tblGrid>
        <w:gridCol w:w="2113"/>
        <w:gridCol w:w="7805"/>
      </w:tblGrid>
      <w:tr w:rsidR="000E6320" w:rsidRPr="009B01C6" w14:paraId="6A964578" w14:textId="77777777" w:rsidTr="000242E3">
        <w:trPr>
          <w:tblHeader/>
        </w:trPr>
        <w:tc>
          <w:tcPr>
            <w:tcW w:w="2113" w:type="dxa"/>
            <w:shd w:val="clear" w:color="auto" w:fill="E6E6E6"/>
          </w:tcPr>
          <w:p w14:paraId="34761613" w14:textId="77777777" w:rsidR="000E6320" w:rsidRPr="003578DA" w:rsidRDefault="000E6320" w:rsidP="008763EA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Routine </w:t>
            </w:r>
            <w:r w:rsidRPr="003578DA">
              <w:rPr>
                <w:rFonts w:asciiTheme="majorHAnsi" w:hAnsiTheme="majorHAnsi"/>
                <w:b/>
                <w:sz w:val="22"/>
              </w:rPr>
              <w:t>Elements</w:t>
            </w:r>
          </w:p>
        </w:tc>
        <w:tc>
          <w:tcPr>
            <w:tcW w:w="7805" w:type="dxa"/>
            <w:shd w:val="clear" w:color="auto" w:fill="E6E6E6"/>
          </w:tcPr>
          <w:p w14:paraId="3139A62D" w14:textId="77777777" w:rsidR="000E6320" w:rsidRPr="003578DA" w:rsidRDefault="000E6320" w:rsidP="008763EA">
            <w:pPr>
              <w:rPr>
                <w:rFonts w:asciiTheme="majorHAnsi" w:hAnsiTheme="majorHAnsi"/>
                <w:b/>
                <w:sz w:val="22"/>
              </w:rPr>
            </w:pPr>
            <w:r w:rsidRPr="003578DA">
              <w:rPr>
                <w:rFonts w:asciiTheme="majorHAnsi" w:hAnsiTheme="majorHAnsi"/>
                <w:b/>
                <w:sz w:val="22"/>
              </w:rPr>
              <w:t>Recommendations</w:t>
            </w:r>
          </w:p>
          <w:p w14:paraId="0BA8ECEF" w14:textId="77777777" w:rsidR="000E6320" w:rsidRPr="003578DA" w:rsidRDefault="000E6320" w:rsidP="008763EA">
            <w:pPr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  <w:tr w:rsidR="000E6320" w:rsidRPr="009B01C6" w14:paraId="70247A6F" w14:textId="77777777">
        <w:tc>
          <w:tcPr>
            <w:tcW w:w="2113" w:type="dxa"/>
          </w:tcPr>
          <w:p w14:paraId="21F3F2B9" w14:textId="77777777" w:rsidR="000E6320" w:rsidRPr="009B01C6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Routine Description</w:t>
            </w:r>
          </w:p>
          <w:p w14:paraId="26B36CCA" w14:textId="77777777" w:rsidR="000E6320" w:rsidRDefault="000E6320" w:rsidP="008763EA">
            <w:pPr>
              <w:rPr>
                <w:rFonts w:asciiTheme="majorHAnsi" w:hAnsiTheme="majorHAnsi"/>
                <w:sz w:val="20"/>
              </w:rPr>
            </w:pPr>
          </w:p>
          <w:p w14:paraId="4C614318" w14:textId="77777777" w:rsidR="000E6320" w:rsidRDefault="000E6320" w:rsidP="008763EA">
            <w:pPr>
              <w:rPr>
                <w:rFonts w:asciiTheme="majorHAnsi" w:hAnsiTheme="majorHAnsi"/>
                <w:sz w:val="20"/>
              </w:rPr>
            </w:pPr>
          </w:p>
          <w:p w14:paraId="4A57D506" w14:textId="77777777" w:rsidR="000E6320" w:rsidRDefault="000E6320" w:rsidP="008763EA">
            <w:pPr>
              <w:rPr>
                <w:rFonts w:asciiTheme="majorHAnsi" w:hAnsiTheme="majorHAnsi"/>
                <w:sz w:val="20"/>
              </w:rPr>
            </w:pPr>
          </w:p>
          <w:p w14:paraId="269410D6" w14:textId="77777777" w:rsidR="000E6320" w:rsidRDefault="000E6320" w:rsidP="008763EA">
            <w:pPr>
              <w:rPr>
                <w:rFonts w:asciiTheme="majorHAnsi" w:hAnsiTheme="majorHAnsi"/>
                <w:sz w:val="20"/>
              </w:rPr>
            </w:pPr>
          </w:p>
          <w:p w14:paraId="1956AA6D" w14:textId="77777777" w:rsidR="000E6320" w:rsidRPr="009F69C3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How will monitoring occur?</w:t>
            </w:r>
            <w:r w:rsidR="00F74D6D">
              <w:rPr>
                <w:rFonts w:asciiTheme="majorHAnsi" w:hAnsiTheme="majorHAnsi"/>
                <w:i/>
                <w:sz w:val="20"/>
              </w:rPr>
              <w:t xml:space="preserve"> (</w:t>
            </w:r>
            <w:r>
              <w:rPr>
                <w:rFonts w:asciiTheme="majorHAnsi" w:hAnsiTheme="majorHAnsi"/>
                <w:i/>
                <w:sz w:val="20"/>
              </w:rPr>
              <w:t xml:space="preserve">Consider existing </w:t>
            </w:r>
            <w:r w:rsidR="00F74D6D">
              <w:rPr>
                <w:rFonts w:asciiTheme="majorHAnsi" w:hAnsiTheme="majorHAnsi"/>
                <w:i/>
                <w:sz w:val="20"/>
              </w:rPr>
              <w:t xml:space="preserve">meeting </w:t>
            </w:r>
            <w:r>
              <w:rPr>
                <w:rFonts w:asciiTheme="majorHAnsi" w:hAnsiTheme="majorHAnsi"/>
                <w:i/>
                <w:sz w:val="20"/>
              </w:rPr>
              <w:t>structures</w:t>
            </w:r>
            <w:r w:rsidR="00F74D6D">
              <w:rPr>
                <w:rFonts w:asciiTheme="majorHAnsi" w:hAnsiTheme="majorHAnsi"/>
                <w:i/>
                <w:sz w:val="20"/>
              </w:rPr>
              <w:t>, etc.)</w:t>
            </w:r>
            <w:r w:rsidRPr="009F69C3">
              <w:rPr>
                <w:rFonts w:asciiTheme="majorHAnsi" w:hAnsiTheme="majorHAnsi"/>
                <w:i/>
                <w:sz w:val="20"/>
              </w:rPr>
              <w:t xml:space="preserve"> </w:t>
            </w:r>
          </w:p>
        </w:tc>
        <w:tc>
          <w:tcPr>
            <w:tcW w:w="7805" w:type="dxa"/>
          </w:tcPr>
          <w:p w14:paraId="2CD4D26B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7B991CE6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3BF68F14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7CDBBEEA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1538103F" w14:textId="77777777" w:rsidR="000E6320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22D3F078" w14:textId="77777777" w:rsidR="000E6320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37BCEC2F" w14:textId="77777777" w:rsidR="000E6320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65BD9094" w14:textId="77777777" w:rsidR="000E6320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34605EE0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0E6320" w:rsidRPr="009B01C6" w14:paraId="1CB5A700" w14:textId="77777777">
        <w:tc>
          <w:tcPr>
            <w:tcW w:w="2113" w:type="dxa"/>
          </w:tcPr>
          <w:p w14:paraId="4279E3F8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Timeframe/Frequency</w:t>
            </w:r>
          </w:p>
          <w:p w14:paraId="592B6D72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72128BC6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4C891135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4165F5D8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In what</w:t>
            </w:r>
            <w:r w:rsidRPr="009F69C3">
              <w:rPr>
                <w:rFonts w:asciiTheme="majorHAnsi" w:hAnsiTheme="majorHAnsi"/>
                <w:i/>
                <w:sz w:val="20"/>
              </w:rPr>
              <w:t xml:space="preserve"> timeframe(s)</w:t>
            </w:r>
            <w:r>
              <w:rPr>
                <w:rFonts w:asciiTheme="majorHAnsi" w:hAnsiTheme="majorHAnsi"/>
                <w:i/>
                <w:sz w:val="20"/>
              </w:rPr>
              <w:t xml:space="preserve"> and frequency should </w:t>
            </w:r>
            <w:r w:rsidRPr="009F69C3">
              <w:rPr>
                <w:rFonts w:asciiTheme="majorHAnsi" w:hAnsiTheme="majorHAnsi"/>
                <w:i/>
                <w:sz w:val="20"/>
              </w:rPr>
              <w:t>monitoring occur?</w:t>
            </w:r>
          </w:p>
        </w:tc>
        <w:tc>
          <w:tcPr>
            <w:tcW w:w="7805" w:type="dxa"/>
          </w:tcPr>
          <w:p w14:paraId="7F954644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0E6320" w:rsidRPr="009B01C6" w14:paraId="6C6004CE" w14:textId="77777777">
        <w:tc>
          <w:tcPr>
            <w:tcW w:w="2113" w:type="dxa"/>
          </w:tcPr>
          <w:p w14:paraId="7FD46E0F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Leader Responsible</w:t>
            </w:r>
          </w:p>
          <w:p w14:paraId="138F2518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758ED611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03B74DE7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2A3456FC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 w:rsidRPr="009F69C3">
              <w:rPr>
                <w:rFonts w:asciiTheme="majorHAnsi" w:hAnsiTheme="majorHAnsi"/>
                <w:i/>
                <w:sz w:val="20"/>
              </w:rPr>
              <w:t xml:space="preserve">Who </w:t>
            </w:r>
            <w:r>
              <w:rPr>
                <w:rFonts w:asciiTheme="majorHAnsi" w:hAnsiTheme="majorHAnsi"/>
                <w:i/>
                <w:sz w:val="20"/>
              </w:rPr>
              <w:t xml:space="preserve">will be responsible for leading the </w:t>
            </w:r>
            <w:r w:rsidRPr="009F69C3">
              <w:rPr>
                <w:rFonts w:asciiTheme="majorHAnsi" w:hAnsiTheme="majorHAnsi"/>
                <w:i/>
                <w:sz w:val="20"/>
              </w:rPr>
              <w:t xml:space="preserve">routine? </w:t>
            </w:r>
          </w:p>
        </w:tc>
        <w:tc>
          <w:tcPr>
            <w:tcW w:w="7805" w:type="dxa"/>
          </w:tcPr>
          <w:p w14:paraId="34F9C0A3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0E6320" w:rsidRPr="009B01C6" w14:paraId="3056A610" w14:textId="77777777">
        <w:tc>
          <w:tcPr>
            <w:tcW w:w="2113" w:type="dxa"/>
          </w:tcPr>
          <w:p w14:paraId="3AA539A3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Participants</w:t>
            </w:r>
          </w:p>
          <w:p w14:paraId="6FA10425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0F28E8CB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2F777635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14FEAD84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095367C4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5FC07044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 w:rsidRPr="009F69C3">
              <w:rPr>
                <w:rFonts w:asciiTheme="majorHAnsi" w:hAnsiTheme="majorHAnsi"/>
                <w:i/>
                <w:sz w:val="20"/>
              </w:rPr>
              <w:t>Who shoul</w:t>
            </w:r>
            <w:r>
              <w:rPr>
                <w:rFonts w:asciiTheme="majorHAnsi" w:hAnsiTheme="majorHAnsi"/>
                <w:i/>
                <w:sz w:val="20"/>
              </w:rPr>
              <w:t xml:space="preserve">d participate in the </w:t>
            </w:r>
            <w:r w:rsidRPr="009F69C3">
              <w:rPr>
                <w:rFonts w:asciiTheme="majorHAnsi" w:hAnsiTheme="majorHAnsi"/>
                <w:i/>
                <w:sz w:val="20"/>
              </w:rPr>
              <w:t>routine?</w:t>
            </w:r>
          </w:p>
        </w:tc>
        <w:tc>
          <w:tcPr>
            <w:tcW w:w="7805" w:type="dxa"/>
          </w:tcPr>
          <w:p w14:paraId="749FC507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0E6320" w:rsidRPr="009B01C6" w14:paraId="5C5E3BF6" w14:textId="77777777">
        <w:tc>
          <w:tcPr>
            <w:tcW w:w="2113" w:type="dxa"/>
          </w:tcPr>
          <w:p w14:paraId="072D8BDB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Reporting</w:t>
            </w:r>
          </w:p>
          <w:p w14:paraId="795B1471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362C229F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5638F312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61D1D40D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49C0E0BF" w14:textId="77777777" w:rsidR="000E6320" w:rsidRDefault="000E6320" w:rsidP="008763EA">
            <w:pPr>
              <w:rPr>
                <w:rFonts w:asciiTheme="majorHAnsi" w:hAnsiTheme="majorHAnsi"/>
                <w:b/>
                <w:sz w:val="20"/>
              </w:rPr>
            </w:pPr>
          </w:p>
          <w:p w14:paraId="077ADA0E" w14:textId="77777777" w:rsidR="000E6320" w:rsidRPr="009F69C3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  <w:r w:rsidRPr="009F69C3">
              <w:rPr>
                <w:rFonts w:asciiTheme="majorHAnsi" w:hAnsiTheme="majorHAnsi"/>
                <w:i/>
                <w:sz w:val="20"/>
              </w:rPr>
              <w:t xml:space="preserve">How—and with whom—should monitoring updates be shared? </w:t>
            </w:r>
          </w:p>
        </w:tc>
        <w:tc>
          <w:tcPr>
            <w:tcW w:w="7805" w:type="dxa"/>
          </w:tcPr>
          <w:p w14:paraId="0F0BF653" w14:textId="77777777" w:rsidR="000E6320" w:rsidRPr="009B01C6" w:rsidRDefault="000E6320" w:rsidP="008763EA">
            <w:pPr>
              <w:rPr>
                <w:rFonts w:asciiTheme="majorHAnsi" w:hAnsiTheme="majorHAnsi"/>
                <w:i/>
                <w:sz w:val="20"/>
              </w:rPr>
            </w:pPr>
          </w:p>
          <w:p w14:paraId="58F57A36" w14:textId="77777777" w:rsidR="000E6320" w:rsidRPr="00BE5C0A" w:rsidRDefault="000E6320" w:rsidP="008763E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62F3E1C" w14:textId="77777777" w:rsidR="000E6320" w:rsidRDefault="000E6320" w:rsidP="000E6320">
      <w:pPr>
        <w:tabs>
          <w:tab w:val="left" w:pos="920"/>
        </w:tabs>
      </w:pPr>
    </w:p>
    <w:p w14:paraId="00C3EBC8" w14:textId="56C948AA" w:rsidR="001B065A" w:rsidRPr="00CA7611" w:rsidRDefault="001B065A" w:rsidP="00F14684">
      <w:pPr>
        <w:rPr>
          <w:rFonts w:asciiTheme="majorHAnsi" w:hAnsiTheme="majorHAnsi"/>
        </w:rPr>
      </w:pPr>
    </w:p>
    <w:sectPr w:rsidR="001B065A" w:rsidRPr="00CA7611" w:rsidSect="008D013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A46B" w14:textId="77777777" w:rsidR="003359F0" w:rsidRDefault="003359F0" w:rsidP="00C43C6C">
      <w:r>
        <w:separator/>
      </w:r>
    </w:p>
  </w:endnote>
  <w:endnote w:type="continuationSeparator" w:id="0">
    <w:p w14:paraId="6DEBAD40" w14:textId="77777777" w:rsidR="003359F0" w:rsidRDefault="003359F0" w:rsidP="00C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37E2" w14:textId="77777777" w:rsidR="00F205C3" w:rsidRDefault="0080382E" w:rsidP="008E0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0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AFA5" w14:textId="77777777" w:rsidR="00F205C3" w:rsidRDefault="00F205C3" w:rsidP="008E0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C5E8" w14:textId="01F9901A" w:rsidR="00F205C3" w:rsidRDefault="000D2A18" w:rsidP="008E0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14:paraId="0CC53977" w14:textId="77777777" w:rsidR="00F205C3" w:rsidRDefault="00F205C3" w:rsidP="008E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C086" w14:textId="77777777" w:rsidR="003359F0" w:rsidRDefault="003359F0" w:rsidP="00C43C6C">
      <w:r>
        <w:separator/>
      </w:r>
    </w:p>
  </w:footnote>
  <w:footnote w:type="continuationSeparator" w:id="0">
    <w:p w14:paraId="475163C5" w14:textId="77777777" w:rsidR="003359F0" w:rsidRDefault="003359F0" w:rsidP="00C4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0236" w14:textId="77777777" w:rsidR="00F205C3" w:rsidRDefault="00F205C3" w:rsidP="00346EB9">
    <w:pPr>
      <w:pStyle w:val="Header"/>
      <w:tabs>
        <w:tab w:val="left" w:pos="73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79B30" wp14:editId="50D9DD9F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4445" b="0"/>
          <wp:wrapSquare wrapText="bothSides"/>
          <wp:docPr id="3" name="Picture 7" descr="Logo of the Massachusetts Department of Elementary and Secondary Education" title="DES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A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569CA" wp14:editId="606EBBAA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AD36A" w14:textId="77777777" w:rsidR="00F205C3" w:rsidRPr="00647973" w:rsidRDefault="00F205C3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1AAD4EE5" w14:textId="77777777" w:rsidR="00F205C3" w:rsidRPr="00647973" w:rsidRDefault="00F205C3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56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" filled="f" stroked="f" strokecolor="#e36c0a [2409]" strokeweight="2.25pt">
              <v:textbox inset=",7.2pt,,7.2pt">
                <w:txbxContent>
                  <w:p w14:paraId="3C9AD36A" w14:textId="77777777" w:rsidR="00F205C3" w:rsidRPr="00647973" w:rsidRDefault="00F205C3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1AAD4EE5" w14:textId="77777777" w:rsidR="00F205C3" w:rsidRPr="00647973" w:rsidRDefault="00F205C3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BA1"/>
    <w:multiLevelType w:val="hybridMultilevel"/>
    <w:tmpl w:val="45C865B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C6A"/>
    <w:multiLevelType w:val="hybridMultilevel"/>
    <w:tmpl w:val="94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C39"/>
    <w:multiLevelType w:val="hybridMultilevel"/>
    <w:tmpl w:val="DC02F54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828"/>
    <w:multiLevelType w:val="hybridMultilevel"/>
    <w:tmpl w:val="9454042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6A50"/>
    <w:multiLevelType w:val="hybridMultilevel"/>
    <w:tmpl w:val="9516E02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5306"/>
    <w:multiLevelType w:val="hybridMultilevel"/>
    <w:tmpl w:val="C1F45C34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845"/>
    <w:multiLevelType w:val="multilevel"/>
    <w:tmpl w:val="45C86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6581"/>
    <w:multiLevelType w:val="hybridMultilevel"/>
    <w:tmpl w:val="ADA648C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47F5"/>
    <w:multiLevelType w:val="hybridMultilevel"/>
    <w:tmpl w:val="9254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F4807"/>
    <w:multiLevelType w:val="hybridMultilevel"/>
    <w:tmpl w:val="E8768E9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03931"/>
    <w:multiLevelType w:val="hybridMultilevel"/>
    <w:tmpl w:val="725A44E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131B"/>
    <w:multiLevelType w:val="hybridMultilevel"/>
    <w:tmpl w:val="4BF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5A5"/>
    <w:multiLevelType w:val="hybridMultilevel"/>
    <w:tmpl w:val="15C0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B9"/>
    <w:rsid w:val="0002108D"/>
    <w:rsid w:val="000242E3"/>
    <w:rsid w:val="00032223"/>
    <w:rsid w:val="000324C5"/>
    <w:rsid w:val="0003404A"/>
    <w:rsid w:val="00042B77"/>
    <w:rsid w:val="00060CA1"/>
    <w:rsid w:val="00083CB9"/>
    <w:rsid w:val="00097630"/>
    <w:rsid w:val="000A3DFB"/>
    <w:rsid w:val="000D2A18"/>
    <w:rsid w:val="000D5559"/>
    <w:rsid w:val="000E2107"/>
    <w:rsid w:val="000E6320"/>
    <w:rsid w:val="001031F1"/>
    <w:rsid w:val="00113A8A"/>
    <w:rsid w:val="00145A3C"/>
    <w:rsid w:val="00150D4A"/>
    <w:rsid w:val="00155A00"/>
    <w:rsid w:val="0017327A"/>
    <w:rsid w:val="00192B89"/>
    <w:rsid w:val="001A7049"/>
    <w:rsid w:val="001B065A"/>
    <w:rsid w:val="001D18C6"/>
    <w:rsid w:val="001E552F"/>
    <w:rsid w:val="00237474"/>
    <w:rsid w:val="002413F6"/>
    <w:rsid w:val="00255078"/>
    <w:rsid w:val="00270CD4"/>
    <w:rsid w:val="00276D47"/>
    <w:rsid w:val="00291AC9"/>
    <w:rsid w:val="00297873"/>
    <w:rsid w:val="002B7BAD"/>
    <w:rsid w:val="00304998"/>
    <w:rsid w:val="003117EA"/>
    <w:rsid w:val="0031259C"/>
    <w:rsid w:val="0032500C"/>
    <w:rsid w:val="003359F0"/>
    <w:rsid w:val="00342541"/>
    <w:rsid w:val="00346EB9"/>
    <w:rsid w:val="00376506"/>
    <w:rsid w:val="003931C9"/>
    <w:rsid w:val="003A4D01"/>
    <w:rsid w:val="003B4B78"/>
    <w:rsid w:val="003C62E8"/>
    <w:rsid w:val="003C7231"/>
    <w:rsid w:val="003D16B7"/>
    <w:rsid w:val="003E6E53"/>
    <w:rsid w:val="004632AD"/>
    <w:rsid w:val="00477A03"/>
    <w:rsid w:val="004A792D"/>
    <w:rsid w:val="004B27A0"/>
    <w:rsid w:val="004C62C2"/>
    <w:rsid w:val="004C70A4"/>
    <w:rsid w:val="004F2065"/>
    <w:rsid w:val="004F7DFF"/>
    <w:rsid w:val="00506BFA"/>
    <w:rsid w:val="005342F4"/>
    <w:rsid w:val="00542117"/>
    <w:rsid w:val="005441FC"/>
    <w:rsid w:val="005E64E1"/>
    <w:rsid w:val="005F2FD3"/>
    <w:rsid w:val="006004DD"/>
    <w:rsid w:val="00616419"/>
    <w:rsid w:val="00681B05"/>
    <w:rsid w:val="00695C8A"/>
    <w:rsid w:val="00720248"/>
    <w:rsid w:val="00727E24"/>
    <w:rsid w:val="0073248A"/>
    <w:rsid w:val="00753F1E"/>
    <w:rsid w:val="00783920"/>
    <w:rsid w:val="00790A8A"/>
    <w:rsid w:val="00791BB5"/>
    <w:rsid w:val="0079782B"/>
    <w:rsid w:val="007A65D9"/>
    <w:rsid w:val="007B061A"/>
    <w:rsid w:val="007D70EF"/>
    <w:rsid w:val="007F6069"/>
    <w:rsid w:val="0080382E"/>
    <w:rsid w:val="008464F1"/>
    <w:rsid w:val="00861FC0"/>
    <w:rsid w:val="00866DE1"/>
    <w:rsid w:val="008763EA"/>
    <w:rsid w:val="00876995"/>
    <w:rsid w:val="008A626A"/>
    <w:rsid w:val="008C656C"/>
    <w:rsid w:val="008D0132"/>
    <w:rsid w:val="008D15F1"/>
    <w:rsid w:val="008E0842"/>
    <w:rsid w:val="008E5DB3"/>
    <w:rsid w:val="008F59B9"/>
    <w:rsid w:val="009126C4"/>
    <w:rsid w:val="0095017C"/>
    <w:rsid w:val="00987A85"/>
    <w:rsid w:val="00993147"/>
    <w:rsid w:val="009D1C2A"/>
    <w:rsid w:val="009E1204"/>
    <w:rsid w:val="009F44C0"/>
    <w:rsid w:val="00A2387C"/>
    <w:rsid w:val="00A40D22"/>
    <w:rsid w:val="00A46563"/>
    <w:rsid w:val="00A63F3D"/>
    <w:rsid w:val="00A6680C"/>
    <w:rsid w:val="00A918A9"/>
    <w:rsid w:val="00A942E5"/>
    <w:rsid w:val="00AA5550"/>
    <w:rsid w:val="00AB297A"/>
    <w:rsid w:val="00AC7DED"/>
    <w:rsid w:val="00B3709C"/>
    <w:rsid w:val="00B4345C"/>
    <w:rsid w:val="00B638E6"/>
    <w:rsid w:val="00BB0C6E"/>
    <w:rsid w:val="00BD0401"/>
    <w:rsid w:val="00BD0434"/>
    <w:rsid w:val="00C34EF5"/>
    <w:rsid w:val="00C351C7"/>
    <w:rsid w:val="00C43C6C"/>
    <w:rsid w:val="00C85F5F"/>
    <w:rsid w:val="00C92D0F"/>
    <w:rsid w:val="00CA7611"/>
    <w:rsid w:val="00CC49C6"/>
    <w:rsid w:val="00CD25DF"/>
    <w:rsid w:val="00CD2743"/>
    <w:rsid w:val="00D26D67"/>
    <w:rsid w:val="00D45D6B"/>
    <w:rsid w:val="00D640F2"/>
    <w:rsid w:val="00D830F7"/>
    <w:rsid w:val="00D83346"/>
    <w:rsid w:val="00DA1240"/>
    <w:rsid w:val="00DA3C34"/>
    <w:rsid w:val="00DB739A"/>
    <w:rsid w:val="00DC1204"/>
    <w:rsid w:val="00E147BD"/>
    <w:rsid w:val="00E1647D"/>
    <w:rsid w:val="00E63D7F"/>
    <w:rsid w:val="00E70A36"/>
    <w:rsid w:val="00E7162F"/>
    <w:rsid w:val="00E76506"/>
    <w:rsid w:val="00E77AEA"/>
    <w:rsid w:val="00E839BA"/>
    <w:rsid w:val="00EA7B63"/>
    <w:rsid w:val="00EB00C0"/>
    <w:rsid w:val="00EC41FE"/>
    <w:rsid w:val="00F14684"/>
    <w:rsid w:val="00F151D8"/>
    <w:rsid w:val="00F205C3"/>
    <w:rsid w:val="00F2401D"/>
    <w:rsid w:val="00F70DC2"/>
    <w:rsid w:val="00F74D6D"/>
    <w:rsid w:val="00FA7B75"/>
    <w:rsid w:val="00FB01CF"/>
    <w:rsid w:val="00FB72B7"/>
    <w:rsid w:val="00FC4B0D"/>
    <w:rsid w:val="00FC6894"/>
    <w:rsid w:val="00FE62A1"/>
    <w:rsid w:val="00FF4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8DA0"/>
  <w15:docId w15:val="{D7D2BBB4-15E4-4683-BA6E-C6074D5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B9"/>
  </w:style>
  <w:style w:type="paragraph" w:styleId="Footer">
    <w:name w:val="footer"/>
    <w:basedOn w:val="Normal"/>
    <w:link w:val="Foot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B9"/>
  </w:style>
  <w:style w:type="paragraph" w:styleId="ListParagraph">
    <w:name w:val="List Paragraph"/>
    <w:basedOn w:val="Normal"/>
    <w:uiPriority w:val="34"/>
    <w:qFormat/>
    <w:rsid w:val="008D0132"/>
    <w:pPr>
      <w:ind w:left="720"/>
      <w:contextualSpacing/>
    </w:pPr>
  </w:style>
  <w:style w:type="table" w:styleId="TableGrid">
    <w:name w:val="Table Grid"/>
    <w:basedOn w:val="TableNormal"/>
    <w:uiPriority w:val="59"/>
    <w:rsid w:val="00CA7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76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2A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0842"/>
  </w:style>
  <w:style w:type="character" w:styleId="CommentReference">
    <w:name w:val="annotation reference"/>
    <w:basedOn w:val="DefaultParagraphFont"/>
    <w:uiPriority w:val="99"/>
    <w:semiHidden/>
    <w:unhideWhenUsed/>
    <w:rsid w:val="00E7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DESE-231-54234</_dlc_DocId>
    <_dlc_DocIdUrl xmlns="733efe1c-5bbe-4968-87dc-d400e65c879f">
      <Url>https://sharepoint.doemass.org/ese/webteam/cps/_layouts/DocIdRedir.aspx?ID=DESE-231-54234</Url>
      <Description>DESE-231-54234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11EEEA3-ED42-4767-93BD-AD466FD4E3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4805C2-1CA6-4358-A491-FC86F15632D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340CB12-658E-497E-955C-3824D61A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1137C-9E90-4052-80A1-459652742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661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Designing the AP Monitoring Process Worksheet</vt:lpstr>
    </vt:vector>
  </TitlesOfParts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Designing the AP Monitoring Process Worksheet</dc:title>
  <dc:subject>PfS Designing the AP Monitoring Process Worksheet</dc:subject>
  <dc:creator>ESE</dc:creator>
  <dc:description>Document 4</dc:description>
  <cp:lastModifiedBy>O'Brien-Driscoll, Courtney (EOE)</cp:lastModifiedBy>
  <cp:revision>6</cp:revision>
  <cp:lastPrinted>2019-09-03T16:03:00Z</cp:lastPrinted>
  <dcterms:created xsi:type="dcterms:W3CDTF">2019-09-03T21:08:00Z</dcterms:created>
  <dcterms:modified xsi:type="dcterms:W3CDTF">2019-09-05T15:36:00Z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4 2019</vt:lpwstr>
  </property>
  <property fmtid="{D5CDD505-2E9C-101B-9397-08002B2CF9AE}" pid="3" name="_dlc_DocIdItemGuid">
    <vt:lpwstr>20812843-e1c6-4ea8-be9b-abfe70a9d6a2</vt:lpwstr>
  </property>
  <property fmtid="{D5CDD505-2E9C-101B-9397-08002B2CF9AE}" pid="4" name="ContentTypeId">
    <vt:lpwstr>0x010100524261BFE874874F899C38CF9C771BFF</vt:lpwstr>
  </property>
</Properties>
</file>