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DESE logo"/>
      </w:tblPr>
      <w:tblGrid>
        <w:gridCol w:w="4296"/>
        <w:gridCol w:w="5064"/>
      </w:tblGrid>
      <w:tr w:rsidR="00C74736" w14:paraId="20723557" w14:textId="77777777" w:rsidTr="00A55F3E">
        <w:trPr>
          <w:tblHeader/>
        </w:trPr>
        <w:tc>
          <w:tcPr>
            <w:tcW w:w="4068" w:type="dxa"/>
            <w:vAlign w:val="bottom"/>
          </w:tcPr>
          <w:p w14:paraId="406856E7" w14:textId="77777777" w:rsidR="00C74736" w:rsidRDefault="00C74736" w:rsidP="00CB5A2C">
            <w:pPr>
              <w:ind w:left="360"/>
            </w:pPr>
            <w:r>
              <w:rPr>
                <w:noProof/>
                <w:lang w:eastAsia="zh-CN"/>
              </w:rPr>
              <w:drawing>
                <wp:inline distT="0" distB="0" distL="0" distR="0" wp14:anchorId="363B6F6D" wp14:editId="4F654371">
                  <wp:extent cx="2352675" cy="914400"/>
                  <wp:effectExtent l="0" t="0" r="9525" b="0"/>
                  <wp:docPr id="2" name="Picture 1" descr="D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ter-Logo_695x338_color.png"/>
                          <pic:cNvPicPr/>
                        </pic:nvPicPr>
                        <pic:blipFill>
                          <a:blip r:embed="rId9" cstate="print"/>
                          <a:srcRect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bottom"/>
          </w:tcPr>
          <w:p w14:paraId="7DDAA5F2" w14:textId="77777777" w:rsidR="00C74736" w:rsidRPr="00083686" w:rsidRDefault="00DA4925" w:rsidP="009D7EDA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VOCAL 2018 Summary</w:t>
            </w:r>
          </w:p>
          <w:p w14:paraId="481D2070" w14:textId="77777777" w:rsidR="00C74736" w:rsidRPr="00604FF9" w:rsidRDefault="00DA4925" w:rsidP="00DA4925">
            <w:pPr>
              <w:rPr>
                <w:b/>
                <w:sz w:val="32"/>
              </w:rPr>
            </w:pPr>
            <w:r>
              <w:rPr>
                <w:rFonts w:ascii="Times New Roman" w:hAnsi="Times New Roman" w:cs="Times New Roman"/>
              </w:rPr>
              <w:t>September</w:t>
            </w:r>
            <w:r w:rsidR="00C74736" w:rsidRPr="00083686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14:paraId="58751D7A" w14:textId="77777777" w:rsidR="00C74736" w:rsidRDefault="00C74736" w:rsidP="00C74736">
      <w:pPr>
        <w:spacing w:after="0" w:line="240" w:lineRule="auto"/>
        <w:sectPr w:rsidR="00C74736" w:rsidSect="00C74736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12FDC8D" w14:textId="1B6343E8" w:rsidR="00D16A65" w:rsidRPr="00A56837" w:rsidRDefault="00A56837" w:rsidP="00A56837">
      <w:pPr>
        <w:pStyle w:val="NoSpacing"/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Background</w:t>
      </w:r>
      <w:r w:rsidR="006C2BBA">
        <w:rPr>
          <w:rFonts w:ascii="Times New Roman" w:hAnsi="Times New Roman" w:cs="Times New Roman"/>
          <w:color w:val="2E2E2E"/>
          <w:shd w:val="clear" w:color="auto" w:fill="FAFAFA"/>
        </w:rPr>
        <w:t xml:space="preserve"> </w:t>
      </w:r>
    </w:p>
    <w:p w14:paraId="442CDEF8" w14:textId="77777777" w:rsidR="0027755B" w:rsidRPr="005477CE" w:rsidRDefault="00876CF0" w:rsidP="0038062D">
      <w:pPr>
        <w:pStyle w:val="NoSpacing"/>
        <w:numPr>
          <w:ilvl w:val="0"/>
          <w:numId w:val="9"/>
        </w:numPr>
        <w:spacing w:before="120" w:after="240"/>
        <w:ind w:left="360"/>
        <w:rPr>
          <w:rFonts w:ascii="Times New Roman" w:hAnsi="Times New Roman" w:cs="Times New Roman"/>
        </w:rPr>
      </w:pPr>
      <w:r w:rsidRPr="00FA65D3">
        <w:rPr>
          <w:rFonts w:ascii="Times New Roman" w:hAnsi="Times New Roman" w:cs="Times New Roman"/>
          <w:color w:val="2E2E2E"/>
          <w:shd w:val="clear" w:color="auto" w:fill="FAFAFA"/>
        </w:rPr>
        <w:t xml:space="preserve">The Views of Climate and Learning (VOCAL) survey is designed to provide schools with information on student perceptions of three dimensions of school climate: engagement, safety, and environment. </w:t>
      </w:r>
      <w:r w:rsidR="0027755B">
        <w:rPr>
          <w:rFonts w:ascii="Times New Roman" w:hAnsi="Times New Roman" w:cs="Times New Roman"/>
          <w:color w:val="2E2E2E"/>
          <w:shd w:val="clear" w:color="auto" w:fill="FAFAFA"/>
        </w:rPr>
        <w:t>The topics measured within each dimension are summarized below.</w:t>
      </w:r>
    </w:p>
    <w:tbl>
      <w:tblPr>
        <w:tblW w:w="9360" w:type="dxa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150"/>
        <w:gridCol w:w="2970"/>
      </w:tblGrid>
      <w:tr w:rsidR="0027755B" w:rsidRPr="0027755B" w14:paraId="781986E8" w14:textId="77777777" w:rsidTr="00704185">
        <w:trPr>
          <w:trHeight w:val="28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2B075" w14:textId="77777777" w:rsidR="0027755B" w:rsidRPr="0027755B" w:rsidRDefault="0027755B" w:rsidP="00A741C1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7755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Engagement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81C3F" w14:textId="77777777" w:rsidR="0027755B" w:rsidRPr="0027755B" w:rsidRDefault="0027755B" w:rsidP="00A74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7755B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Safety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06904" w14:textId="77777777" w:rsidR="0027755B" w:rsidRPr="0027755B" w:rsidRDefault="0027755B" w:rsidP="00A74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7755B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Environment</w:t>
            </w:r>
          </w:p>
        </w:tc>
      </w:tr>
      <w:tr w:rsidR="0027755B" w:rsidRPr="0027755B" w14:paraId="1E6B14C5" w14:textId="77777777" w:rsidTr="00704185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964ED" w14:textId="77777777" w:rsidR="00384B2A" w:rsidRPr="00384B2A" w:rsidRDefault="00384B2A" w:rsidP="00384B2A">
            <w:pPr>
              <w:numPr>
                <w:ilvl w:val="0"/>
                <w:numId w:val="10"/>
              </w:numPr>
              <w:spacing w:after="0" w:line="240" w:lineRule="auto"/>
              <w:ind w:left="270" w:hanging="19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4B2A">
              <w:rPr>
                <w:rFonts w:ascii="Times New Roman" w:hAnsi="Times New Roman" w:cs="Times New Roman"/>
                <w:sz w:val="18"/>
                <w:szCs w:val="18"/>
              </w:rPr>
              <w:t>The extent students feel the adults/students value diversity, manage dynamics of differences, and avoid stereotypes.</w:t>
            </w:r>
          </w:p>
          <w:p w14:paraId="2E818847" w14:textId="77777777" w:rsidR="00384B2A" w:rsidRPr="00384B2A" w:rsidRDefault="00384B2A" w:rsidP="00384B2A">
            <w:pPr>
              <w:numPr>
                <w:ilvl w:val="0"/>
                <w:numId w:val="10"/>
              </w:numPr>
              <w:spacing w:after="0" w:line="240" w:lineRule="auto"/>
              <w:ind w:left="270" w:hanging="19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4B2A">
              <w:rPr>
                <w:rFonts w:ascii="Times New Roman" w:hAnsi="Times New Roman" w:cs="Times New Roman"/>
                <w:sz w:val="18"/>
                <w:szCs w:val="18"/>
              </w:rPr>
              <w:t>The extent students feel there is a social connection and respect between staff/teachers and students, and between students and their peers.</w:t>
            </w:r>
          </w:p>
          <w:p w14:paraId="3A55DDC4" w14:textId="77777777" w:rsidR="0027755B" w:rsidRPr="00384B2A" w:rsidRDefault="00384B2A" w:rsidP="00384B2A">
            <w:pPr>
              <w:numPr>
                <w:ilvl w:val="0"/>
                <w:numId w:val="10"/>
              </w:numPr>
              <w:spacing w:after="0" w:line="240" w:lineRule="auto"/>
              <w:ind w:left="270" w:hanging="19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4B2A">
              <w:rPr>
                <w:rFonts w:ascii="Times New Roman" w:hAnsi="Times New Roman" w:cs="Times New Roman"/>
                <w:sz w:val="18"/>
                <w:szCs w:val="18"/>
              </w:rPr>
              <w:t>The extent students feel engaged intellectually, emotionally, and behaviorally in the classroom, and the extent that students or their parents are engaged in school life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9771B" w14:textId="77777777" w:rsidR="00384B2A" w:rsidRPr="00384B2A" w:rsidRDefault="00384B2A" w:rsidP="00384B2A">
            <w:pPr>
              <w:numPr>
                <w:ilvl w:val="0"/>
                <w:numId w:val="10"/>
              </w:numPr>
              <w:spacing w:after="0" w:line="240" w:lineRule="auto"/>
              <w:ind w:left="270" w:hanging="19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4B2A">
              <w:rPr>
                <w:rFonts w:ascii="Times New Roman" w:hAnsi="Times New Roman" w:cs="Times New Roman"/>
                <w:sz w:val="18"/>
                <w:szCs w:val="18"/>
              </w:rPr>
              <w:t xml:space="preserve">The extent students feel a bond to the school, and </w:t>
            </w:r>
            <w:r w:rsidR="00704185">
              <w:rPr>
                <w:rFonts w:ascii="Times New Roman" w:hAnsi="Times New Roman" w:cs="Times New Roman"/>
                <w:sz w:val="18"/>
                <w:szCs w:val="18"/>
              </w:rPr>
              <w:t>the extent adults/students</w:t>
            </w:r>
            <w:r w:rsidRPr="00384B2A">
              <w:rPr>
                <w:rFonts w:ascii="Times New Roman" w:hAnsi="Times New Roman" w:cs="Times New Roman"/>
                <w:sz w:val="18"/>
                <w:szCs w:val="18"/>
              </w:rPr>
              <w:t xml:space="preserve"> support the emotional needs of </w:t>
            </w:r>
            <w:r w:rsidR="00704185">
              <w:rPr>
                <w:rFonts w:ascii="Times New Roman" w:hAnsi="Times New Roman" w:cs="Times New Roman"/>
                <w:sz w:val="18"/>
                <w:szCs w:val="18"/>
              </w:rPr>
              <w:t>student</w:t>
            </w:r>
            <w:r w:rsidRPr="00384B2A">
              <w:rPr>
                <w:rFonts w:ascii="Times New Roman" w:hAnsi="Times New Roman" w:cs="Times New Roman"/>
                <w:sz w:val="18"/>
                <w:szCs w:val="18"/>
              </w:rPr>
              <w:t>s.</w:t>
            </w:r>
          </w:p>
          <w:p w14:paraId="50CB048C" w14:textId="77777777" w:rsidR="00384B2A" w:rsidRPr="00384B2A" w:rsidRDefault="00384B2A" w:rsidP="00384B2A">
            <w:pPr>
              <w:numPr>
                <w:ilvl w:val="0"/>
                <w:numId w:val="10"/>
              </w:numPr>
              <w:spacing w:after="0" w:line="240" w:lineRule="auto"/>
              <w:ind w:left="270" w:hanging="19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4B2A">
              <w:rPr>
                <w:rFonts w:ascii="Times New Roman" w:hAnsi="Times New Roman" w:cs="Times New Roman"/>
                <w:sz w:val="18"/>
                <w:szCs w:val="18"/>
              </w:rPr>
              <w:t>The extent that students feel physically safe within the school environment.</w:t>
            </w:r>
          </w:p>
          <w:p w14:paraId="177A627A" w14:textId="77777777" w:rsidR="0027755B" w:rsidRPr="0027755B" w:rsidRDefault="00384B2A" w:rsidP="00704185">
            <w:pPr>
              <w:numPr>
                <w:ilvl w:val="0"/>
                <w:numId w:val="10"/>
              </w:numPr>
              <w:spacing w:after="0" w:line="240" w:lineRule="auto"/>
              <w:ind w:left="270" w:hanging="19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4B2A">
              <w:rPr>
                <w:rFonts w:ascii="Times New Roman" w:hAnsi="Times New Roman" w:cs="Times New Roman"/>
                <w:sz w:val="18"/>
                <w:szCs w:val="18"/>
              </w:rPr>
              <w:t xml:space="preserve">The extent that students report different types of bullying behaviors occurring in the school and the extent that </w:t>
            </w:r>
            <w:r w:rsidR="00704185">
              <w:rPr>
                <w:rFonts w:ascii="Times New Roman" w:hAnsi="Times New Roman" w:cs="Times New Roman"/>
                <w:sz w:val="18"/>
                <w:szCs w:val="18"/>
              </w:rPr>
              <w:t>school/</w:t>
            </w:r>
            <w:r w:rsidRPr="00384B2A">
              <w:rPr>
                <w:rFonts w:ascii="Times New Roman" w:hAnsi="Times New Roman" w:cs="Times New Roman"/>
                <w:sz w:val="18"/>
                <w:szCs w:val="18"/>
              </w:rPr>
              <w:t>staff/students try to counteract bullying.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0A036" w14:textId="77777777" w:rsidR="00384B2A" w:rsidRPr="00384B2A" w:rsidRDefault="00384B2A" w:rsidP="00384B2A">
            <w:pPr>
              <w:numPr>
                <w:ilvl w:val="0"/>
                <w:numId w:val="10"/>
              </w:numPr>
              <w:spacing w:after="0" w:line="240" w:lineRule="auto"/>
              <w:ind w:left="270" w:hanging="19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4B2A">
              <w:rPr>
                <w:rFonts w:ascii="Times New Roman" w:hAnsi="Times New Roman" w:cs="Times New Roman"/>
                <w:sz w:val="18"/>
                <w:szCs w:val="18"/>
              </w:rPr>
              <w:t>The extent that students feel the instructional environment is collaborative, relevant, challenging and supportive of learning.</w:t>
            </w:r>
          </w:p>
          <w:p w14:paraId="77AF12CD" w14:textId="77777777" w:rsidR="00384B2A" w:rsidRPr="00384B2A" w:rsidRDefault="00384B2A" w:rsidP="00384B2A">
            <w:pPr>
              <w:numPr>
                <w:ilvl w:val="0"/>
                <w:numId w:val="10"/>
              </w:numPr>
              <w:spacing w:after="0" w:line="240" w:lineRule="auto"/>
              <w:ind w:left="270" w:hanging="19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4B2A">
              <w:rPr>
                <w:rFonts w:ascii="Times New Roman" w:hAnsi="Times New Roman" w:cs="Times New Roman"/>
                <w:sz w:val="18"/>
                <w:szCs w:val="18"/>
              </w:rPr>
              <w:t>The extent that students have access to systems support that effectively support their social, emotional and mental health well-being.</w:t>
            </w:r>
          </w:p>
          <w:p w14:paraId="127144DA" w14:textId="77777777" w:rsidR="0027755B" w:rsidRPr="0027755B" w:rsidRDefault="00384B2A" w:rsidP="00384B2A">
            <w:pPr>
              <w:numPr>
                <w:ilvl w:val="0"/>
                <w:numId w:val="10"/>
              </w:numPr>
              <w:spacing w:after="0" w:line="240" w:lineRule="auto"/>
              <w:ind w:left="270" w:hanging="19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4B2A">
              <w:rPr>
                <w:rFonts w:ascii="Times New Roman" w:hAnsi="Times New Roman" w:cs="Times New Roman"/>
                <w:sz w:val="18"/>
                <w:szCs w:val="18"/>
              </w:rPr>
              <w:t>The extent that discipline is fair, applied consistently and evenly, and a shared responsibility.</w:t>
            </w:r>
          </w:p>
        </w:tc>
      </w:tr>
    </w:tbl>
    <w:p w14:paraId="0D089E8A" w14:textId="77777777" w:rsidR="00876CF0" w:rsidRPr="00FA65D3" w:rsidRDefault="00876CF0" w:rsidP="0038062D">
      <w:pPr>
        <w:pStyle w:val="NoSpacing"/>
        <w:numPr>
          <w:ilvl w:val="0"/>
          <w:numId w:val="9"/>
        </w:numPr>
        <w:spacing w:before="240"/>
        <w:ind w:left="360"/>
        <w:rPr>
          <w:rFonts w:ascii="Times New Roman" w:hAnsi="Times New Roman" w:cs="Times New Roman"/>
        </w:rPr>
      </w:pPr>
      <w:r w:rsidRPr="00FA65D3">
        <w:rPr>
          <w:rFonts w:ascii="Times New Roman" w:hAnsi="Times New Roman" w:cs="Times New Roman"/>
          <w:color w:val="2E2E2E"/>
          <w:shd w:val="clear" w:color="auto" w:fill="FAFAFA"/>
        </w:rPr>
        <w:t>The survey is based on</w:t>
      </w:r>
      <w:r w:rsidRPr="00FA65D3">
        <w:rPr>
          <w:rFonts w:ascii="Times New Roman" w:hAnsi="Times New Roman" w:cs="Times New Roman"/>
        </w:rPr>
        <w:t xml:space="preserve"> the conceptual framework of the U.S. Department of Education’s School Climate Surveys. </w:t>
      </w:r>
    </w:p>
    <w:p w14:paraId="1EB6C6DD" w14:textId="77777777" w:rsidR="00333992" w:rsidRPr="00FA65D3" w:rsidRDefault="00A126A8" w:rsidP="0038062D">
      <w:pPr>
        <w:pStyle w:val="NoSpacing"/>
        <w:numPr>
          <w:ilvl w:val="0"/>
          <w:numId w:val="9"/>
        </w:numPr>
        <w:spacing w:before="60"/>
        <w:ind w:left="360"/>
        <w:rPr>
          <w:rFonts w:ascii="Times New Roman" w:hAnsi="Times New Roman" w:cs="Times New Roman"/>
          <w:b/>
        </w:rPr>
      </w:pPr>
      <w:r w:rsidRPr="00FA65D3">
        <w:rPr>
          <w:rFonts w:ascii="Times New Roman" w:hAnsi="Times New Roman" w:cs="Times New Roman"/>
          <w:color w:val="2E2E2E"/>
          <w:shd w:val="clear" w:color="auto" w:fill="FAFAFA"/>
        </w:rPr>
        <w:t xml:space="preserve">The </w:t>
      </w:r>
      <w:r w:rsidR="00FA65D3">
        <w:rPr>
          <w:rFonts w:ascii="Times New Roman" w:hAnsi="Times New Roman" w:cs="Times New Roman"/>
          <w:color w:val="2E2E2E"/>
          <w:shd w:val="clear" w:color="auto" w:fill="FAFAFA"/>
        </w:rPr>
        <w:t>VOCAL survey</w:t>
      </w:r>
      <w:r w:rsidRPr="00FA65D3">
        <w:rPr>
          <w:rFonts w:ascii="Times New Roman" w:hAnsi="Times New Roman" w:cs="Times New Roman"/>
          <w:color w:val="2E2E2E"/>
          <w:shd w:val="clear" w:color="auto" w:fill="FAFAFA"/>
        </w:rPr>
        <w:t xml:space="preserve"> help</w:t>
      </w:r>
      <w:r w:rsidR="002D6717" w:rsidRPr="00FA65D3">
        <w:rPr>
          <w:rFonts w:ascii="Times New Roman" w:hAnsi="Times New Roman" w:cs="Times New Roman"/>
          <w:color w:val="2E2E2E"/>
          <w:shd w:val="clear" w:color="auto" w:fill="FAFAFA"/>
        </w:rPr>
        <w:t>s</w:t>
      </w:r>
      <w:r w:rsidRPr="00FA65D3">
        <w:rPr>
          <w:rFonts w:ascii="Times New Roman" w:hAnsi="Times New Roman" w:cs="Times New Roman"/>
          <w:color w:val="2E2E2E"/>
          <w:shd w:val="clear" w:color="auto" w:fill="FAFAFA"/>
        </w:rPr>
        <w:t xml:space="preserve"> the state to meet requirements included in the Act Relative to Bullying in Schools.</w:t>
      </w:r>
      <w:r w:rsidR="00332280" w:rsidRPr="00FA65D3">
        <w:rPr>
          <w:rFonts w:ascii="Times New Roman" w:hAnsi="Times New Roman" w:cs="Times New Roman"/>
          <w:color w:val="2E2E2E"/>
          <w:shd w:val="clear" w:color="auto" w:fill="FAFAFA"/>
        </w:rPr>
        <w:t xml:space="preserve"> </w:t>
      </w:r>
    </w:p>
    <w:p w14:paraId="64F7BEA3" w14:textId="77777777" w:rsidR="004A3EE8" w:rsidRPr="00083686" w:rsidRDefault="00810D3B" w:rsidP="00A741C1">
      <w:pPr>
        <w:pStyle w:val="NoSpacing"/>
        <w:spacing w:before="120"/>
        <w:rPr>
          <w:rFonts w:ascii="Times New Roman" w:hAnsi="Times New Roman" w:cs="Times New Roman"/>
        </w:rPr>
      </w:pPr>
      <w:r w:rsidRPr="00083686">
        <w:rPr>
          <w:rFonts w:ascii="Times New Roman" w:hAnsi="Times New Roman" w:cs="Times New Roman"/>
          <w:b/>
        </w:rPr>
        <w:t xml:space="preserve">Survey design, </w:t>
      </w:r>
      <w:r w:rsidR="00831A9A" w:rsidRPr="00083686">
        <w:rPr>
          <w:rFonts w:ascii="Times New Roman" w:hAnsi="Times New Roman" w:cs="Times New Roman"/>
          <w:b/>
        </w:rPr>
        <w:t>responses</w:t>
      </w:r>
      <w:r w:rsidRPr="00083686">
        <w:rPr>
          <w:rFonts w:ascii="Times New Roman" w:hAnsi="Times New Roman" w:cs="Times New Roman"/>
          <w:b/>
        </w:rPr>
        <w:t xml:space="preserve">, </w:t>
      </w:r>
      <w:r w:rsidR="0027508F" w:rsidRPr="00083686">
        <w:rPr>
          <w:rFonts w:ascii="Times New Roman" w:hAnsi="Times New Roman" w:cs="Times New Roman"/>
          <w:b/>
        </w:rPr>
        <w:t>scales</w:t>
      </w:r>
      <w:r w:rsidR="00F20C1D" w:rsidRPr="00083686">
        <w:rPr>
          <w:rFonts w:ascii="Times New Roman" w:hAnsi="Times New Roman" w:cs="Times New Roman"/>
          <w:b/>
        </w:rPr>
        <w:t>, and reporting</w:t>
      </w:r>
    </w:p>
    <w:p w14:paraId="0F594F74" w14:textId="6FECEC03" w:rsidR="00604FF9" w:rsidRPr="00083686" w:rsidRDefault="00604FF9" w:rsidP="0038062D">
      <w:pPr>
        <w:pStyle w:val="NoSpacing"/>
        <w:numPr>
          <w:ilvl w:val="0"/>
          <w:numId w:val="6"/>
        </w:numPr>
        <w:spacing w:before="60"/>
        <w:ind w:left="360"/>
        <w:rPr>
          <w:rFonts w:ascii="Times New Roman" w:hAnsi="Times New Roman" w:cs="Times New Roman"/>
        </w:rPr>
      </w:pPr>
      <w:r w:rsidRPr="00083686">
        <w:rPr>
          <w:rFonts w:ascii="Times New Roman" w:hAnsi="Times New Roman" w:cs="Times New Roman"/>
        </w:rPr>
        <w:t>Students in grades 5, 8, and</w:t>
      </w:r>
      <w:r w:rsidR="00FA27B7">
        <w:rPr>
          <w:rFonts w:ascii="Times New Roman" w:hAnsi="Times New Roman" w:cs="Times New Roman"/>
        </w:rPr>
        <w:t xml:space="preserve"> </w:t>
      </w:r>
      <w:r w:rsidRPr="00083686">
        <w:rPr>
          <w:rFonts w:ascii="Times New Roman" w:hAnsi="Times New Roman" w:cs="Times New Roman"/>
        </w:rPr>
        <w:t>10 were given the option to participate in the survey as part of the state MCAS administration in 201</w:t>
      </w:r>
      <w:r w:rsidR="004F3659">
        <w:rPr>
          <w:rFonts w:ascii="Times New Roman" w:hAnsi="Times New Roman" w:cs="Times New Roman"/>
        </w:rPr>
        <w:t>8</w:t>
      </w:r>
      <w:r w:rsidRPr="00083686">
        <w:rPr>
          <w:rFonts w:ascii="Times New Roman" w:hAnsi="Times New Roman" w:cs="Times New Roman"/>
        </w:rPr>
        <w:t>. The survey was optional for districts, schools, and individual students.</w:t>
      </w:r>
    </w:p>
    <w:p w14:paraId="7049DF9E" w14:textId="79B724B7" w:rsidR="00332280" w:rsidRPr="002F2DCB" w:rsidRDefault="00FA65D3" w:rsidP="0038062D">
      <w:pPr>
        <w:pStyle w:val="NoSpacing"/>
        <w:numPr>
          <w:ilvl w:val="0"/>
          <w:numId w:val="6"/>
        </w:numPr>
        <w:spacing w:before="6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04FF9" w:rsidRPr="00083686">
        <w:rPr>
          <w:rFonts w:ascii="Times New Roman" w:hAnsi="Times New Roman" w:cs="Times New Roman"/>
        </w:rPr>
        <w:t xml:space="preserve">ESE </w:t>
      </w:r>
      <w:r>
        <w:rPr>
          <w:rFonts w:ascii="Times New Roman" w:hAnsi="Times New Roman" w:cs="Times New Roman"/>
        </w:rPr>
        <w:t>administered 76</w:t>
      </w:r>
      <w:r w:rsidR="00604FF9" w:rsidRPr="00083686">
        <w:rPr>
          <w:rFonts w:ascii="Times New Roman" w:hAnsi="Times New Roman" w:cs="Times New Roman"/>
        </w:rPr>
        <w:t xml:space="preserve"> items across the three grades</w:t>
      </w:r>
      <w:r w:rsidR="004F3659">
        <w:rPr>
          <w:rFonts w:ascii="Times New Roman" w:hAnsi="Times New Roman" w:cs="Times New Roman"/>
        </w:rPr>
        <w:t xml:space="preserve"> with common items </w:t>
      </w:r>
      <w:r w:rsidR="006C2BBA">
        <w:rPr>
          <w:rFonts w:ascii="Times New Roman" w:hAnsi="Times New Roman" w:cs="Times New Roman"/>
        </w:rPr>
        <w:t>across the surveys</w:t>
      </w:r>
      <w:r w:rsidR="000B2F1A">
        <w:rPr>
          <w:rFonts w:ascii="Times New Roman" w:hAnsi="Times New Roman" w:cs="Times New Roman"/>
        </w:rPr>
        <w:t xml:space="preserve"> </w:t>
      </w:r>
      <w:r w:rsidR="00604FF9" w:rsidRPr="00083686">
        <w:rPr>
          <w:rFonts w:ascii="Times New Roman" w:hAnsi="Times New Roman" w:cs="Times New Roman"/>
        </w:rPr>
        <w:t>to allow</w:t>
      </w:r>
      <w:r w:rsidR="004F3659">
        <w:rPr>
          <w:rFonts w:ascii="Times New Roman" w:hAnsi="Times New Roman" w:cs="Times New Roman"/>
        </w:rPr>
        <w:t xml:space="preserve"> for</w:t>
      </w:r>
      <w:r w:rsidR="00604FF9" w:rsidRPr="00083686">
        <w:rPr>
          <w:rFonts w:ascii="Times New Roman" w:hAnsi="Times New Roman" w:cs="Times New Roman"/>
        </w:rPr>
        <w:t xml:space="preserve"> later data linking. </w:t>
      </w:r>
      <w:r w:rsidR="003D7FD9" w:rsidRPr="00083686">
        <w:rPr>
          <w:rFonts w:ascii="Times New Roman" w:hAnsi="Times New Roman" w:cs="Times New Roman"/>
        </w:rPr>
        <w:t>All i</w:t>
      </w:r>
      <w:r w:rsidR="00604FF9" w:rsidRPr="00083686">
        <w:rPr>
          <w:rFonts w:ascii="Times New Roman" w:hAnsi="Times New Roman" w:cs="Times New Roman"/>
        </w:rPr>
        <w:t xml:space="preserve">tems used </w:t>
      </w:r>
      <w:r w:rsidR="006C2BBA">
        <w:rPr>
          <w:rFonts w:ascii="Times New Roman" w:hAnsi="Times New Roman" w:cs="Times New Roman"/>
        </w:rPr>
        <w:t>the same</w:t>
      </w:r>
      <w:r w:rsidR="006C2BBA" w:rsidRPr="00083686">
        <w:rPr>
          <w:rFonts w:ascii="Times New Roman" w:hAnsi="Times New Roman" w:cs="Times New Roman"/>
        </w:rPr>
        <w:t xml:space="preserve"> </w:t>
      </w:r>
      <w:r w:rsidR="00604FF9" w:rsidRPr="00083686">
        <w:rPr>
          <w:rFonts w:ascii="Times New Roman" w:hAnsi="Times New Roman" w:cs="Times New Roman"/>
        </w:rPr>
        <w:t xml:space="preserve">response options: always true, mostly true, mostly untrue, </w:t>
      </w:r>
      <w:r w:rsidR="00207726" w:rsidRPr="00083686">
        <w:rPr>
          <w:rFonts w:ascii="Times New Roman" w:hAnsi="Times New Roman" w:cs="Times New Roman"/>
        </w:rPr>
        <w:t xml:space="preserve">and </w:t>
      </w:r>
      <w:r w:rsidR="00604FF9" w:rsidRPr="00083686">
        <w:rPr>
          <w:rFonts w:ascii="Times New Roman" w:hAnsi="Times New Roman" w:cs="Times New Roman"/>
        </w:rPr>
        <w:t xml:space="preserve">never true. </w:t>
      </w:r>
    </w:p>
    <w:p w14:paraId="5D149F5E" w14:textId="6F271092" w:rsidR="006F7998" w:rsidRPr="00083686" w:rsidRDefault="006F7998" w:rsidP="0038062D">
      <w:pPr>
        <w:pStyle w:val="NoSpacing"/>
        <w:numPr>
          <w:ilvl w:val="0"/>
          <w:numId w:val="6"/>
        </w:numPr>
        <w:spacing w:before="60"/>
        <w:ind w:left="360"/>
        <w:rPr>
          <w:rFonts w:ascii="Times New Roman" w:hAnsi="Times New Roman" w:cs="Times New Roman"/>
        </w:rPr>
      </w:pPr>
      <w:r w:rsidRPr="00083686">
        <w:rPr>
          <w:rFonts w:ascii="Times New Roman" w:hAnsi="Times New Roman" w:cs="Times New Roman"/>
        </w:rPr>
        <w:t xml:space="preserve">Statewide, </w:t>
      </w:r>
      <w:r w:rsidR="004F3659">
        <w:rPr>
          <w:rFonts w:ascii="Times New Roman" w:hAnsi="Times New Roman" w:cs="Times New Roman"/>
        </w:rPr>
        <w:t>79</w:t>
      </w:r>
      <w:r w:rsidRPr="00083686">
        <w:rPr>
          <w:rFonts w:ascii="Times New Roman" w:hAnsi="Times New Roman" w:cs="Times New Roman"/>
        </w:rPr>
        <w:t xml:space="preserve"> percent of eligible students participated in the survey: </w:t>
      </w:r>
      <w:r w:rsidR="004F3659">
        <w:rPr>
          <w:rFonts w:ascii="Times New Roman" w:hAnsi="Times New Roman" w:cs="Times New Roman"/>
        </w:rPr>
        <w:t>84</w:t>
      </w:r>
      <w:r w:rsidRPr="00083686">
        <w:rPr>
          <w:rFonts w:ascii="Times New Roman" w:hAnsi="Times New Roman" w:cs="Times New Roman"/>
        </w:rPr>
        <w:t xml:space="preserve">% in grade 5, </w:t>
      </w:r>
      <w:r w:rsidR="004F3659">
        <w:rPr>
          <w:rFonts w:ascii="Times New Roman" w:hAnsi="Times New Roman" w:cs="Times New Roman"/>
        </w:rPr>
        <w:t>89</w:t>
      </w:r>
      <w:r w:rsidRPr="00083686">
        <w:rPr>
          <w:rFonts w:ascii="Times New Roman" w:hAnsi="Times New Roman" w:cs="Times New Roman"/>
        </w:rPr>
        <w:t>% in grade 8</w:t>
      </w:r>
      <w:r w:rsidR="00FA27B7">
        <w:rPr>
          <w:rFonts w:ascii="Times New Roman" w:hAnsi="Times New Roman" w:cs="Times New Roman"/>
        </w:rPr>
        <w:t>,</w:t>
      </w:r>
      <w:r w:rsidRPr="00083686">
        <w:rPr>
          <w:rFonts w:ascii="Times New Roman" w:hAnsi="Times New Roman" w:cs="Times New Roman"/>
        </w:rPr>
        <w:t xml:space="preserve"> and 64% in grade 10. </w:t>
      </w:r>
      <w:r w:rsidR="00A741C1">
        <w:rPr>
          <w:rFonts w:ascii="Times New Roman" w:hAnsi="Times New Roman" w:cs="Times New Roman"/>
        </w:rPr>
        <w:t>Large majorities of</w:t>
      </w:r>
      <w:r w:rsidRPr="00083686">
        <w:rPr>
          <w:rFonts w:ascii="Times New Roman" w:hAnsi="Times New Roman" w:cs="Times New Roman"/>
        </w:rPr>
        <w:t xml:space="preserve"> schools </w:t>
      </w:r>
      <w:r w:rsidR="00492C6C">
        <w:rPr>
          <w:rFonts w:ascii="Times New Roman" w:hAnsi="Times New Roman" w:cs="Times New Roman"/>
        </w:rPr>
        <w:t>(</w:t>
      </w:r>
      <w:r w:rsidR="00A741C1">
        <w:rPr>
          <w:rFonts w:ascii="Times New Roman" w:hAnsi="Times New Roman" w:cs="Times New Roman"/>
        </w:rPr>
        <w:t>94</w:t>
      </w:r>
      <w:r w:rsidR="00492C6C">
        <w:rPr>
          <w:rFonts w:ascii="Times New Roman" w:hAnsi="Times New Roman" w:cs="Times New Roman"/>
        </w:rPr>
        <w:t xml:space="preserve">%) </w:t>
      </w:r>
      <w:r w:rsidRPr="00083686">
        <w:rPr>
          <w:rFonts w:ascii="Times New Roman" w:hAnsi="Times New Roman" w:cs="Times New Roman"/>
        </w:rPr>
        <w:t xml:space="preserve">and districts </w:t>
      </w:r>
      <w:r w:rsidR="00492C6C">
        <w:rPr>
          <w:rFonts w:ascii="Times New Roman" w:hAnsi="Times New Roman" w:cs="Times New Roman"/>
        </w:rPr>
        <w:t>(9</w:t>
      </w:r>
      <w:r w:rsidR="00A741C1">
        <w:rPr>
          <w:rFonts w:ascii="Times New Roman" w:hAnsi="Times New Roman" w:cs="Times New Roman"/>
        </w:rPr>
        <w:t>7</w:t>
      </w:r>
      <w:r w:rsidR="00492C6C">
        <w:rPr>
          <w:rFonts w:ascii="Times New Roman" w:hAnsi="Times New Roman" w:cs="Times New Roman"/>
        </w:rPr>
        <w:t xml:space="preserve">%) </w:t>
      </w:r>
      <w:r w:rsidRPr="00083686">
        <w:rPr>
          <w:rFonts w:ascii="Times New Roman" w:hAnsi="Times New Roman" w:cs="Times New Roman"/>
        </w:rPr>
        <w:t>had at least one student respond. Responding students were demographically similar to non-responding students.</w:t>
      </w:r>
    </w:p>
    <w:p w14:paraId="2A454C67" w14:textId="77777777" w:rsidR="00BD5549" w:rsidRDefault="00681A90" w:rsidP="00BD5549">
      <w:pPr>
        <w:pStyle w:val="NoSpacing"/>
        <w:numPr>
          <w:ilvl w:val="0"/>
          <w:numId w:val="6"/>
        </w:numPr>
        <w:spacing w:before="60"/>
        <w:ind w:left="360"/>
        <w:rPr>
          <w:rFonts w:ascii="Times New Roman" w:hAnsi="Times New Roman" w:cs="Times New Roman"/>
        </w:rPr>
      </w:pPr>
      <w:r w:rsidRPr="00BD5549">
        <w:rPr>
          <w:rFonts w:ascii="Times New Roman" w:hAnsi="Times New Roman" w:cs="Times New Roman"/>
        </w:rPr>
        <w:t xml:space="preserve">In addition to reporting individual item responses, </w:t>
      </w:r>
      <w:r w:rsidR="002F2DCB" w:rsidRPr="00BD5549">
        <w:rPr>
          <w:rFonts w:ascii="Times New Roman" w:hAnsi="Times New Roman" w:cs="Times New Roman"/>
        </w:rPr>
        <w:t>D</w:t>
      </w:r>
      <w:r w:rsidRPr="00BD5549">
        <w:rPr>
          <w:rFonts w:ascii="Times New Roman" w:hAnsi="Times New Roman" w:cs="Times New Roman"/>
        </w:rPr>
        <w:t xml:space="preserve">ESE developed an overall school climate </w:t>
      </w:r>
      <w:r w:rsidR="00824A42" w:rsidRPr="00BD5549">
        <w:rPr>
          <w:rFonts w:ascii="Times New Roman" w:hAnsi="Times New Roman" w:cs="Times New Roman"/>
        </w:rPr>
        <w:t xml:space="preserve">index </w:t>
      </w:r>
      <w:r w:rsidR="00CC3DD9" w:rsidRPr="00BD5549">
        <w:rPr>
          <w:rFonts w:ascii="Times New Roman" w:hAnsi="Times New Roman" w:cs="Times New Roman"/>
        </w:rPr>
        <w:t xml:space="preserve">score </w:t>
      </w:r>
      <w:r w:rsidRPr="00BD5549">
        <w:rPr>
          <w:rFonts w:ascii="Times New Roman" w:hAnsi="Times New Roman" w:cs="Times New Roman"/>
        </w:rPr>
        <w:t xml:space="preserve">and </w:t>
      </w:r>
      <w:r w:rsidR="00CC3DD9" w:rsidRPr="00BD5549">
        <w:rPr>
          <w:rFonts w:ascii="Times New Roman" w:hAnsi="Times New Roman" w:cs="Times New Roman"/>
        </w:rPr>
        <w:t xml:space="preserve">index scores </w:t>
      </w:r>
      <w:r w:rsidRPr="00BD5549">
        <w:rPr>
          <w:rFonts w:ascii="Times New Roman" w:hAnsi="Times New Roman" w:cs="Times New Roman"/>
        </w:rPr>
        <w:t xml:space="preserve">for the three dimensions of climate (engagement, safety, and environment). These </w:t>
      </w:r>
      <w:r w:rsidR="00824A42" w:rsidRPr="00BD5549">
        <w:rPr>
          <w:rFonts w:ascii="Times New Roman" w:hAnsi="Times New Roman" w:cs="Times New Roman"/>
        </w:rPr>
        <w:t xml:space="preserve">indices </w:t>
      </w:r>
      <w:r w:rsidRPr="00BD5549">
        <w:rPr>
          <w:rFonts w:ascii="Times New Roman" w:hAnsi="Times New Roman" w:cs="Times New Roman"/>
        </w:rPr>
        <w:t xml:space="preserve">were set to a mean of 50 and a standard deviation of 20; differences </w:t>
      </w:r>
      <w:r w:rsidR="00DA6AD1" w:rsidRPr="00BD5549">
        <w:rPr>
          <w:rFonts w:ascii="Times New Roman" w:hAnsi="Times New Roman" w:cs="Times New Roman"/>
        </w:rPr>
        <w:t xml:space="preserve">on the indices </w:t>
      </w:r>
      <w:r w:rsidRPr="00BD5549">
        <w:rPr>
          <w:rFonts w:ascii="Times New Roman" w:hAnsi="Times New Roman" w:cs="Times New Roman"/>
        </w:rPr>
        <w:t xml:space="preserve">of about 3 to 4 points or more </w:t>
      </w:r>
      <w:r w:rsidR="00966871" w:rsidRPr="00BD5549">
        <w:rPr>
          <w:rFonts w:ascii="Times New Roman" w:hAnsi="Times New Roman" w:cs="Times New Roman"/>
        </w:rPr>
        <w:t>represent a meaningful difference in school climate</w:t>
      </w:r>
      <w:r w:rsidRPr="00BD5549">
        <w:rPr>
          <w:rFonts w:ascii="Times New Roman" w:hAnsi="Times New Roman" w:cs="Times New Roman"/>
        </w:rPr>
        <w:t xml:space="preserve">. </w:t>
      </w:r>
    </w:p>
    <w:p w14:paraId="631AA4CE" w14:textId="1A09F916" w:rsidR="00EF4B60" w:rsidRPr="00BD5549" w:rsidRDefault="00681A90" w:rsidP="00BD5549">
      <w:pPr>
        <w:pStyle w:val="NoSpacing"/>
        <w:numPr>
          <w:ilvl w:val="0"/>
          <w:numId w:val="6"/>
        </w:numPr>
        <w:spacing w:before="60"/>
        <w:ind w:left="360"/>
        <w:rPr>
          <w:rFonts w:ascii="Times New Roman" w:hAnsi="Times New Roman" w:cs="Times New Roman"/>
          <w:b/>
        </w:rPr>
      </w:pPr>
      <w:r w:rsidRPr="00BD5549">
        <w:rPr>
          <w:rFonts w:ascii="Times New Roman" w:hAnsi="Times New Roman" w:cs="Times New Roman"/>
        </w:rPr>
        <w:t xml:space="preserve">All </w:t>
      </w:r>
      <w:r w:rsidR="008D6B2C" w:rsidRPr="00BD5549">
        <w:rPr>
          <w:rFonts w:ascii="Times New Roman" w:hAnsi="Times New Roman" w:cs="Times New Roman"/>
        </w:rPr>
        <w:t xml:space="preserve">indices </w:t>
      </w:r>
      <w:r w:rsidR="0013425D" w:rsidRPr="00BD5549">
        <w:rPr>
          <w:rFonts w:ascii="Times New Roman" w:hAnsi="Times New Roman" w:cs="Times New Roman"/>
        </w:rPr>
        <w:t xml:space="preserve">in 2018 </w:t>
      </w:r>
      <w:r w:rsidRPr="00BD5549">
        <w:rPr>
          <w:rFonts w:ascii="Times New Roman" w:hAnsi="Times New Roman" w:cs="Times New Roman"/>
        </w:rPr>
        <w:t xml:space="preserve">are directly comparable to one another and across grade levels. </w:t>
      </w:r>
      <w:r w:rsidR="00EF4B60" w:rsidRPr="006C62A6">
        <w:rPr>
          <w:rFonts w:ascii="Times New Roman" w:hAnsi="Times New Roman" w:cs="Times New Roman"/>
          <w:shd w:val="clear" w:color="auto" w:fill="FAFAFA"/>
        </w:rPr>
        <w:t xml:space="preserve">For the first time, districts will also receive a </w:t>
      </w:r>
      <w:r w:rsidR="00BD5549" w:rsidRPr="006C62A6">
        <w:rPr>
          <w:rFonts w:ascii="Times New Roman" w:hAnsi="Times New Roman" w:cs="Times New Roman"/>
          <w:shd w:val="clear" w:color="auto" w:fill="FAFAFA"/>
        </w:rPr>
        <w:t>b</w:t>
      </w:r>
      <w:r w:rsidR="00EF4B60" w:rsidRPr="006C62A6">
        <w:rPr>
          <w:rFonts w:ascii="Times New Roman" w:hAnsi="Times New Roman" w:cs="Times New Roman"/>
          <w:shd w:val="clear" w:color="auto" w:fill="FAFAFA"/>
        </w:rPr>
        <w:t>ullying index score</w:t>
      </w:r>
      <w:r w:rsidR="0013425D" w:rsidRPr="006C62A6">
        <w:rPr>
          <w:rFonts w:ascii="Times New Roman" w:hAnsi="Times New Roman" w:cs="Times New Roman"/>
          <w:shd w:val="clear" w:color="auto" w:fill="FAFAFA"/>
        </w:rPr>
        <w:t xml:space="preserve"> that can be compared to other scores</w:t>
      </w:r>
      <w:r w:rsidR="00EF4B60" w:rsidRPr="006C62A6">
        <w:rPr>
          <w:rFonts w:ascii="Times New Roman" w:hAnsi="Times New Roman" w:cs="Times New Roman"/>
          <w:shd w:val="clear" w:color="auto" w:fill="FAFAFA"/>
        </w:rPr>
        <w:t>.</w:t>
      </w:r>
      <w:r w:rsidR="00BD5549" w:rsidRPr="006C62A6">
        <w:rPr>
          <w:rFonts w:ascii="Times New Roman" w:hAnsi="Times New Roman" w:cs="Times New Roman"/>
          <w:shd w:val="clear" w:color="auto" w:fill="FAFAFA"/>
        </w:rPr>
        <w:t xml:space="preserve"> </w:t>
      </w:r>
      <w:r w:rsidR="00EF4B60" w:rsidRPr="00BD5549">
        <w:rPr>
          <w:rFonts w:ascii="Times New Roman" w:hAnsi="Times New Roman" w:cs="Times New Roman"/>
          <w:b/>
        </w:rPr>
        <w:t>Schools and districts</w:t>
      </w:r>
      <w:r w:rsidR="00386AC4" w:rsidRPr="00BD5549">
        <w:rPr>
          <w:rFonts w:ascii="Times New Roman" w:hAnsi="Times New Roman" w:cs="Times New Roman"/>
          <w:b/>
        </w:rPr>
        <w:t xml:space="preserve"> that participated in the 2017 pilot</w:t>
      </w:r>
      <w:r w:rsidR="00EF4B60" w:rsidRPr="00BD5549">
        <w:rPr>
          <w:rFonts w:ascii="Times New Roman" w:hAnsi="Times New Roman" w:cs="Times New Roman"/>
          <w:b/>
        </w:rPr>
        <w:t xml:space="preserve"> should not compare index scores from 2018 to 2017. </w:t>
      </w:r>
      <w:r w:rsidR="00EF4B60" w:rsidRPr="00A56837">
        <w:rPr>
          <w:rFonts w:ascii="Times New Roman" w:hAnsi="Times New Roman" w:cs="Times New Roman"/>
        </w:rPr>
        <w:t xml:space="preserve">The </w:t>
      </w:r>
      <w:r w:rsidR="00AE0C2F" w:rsidRPr="00A56837">
        <w:rPr>
          <w:rFonts w:ascii="Times New Roman" w:hAnsi="Times New Roman" w:cs="Times New Roman"/>
        </w:rPr>
        <w:t xml:space="preserve">2018 </w:t>
      </w:r>
      <w:r w:rsidR="00EF4B60" w:rsidRPr="00A56837">
        <w:rPr>
          <w:rFonts w:ascii="Times New Roman" w:hAnsi="Times New Roman" w:cs="Times New Roman"/>
        </w:rPr>
        <w:t xml:space="preserve">scores are not </w:t>
      </w:r>
      <w:r w:rsidR="00512E8E" w:rsidRPr="00A56837">
        <w:rPr>
          <w:rFonts w:ascii="Times New Roman" w:hAnsi="Times New Roman" w:cs="Times New Roman"/>
        </w:rPr>
        <w:t xml:space="preserve">anchored </w:t>
      </w:r>
      <w:r w:rsidR="00EF4B60" w:rsidRPr="00A56837">
        <w:rPr>
          <w:rFonts w:ascii="Times New Roman" w:hAnsi="Times New Roman" w:cs="Times New Roman"/>
        </w:rPr>
        <w:t xml:space="preserve">on the same scale. The 2018 index scores will form </w:t>
      </w:r>
      <w:r w:rsidR="00AE0C2F" w:rsidRPr="00A56837">
        <w:rPr>
          <w:rFonts w:ascii="Times New Roman" w:hAnsi="Times New Roman" w:cs="Times New Roman"/>
        </w:rPr>
        <w:t>a</w:t>
      </w:r>
      <w:r w:rsidR="00EF4B60" w:rsidRPr="00A56837">
        <w:rPr>
          <w:rFonts w:ascii="Times New Roman" w:hAnsi="Times New Roman" w:cs="Times New Roman"/>
        </w:rPr>
        <w:t xml:space="preserve"> baseline for future trend data.</w:t>
      </w:r>
    </w:p>
    <w:p w14:paraId="103159DE" w14:textId="437F20A4" w:rsidR="00681A90" w:rsidRDefault="00CD08F9" w:rsidP="0038062D">
      <w:pPr>
        <w:pStyle w:val="NoSpacing"/>
        <w:numPr>
          <w:ilvl w:val="0"/>
          <w:numId w:val="6"/>
        </w:numPr>
        <w:spacing w:before="60"/>
        <w:ind w:left="360"/>
        <w:rPr>
          <w:rFonts w:ascii="Times New Roman" w:hAnsi="Times New Roman" w:cs="Times New Roman"/>
        </w:rPr>
      </w:pPr>
      <w:r w:rsidRPr="00083686">
        <w:rPr>
          <w:rFonts w:ascii="Times New Roman" w:hAnsi="Times New Roman" w:cs="Times New Roman"/>
        </w:rPr>
        <w:t xml:space="preserve">To preserve respondent confidentiality, </w:t>
      </w:r>
      <w:r w:rsidR="009A6B60">
        <w:rPr>
          <w:rFonts w:ascii="Times New Roman" w:hAnsi="Times New Roman" w:cs="Times New Roman"/>
        </w:rPr>
        <w:t>D</w:t>
      </w:r>
      <w:r w:rsidR="00DA6AD1" w:rsidRPr="00083686">
        <w:rPr>
          <w:rFonts w:ascii="Times New Roman" w:hAnsi="Times New Roman" w:cs="Times New Roman"/>
        </w:rPr>
        <w:t>ESE</w:t>
      </w:r>
      <w:r w:rsidR="00966871" w:rsidRPr="00083686">
        <w:rPr>
          <w:rFonts w:ascii="Times New Roman" w:hAnsi="Times New Roman" w:cs="Times New Roman"/>
        </w:rPr>
        <w:t xml:space="preserve"> suppressed data if fewer than </w:t>
      </w:r>
      <w:r w:rsidR="00F20C1D" w:rsidRPr="00083686">
        <w:rPr>
          <w:rFonts w:ascii="Times New Roman" w:hAnsi="Times New Roman" w:cs="Times New Roman"/>
        </w:rPr>
        <w:t>10 students responded</w:t>
      </w:r>
      <w:r w:rsidR="00966871" w:rsidRPr="00083686">
        <w:rPr>
          <w:rFonts w:ascii="Times New Roman" w:hAnsi="Times New Roman" w:cs="Times New Roman"/>
        </w:rPr>
        <w:t>, if all students responded identically on an item,</w:t>
      </w:r>
      <w:r w:rsidR="00F20C1D" w:rsidRPr="00083686">
        <w:rPr>
          <w:rFonts w:ascii="Times New Roman" w:hAnsi="Times New Roman" w:cs="Times New Roman"/>
        </w:rPr>
        <w:t xml:space="preserve"> </w:t>
      </w:r>
      <w:r w:rsidR="00966871" w:rsidRPr="00083686">
        <w:rPr>
          <w:rFonts w:ascii="Times New Roman" w:hAnsi="Times New Roman" w:cs="Times New Roman"/>
        </w:rPr>
        <w:t xml:space="preserve">or </w:t>
      </w:r>
      <w:r w:rsidR="00F20C1D" w:rsidRPr="00083686">
        <w:rPr>
          <w:rFonts w:ascii="Times New Roman" w:hAnsi="Times New Roman" w:cs="Times New Roman"/>
        </w:rPr>
        <w:t xml:space="preserve">if the reliability of the responses was </w:t>
      </w:r>
      <w:r w:rsidR="00AC6DBD">
        <w:rPr>
          <w:rFonts w:ascii="Times New Roman" w:hAnsi="Times New Roman" w:cs="Times New Roman"/>
        </w:rPr>
        <w:t>less than</w:t>
      </w:r>
      <w:r w:rsidR="00F20C1D" w:rsidRPr="00083686">
        <w:rPr>
          <w:rFonts w:ascii="Times New Roman" w:hAnsi="Times New Roman" w:cs="Times New Roman"/>
        </w:rPr>
        <w:t xml:space="preserve"> 0.7 on a scale from 0 to 1. </w:t>
      </w:r>
      <w:r w:rsidR="003315B4" w:rsidRPr="00083686">
        <w:rPr>
          <w:rFonts w:ascii="Times New Roman" w:hAnsi="Times New Roman" w:cs="Times New Roman"/>
        </w:rPr>
        <w:t xml:space="preserve">After accounting for these </w:t>
      </w:r>
      <w:r w:rsidR="00BD5549">
        <w:rPr>
          <w:rFonts w:ascii="Times New Roman" w:hAnsi="Times New Roman" w:cs="Times New Roman"/>
        </w:rPr>
        <w:t>criteria</w:t>
      </w:r>
      <w:r w:rsidR="003315B4" w:rsidRPr="00083686">
        <w:rPr>
          <w:rFonts w:ascii="Times New Roman" w:hAnsi="Times New Roman" w:cs="Times New Roman"/>
        </w:rPr>
        <w:t xml:space="preserve">, </w:t>
      </w:r>
      <w:r w:rsidR="00A741C1" w:rsidRPr="00A741C1">
        <w:rPr>
          <w:rFonts w:ascii="Times New Roman" w:hAnsi="Times New Roman" w:cs="Times New Roman"/>
        </w:rPr>
        <w:t xml:space="preserve">88% of schools and </w:t>
      </w:r>
      <w:r w:rsidR="00264E89" w:rsidRPr="00A741C1">
        <w:rPr>
          <w:rFonts w:ascii="Times New Roman" w:hAnsi="Times New Roman" w:cs="Times New Roman"/>
        </w:rPr>
        <w:t>94</w:t>
      </w:r>
      <w:r w:rsidR="00417146" w:rsidRPr="00A741C1">
        <w:rPr>
          <w:rFonts w:ascii="Times New Roman" w:hAnsi="Times New Roman" w:cs="Times New Roman"/>
        </w:rPr>
        <w:t xml:space="preserve">% of districts received a report. </w:t>
      </w:r>
    </w:p>
    <w:p w14:paraId="5094F653" w14:textId="1A12CFE7" w:rsidR="00A56837" w:rsidRPr="006C62A6" w:rsidRDefault="006C62A6" w:rsidP="006C62A6">
      <w:pPr>
        <w:pStyle w:val="NoSpacing"/>
        <w:widowControl w:val="0"/>
        <w:numPr>
          <w:ilvl w:val="0"/>
          <w:numId w:val="6"/>
        </w:numPr>
        <w:spacing w:before="60"/>
        <w:ind w:left="360"/>
        <w:rPr>
          <w:rFonts w:ascii="Times New Roman" w:hAnsi="Times New Roman" w:cs="Times New Roman"/>
          <w:b/>
        </w:rPr>
      </w:pPr>
      <w:r w:rsidRPr="006C62A6">
        <w:rPr>
          <w:rFonts w:ascii="Times New Roman" w:hAnsi="Times New Roman" w:cs="Times New Roman"/>
        </w:rPr>
        <w:t xml:space="preserve">Districts and schools will receive reports </w:t>
      </w:r>
      <w:r>
        <w:rPr>
          <w:rFonts w:ascii="Times New Roman" w:hAnsi="Times New Roman" w:cs="Times New Roman"/>
        </w:rPr>
        <w:t xml:space="preserve">on the three indices and individual item responses </w:t>
      </w:r>
      <w:r w:rsidRPr="006C62A6">
        <w:rPr>
          <w:rFonts w:ascii="Times New Roman" w:hAnsi="Times New Roman" w:cs="Times New Roman"/>
        </w:rPr>
        <w:t xml:space="preserve">in October 2018 and a second </w:t>
      </w:r>
      <w:r>
        <w:rPr>
          <w:rFonts w:ascii="Times New Roman" w:hAnsi="Times New Roman" w:cs="Times New Roman"/>
        </w:rPr>
        <w:t xml:space="preserve">set of </w:t>
      </w:r>
      <w:r w:rsidRPr="006C62A6">
        <w:rPr>
          <w:rFonts w:ascii="Times New Roman" w:hAnsi="Times New Roman" w:cs="Times New Roman"/>
        </w:rPr>
        <w:t>report</w:t>
      </w:r>
      <w:r>
        <w:rPr>
          <w:rFonts w:ascii="Times New Roman" w:hAnsi="Times New Roman" w:cs="Times New Roman"/>
        </w:rPr>
        <w:t>s</w:t>
      </w:r>
      <w:r w:rsidRPr="006C62A6">
        <w:rPr>
          <w:rFonts w:ascii="Times New Roman" w:hAnsi="Times New Roman" w:cs="Times New Roman"/>
        </w:rPr>
        <w:t xml:space="preserve"> with subgroup breakouts and a district-level bullying index later in fall 2018. </w:t>
      </w:r>
    </w:p>
    <w:p w14:paraId="58A14676" w14:textId="4A30E383" w:rsidR="0089788C" w:rsidRPr="00083686" w:rsidRDefault="0089788C" w:rsidP="00FB657D">
      <w:pPr>
        <w:pStyle w:val="NoSpacing"/>
        <w:rPr>
          <w:rFonts w:ascii="Times New Roman" w:hAnsi="Times New Roman" w:cs="Times New Roman"/>
        </w:rPr>
      </w:pPr>
      <w:r w:rsidRPr="00083686">
        <w:rPr>
          <w:rFonts w:ascii="Times New Roman" w:hAnsi="Times New Roman" w:cs="Times New Roman"/>
          <w:b/>
        </w:rPr>
        <w:lastRenderedPageBreak/>
        <w:t>Findings</w:t>
      </w:r>
    </w:p>
    <w:p w14:paraId="4E0BF3F0" w14:textId="392C1A4E" w:rsidR="00C67194" w:rsidRPr="00722A83" w:rsidRDefault="00694F35" w:rsidP="00C67194">
      <w:pPr>
        <w:pStyle w:val="NoSpacing"/>
        <w:numPr>
          <w:ilvl w:val="0"/>
          <w:numId w:val="6"/>
        </w:numPr>
        <w:spacing w:before="60"/>
        <w:ind w:left="360"/>
        <w:rPr>
          <w:rFonts w:ascii="Times New Roman" w:hAnsi="Times New Roman" w:cs="Times New Roman"/>
        </w:rPr>
      </w:pPr>
      <w:r w:rsidRPr="00722A83">
        <w:rPr>
          <w:rFonts w:ascii="Times New Roman" w:hAnsi="Times New Roman" w:cs="Times New Roman"/>
        </w:rPr>
        <w:t>Students generally reported that they experienced positive school climates.</w:t>
      </w:r>
    </w:p>
    <w:p w14:paraId="2716D24C" w14:textId="2D062E90" w:rsidR="00722A83" w:rsidRPr="00722A83" w:rsidRDefault="00722A83" w:rsidP="00722A83">
      <w:pPr>
        <w:pStyle w:val="NoSpacing"/>
        <w:numPr>
          <w:ilvl w:val="1"/>
          <w:numId w:val="6"/>
        </w:numPr>
        <w:spacing w:before="60"/>
        <w:ind w:left="810" w:hanging="450"/>
        <w:rPr>
          <w:rFonts w:ascii="Times New Roman" w:hAnsi="Times New Roman" w:cs="Times New Roman"/>
        </w:rPr>
      </w:pPr>
      <w:r w:rsidRPr="00722A83">
        <w:rPr>
          <w:rFonts w:ascii="Times New Roman" w:hAnsi="Times New Roman" w:cs="Times New Roman"/>
        </w:rPr>
        <w:t xml:space="preserve">In schools with </w:t>
      </w:r>
      <w:r w:rsidR="00FA27B7">
        <w:rPr>
          <w:rFonts w:ascii="Times New Roman" w:hAnsi="Times New Roman" w:cs="Times New Roman"/>
        </w:rPr>
        <w:t>typical</w:t>
      </w:r>
      <w:r w:rsidRPr="00722A83">
        <w:rPr>
          <w:rFonts w:ascii="Times New Roman" w:hAnsi="Times New Roman" w:cs="Times New Roman"/>
        </w:rPr>
        <w:t xml:space="preserve"> school climates, the average student within the school responded “mostly true” to a majority of items and “always true” to a majority of the remaining items</w:t>
      </w:r>
    </w:p>
    <w:p w14:paraId="6BF9F2F5" w14:textId="2046927E" w:rsidR="00694F35" w:rsidRPr="00722A83" w:rsidRDefault="00816F02" w:rsidP="00816F02">
      <w:pPr>
        <w:pStyle w:val="NoSpacing"/>
        <w:numPr>
          <w:ilvl w:val="1"/>
          <w:numId w:val="6"/>
        </w:numPr>
        <w:spacing w:before="60"/>
        <w:ind w:left="810" w:hanging="450"/>
        <w:rPr>
          <w:rFonts w:ascii="Times New Roman" w:hAnsi="Times New Roman" w:cs="Times New Roman"/>
        </w:rPr>
      </w:pPr>
      <w:r w:rsidRPr="00722A83">
        <w:rPr>
          <w:rFonts w:ascii="Times New Roman" w:hAnsi="Times New Roman" w:cs="Times New Roman"/>
        </w:rPr>
        <w:t>Across all three grades, 7 in 10 students responded in the two most positive categories on over 60% of the items within each survey.</w:t>
      </w:r>
    </w:p>
    <w:p w14:paraId="3E1906AB" w14:textId="162DBC46" w:rsidR="00BA31E8" w:rsidRPr="000A20B9" w:rsidRDefault="00604FF9" w:rsidP="0038062D">
      <w:pPr>
        <w:pStyle w:val="NoSpacing"/>
        <w:numPr>
          <w:ilvl w:val="0"/>
          <w:numId w:val="6"/>
        </w:numPr>
        <w:spacing w:before="60" w:after="240"/>
        <w:ind w:left="360"/>
        <w:rPr>
          <w:rFonts w:ascii="Times New Roman" w:hAnsi="Times New Roman" w:cs="Times New Roman"/>
        </w:rPr>
      </w:pPr>
      <w:r w:rsidRPr="00083686">
        <w:rPr>
          <w:rFonts w:ascii="Times New Roman" w:hAnsi="Times New Roman" w:cs="Times New Roman"/>
        </w:rPr>
        <w:t xml:space="preserve">Students </w:t>
      </w:r>
      <w:r w:rsidR="001E5AE6">
        <w:rPr>
          <w:rFonts w:ascii="Times New Roman" w:hAnsi="Times New Roman" w:cs="Times New Roman"/>
        </w:rPr>
        <w:t xml:space="preserve">in grade 5 reported more </w:t>
      </w:r>
      <w:r w:rsidRPr="00083686">
        <w:rPr>
          <w:rFonts w:ascii="Times New Roman" w:hAnsi="Times New Roman" w:cs="Times New Roman"/>
        </w:rPr>
        <w:t>positive school climates</w:t>
      </w:r>
      <w:r w:rsidR="001E5AE6">
        <w:rPr>
          <w:rFonts w:ascii="Times New Roman" w:hAnsi="Times New Roman" w:cs="Times New Roman"/>
        </w:rPr>
        <w:t xml:space="preserve"> than students in grade 8 or grade 10</w:t>
      </w:r>
      <w:r w:rsidR="00BA31E8">
        <w:rPr>
          <w:rFonts w:ascii="Times New Roman" w:hAnsi="Times New Roman" w:cs="Times New Roman"/>
        </w:rPr>
        <w:t xml:space="preserve"> across all three dimensions of school climate</w:t>
      </w:r>
      <w:r w:rsidR="00B21E49">
        <w:rPr>
          <w:rFonts w:ascii="Times New Roman" w:hAnsi="Times New Roman" w:cs="Times New Roman"/>
        </w:rPr>
        <w:t>.</w:t>
      </w:r>
      <w:r w:rsidR="00BA31E8">
        <w:rPr>
          <w:rFonts w:ascii="Times New Roman" w:hAnsi="Times New Roman" w:cs="Times New Roman"/>
        </w:rPr>
        <w:t xml:space="preserve"> </w:t>
      </w:r>
      <w:r w:rsidRPr="00083686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tudent level average index score"/>
      </w:tblPr>
      <w:tblGrid>
        <w:gridCol w:w="2457"/>
        <w:gridCol w:w="1415"/>
        <w:gridCol w:w="1415"/>
        <w:gridCol w:w="1733"/>
      </w:tblGrid>
      <w:tr w:rsidR="00A56837" w:rsidRPr="00083686" w14:paraId="1F153054" w14:textId="77777777" w:rsidTr="00A55F3E">
        <w:trPr>
          <w:tblHeader/>
          <w:jc w:val="center"/>
        </w:trPr>
        <w:tc>
          <w:tcPr>
            <w:tcW w:w="2457" w:type="dxa"/>
            <w:vMerge w:val="restart"/>
          </w:tcPr>
          <w:p w14:paraId="612193E1" w14:textId="77777777" w:rsidR="00A56837" w:rsidRPr="00083686" w:rsidRDefault="00A56837" w:rsidP="005658A1">
            <w:pPr>
              <w:pStyle w:val="NoSpacing"/>
              <w:keepNext/>
              <w:keepLines/>
              <w:spacing w:before="6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gridSpan w:val="3"/>
            <w:shd w:val="clear" w:color="auto" w:fill="FBD4B4" w:themeFill="accent6" w:themeFillTint="66"/>
          </w:tcPr>
          <w:p w14:paraId="6032FCB2" w14:textId="77777777" w:rsidR="00A56837" w:rsidRPr="00083686" w:rsidRDefault="00A56837" w:rsidP="005658A1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sz w:val="24"/>
                <w:szCs w:val="24"/>
              </w:rPr>
              <w:t>Student-level average index score</w:t>
            </w:r>
          </w:p>
        </w:tc>
      </w:tr>
      <w:tr w:rsidR="00A56837" w:rsidRPr="00083686" w14:paraId="011ED733" w14:textId="77777777" w:rsidTr="00A55F3E">
        <w:trPr>
          <w:tblHeader/>
          <w:jc w:val="center"/>
        </w:trPr>
        <w:tc>
          <w:tcPr>
            <w:tcW w:w="2457" w:type="dxa"/>
            <w:vMerge/>
          </w:tcPr>
          <w:p w14:paraId="0AEBBD11" w14:textId="77777777" w:rsidR="00A56837" w:rsidRPr="00083686" w:rsidRDefault="00A56837" w:rsidP="005658A1">
            <w:pPr>
              <w:pStyle w:val="NoSpacing"/>
              <w:keepNext/>
              <w:keepLines/>
              <w:spacing w:before="6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1F497D" w:themeFill="text2"/>
          </w:tcPr>
          <w:p w14:paraId="10C0F1A5" w14:textId="77777777" w:rsidR="00A56837" w:rsidRPr="00A56837" w:rsidRDefault="00A56837" w:rsidP="005658A1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5683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Grade 5</w:t>
            </w:r>
          </w:p>
        </w:tc>
        <w:tc>
          <w:tcPr>
            <w:tcW w:w="1415" w:type="dxa"/>
            <w:shd w:val="clear" w:color="auto" w:fill="1F497D" w:themeFill="text2"/>
          </w:tcPr>
          <w:p w14:paraId="550310D2" w14:textId="77777777" w:rsidR="00A56837" w:rsidRPr="00A56837" w:rsidRDefault="00A56837" w:rsidP="005658A1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5683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Grade 8</w:t>
            </w:r>
          </w:p>
        </w:tc>
        <w:tc>
          <w:tcPr>
            <w:tcW w:w="1733" w:type="dxa"/>
            <w:shd w:val="clear" w:color="auto" w:fill="1F497D" w:themeFill="text2"/>
          </w:tcPr>
          <w:p w14:paraId="71A925DF" w14:textId="77777777" w:rsidR="00A56837" w:rsidRPr="00A56837" w:rsidRDefault="00A56837" w:rsidP="005658A1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5683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Grade 10</w:t>
            </w:r>
          </w:p>
        </w:tc>
      </w:tr>
      <w:tr w:rsidR="00BA31E8" w:rsidRPr="00083686" w14:paraId="617D4A69" w14:textId="77777777" w:rsidTr="00A55F3E">
        <w:trPr>
          <w:tblHeader/>
          <w:jc w:val="center"/>
        </w:trPr>
        <w:tc>
          <w:tcPr>
            <w:tcW w:w="2457" w:type="dxa"/>
          </w:tcPr>
          <w:p w14:paraId="17326452" w14:textId="77777777" w:rsidR="00BA31E8" w:rsidRPr="00083686" w:rsidRDefault="00BA31E8" w:rsidP="00C91D00">
            <w:pPr>
              <w:pStyle w:val="NoSpacing"/>
              <w:keepNext/>
              <w:keepLines/>
              <w:spacing w:before="60"/>
              <w:ind w:left="720" w:hanging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sz w:val="24"/>
                <w:szCs w:val="24"/>
              </w:rPr>
              <w:t>Overall school climate</w:t>
            </w:r>
          </w:p>
        </w:tc>
        <w:tc>
          <w:tcPr>
            <w:tcW w:w="1415" w:type="dxa"/>
          </w:tcPr>
          <w:p w14:paraId="033F5863" w14:textId="77777777" w:rsidR="00BA31E8" w:rsidRPr="00083686" w:rsidRDefault="00BA31E8" w:rsidP="005658A1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5" w:type="dxa"/>
          </w:tcPr>
          <w:p w14:paraId="302E8E97" w14:textId="77777777" w:rsidR="00BA31E8" w:rsidRPr="00083686" w:rsidRDefault="00BA31E8" w:rsidP="005658A1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14:paraId="05211708" w14:textId="77777777" w:rsidR="00BA31E8" w:rsidRPr="00083686" w:rsidRDefault="00BA31E8" w:rsidP="005658A1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1E8" w:rsidRPr="00083686" w14:paraId="42BCFAEE" w14:textId="77777777" w:rsidTr="00A55F3E">
        <w:trPr>
          <w:tblHeader/>
          <w:jc w:val="center"/>
        </w:trPr>
        <w:tc>
          <w:tcPr>
            <w:tcW w:w="2457" w:type="dxa"/>
          </w:tcPr>
          <w:p w14:paraId="1E9C7EB1" w14:textId="77777777" w:rsidR="00BA31E8" w:rsidRPr="00083686" w:rsidRDefault="00BA31E8" w:rsidP="00C91D00">
            <w:pPr>
              <w:pStyle w:val="NoSpacing"/>
              <w:keepNext/>
              <w:keepLines/>
              <w:spacing w:before="60"/>
              <w:ind w:left="720" w:hanging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sz w:val="24"/>
                <w:szCs w:val="24"/>
              </w:rPr>
              <w:t>Engagement</w:t>
            </w:r>
          </w:p>
        </w:tc>
        <w:tc>
          <w:tcPr>
            <w:tcW w:w="1415" w:type="dxa"/>
          </w:tcPr>
          <w:p w14:paraId="74B514AE" w14:textId="77777777" w:rsidR="00BA31E8" w:rsidRPr="00083686" w:rsidRDefault="00BA31E8" w:rsidP="005658A1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14:paraId="61E742E2" w14:textId="77777777" w:rsidR="00BA31E8" w:rsidRPr="00083686" w:rsidRDefault="00BA31E8" w:rsidP="005658A1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14:paraId="7FFDB2B0" w14:textId="77777777" w:rsidR="00BA31E8" w:rsidRPr="00083686" w:rsidRDefault="00BA31E8" w:rsidP="005658A1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1E8" w:rsidRPr="00083686" w14:paraId="1931BA54" w14:textId="77777777" w:rsidTr="00A55F3E">
        <w:trPr>
          <w:tblHeader/>
          <w:jc w:val="center"/>
        </w:trPr>
        <w:tc>
          <w:tcPr>
            <w:tcW w:w="2457" w:type="dxa"/>
          </w:tcPr>
          <w:p w14:paraId="66F35300" w14:textId="77777777" w:rsidR="00BA31E8" w:rsidRPr="00083686" w:rsidRDefault="00BA31E8" w:rsidP="00C91D00">
            <w:pPr>
              <w:pStyle w:val="NoSpacing"/>
              <w:keepNext/>
              <w:keepLines/>
              <w:spacing w:before="60"/>
              <w:ind w:left="720" w:hanging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</w:p>
        </w:tc>
        <w:tc>
          <w:tcPr>
            <w:tcW w:w="1415" w:type="dxa"/>
          </w:tcPr>
          <w:p w14:paraId="1FC41F56" w14:textId="77777777" w:rsidR="00BA31E8" w:rsidRPr="00083686" w:rsidRDefault="00BA31E8" w:rsidP="005658A1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</w:tcPr>
          <w:p w14:paraId="41F2F524" w14:textId="77777777" w:rsidR="00BA31E8" w:rsidRPr="00083686" w:rsidRDefault="00BA31E8" w:rsidP="005658A1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33" w:type="dxa"/>
          </w:tcPr>
          <w:p w14:paraId="20B34A2F" w14:textId="77777777" w:rsidR="00BA31E8" w:rsidRPr="00083686" w:rsidRDefault="00BA31E8" w:rsidP="005658A1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15446" w:rsidRPr="00083686" w14:paraId="560053CA" w14:textId="77777777" w:rsidTr="00A55F3E">
        <w:trPr>
          <w:tblHeader/>
          <w:jc w:val="center"/>
        </w:trPr>
        <w:tc>
          <w:tcPr>
            <w:tcW w:w="2457" w:type="dxa"/>
          </w:tcPr>
          <w:p w14:paraId="1192A050" w14:textId="503F81F7" w:rsidR="00D15446" w:rsidRPr="00083686" w:rsidRDefault="00D15446" w:rsidP="00D15446">
            <w:pPr>
              <w:pStyle w:val="NoSpacing"/>
              <w:keepNext/>
              <w:keepLines/>
              <w:spacing w:before="60"/>
              <w:ind w:left="720" w:hanging="74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Bullying</w:t>
            </w:r>
          </w:p>
        </w:tc>
        <w:tc>
          <w:tcPr>
            <w:tcW w:w="1415" w:type="dxa"/>
          </w:tcPr>
          <w:p w14:paraId="411CD87B" w14:textId="2F69C97B" w:rsidR="00D15446" w:rsidRPr="00083686" w:rsidRDefault="00D15446" w:rsidP="00D15446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5" w:type="dxa"/>
          </w:tcPr>
          <w:p w14:paraId="0AA9C21A" w14:textId="08634AFB" w:rsidR="00D15446" w:rsidRPr="00083686" w:rsidRDefault="00D15446" w:rsidP="00D15446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33" w:type="dxa"/>
          </w:tcPr>
          <w:p w14:paraId="2D8803A3" w14:textId="644023BF" w:rsidR="00D15446" w:rsidRPr="00083686" w:rsidRDefault="00D15446" w:rsidP="00D15446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15446" w:rsidRPr="00083686" w14:paraId="58750B6E" w14:textId="77777777" w:rsidTr="00A55F3E">
        <w:trPr>
          <w:tblHeader/>
          <w:jc w:val="center"/>
        </w:trPr>
        <w:tc>
          <w:tcPr>
            <w:tcW w:w="2457" w:type="dxa"/>
          </w:tcPr>
          <w:p w14:paraId="23C5E669" w14:textId="77777777" w:rsidR="00D15446" w:rsidRPr="00083686" w:rsidRDefault="00D15446" w:rsidP="00D15446">
            <w:pPr>
              <w:pStyle w:val="NoSpacing"/>
              <w:keepNext/>
              <w:keepLines/>
              <w:spacing w:before="60"/>
              <w:ind w:left="720" w:hanging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</w:p>
        </w:tc>
        <w:tc>
          <w:tcPr>
            <w:tcW w:w="1415" w:type="dxa"/>
          </w:tcPr>
          <w:p w14:paraId="7A24FEF7" w14:textId="77777777" w:rsidR="00D15446" w:rsidRPr="00083686" w:rsidRDefault="00D15446" w:rsidP="00D15446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14:paraId="78564C1A" w14:textId="77777777" w:rsidR="00D15446" w:rsidRPr="00083686" w:rsidRDefault="00D15446" w:rsidP="00D15446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14:paraId="21B283BF" w14:textId="77777777" w:rsidR="00D15446" w:rsidRPr="00083686" w:rsidRDefault="00D15446" w:rsidP="00D15446">
            <w:pPr>
              <w:pStyle w:val="NoSpacing"/>
              <w:keepNext/>
              <w:keepLines/>
              <w:spacing w:before="60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D62B406" w14:textId="77777777" w:rsidR="00B21E49" w:rsidRPr="00FB657D" w:rsidRDefault="00B44ED1" w:rsidP="0038062D">
      <w:pPr>
        <w:pStyle w:val="NoSpacing"/>
        <w:numPr>
          <w:ilvl w:val="2"/>
          <w:numId w:val="6"/>
        </w:numPr>
        <w:tabs>
          <w:tab w:val="left" w:pos="720"/>
        </w:tabs>
        <w:spacing w:before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 w:rsidR="003F1AD8" w:rsidRPr="00083686">
        <w:rPr>
          <w:rFonts w:ascii="Times New Roman" w:hAnsi="Times New Roman" w:cs="Times New Roman"/>
        </w:rPr>
        <w:t xml:space="preserve"> schools with </w:t>
      </w:r>
      <w:r>
        <w:rPr>
          <w:rFonts w:ascii="Times New Roman" w:hAnsi="Times New Roman" w:cs="Times New Roman"/>
        </w:rPr>
        <w:t xml:space="preserve">typical </w:t>
      </w:r>
      <w:r w:rsidR="003F1AD8" w:rsidRPr="00083686">
        <w:rPr>
          <w:rFonts w:ascii="Times New Roman" w:hAnsi="Times New Roman" w:cs="Times New Roman"/>
        </w:rPr>
        <w:t xml:space="preserve">school climates, the average </w:t>
      </w:r>
      <w:r>
        <w:rPr>
          <w:rFonts w:ascii="Times New Roman" w:hAnsi="Times New Roman" w:cs="Times New Roman"/>
        </w:rPr>
        <w:t xml:space="preserve">fifth grade </w:t>
      </w:r>
      <w:r w:rsidR="003F1AD8" w:rsidRPr="00083686">
        <w:rPr>
          <w:rFonts w:ascii="Times New Roman" w:hAnsi="Times New Roman" w:cs="Times New Roman"/>
        </w:rPr>
        <w:t xml:space="preserve">student responded “always true” </w:t>
      </w:r>
      <w:r>
        <w:rPr>
          <w:rFonts w:ascii="Times New Roman" w:hAnsi="Times New Roman" w:cs="Times New Roman"/>
        </w:rPr>
        <w:t xml:space="preserve">to a 33% of the </w:t>
      </w:r>
      <w:r w:rsidR="00B21E49">
        <w:rPr>
          <w:rFonts w:ascii="Times New Roman" w:hAnsi="Times New Roman" w:cs="Times New Roman"/>
        </w:rPr>
        <w:t xml:space="preserve">survey’s </w:t>
      </w:r>
      <w:r>
        <w:rPr>
          <w:rFonts w:ascii="Times New Roman" w:hAnsi="Times New Roman" w:cs="Times New Roman"/>
        </w:rPr>
        <w:t>items</w:t>
      </w:r>
      <w:r w:rsidR="00AE7E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In comparison, the average grade 8 and grade 10 student within schools with typical school climates responded “always true” to only 16% and 10% of the</w:t>
      </w:r>
      <w:r w:rsidR="00B21E49">
        <w:rPr>
          <w:rFonts w:ascii="Times New Roman" w:hAnsi="Times New Roman" w:cs="Times New Roman"/>
        </w:rPr>
        <w:t xml:space="preserve"> surveys’</w:t>
      </w:r>
      <w:r>
        <w:rPr>
          <w:rFonts w:ascii="Times New Roman" w:hAnsi="Times New Roman" w:cs="Times New Roman"/>
        </w:rPr>
        <w:t xml:space="preserve"> items, respectively.</w:t>
      </w:r>
      <w:r w:rsidR="00E84D89">
        <w:rPr>
          <w:rFonts w:ascii="Times New Roman" w:hAnsi="Times New Roman" w:cs="Times New Roman"/>
        </w:rPr>
        <w:t xml:space="preserve"> F</w:t>
      </w:r>
      <w:r w:rsidR="00B21E49" w:rsidRPr="00E84D89">
        <w:rPr>
          <w:rFonts w:ascii="Times New Roman" w:hAnsi="Times New Roman" w:cs="Times New Roman"/>
        </w:rPr>
        <w:t xml:space="preserve">or example, </w:t>
      </w:r>
      <w:r w:rsidR="00E84D89">
        <w:rPr>
          <w:rFonts w:ascii="Times New Roman" w:hAnsi="Times New Roman" w:cs="Times New Roman"/>
        </w:rPr>
        <w:t>22</w:t>
      </w:r>
      <w:r w:rsidR="00B21E49" w:rsidRPr="00E84D89">
        <w:rPr>
          <w:rFonts w:ascii="Times New Roman" w:hAnsi="Times New Roman" w:cs="Times New Roman"/>
        </w:rPr>
        <w:t>% or grade 5 students responded “always</w:t>
      </w:r>
      <w:r w:rsidR="00E84D89">
        <w:rPr>
          <w:rFonts w:ascii="Times New Roman" w:hAnsi="Times New Roman" w:cs="Times New Roman"/>
        </w:rPr>
        <w:t xml:space="preserve"> </w:t>
      </w:r>
      <w:r w:rsidR="00B21E49" w:rsidRPr="00E84D89">
        <w:rPr>
          <w:rFonts w:ascii="Times New Roman" w:hAnsi="Times New Roman" w:cs="Times New Roman"/>
        </w:rPr>
        <w:t>true</w:t>
      </w:r>
      <w:r w:rsidR="00E84D89">
        <w:rPr>
          <w:rFonts w:ascii="Times New Roman" w:hAnsi="Times New Roman" w:cs="Times New Roman"/>
        </w:rPr>
        <w:t>”</w:t>
      </w:r>
      <w:r w:rsidR="00B21E49" w:rsidRPr="00E84D89">
        <w:rPr>
          <w:rFonts w:ascii="Times New Roman" w:hAnsi="Times New Roman" w:cs="Times New Roman"/>
        </w:rPr>
        <w:t xml:space="preserve"> to the statement, “My teachers use my ideas to help my classmates learn.” In comparison, </w:t>
      </w:r>
      <w:r w:rsidR="00E84D89">
        <w:rPr>
          <w:rFonts w:ascii="Times New Roman" w:hAnsi="Times New Roman" w:cs="Times New Roman"/>
        </w:rPr>
        <w:t>8</w:t>
      </w:r>
      <w:r w:rsidR="00B21E49" w:rsidRPr="00E84D89">
        <w:rPr>
          <w:rFonts w:ascii="Times New Roman" w:hAnsi="Times New Roman" w:cs="Times New Roman"/>
        </w:rPr>
        <w:t xml:space="preserve">% and </w:t>
      </w:r>
      <w:r w:rsidR="00E84D89">
        <w:rPr>
          <w:rFonts w:ascii="Times New Roman" w:hAnsi="Times New Roman" w:cs="Times New Roman"/>
        </w:rPr>
        <w:t>12</w:t>
      </w:r>
      <w:r w:rsidR="00B21E49" w:rsidRPr="00E84D89">
        <w:rPr>
          <w:rFonts w:ascii="Times New Roman" w:hAnsi="Times New Roman" w:cs="Times New Roman"/>
        </w:rPr>
        <w:t>% of grade 8 and grade 10 students responded similarly to this item.</w:t>
      </w:r>
    </w:p>
    <w:p w14:paraId="5EA12D15" w14:textId="067C9FBF" w:rsidR="00D77F1B" w:rsidRPr="00722A83" w:rsidDel="00C67194" w:rsidRDefault="007275BE" w:rsidP="0038062D">
      <w:pPr>
        <w:pStyle w:val="NoSpacing"/>
        <w:numPr>
          <w:ilvl w:val="0"/>
          <w:numId w:val="6"/>
        </w:numPr>
        <w:spacing w:before="60"/>
        <w:ind w:left="360"/>
        <w:rPr>
          <w:rFonts w:ascii="Times New Roman" w:hAnsi="Times New Roman" w:cs="Times New Roman"/>
        </w:rPr>
      </w:pPr>
      <w:r w:rsidRPr="00722A83" w:rsidDel="00C67194">
        <w:rPr>
          <w:rFonts w:ascii="Times New Roman" w:hAnsi="Times New Roman" w:cs="Times New Roman"/>
        </w:rPr>
        <w:t xml:space="preserve">Among schools that had sufficient responses to receive reports, the overall school climate index ranged from 27 to 78, showing </w:t>
      </w:r>
      <w:r w:rsidR="002546DA" w:rsidRPr="00722A83" w:rsidDel="00C67194">
        <w:rPr>
          <w:rFonts w:ascii="Times New Roman" w:hAnsi="Times New Roman" w:cs="Times New Roman"/>
        </w:rPr>
        <w:t>considerable</w:t>
      </w:r>
      <w:r w:rsidRPr="00722A83" w:rsidDel="00C67194">
        <w:rPr>
          <w:rFonts w:ascii="Times New Roman" w:hAnsi="Times New Roman" w:cs="Times New Roman"/>
        </w:rPr>
        <w:t xml:space="preserve"> variation in climate across schools.</w:t>
      </w:r>
      <w:r w:rsidR="002973C9" w:rsidRPr="00722A83" w:rsidDel="00C67194">
        <w:rPr>
          <w:rFonts w:ascii="Times New Roman" w:hAnsi="Times New Roman" w:cs="Times New Roman"/>
        </w:rPr>
        <w:t xml:space="preserve"> </w:t>
      </w:r>
      <w:r w:rsidR="002546DA" w:rsidRPr="00722A83">
        <w:rPr>
          <w:rFonts w:ascii="Times New Roman" w:hAnsi="Times New Roman" w:cs="Times New Roman"/>
        </w:rPr>
        <w:t>Substantial variation was also evident among schools for each of the three dimension</w:t>
      </w:r>
      <w:r w:rsidR="00B164DF" w:rsidRPr="00722A83">
        <w:rPr>
          <w:rFonts w:ascii="Times New Roman" w:hAnsi="Times New Roman" w:cs="Times New Roman"/>
        </w:rPr>
        <w:t>s</w:t>
      </w:r>
      <w:r w:rsidR="002546DA" w:rsidRPr="00722A83">
        <w:rPr>
          <w:rFonts w:ascii="Times New Roman" w:hAnsi="Times New Roman" w:cs="Times New Roman"/>
        </w:rPr>
        <w:t xml:space="preserve"> of school climate: engagement (</w:t>
      </w:r>
      <w:r w:rsidR="00C010F5" w:rsidRPr="00722A83">
        <w:rPr>
          <w:rFonts w:ascii="Times New Roman" w:hAnsi="Times New Roman" w:cs="Times New Roman"/>
        </w:rPr>
        <w:t xml:space="preserve">scores ranged from </w:t>
      </w:r>
      <w:r w:rsidR="007C55C4" w:rsidRPr="00722A83">
        <w:rPr>
          <w:rFonts w:ascii="Times New Roman" w:hAnsi="Times New Roman" w:cs="Times New Roman"/>
        </w:rPr>
        <w:t>35 to 75), safety (23 to 74), and environment (30 to 73).</w:t>
      </w:r>
    </w:p>
    <w:p w14:paraId="684B75D6" w14:textId="77777777" w:rsidR="00DB7B2F" w:rsidRPr="00083686" w:rsidRDefault="000121AB" w:rsidP="0038062D">
      <w:pPr>
        <w:pStyle w:val="NoSpacing"/>
        <w:numPr>
          <w:ilvl w:val="0"/>
          <w:numId w:val="6"/>
        </w:numPr>
        <w:spacing w:before="6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Across the three grades, s</w:t>
      </w:r>
      <w:r w:rsidR="00DB7B2F" w:rsidRPr="00083686">
        <w:rPr>
          <w:rFonts w:ascii="Times New Roman" w:hAnsi="Times New Roman" w:cs="Times New Roman"/>
        </w:rPr>
        <w:t>tudents in</w:t>
      </w:r>
      <w:r w:rsidR="00DB7B2F" w:rsidRPr="00083686">
        <w:rPr>
          <w:rFonts w:ascii="Times New Roman" w:hAnsi="Times New Roman" w:cs="Times New Roman"/>
          <w:b/>
        </w:rPr>
        <w:t xml:space="preserve"> </w:t>
      </w:r>
      <w:r w:rsidR="00DB7B2F" w:rsidRPr="00FA27B7">
        <w:rPr>
          <w:rFonts w:ascii="Times New Roman" w:hAnsi="Times New Roman" w:cs="Times New Roman"/>
        </w:rPr>
        <w:t>s</w:t>
      </w:r>
      <w:r w:rsidR="00DB7B2F" w:rsidRPr="00083686">
        <w:rPr>
          <w:rFonts w:ascii="Times New Roman" w:hAnsi="Times New Roman" w:cs="Times New Roman"/>
        </w:rPr>
        <w:t xml:space="preserve">chools with the </w:t>
      </w:r>
      <w:r w:rsidR="00DB7B2F" w:rsidRPr="00083686">
        <w:rPr>
          <w:rFonts w:ascii="Times New Roman" w:hAnsi="Times New Roman" w:cs="Times New Roman"/>
          <w:b/>
        </w:rPr>
        <w:t>strongest</w:t>
      </w:r>
      <w:r w:rsidR="00DB7B2F" w:rsidRPr="00083686">
        <w:rPr>
          <w:rFonts w:ascii="Times New Roman" w:hAnsi="Times New Roman" w:cs="Times New Roman"/>
        </w:rPr>
        <w:t xml:space="preserve"> climates (</w:t>
      </w:r>
      <w:r w:rsidR="00893708">
        <w:rPr>
          <w:rFonts w:ascii="Times New Roman" w:hAnsi="Times New Roman" w:cs="Times New Roman"/>
        </w:rPr>
        <w:t>the top 15%</w:t>
      </w:r>
      <w:r w:rsidR="00B36394" w:rsidRPr="00083686">
        <w:rPr>
          <w:rFonts w:ascii="Times New Roman" w:hAnsi="Times New Roman" w:cs="Times New Roman"/>
        </w:rPr>
        <w:t xml:space="preserve"> </w:t>
      </w:r>
      <w:r w:rsidR="00DB7B2F" w:rsidRPr="00083686">
        <w:rPr>
          <w:rFonts w:ascii="Times New Roman" w:hAnsi="Times New Roman" w:cs="Times New Roman"/>
        </w:rPr>
        <w:t xml:space="preserve">percent of schools) reported many </w:t>
      </w:r>
      <w:r w:rsidR="006F2AA2">
        <w:rPr>
          <w:rFonts w:ascii="Times New Roman" w:hAnsi="Times New Roman" w:cs="Times New Roman"/>
        </w:rPr>
        <w:t xml:space="preserve">more </w:t>
      </w:r>
      <w:r w:rsidR="00DB7B2F" w:rsidRPr="00083686">
        <w:rPr>
          <w:rFonts w:ascii="Times New Roman" w:hAnsi="Times New Roman" w:cs="Times New Roman"/>
        </w:rPr>
        <w:t>positive aspects of their school environments</w:t>
      </w:r>
      <w:r w:rsidR="008937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when compared to students in the </w:t>
      </w:r>
      <w:r w:rsidRPr="00805D34">
        <w:rPr>
          <w:rFonts w:ascii="Times New Roman" w:hAnsi="Times New Roman" w:cs="Times New Roman"/>
          <w:b/>
        </w:rPr>
        <w:t>weakest</w:t>
      </w:r>
      <w:r>
        <w:rPr>
          <w:rFonts w:ascii="Times New Roman" w:hAnsi="Times New Roman" w:cs="Times New Roman"/>
        </w:rPr>
        <w:t xml:space="preserve"> climates (the bottom 15% of schools).</w:t>
      </w:r>
      <w:r w:rsidR="00805D34">
        <w:rPr>
          <w:rFonts w:ascii="Times New Roman" w:hAnsi="Times New Roman" w:cs="Times New Roman"/>
        </w:rPr>
        <w:t xml:space="preserve"> </w:t>
      </w:r>
    </w:p>
    <w:p w14:paraId="31F49292" w14:textId="77777777" w:rsidR="00DB7B2F" w:rsidRPr="00083686" w:rsidRDefault="000121AB" w:rsidP="005658A1">
      <w:pPr>
        <w:pStyle w:val="NoSpacing"/>
        <w:numPr>
          <w:ilvl w:val="1"/>
          <w:numId w:val="6"/>
        </w:numPr>
        <w:spacing w:before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grade 5</w:t>
      </w:r>
      <w:r w:rsidR="00805D34">
        <w:rPr>
          <w:rFonts w:ascii="Times New Roman" w:hAnsi="Times New Roman" w:cs="Times New Roman"/>
        </w:rPr>
        <w:t>, students in the strongest schools are more open to having inclusive relationships with a diverse range of students</w:t>
      </w:r>
      <w:r w:rsidR="004D68EE">
        <w:rPr>
          <w:rFonts w:ascii="Times New Roman" w:hAnsi="Times New Roman" w:cs="Times New Roman"/>
        </w:rPr>
        <w:t xml:space="preserve"> and </w:t>
      </w:r>
      <w:r w:rsidR="006F2AA2">
        <w:rPr>
          <w:rFonts w:ascii="Times New Roman" w:hAnsi="Times New Roman" w:cs="Times New Roman"/>
        </w:rPr>
        <w:t>the classroom</w:t>
      </w:r>
      <w:r w:rsidR="004D68EE">
        <w:rPr>
          <w:rFonts w:ascii="Times New Roman" w:hAnsi="Times New Roman" w:cs="Times New Roman"/>
        </w:rPr>
        <w:t xml:space="preserve"> environment is </w:t>
      </w:r>
      <w:r w:rsidR="005658A1">
        <w:rPr>
          <w:rFonts w:ascii="Times New Roman" w:hAnsi="Times New Roman" w:cs="Times New Roman"/>
        </w:rPr>
        <w:t>more</w:t>
      </w:r>
      <w:r w:rsidR="004D68EE">
        <w:rPr>
          <w:rFonts w:ascii="Times New Roman" w:hAnsi="Times New Roman" w:cs="Times New Roman"/>
        </w:rPr>
        <w:t xml:space="preserve"> collaborative</w:t>
      </w:r>
      <w:r w:rsidR="00805D34">
        <w:rPr>
          <w:rFonts w:ascii="Times New Roman" w:hAnsi="Times New Roman" w:cs="Times New Roman"/>
        </w:rPr>
        <w:t>.</w:t>
      </w:r>
      <w:r w:rsidR="00DB7B2F" w:rsidRPr="00083686">
        <w:rPr>
          <w:rFonts w:ascii="Times New Roman" w:hAnsi="Times New Roman" w:cs="Times New Roman"/>
        </w:rPr>
        <w:t xml:space="preserve"> Teachers </w:t>
      </w:r>
      <w:r w:rsidR="00805D34">
        <w:rPr>
          <w:rFonts w:ascii="Times New Roman" w:hAnsi="Times New Roman" w:cs="Times New Roman"/>
        </w:rPr>
        <w:t>have higher</w:t>
      </w:r>
      <w:r w:rsidR="00DB7B2F" w:rsidRPr="00083686">
        <w:rPr>
          <w:rFonts w:ascii="Times New Roman" w:hAnsi="Times New Roman" w:cs="Times New Roman"/>
        </w:rPr>
        <w:t xml:space="preserve"> expectations</w:t>
      </w:r>
      <w:r w:rsidR="00805D34">
        <w:rPr>
          <w:rFonts w:ascii="Times New Roman" w:hAnsi="Times New Roman" w:cs="Times New Roman"/>
        </w:rPr>
        <w:t xml:space="preserve"> for student effort, perseverance, and academics</w:t>
      </w:r>
      <w:r w:rsidR="004D68EE">
        <w:rPr>
          <w:rFonts w:ascii="Times New Roman" w:hAnsi="Times New Roman" w:cs="Times New Roman"/>
        </w:rPr>
        <w:t xml:space="preserve">. </w:t>
      </w:r>
      <w:r w:rsidR="006F2AA2">
        <w:rPr>
          <w:rFonts w:ascii="Times New Roman" w:hAnsi="Times New Roman" w:cs="Times New Roman"/>
        </w:rPr>
        <w:t xml:space="preserve">Students feel safer </w:t>
      </w:r>
      <w:r w:rsidR="005658A1">
        <w:rPr>
          <w:rFonts w:ascii="Times New Roman" w:hAnsi="Times New Roman" w:cs="Times New Roman"/>
        </w:rPr>
        <w:t xml:space="preserve">in the strongest schools </w:t>
      </w:r>
      <w:r w:rsidR="006F2AA2">
        <w:rPr>
          <w:rFonts w:ascii="Times New Roman" w:hAnsi="Times New Roman" w:cs="Times New Roman"/>
        </w:rPr>
        <w:t xml:space="preserve">with fewer bullying occurrences. They believe their school rules are fair for all students, not just some. </w:t>
      </w:r>
      <w:r w:rsidR="004D68EE">
        <w:rPr>
          <w:rFonts w:ascii="Times New Roman" w:hAnsi="Times New Roman" w:cs="Times New Roman"/>
        </w:rPr>
        <w:t>A</w:t>
      </w:r>
      <w:r w:rsidR="004D68EE" w:rsidRPr="00083686">
        <w:rPr>
          <w:rFonts w:ascii="Times New Roman" w:hAnsi="Times New Roman" w:cs="Times New Roman"/>
        </w:rPr>
        <w:t xml:space="preserve">dults </w:t>
      </w:r>
      <w:r w:rsidR="004D68EE">
        <w:rPr>
          <w:rFonts w:ascii="Times New Roman" w:hAnsi="Times New Roman" w:cs="Times New Roman"/>
        </w:rPr>
        <w:t xml:space="preserve">are </w:t>
      </w:r>
      <w:r w:rsidR="001566CC">
        <w:rPr>
          <w:rFonts w:ascii="Times New Roman" w:hAnsi="Times New Roman" w:cs="Times New Roman"/>
        </w:rPr>
        <w:t xml:space="preserve">also </w:t>
      </w:r>
      <w:r w:rsidR="004D68EE">
        <w:rPr>
          <w:rFonts w:ascii="Times New Roman" w:hAnsi="Times New Roman" w:cs="Times New Roman"/>
        </w:rPr>
        <w:t xml:space="preserve">more </w:t>
      </w:r>
      <w:r w:rsidR="004D68EE" w:rsidRPr="00083686">
        <w:rPr>
          <w:rFonts w:ascii="Times New Roman" w:hAnsi="Times New Roman" w:cs="Times New Roman"/>
        </w:rPr>
        <w:t>active</w:t>
      </w:r>
      <w:r w:rsidR="004D68EE">
        <w:rPr>
          <w:rFonts w:ascii="Times New Roman" w:hAnsi="Times New Roman" w:cs="Times New Roman"/>
        </w:rPr>
        <w:t xml:space="preserve"> in</w:t>
      </w:r>
      <w:r w:rsidR="004D68EE" w:rsidRPr="00083686">
        <w:rPr>
          <w:rFonts w:ascii="Times New Roman" w:hAnsi="Times New Roman" w:cs="Times New Roman"/>
        </w:rPr>
        <w:t xml:space="preserve"> help</w:t>
      </w:r>
      <w:r w:rsidR="004D68EE">
        <w:rPr>
          <w:rFonts w:ascii="Times New Roman" w:hAnsi="Times New Roman" w:cs="Times New Roman"/>
        </w:rPr>
        <w:t>ing</w:t>
      </w:r>
      <w:r w:rsidR="004D68EE" w:rsidRPr="00083686">
        <w:rPr>
          <w:rFonts w:ascii="Times New Roman" w:hAnsi="Times New Roman" w:cs="Times New Roman"/>
        </w:rPr>
        <w:t xml:space="preserve"> students emotionally</w:t>
      </w:r>
      <w:r w:rsidR="001566CC">
        <w:rPr>
          <w:rFonts w:ascii="Times New Roman" w:hAnsi="Times New Roman" w:cs="Times New Roman"/>
        </w:rPr>
        <w:t xml:space="preserve"> and teaching positive behavior.</w:t>
      </w:r>
    </w:p>
    <w:p w14:paraId="0EA7C03C" w14:textId="77777777" w:rsidR="00DB7B2F" w:rsidRDefault="006F2AA2" w:rsidP="005658A1">
      <w:pPr>
        <w:pStyle w:val="NoSpacing"/>
        <w:numPr>
          <w:ilvl w:val="1"/>
          <w:numId w:val="6"/>
        </w:numPr>
        <w:spacing w:before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grade 8, student-on-student relations in the strongest schools are more respectful and open. </w:t>
      </w:r>
      <w:r w:rsidRPr="00083686">
        <w:rPr>
          <w:rFonts w:ascii="Times New Roman" w:hAnsi="Times New Roman" w:cs="Times New Roman"/>
        </w:rPr>
        <w:t xml:space="preserve">Teachers </w:t>
      </w:r>
      <w:r>
        <w:rPr>
          <w:rFonts w:ascii="Times New Roman" w:hAnsi="Times New Roman" w:cs="Times New Roman"/>
        </w:rPr>
        <w:t>have higher</w:t>
      </w:r>
      <w:r w:rsidRPr="00083686">
        <w:rPr>
          <w:rFonts w:ascii="Times New Roman" w:hAnsi="Times New Roman" w:cs="Times New Roman"/>
        </w:rPr>
        <w:t xml:space="preserve"> expectations</w:t>
      </w:r>
      <w:r>
        <w:rPr>
          <w:rFonts w:ascii="Times New Roman" w:hAnsi="Times New Roman" w:cs="Times New Roman"/>
        </w:rPr>
        <w:t xml:space="preserve"> for student effort and academics, and use student ideas and interests to </w:t>
      </w:r>
      <w:r w:rsidR="005C5620">
        <w:rPr>
          <w:rFonts w:ascii="Times New Roman" w:hAnsi="Times New Roman" w:cs="Times New Roman"/>
        </w:rPr>
        <w:t xml:space="preserve">plan and </w:t>
      </w:r>
      <w:r>
        <w:rPr>
          <w:rFonts w:ascii="Times New Roman" w:hAnsi="Times New Roman" w:cs="Times New Roman"/>
        </w:rPr>
        <w:t xml:space="preserve">guide instruction. </w:t>
      </w:r>
      <w:r w:rsidR="005658A1">
        <w:rPr>
          <w:rFonts w:ascii="Times New Roman" w:hAnsi="Times New Roman" w:cs="Times New Roman"/>
        </w:rPr>
        <w:t xml:space="preserve">Teachers are more readily available when students need help. </w:t>
      </w:r>
      <w:r>
        <w:rPr>
          <w:rFonts w:ascii="Times New Roman" w:hAnsi="Times New Roman" w:cs="Times New Roman"/>
        </w:rPr>
        <w:t xml:space="preserve">Students feel safer and can rely </w:t>
      </w:r>
      <w:r w:rsidR="005658A1">
        <w:rPr>
          <w:rFonts w:ascii="Times New Roman" w:hAnsi="Times New Roman" w:cs="Times New Roman"/>
        </w:rPr>
        <w:t xml:space="preserve">more </w:t>
      </w:r>
      <w:r>
        <w:rPr>
          <w:rFonts w:ascii="Times New Roman" w:hAnsi="Times New Roman" w:cs="Times New Roman"/>
        </w:rPr>
        <w:t xml:space="preserve">on adults and to a lesser extent students to counteract </w:t>
      </w:r>
      <w:r w:rsidR="003A5DF0">
        <w:rPr>
          <w:rFonts w:ascii="Times New Roman" w:hAnsi="Times New Roman" w:cs="Times New Roman"/>
        </w:rPr>
        <w:t xml:space="preserve">any </w:t>
      </w:r>
      <w:r>
        <w:rPr>
          <w:rFonts w:ascii="Times New Roman" w:hAnsi="Times New Roman" w:cs="Times New Roman"/>
        </w:rPr>
        <w:t>bullying.</w:t>
      </w:r>
      <w:r w:rsidR="003A5DF0">
        <w:rPr>
          <w:rFonts w:ascii="Times New Roman" w:hAnsi="Times New Roman" w:cs="Times New Roman"/>
        </w:rPr>
        <w:t xml:space="preserve"> Adults actively promote and model respectful relationships and students can rely </w:t>
      </w:r>
      <w:r w:rsidR="00AE6AB2">
        <w:rPr>
          <w:rFonts w:ascii="Times New Roman" w:hAnsi="Times New Roman" w:cs="Times New Roman"/>
        </w:rPr>
        <w:t>to a greater extent</w:t>
      </w:r>
      <w:r w:rsidR="003A5DF0">
        <w:rPr>
          <w:rFonts w:ascii="Times New Roman" w:hAnsi="Times New Roman" w:cs="Times New Roman"/>
        </w:rPr>
        <w:t xml:space="preserve"> on teachers and their peers</w:t>
      </w:r>
      <w:r w:rsidR="004A46AB">
        <w:rPr>
          <w:rFonts w:ascii="Times New Roman" w:hAnsi="Times New Roman" w:cs="Times New Roman"/>
        </w:rPr>
        <w:t xml:space="preserve"> for emotional</w:t>
      </w:r>
      <w:r w:rsidR="00254E6B">
        <w:rPr>
          <w:rFonts w:ascii="Times New Roman" w:hAnsi="Times New Roman" w:cs="Times New Roman"/>
        </w:rPr>
        <w:t xml:space="preserve"> and behavioral </w:t>
      </w:r>
      <w:r w:rsidR="003A5DF0">
        <w:rPr>
          <w:rFonts w:ascii="Times New Roman" w:hAnsi="Times New Roman" w:cs="Times New Roman"/>
        </w:rPr>
        <w:t>support.</w:t>
      </w:r>
      <w:r w:rsidR="005658A1">
        <w:rPr>
          <w:rFonts w:ascii="Times New Roman" w:hAnsi="Times New Roman" w:cs="Times New Roman"/>
        </w:rPr>
        <w:t xml:space="preserve"> Teachers are more willing to listen to students when they are in trouble.</w:t>
      </w:r>
    </w:p>
    <w:p w14:paraId="47B99950" w14:textId="2FCBFF26" w:rsidR="0038062D" w:rsidRPr="00A56837" w:rsidRDefault="003A5DF0" w:rsidP="00A56837">
      <w:pPr>
        <w:pStyle w:val="NoSpacing"/>
        <w:numPr>
          <w:ilvl w:val="1"/>
          <w:numId w:val="6"/>
        </w:numPr>
        <w:spacing w:before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grade </w:t>
      </w:r>
      <w:r w:rsidR="005C5620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, student-on-student relations in the strongest schools are more respectful and open. </w:t>
      </w:r>
      <w:r w:rsidRPr="00083686">
        <w:rPr>
          <w:rFonts w:ascii="Times New Roman" w:hAnsi="Times New Roman" w:cs="Times New Roman"/>
        </w:rPr>
        <w:t xml:space="preserve">Teachers </w:t>
      </w:r>
      <w:r>
        <w:rPr>
          <w:rFonts w:ascii="Times New Roman" w:hAnsi="Times New Roman" w:cs="Times New Roman"/>
        </w:rPr>
        <w:t>have higher</w:t>
      </w:r>
      <w:r w:rsidRPr="00083686">
        <w:rPr>
          <w:rFonts w:ascii="Times New Roman" w:hAnsi="Times New Roman" w:cs="Times New Roman"/>
        </w:rPr>
        <w:t xml:space="preserve"> expectations</w:t>
      </w:r>
      <w:r>
        <w:rPr>
          <w:rFonts w:ascii="Times New Roman" w:hAnsi="Times New Roman" w:cs="Times New Roman"/>
        </w:rPr>
        <w:t xml:space="preserve"> for student academics</w:t>
      </w:r>
      <w:r w:rsidR="005C5620">
        <w:rPr>
          <w:rFonts w:ascii="Times New Roman" w:hAnsi="Times New Roman" w:cs="Times New Roman"/>
        </w:rPr>
        <w:t xml:space="preserve"> and provide more opportunities for students to challenge themselves. They are more readily available when students need help. Teachers </w:t>
      </w:r>
      <w:r>
        <w:rPr>
          <w:rFonts w:ascii="Times New Roman" w:hAnsi="Times New Roman" w:cs="Times New Roman"/>
        </w:rPr>
        <w:t>use student ideas</w:t>
      </w:r>
      <w:r w:rsidR="005C5620">
        <w:rPr>
          <w:rFonts w:ascii="Times New Roman" w:hAnsi="Times New Roman" w:cs="Times New Roman"/>
        </w:rPr>
        <w:t>, feedback</w:t>
      </w:r>
      <w:r>
        <w:rPr>
          <w:rFonts w:ascii="Times New Roman" w:hAnsi="Times New Roman" w:cs="Times New Roman"/>
        </w:rPr>
        <w:t xml:space="preserve"> and interests to guide instruction. Students feel safer and can rely </w:t>
      </w:r>
      <w:r w:rsidR="005658A1">
        <w:rPr>
          <w:rFonts w:ascii="Times New Roman" w:hAnsi="Times New Roman" w:cs="Times New Roman"/>
        </w:rPr>
        <w:t xml:space="preserve">more </w:t>
      </w:r>
      <w:r>
        <w:rPr>
          <w:rFonts w:ascii="Times New Roman" w:hAnsi="Times New Roman" w:cs="Times New Roman"/>
        </w:rPr>
        <w:t xml:space="preserve">on adults and to a lesser extent students to counteract any bullying. Adults actively promote and model respectful relationships and students can rely </w:t>
      </w:r>
      <w:r w:rsidR="00254E6B">
        <w:rPr>
          <w:rFonts w:ascii="Times New Roman" w:hAnsi="Times New Roman" w:cs="Times New Roman"/>
        </w:rPr>
        <w:t xml:space="preserve">to a greater extent </w:t>
      </w:r>
      <w:r>
        <w:rPr>
          <w:rFonts w:ascii="Times New Roman" w:hAnsi="Times New Roman" w:cs="Times New Roman"/>
        </w:rPr>
        <w:t xml:space="preserve">on teachers and their peers for emotional </w:t>
      </w:r>
      <w:r w:rsidR="00254E6B">
        <w:rPr>
          <w:rFonts w:ascii="Times New Roman" w:hAnsi="Times New Roman" w:cs="Times New Roman"/>
        </w:rPr>
        <w:t xml:space="preserve">and behavioral </w:t>
      </w:r>
      <w:r>
        <w:rPr>
          <w:rFonts w:ascii="Times New Roman" w:hAnsi="Times New Roman" w:cs="Times New Roman"/>
        </w:rPr>
        <w:t>support.</w:t>
      </w:r>
      <w:r w:rsidR="00254E6B">
        <w:rPr>
          <w:rFonts w:ascii="Times New Roman" w:hAnsi="Times New Roman" w:cs="Times New Roman"/>
        </w:rPr>
        <w:t xml:space="preserve"> </w:t>
      </w:r>
      <w:r w:rsidR="005658A1">
        <w:rPr>
          <w:rFonts w:ascii="Times New Roman" w:hAnsi="Times New Roman" w:cs="Times New Roman"/>
        </w:rPr>
        <w:t>Teachers are more willing to listen to students when they are in trouble.</w:t>
      </w:r>
    </w:p>
    <w:sectPr w:rsidR="0038062D" w:rsidRPr="00A56837" w:rsidSect="0038062D">
      <w:type w:val="continuous"/>
      <w:pgSz w:w="12240" w:h="15840"/>
      <w:pgMar w:top="806" w:right="1152" w:bottom="12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01F0"/>
    <w:multiLevelType w:val="hybridMultilevel"/>
    <w:tmpl w:val="EFAC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B7FD8"/>
    <w:multiLevelType w:val="hybridMultilevel"/>
    <w:tmpl w:val="7102E7EC"/>
    <w:lvl w:ilvl="0" w:tplc="33A83F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00AA5"/>
    <w:multiLevelType w:val="hybridMultilevel"/>
    <w:tmpl w:val="CFC0B4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1F538F"/>
    <w:multiLevelType w:val="hybridMultilevel"/>
    <w:tmpl w:val="FF68F958"/>
    <w:lvl w:ilvl="0" w:tplc="F2F648EC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AE30054"/>
    <w:multiLevelType w:val="hybridMultilevel"/>
    <w:tmpl w:val="8B444560"/>
    <w:lvl w:ilvl="0" w:tplc="8D94F2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0E1035"/>
    <w:multiLevelType w:val="hybridMultilevel"/>
    <w:tmpl w:val="158845A8"/>
    <w:lvl w:ilvl="0" w:tplc="0A24418C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4227FD7"/>
    <w:multiLevelType w:val="hybridMultilevel"/>
    <w:tmpl w:val="6BBE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A486F"/>
    <w:multiLevelType w:val="hybridMultilevel"/>
    <w:tmpl w:val="B8DA0710"/>
    <w:lvl w:ilvl="0" w:tplc="9734527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CC3FF2"/>
    <w:multiLevelType w:val="hybridMultilevel"/>
    <w:tmpl w:val="DEBED4A4"/>
    <w:lvl w:ilvl="0" w:tplc="FE8AA4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B60D3"/>
    <w:multiLevelType w:val="multilevel"/>
    <w:tmpl w:val="7E2CE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0D"/>
    <w:rsid w:val="000121AB"/>
    <w:rsid w:val="000268F8"/>
    <w:rsid w:val="000520FD"/>
    <w:rsid w:val="00073B29"/>
    <w:rsid w:val="000823F5"/>
    <w:rsid w:val="00083686"/>
    <w:rsid w:val="000A20B9"/>
    <w:rsid w:val="000B2F1A"/>
    <w:rsid w:val="000B377B"/>
    <w:rsid w:val="000D022C"/>
    <w:rsid w:val="000D13FA"/>
    <w:rsid w:val="000D7970"/>
    <w:rsid w:val="000E18AB"/>
    <w:rsid w:val="00100D45"/>
    <w:rsid w:val="001172F7"/>
    <w:rsid w:val="0013425D"/>
    <w:rsid w:val="00145E36"/>
    <w:rsid w:val="00147A0B"/>
    <w:rsid w:val="0015003D"/>
    <w:rsid w:val="00154302"/>
    <w:rsid w:val="001566CC"/>
    <w:rsid w:val="00164B7B"/>
    <w:rsid w:val="00190FC4"/>
    <w:rsid w:val="0019642B"/>
    <w:rsid w:val="001A5A03"/>
    <w:rsid w:val="001A7F52"/>
    <w:rsid w:val="001B0653"/>
    <w:rsid w:val="001C3434"/>
    <w:rsid w:val="001C68BC"/>
    <w:rsid w:val="001D30DB"/>
    <w:rsid w:val="001D65C2"/>
    <w:rsid w:val="001E3EEA"/>
    <w:rsid w:val="001E5AE6"/>
    <w:rsid w:val="001F2E1F"/>
    <w:rsid w:val="001F3BCE"/>
    <w:rsid w:val="002068BE"/>
    <w:rsid w:val="00207726"/>
    <w:rsid w:val="002128DB"/>
    <w:rsid w:val="002215ED"/>
    <w:rsid w:val="00221B7B"/>
    <w:rsid w:val="00222168"/>
    <w:rsid w:val="002271CF"/>
    <w:rsid w:val="00232B98"/>
    <w:rsid w:val="002333AB"/>
    <w:rsid w:val="00240A63"/>
    <w:rsid w:val="002546DA"/>
    <w:rsid w:val="00254E6B"/>
    <w:rsid w:val="00264E89"/>
    <w:rsid w:val="00267A9C"/>
    <w:rsid w:val="00271E24"/>
    <w:rsid w:val="0027508F"/>
    <w:rsid w:val="0027755B"/>
    <w:rsid w:val="00283620"/>
    <w:rsid w:val="00284A16"/>
    <w:rsid w:val="00294181"/>
    <w:rsid w:val="002973C9"/>
    <w:rsid w:val="002B083F"/>
    <w:rsid w:val="002B263B"/>
    <w:rsid w:val="002B2F36"/>
    <w:rsid w:val="002D2A72"/>
    <w:rsid w:val="002D6717"/>
    <w:rsid w:val="002E2E27"/>
    <w:rsid w:val="002F2DCB"/>
    <w:rsid w:val="003069AA"/>
    <w:rsid w:val="0030776A"/>
    <w:rsid w:val="003171A8"/>
    <w:rsid w:val="00322CA6"/>
    <w:rsid w:val="003275AA"/>
    <w:rsid w:val="003315B4"/>
    <w:rsid w:val="00332280"/>
    <w:rsid w:val="00333992"/>
    <w:rsid w:val="0035025E"/>
    <w:rsid w:val="0035127C"/>
    <w:rsid w:val="00354FCE"/>
    <w:rsid w:val="003645B3"/>
    <w:rsid w:val="003740B5"/>
    <w:rsid w:val="003777A2"/>
    <w:rsid w:val="0038062D"/>
    <w:rsid w:val="00384B2A"/>
    <w:rsid w:val="00386AC4"/>
    <w:rsid w:val="00396BC8"/>
    <w:rsid w:val="003A2480"/>
    <w:rsid w:val="003A4352"/>
    <w:rsid w:val="003A5DF0"/>
    <w:rsid w:val="003A6C87"/>
    <w:rsid w:val="003B10C6"/>
    <w:rsid w:val="003C063B"/>
    <w:rsid w:val="003C07DB"/>
    <w:rsid w:val="003C6162"/>
    <w:rsid w:val="003D7FD9"/>
    <w:rsid w:val="003F1AD8"/>
    <w:rsid w:val="003F7131"/>
    <w:rsid w:val="003F7C73"/>
    <w:rsid w:val="00402BF2"/>
    <w:rsid w:val="00404770"/>
    <w:rsid w:val="0041214B"/>
    <w:rsid w:val="00417146"/>
    <w:rsid w:val="0041743D"/>
    <w:rsid w:val="00420697"/>
    <w:rsid w:val="004241E8"/>
    <w:rsid w:val="00424806"/>
    <w:rsid w:val="004277EC"/>
    <w:rsid w:val="0043470C"/>
    <w:rsid w:val="00435791"/>
    <w:rsid w:val="00440012"/>
    <w:rsid w:val="004502A7"/>
    <w:rsid w:val="00457A77"/>
    <w:rsid w:val="00457F41"/>
    <w:rsid w:val="00473D56"/>
    <w:rsid w:val="004743F2"/>
    <w:rsid w:val="00480D3B"/>
    <w:rsid w:val="00492C6C"/>
    <w:rsid w:val="00496624"/>
    <w:rsid w:val="004A3EE8"/>
    <w:rsid w:val="004A46AB"/>
    <w:rsid w:val="004A5379"/>
    <w:rsid w:val="004B3941"/>
    <w:rsid w:val="004B56F9"/>
    <w:rsid w:val="004C04B4"/>
    <w:rsid w:val="004D213B"/>
    <w:rsid w:val="004D68EE"/>
    <w:rsid w:val="004E567C"/>
    <w:rsid w:val="004F3659"/>
    <w:rsid w:val="00506079"/>
    <w:rsid w:val="00512E8E"/>
    <w:rsid w:val="0052043C"/>
    <w:rsid w:val="00522912"/>
    <w:rsid w:val="00525EE9"/>
    <w:rsid w:val="00530F0D"/>
    <w:rsid w:val="005477CE"/>
    <w:rsid w:val="00554D36"/>
    <w:rsid w:val="00562F6C"/>
    <w:rsid w:val="005658A1"/>
    <w:rsid w:val="00567B37"/>
    <w:rsid w:val="0058016F"/>
    <w:rsid w:val="005862DB"/>
    <w:rsid w:val="00587427"/>
    <w:rsid w:val="00592CFB"/>
    <w:rsid w:val="005A33A0"/>
    <w:rsid w:val="005B3332"/>
    <w:rsid w:val="005B45CF"/>
    <w:rsid w:val="005C34B6"/>
    <w:rsid w:val="005C4EAB"/>
    <w:rsid w:val="005C4F91"/>
    <w:rsid w:val="005C5620"/>
    <w:rsid w:val="005E4359"/>
    <w:rsid w:val="005E7C3E"/>
    <w:rsid w:val="00604FF9"/>
    <w:rsid w:val="00606F6C"/>
    <w:rsid w:val="00615BDB"/>
    <w:rsid w:val="00620149"/>
    <w:rsid w:val="00624B87"/>
    <w:rsid w:val="006437AB"/>
    <w:rsid w:val="006473B5"/>
    <w:rsid w:val="00653756"/>
    <w:rsid w:val="00657AFE"/>
    <w:rsid w:val="00663709"/>
    <w:rsid w:val="00680C21"/>
    <w:rsid w:val="00681A90"/>
    <w:rsid w:val="006855E5"/>
    <w:rsid w:val="00694F35"/>
    <w:rsid w:val="006A1034"/>
    <w:rsid w:val="006A2040"/>
    <w:rsid w:val="006A2702"/>
    <w:rsid w:val="006B09E2"/>
    <w:rsid w:val="006B0EC4"/>
    <w:rsid w:val="006B2377"/>
    <w:rsid w:val="006B31CC"/>
    <w:rsid w:val="006C2BBA"/>
    <w:rsid w:val="006C36C8"/>
    <w:rsid w:val="006C3F8C"/>
    <w:rsid w:val="006C62A6"/>
    <w:rsid w:val="006D25D8"/>
    <w:rsid w:val="006D3029"/>
    <w:rsid w:val="006E0C87"/>
    <w:rsid w:val="006E1B72"/>
    <w:rsid w:val="006F039F"/>
    <w:rsid w:val="006F2AA2"/>
    <w:rsid w:val="006F7998"/>
    <w:rsid w:val="00704185"/>
    <w:rsid w:val="007052DB"/>
    <w:rsid w:val="00706464"/>
    <w:rsid w:val="00721124"/>
    <w:rsid w:val="00722A83"/>
    <w:rsid w:val="007243DF"/>
    <w:rsid w:val="007275BE"/>
    <w:rsid w:val="00765CC5"/>
    <w:rsid w:val="007720E5"/>
    <w:rsid w:val="00781C00"/>
    <w:rsid w:val="0078368D"/>
    <w:rsid w:val="00786C17"/>
    <w:rsid w:val="00791BE8"/>
    <w:rsid w:val="00792AA6"/>
    <w:rsid w:val="007C55C4"/>
    <w:rsid w:val="007D47DF"/>
    <w:rsid w:val="007E2663"/>
    <w:rsid w:val="007F7052"/>
    <w:rsid w:val="00805D34"/>
    <w:rsid w:val="00810D3B"/>
    <w:rsid w:val="00815613"/>
    <w:rsid w:val="00816F02"/>
    <w:rsid w:val="00824A42"/>
    <w:rsid w:val="00831A9A"/>
    <w:rsid w:val="008359D3"/>
    <w:rsid w:val="00836D01"/>
    <w:rsid w:val="00841BD1"/>
    <w:rsid w:val="00860462"/>
    <w:rsid w:val="008628CC"/>
    <w:rsid w:val="00876CF0"/>
    <w:rsid w:val="00893708"/>
    <w:rsid w:val="0089788C"/>
    <w:rsid w:val="00897DFE"/>
    <w:rsid w:val="008C6AA5"/>
    <w:rsid w:val="008D2423"/>
    <w:rsid w:val="008D3CB8"/>
    <w:rsid w:val="008D651B"/>
    <w:rsid w:val="008D6B2C"/>
    <w:rsid w:val="008E5D81"/>
    <w:rsid w:val="008E791C"/>
    <w:rsid w:val="008F771C"/>
    <w:rsid w:val="009039FF"/>
    <w:rsid w:val="009250AC"/>
    <w:rsid w:val="009357BD"/>
    <w:rsid w:val="00944EF6"/>
    <w:rsid w:val="00966871"/>
    <w:rsid w:val="009831E5"/>
    <w:rsid w:val="00987D72"/>
    <w:rsid w:val="00993BDC"/>
    <w:rsid w:val="009A6B60"/>
    <w:rsid w:val="009B0380"/>
    <w:rsid w:val="009C55DC"/>
    <w:rsid w:val="009F39D1"/>
    <w:rsid w:val="009F5DEE"/>
    <w:rsid w:val="00A126A8"/>
    <w:rsid w:val="00A17AE7"/>
    <w:rsid w:val="00A32F9F"/>
    <w:rsid w:val="00A44A35"/>
    <w:rsid w:val="00A44A83"/>
    <w:rsid w:val="00A4751F"/>
    <w:rsid w:val="00A55F3E"/>
    <w:rsid w:val="00A56837"/>
    <w:rsid w:val="00A607ED"/>
    <w:rsid w:val="00A6603B"/>
    <w:rsid w:val="00A741C1"/>
    <w:rsid w:val="00A8029D"/>
    <w:rsid w:val="00A953BA"/>
    <w:rsid w:val="00AB4566"/>
    <w:rsid w:val="00AC016D"/>
    <w:rsid w:val="00AC13D1"/>
    <w:rsid w:val="00AC5060"/>
    <w:rsid w:val="00AC65C5"/>
    <w:rsid w:val="00AC6DBD"/>
    <w:rsid w:val="00AE0C2F"/>
    <w:rsid w:val="00AE3216"/>
    <w:rsid w:val="00AE4A6A"/>
    <w:rsid w:val="00AE500E"/>
    <w:rsid w:val="00AE6AB2"/>
    <w:rsid w:val="00AE6F67"/>
    <w:rsid w:val="00AE7E7D"/>
    <w:rsid w:val="00B00B41"/>
    <w:rsid w:val="00B06927"/>
    <w:rsid w:val="00B107F2"/>
    <w:rsid w:val="00B16080"/>
    <w:rsid w:val="00B164DF"/>
    <w:rsid w:val="00B20F0A"/>
    <w:rsid w:val="00B21E49"/>
    <w:rsid w:val="00B22CEE"/>
    <w:rsid w:val="00B232D2"/>
    <w:rsid w:val="00B31D9A"/>
    <w:rsid w:val="00B36394"/>
    <w:rsid w:val="00B432A3"/>
    <w:rsid w:val="00B44ED1"/>
    <w:rsid w:val="00B574F0"/>
    <w:rsid w:val="00B61DA3"/>
    <w:rsid w:val="00B85B8E"/>
    <w:rsid w:val="00B86745"/>
    <w:rsid w:val="00B900F9"/>
    <w:rsid w:val="00B938A3"/>
    <w:rsid w:val="00B9767B"/>
    <w:rsid w:val="00B976D1"/>
    <w:rsid w:val="00BA02F3"/>
    <w:rsid w:val="00BA31E8"/>
    <w:rsid w:val="00BB2BC2"/>
    <w:rsid w:val="00BC612C"/>
    <w:rsid w:val="00BD5549"/>
    <w:rsid w:val="00BF3C57"/>
    <w:rsid w:val="00C010F5"/>
    <w:rsid w:val="00C05D0B"/>
    <w:rsid w:val="00C219E5"/>
    <w:rsid w:val="00C22165"/>
    <w:rsid w:val="00C3331D"/>
    <w:rsid w:val="00C354AD"/>
    <w:rsid w:val="00C36BBD"/>
    <w:rsid w:val="00C45446"/>
    <w:rsid w:val="00C545C1"/>
    <w:rsid w:val="00C62182"/>
    <w:rsid w:val="00C67194"/>
    <w:rsid w:val="00C74736"/>
    <w:rsid w:val="00C81CD0"/>
    <w:rsid w:val="00C829A6"/>
    <w:rsid w:val="00C91D00"/>
    <w:rsid w:val="00C9497E"/>
    <w:rsid w:val="00CA3F27"/>
    <w:rsid w:val="00CB5A2C"/>
    <w:rsid w:val="00CC2D0C"/>
    <w:rsid w:val="00CC3DD9"/>
    <w:rsid w:val="00CD06C1"/>
    <w:rsid w:val="00CD08F9"/>
    <w:rsid w:val="00CD620E"/>
    <w:rsid w:val="00CE605E"/>
    <w:rsid w:val="00CF0025"/>
    <w:rsid w:val="00CF4932"/>
    <w:rsid w:val="00CF50C0"/>
    <w:rsid w:val="00CF7953"/>
    <w:rsid w:val="00D12C96"/>
    <w:rsid w:val="00D15446"/>
    <w:rsid w:val="00D16A65"/>
    <w:rsid w:val="00D35BD7"/>
    <w:rsid w:val="00D40178"/>
    <w:rsid w:val="00D423C0"/>
    <w:rsid w:val="00D45899"/>
    <w:rsid w:val="00D50B39"/>
    <w:rsid w:val="00D5217A"/>
    <w:rsid w:val="00D53771"/>
    <w:rsid w:val="00D54BF4"/>
    <w:rsid w:val="00D77F1B"/>
    <w:rsid w:val="00DA1E4D"/>
    <w:rsid w:val="00DA3DB1"/>
    <w:rsid w:val="00DA4925"/>
    <w:rsid w:val="00DA5158"/>
    <w:rsid w:val="00DA6AD1"/>
    <w:rsid w:val="00DB38A9"/>
    <w:rsid w:val="00DB7B2F"/>
    <w:rsid w:val="00DC75B8"/>
    <w:rsid w:val="00DF3BB8"/>
    <w:rsid w:val="00DF7F9C"/>
    <w:rsid w:val="00E1064F"/>
    <w:rsid w:val="00E27D70"/>
    <w:rsid w:val="00E30565"/>
    <w:rsid w:val="00E359A2"/>
    <w:rsid w:val="00E3794A"/>
    <w:rsid w:val="00E4714C"/>
    <w:rsid w:val="00E47B1E"/>
    <w:rsid w:val="00E5630A"/>
    <w:rsid w:val="00E63384"/>
    <w:rsid w:val="00E73BB9"/>
    <w:rsid w:val="00E74BB2"/>
    <w:rsid w:val="00E84D89"/>
    <w:rsid w:val="00E90DED"/>
    <w:rsid w:val="00E92AE7"/>
    <w:rsid w:val="00E936A9"/>
    <w:rsid w:val="00E938A0"/>
    <w:rsid w:val="00EC57DA"/>
    <w:rsid w:val="00ED2B1B"/>
    <w:rsid w:val="00ED3C19"/>
    <w:rsid w:val="00EE301D"/>
    <w:rsid w:val="00EE31B2"/>
    <w:rsid w:val="00EE4F5A"/>
    <w:rsid w:val="00EE68D6"/>
    <w:rsid w:val="00EF1092"/>
    <w:rsid w:val="00EF4B60"/>
    <w:rsid w:val="00EF5834"/>
    <w:rsid w:val="00F04B7E"/>
    <w:rsid w:val="00F04E7E"/>
    <w:rsid w:val="00F069E1"/>
    <w:rsid w:val="00F114BC"/>
    <w:rsid w:val="00F1335D"/>
    <w:rsid w:val="00F20C1D"/>
    <w:rsid w:val="00F2487B"/>
    <w:rsid w:val="00F31D71"/>
    <w:rsid w:val="00F37B3E"/>
    <w:rsid w:val="00F5087D"/>
    <w:rsid w:val="00F55C9B"/>
    <w:rsid w:val="00F5761B"/>
    <w:rsid w:val="00F67039"/>
    <w:rsid w:val="00F90BDA"/>
    <w:rsid w:val="00FA27B7"/>
    <w:rsid w:val="00FA3607"/>
    <w:rsid w:val="00FA65D3"/>
    <w:rsid w:val="00FB1BE1"/>
    <w:rsid w:val="00FB4A83"/>
    <w:rsid w:val="00FB657D"/>
    <w:rsid w:val="00FC0F39"/>
    <w:rsid w:val="00FD0250"/>
    <w:rsid w:val="00FD56F6"/>
    <w:rsid w:val="00FE18B6"/>
    <w:rsid w:val="00FF6574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890F"/>
  <w15:docId w15:val="{4454662C-04B1-4554-962A-8F3F2430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F0D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53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F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0F0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C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E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4EAB"/>
    <w:pPr>
      <w:spacing w:after="0" w:line="240" w:lineRule="auto"/>
    </w:pPr>
  </w:style>
  <w:style w:type="paragraph" w:customStyle="1" w:styleId="Default">
    <w:name w:val="Default"/>
    <w:rsid w:val="00B20F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3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DESE-231-46129</_dlc_DocId>
    <_dlc_DocIdUrl xmlns="733efe1c-5bbe-4968-87dc-d400e65c879f">
      <Url>https://sharepoint.doemass.org/ese/webteam/cps/_layouts/DocIdRedir.aspx?ID=DESE-231-46129</Url>
      <Description>DESE-231-46129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C2C349-EE21-44DC-847E-EF39D669E5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4D82E-AFAA-4C80-BC6C-92066BBDBE8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378A11A-C2A7-4887-AB89-C92023BBC48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C77DE75F-D593-4A98-89FD-D62502B64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VOCAL 2018 Summary</vt:lpstr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VOCAL 2018 Summary</dc:title>
  <dc:creator>DESE</dc:creator>
  <cp:lastModifiedBy>Zou, Dong (EOE)</cp:lastModifiedBy>
  <cp:revision>3</cp:revision>
  <cp:lastPrinted>2018-09-26T14:23:00Z</cp:lastPrinted>
  <dcterms:created xsi:type="dcterms:W3CDTF">2018-10-25T16:33:00Z</dcterms:created>
  <dcterms:modified xsi:type="dcterms:W3CDTF">2018-10-25T19:32:00Z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25 2018</vt:lpwstr>
  </property>
</Properties>
</file>