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0CFA4" w14:textId="287389CA" w:rsidR="001310D9" w:rsidRPr="0068737A" w:rsidRDefault="001310D9" w:rsidP="00EC6BBA">
      <w:pPr>
        <w:pStyle w:val="Heading3"/>
        <w:spacing w:before="0"/>
        <w:ind w:right="690"/>
        <w:rPr>
          <w:b w:val="0"/>
          <w:color w:val="A10067"/>
          <w:sz w:val="40"/>
          <w:szCs w:val="40"/>
        </w:rPr>
      </w:pPr>
      <w:r>
        <w:rPr>
          <w:b w:val="0"/>
          <w:color w:val="A10067"/>
          <w:sz w:val="40"/>
          <w:szCs w:val="40"/>
        </w:rPr>
        <w:t>Criteria f</w:t>
      </w:r>
      <w:bookmarkStart w:id="0" w:name="_GoBack"/>
      <w:bookmarkEnd w:id="0"/>
      <w:r>
        <w:rPr>
          <w:b w:val="0"/>
          <w:color w:val="A10067"/>
          <w:sz w:val="40"/>
          <w:szCs w:val="40"/>
        </w:rPr>
        <w:t xml:space="preserve">or Students to Earn the State Seal of </w:t>
      </w:r>
      <w:r w:rsidRPr="009C37C2">
        <w:rPr>
          <w:b w:val="0"/>
          <w:color w:val="A10067"/>
          <w:sz w:val="40"/>
          <w:szCs w:val="40"/>
        </w:rPr>
        <w:t>Biliteracy</w:t>
      </w:r>
    </w:p>
    <w:p w14:paraId="59EA9D0B" w14:textId="77777777" w:rsidR="001310D9" w:rsidRDefault="001310D9" w:rsidP="001310D9">
      <w:pPr>
        <w:pStyle w:val="Heading2"/>
        <w:spacing w:before="24"/>
        <w:ind w:left="1080" w:right="690"/>
        <w:rPr>
          <w:rFonts w:asciiTheme="minorHAnsi" w:hAnsiTheme="minorHAnsi" w:cstheme="minorHAnsi"/>
        </w:rPr>
      </w:pPr>
      <w:r>
        <w:rPr>
          <w:noProof/>
          <w:color w:val="A10067"/>
          <w:sz w:val="24"/>
          <w:szCs w:val="24"/>
        </w:rPr>
        <w:drawing>
          <wp:inline distT="0" distB="0" distL="0" distR="0" wp14:anchorId="55AE7F40" wp14:editId="2254AACB">
            <wp:extent cx="3035935" cy="36830"/>
            <wp:effectExtent l="0" t="0" r="0" b="1270"/>
            <wp:docPr id="20" name="Picture 20"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5935" cy="36830"/>
                    </a:xfrm>
                    <a:prstGeom prst="rect">
                      <a:avLst/>
                    </a:prstGeom>
                    <a:noFill/>
                  </pic:spPr>
                </pic:pic>
              </a:graphicData>
            </a:graphic>
          </wp:inline>
        </w:drawing>
      </w:r>
    </w:p>
    <w:p w14:paraId="1897A05E" w14:textId="77777777" w:rsidR="001310D9" w:rsidRPr="009C37C2" w:rsidRDefault="001310D9" w:rsidP="001310D9">
      <w:pPr>
        <w:ind w:left="1080" w:right="690"/>
        <w:rPr>
          <w:rFonts w:asciiTheme="minorHAnsi" w:eastAsia="Times New Roman" w:hAnsiTheme="minorHAnsi" w:cstheme="minorHAnsi"/>
          <w:color w:val="000000"/>
        </w:rPr>
      </w:pPr>
    </w:p>
    <w:p w14:paraId="0BEFE2CF" w14:textId="77777777" w:rsidR="001310D9" w:rsidRDefault="001310D9" w:rsidP="001310D9">
      <w:pPr>
        <w:shd w:val="clear" w:color="auto" w:fill="FFFFFF"/>
        <w:spacing w:line="240" w:lineRule="auto"/>
        <w:ind w:left="1080" w:right="690"/>
        <w:rPr>
          <w:rFonts w:asciiTheme="minorHAnsi" w:hAnsiTheme="minorHAnsi" w:cstheme="minorHAnsi"/>
        </w:rPr>
      </w:pPr>
      <w:r w:rsidRPr="009C37C2">
        <w:rPr>
          <w:rFonts w:asciiTheme="minorHAnsi" w:hAnsiTheme="minorHAnsi" w:cstheme="minorHAnsi"/>
        </w:rPr>
        <w:t xml:space="preserve">The criteria for earning the State Seal of Biliteracy can be found in </w:t>
      </w:r>
      <w:hyperlink r:id="rId13" w:history="1">
        <w:r w:rsidRPr="009C37C2">
          <w:rPr>
            <w:rStyle w:val="Hyperlink"/>
            <w:rFonts w:asciiTheme="minorHAnsi" w:hAnsiTheme="minorHAnsi" w:cstheme="minorHAnsi"/>
          </w:rPr>
          <w:t>603 CMR 31.07(2)</w:t>
        </w:r>
      </w:hyperlink>
      <w:r w:rsidRPr="009C37C2">
        <w:rPr>
          <w:rFonts w:asciiTheme="minorHAnsi" w:hAnsiTheme="minorHAnsi" w:cstheme="minorHAnsi"/>
        </w:rPr>
        <w:t xml:space="preserve"> of the state regulations. The Board of Elementary and Secondary Education established these criteria to identify and recognize students who have attained a high level of proficiency in English and not less than one </w:t>
      </w:r>
      <w:r>
        <w:rPr>
          <w:rFonts w:asciiTheme="minorHAnsi" w:hAnsiTheme="minorHAnsi" w:cstheme="minorHAnsi"/>
        </w:rPr>
        <w:t>world</w:t>
      </w:r>
      <w:r w:rsidRPr="009C37C2">
        <w:rPr>
          <w:rFonts w:asciiTheme="minorHAnsi" w:hAnsiTheme="minorHAnsi" w:cstheme="minorHAnsi"/>
        </w:rPr>
        <w:t xml:space="preserve"> language. To qualify for the State Seal of Biliteracy, students must meet all graduation requirements and the English language and </w:t>
      </w:r>
      <w:r>
        <w:rPr>
          <w:rFonts w:asciiTheme="minorHAnsi" w:hAnsiTheme="minorHAnsi" w:cstheme="minorHAnsi"/>
        </w:rPr>
        <w:t>world</w:t>
      </w:r>
      <w:r w:rsidRPr="009C37C2">
        <w:rPr>
          <w:rFonts w:asciiTheme="minorHAnsi" w:hAnsiTheme="minorHAnsi" w:cstheme="minorHAnsi"/>
        </w:rPr>
        <w:t xml:space="preserve"> language criteria described below: </w:t>
      </w:r>
    </w:p>
    <w:p w14:paraId="0CDCDC92" w14:textId="77777777" w:rsidR="001310D9" w:rsidRDefault="001310D9" w:rsidP="001310D9">
      <w:pPr>
        <w:shd w:val="clear" w:color="auto" w:fill="FFFFFF"/>
        <w:spacing w:line="240" w:lineRule="auto"/>
        <w:ind w:left="1080" w:right="690"/>
        <w:rPr>
          <w:rStyle w:val="Hyperlink"/>
          <w:rFonts w:asciiTheme="minorHAnsi" w:eastAsia="PT Sans Narrow" w:hAnsiTheme="minorHAnsi" w:cstheme="minorHAnsi"/>
          <w:b/>
        </w:rPr>
      </w:pPr>
    </w:p>
    <w:p w14:paraId="10067774" w14:textId="77777777" w:rsidR="001310D9" w:rsidRPr="009C37C2" w:rsidRDefault="001310D9" w:rsidP="001310D9">
      <w:pPr>
        <w:shd w:val="clear" w:color="auto" w:fill="FFFFFF"/>
        <w:spacing w:line="240" w:lineRule="auto"/>
        <w:ind w:left="1080" w:right="690"/>
        <w:rPr>
          <w:rFonts w:asciiTheme="minorHAnsi" w:hAnsiTheme="minorHAnsi" w:cstheme="minorHAnsi"/>
          <w:color w:val="A10067"/>
          <w:sz w:val="28"/>
          <w:szCs w:val="28"/>
        </w:rPr>
      </w:pPr>
      <w:r w:rsidRPr="009C37C2">
        <w:rPr>
          <w:rStyle w:val="Hyperlink"/>
          <w:rFonts w:asciiTheme="minorHAnsi" w:eastAsia="PT Sans Narrow" w:hAnsiTheme="minorHAnsi" w:cstheme="minorHAnsi"/>
          <w:b/>
          <w:color w:val="A10067"/>
          <w:sz w:val="28"/>
          <w:szCs w:val="28"/>
        </w:rPr>
        <w:t xml:space="preserve">English Language Criteria </w:t>
      </w:r>
    </w:p>
    <w:p w14:paraId="63214946" w14:textId="77777777" w:rsidR="001310D9" w:rsidRDefault="001310D9" w:rsidP="001310D9">
      <w:pPr>
        <w:pStyle w:val="ListParagraph"/>
        <w:shd w:val="clear" w:color="auto" w:fill="FFFFFF"/>
        <w:spacing w:line="240" w:lineRule="auto"/>
        <w:ind w:left="1080" w:right="690" w:firstLine="0"/>
      </w:pPr>
      <w:r w:rsidRPr="009C37C2">
        <w:rPr>
          <w:rFonts w:asciiTheme="minorHAnsi" w:hAnsiTheme="minorHAnsi" w:cstheme="minorHAnsi"/>
        </w:rPr>
        <w:t xml:space="preserve">Students who satisfy the English Language Arts requirement of the Competency Determination described in </w:t>
      </w:r>
      <w:hyperlink r:id="rId14" w:history="1">
        <w:r w:rsidRPr="009C37C2">
          <w:rPr>
            <w:rStyle w:val="Hyperlink"/>
            <w:rFonts w:asciiTheme="minorHAnsi" w:hAnsiTheme="minorHAnsi" w:cstheme="minorHAnsi"/>
          </w:rPr>
          <w:t>603 CMR 30.03(2)(a) or (3)(a)</w:t>
        </w:r>
      </w:hyperlink>
      <w:r w:rsidRPr="009C37C2">
        <w:rPr>
          <w:rFonts w:asciiTheme="minorHAnsi" w:hAnsiTheme="minorHAnsi" w:cstheme="minorHAnsi"/>
        </w:rPr>
        <w:t xml:space="preserve"> satisfy the English criteria for the State Seal of Biliteracy. For students who have taken the English Language Arts grade 10 MCAS prior to the spring of 2019</w:t>
      </w:r>
      <w:r>
        <w:rPr>
          <w:rFonts w:asciiTheme="minorHAnsi" w:hAnsiTheme="minorHAnsi" w:cstheme="minorHAnsi"/>
        </w:rPr>
        <w:t xml:space="preserve"> (the Legacy MCAS)</w:t>
      </w:r>
      <w:r w:rsidRPr="009C37C2">
        <w:rPr>
          <w:rFonts w:asciiTheme="minorHAnsi" w:hAnsiTheme="minorHAnsi" w:cstheme="minorHAnsi"/>
        </w:rPr>
        <w:t>, that means meeting or exceeding the Proficient threshold scaled score of 240.</w:t>
      </w:r>
      <w:r w:rsidRPr="009C37C2">
        <w:rPr>
          <w:rStyle w:val="FootnoteReference"/>
          <w:rFonts w:asciiTheme="minorHAnsi" w:hAnsiTheme="minorHAnsi" w:cstheme="minorHAnsi"/>
          <w:color w:val="000000"/>
        </w:rPr>
        <w:footnoteReference w:id="1"/>
      </w:r>
      <w:r>
        <w:rPr>
          <w:rFonts w:asciiTheme="minorHAnsi" w:hAnsiTheme="minorHAnsi" w:cstheme="minorHAnsi"/>
        </w:rPr>
        <w:t xml:space="preserve"> For students taking the MCAS in the spring of 2019 and beyond (the Next-Gen MCAS), the minimum requirement is </w:t>
      </w:r>
      <w:r w:rsidRPr="00AF70D8">
        <w:rPr>
          <w:rFonts w:asciiTheme="minorHAnsi" w:hAnsiTheme="minorHAnsi" w:cstheme="minorHAnsi"/>
          <w:i/>
          <w:iCs/>
        </w:rPr>
        <w:t>Meeting Expectations</w:t>
      </w:r>
      <w:r>
        <w:rPr>
          <w:rFonts w:asciiTheme="minorHAnsi" w:hAnsiTheme="minorHAnsi" w:cstheme="minorHAnsi"/>
        </w:rPr>
        <w:t xml:space="preserve"> (472-500). </w:t>
      </w:r>
      <w:r>
        <w:t xml:space="preserve">The Department also offers MCAS retests in November and March that </w:t>
      </w:r>
      <w:hyperlink r:id="rId15" w:anchor="page=19" w:history="1">
        <w:r w:rsidRPr="0031798C">
          <w:rPr>
            <w:rStyle w:val="Hyperlink"/>
          </w:rPr>
          <w:t>eligible students</w:t>
        </w:r>
      </w:hyperlink>
      <w:r>
        <w:t xml:space="preserve"> can take to obtain a score of 240 (Legacy MCAS) or 472 (Next-Gen MCAS) to satisfy the English criteria for the State Seal of Biliteracy.</w:t>
      </w:r>
    </w:p>
    <w:p w14:paraId="0F04DBBF" w14:textId="77777777" w:rsidR="001310D9" w:rsidRDefault="001310D9" w:rsidP="001310D9">
      <w:pPr>
        <w:pStyle w:val="ListParagraph"/>
        <w:shd w:val="clear" w:color="auto" w:fill="FFFFFF"/>
        <w:spacing w:line="240" w:lineRule="auto"/>
        <w:ind w:left="1080" w:right="690" w:firstLine="0"/>
      </w:pPr>
    </w:p>
    <w:p w14:paraId="486EF5A5" w14:textId="77777777" w:rsidR="001310D9" w:rsidRPr="009C37C2" w:rsidRDefault="001310D9" w:rsidP="001310D9">
      <w:pPr>
        <w:pStyle w:val="ListParagraph"/>
        <w:shd w:val="clear" w:color="auto" w:fill="FFFFFF"/>
        <w:spacing w:line="240" w:lineRule="auto"/>
        <w:ind w:left="1080" w:right="690" w:firstLine="0"/>
        <w:rPr>
          <w:rFonts w:asciiTheme="minorHAnsi" w:hAnsiTheme="minorHAnsi" w:cstheme="minorHAnsi"/>
        </w:rPr>
      </w:pPr>
      <w:r w:rsidRPr="009C37C2">
        <w:rPr>
          <w:rFonts w:asciiTheme="minorHAnsi" w:hAnsiTheme="minorHAnsi" w:cstheme="minorHAnsi"/>
        </w:rPr>
        <w:t xml:space="preserve">Students who earn a scaled score between 220 and 238 </w:t>
      </w:r>
      <w:r>
        <w:rPr>
          <w:rFonts w:asciiTheme="minorHAnsi" w:hAnsiTheme="minorHAnsi" w:cstheme="minorHAnsi"/>
        </w:rPr>
        <w:t xml:space="preserve">on </w:t>
      </w:r>
      <w:r w:rsidRPr="009C37C2">
        <w:rPr>
          <w:rFonts w:asciiTheme="minorHAnsi" w:hAnsiTheme="minorHAnsi" w:cstheme="minorHAnsi"/>
        </w:rPr>
        <w:t xml:space="preserve">the English Language Arts </w:t>
      </w:r>
      <w:r>
        <w:rPr>
          <w:rFonts w:asciiTheme="minorHAnsi" w:hAnsiTheme="minorHAnsi" w:cstheme="minorHAnsi"/>
        </w:rPr>
        <w:t xml:space="preserve">grade 10 Legacy MCAS or between 455 and 471 on the Next-Gen MCAS </w:t>
      </w:r>
      <w:r w:rsidRPr="009C37C2">
        <w:rPr>
          <w:rFonts w:asciiTheme="minorHAnsi" w:hAnsiTheme="minorHAnsi" w:cstheme="minorHAnsi"/>
        </w:rPr>
        <w:t xml:space="preserve">may satisfy the English </w:t>
      </w:r>
      <w:r>
        <w:rPr>
          <w:rFonts w:asciiTheme="minorHAnsi" w:hAnsiTheme="minorHAnsi" w:cstheme="minorHAnsi"/>
        </w:rPr>
        <w:t>l</w:t>
      </w:r>
      <w:r w:rsidRPr="009C37C2">
        <w:rPr>
          <w:rFonts w:asciiTheme="minorHAnsi" w:hAnsiTheme="minorHAnsi" w:cstheme="minorHAnsi"/>
        </w:rPr>
        <w:t>anguage criteria for the State Seal of Biliteracy if they fulfill the requ</w:t>
      </w:r>
      <w:r w:rsidRPr="009C37C2">
        <w:rPr>
          <w:rFonts w:asciiTheme="minorHAnsi" w:hAnsiTheme="minorHAnsi" w:cstheme="minorHAnsi"/>
          <w:color w:val="000000"/>
        </w:rPr>
        <w:t xml:space="preserve">irements of an </w:t>
      </w:r>
      <w:hyperlink r:id="rId16" w:history="1">
        <w:r w:rsidRPr="009C37C2">
          <w:rPr>
            <w:rStyle w:val="Hyperlink"/>
            <w:rFonts w:asciiTheme="minorHAnsi" w:hAnsiTheme="minorHAnsi" w:cstheme="minorHAnsi"/>
          </w:rPr>
          <w:t>Educational Proficiency Plan</w:t>
        </w:r>
      </w:hyperlink>
      <w:r w:rsidRPr="009C37C2">
        <w:rPr>
          <w:rStyle w:val="FootnoteReference"/>
          <w:rFonts w:asciiTheme="minorHAnsi" w:hAnsiTheme="minorHAnsi" w:cstheme="minorHAnsi"/>
          <w:color w:val="0563C1" w:themeColor="hyperlink"/>
          <w:u w:val="single"/>
        </w:rPr>
        <w:footnoteReference w:id="2"/>
      </w:r>
      <w:r>
        <w:t xml:space="preserve"> an</w:t>
      </w:r>
      <w:r w:rsidRPr="00605993">
        <w:t xml:space="preserve">d attain a minimum score or level on </w:t>
      </w:r>
      <w:r w:rsidRPr="00F00F81">
        <w:t>a nationally recognized and readily available English proficiency assessment</w:t>
      </w:r>
      <w:r>
        <w:t xml:space="preserve"> </w:t>
      </w:r>
      <w:r w:rsidRPr="00605993">
        <w:t>approved by the Department</w:t>
      </w:r>
      <w:r>
        <w:t xml:space="preserve">. </w:t>
      </w:r>
      <w:r>
        <w:rPr>
          <w:i/>
        </w:rPr>
        <w:t>See</w:t>
      </w:r>
      <w:r>
        <w:t xml:space="preserve"> </w:t>
      </w:r>
      <w:hyperlink r:id="rId17" w:history="1">
        <w:r w:rsidRPr="00177984">
          <w:rPr>
            <w:rStyle w:val="Hyperlink"/>
          </w:rPr>
          <w:t>603 CMR 31.07(2)(a)3</w:t>
        </w:r>
      </w:hyperlink>
      <w:r>
        <w:t xml:space="preserve">. </w:t>
      </w:r>
      <w:r>
        <w:rPr>
          <w:rFonts w:asciiTheme="minorHAnsi" w:hAnsiTheme="minorHAnsi" w:cstheme="minorHAnsi"/>
        </w:rPr>
        <w:t xml:space="preserve">Students who retake the grade 10 English Language Arts MCAS in the spring of their 11 or 12 grade year and score a 240 (Legacy MCAS) or 472 (Next-Gen MCAS) satisfy the English language criteria for the State Seal of Biliteracy. Similarly, </w:t>
      </w:r>
      <w:r>
        <w:t>ACCESS for ELLs is administered to English learners in January and may be used to satisfy the English language criteria for the State Seal of Biliteracy by students who also fulfill the requirements of an Educational Proficiency Plan. These students must demonstrate English proficiency on ACCESS for ELLs with an overall score of at least level 4.2 and a composite literacy score of at least level 3.9.</w:t>
      </w:r>
      <w:r>
        <w:rPr>
          <w:rFonts w:asciiTheme="minorHAnsi" w:hAnsiTheme="minorHAnsi" w:cstheme="minorHAnsi"/>
        </w:rPr>
        <w:t xml:space="preserve"> Districts interested in using an English proficiency assessment other than MCAS and ACCESS for ELLs to satisfy the English language </w:t>
      </w:r>
      <w:r>
        <w:rPr>
          <w:rFonts w:asciiTheme="minorHAnsi" w:hAnsiTheme="minorHAnsi" w:cstheme="minorHAnsi"/>
        </w:rPr>
        <w:lastRenderedPageBreak/>
        <w:t xml:space="preserve">criteria for students on an Educational Proficiency Plan should contact the </w:t>
      </w:r>
      <w:hyperlink r:id="rId18" w:history="1">
        <w:r w:rsidRPr="00F00F81">
          <w:rPr>
            <w:rStyle w:val="Hyperlink"/>
            <w:rFonts w:asciiTheme="minorHAnsi" w:hAnsiTheme="minorHAnsi" w:cstheme="minorHAnsi"/>
          </w:rPr>
          <w:t>Office of Language Acquisition</w:t>
        </w:r>
      </w:hyperlink>
      <w:r>
        <w:rPr>
          <w:rFonts w:asciiTheme="minorHAnsi" w:hAnsiTheme="minorHAnsi" w:cstheme="minorHAnsi"/>
        </w:rPr>
        <w:t xml:space="preserve"> to request approval.</w:t>
      </w:r>
    </w:p>
    <w:p w14:paraId="63D28AD0" w14:textId="77777777" w:rsidR="001310D9" w:rsidRPr="009C37C2" w:rsidRDefault="001310D9" w:rsidP="001310D9">
      <w:pPr>
        <w:pStyle w:val="PlainText"/>
        <w:pBdr>
          <w:top w:val="none" w:sz="0" w:space="0" w:color="000000"/>
          <w:left w:val="none" w:sz="0" w:space="0" w:color="000000"/>
          <w:bottom w:val="none" w:sz="0" w:space="0" w:color="000000"/>
          <w:right w:val="none" w:sz="0" w:space="0" w:color="000000"/>
          <w:between w:val="none" w:sz="0" w:space="0" w:color="000000"/>
        </w:pBdr>
        <w:ind w:left="1080" w:right="690"/>
        <w:rPr>
          <w:rFonts w:asciiTheme="minorHAnsi" w:hAnsiTheme="minorHAnsi" w:cstheme="minorHAnsi"/>
          <w:color w:val="000000"/>
          <w:sz w:val="22"/>
          <w:szCs w:val="22"/>
        </w:rPr>
      </w:pPr>
    </w:p>
    <w:p w14:paraId="1F243F88" w14:textId="77777777" w:rsidR="001310D9" w:rsidRPr="009C37C2" w:rsidRDefault="001310D9" w:rsidP="001310D9">
      <w:pPr>
        <w:pStyle w:val="Heading1"/>
        <w:spacing w:before="0" w:line="240" w:lineRule="auto"/>
        <w:ind w:left="1080" w:right="690"/>
        <w:rPr>
          <w:rFonts w:asciiTheme="minorHAnsi" w:hAnsiTheme="minorHAnsi" w:cstheme="minorHAnsi"/>
          <w:b/>
          <w:color w:val="A10067"/>
          <w:sz w:val="28"/>
          <w:szCs w:val="28"/>
        </w:rPr>
      </w:pPr>
      <w:bookmarkStart w:id="1" w:name="_Toc520194525"/>
      <w:bookmarkStart w:id="2" w:name="_Toc526343906"/>
      <w:r>
        <w:rPr>
          <w:rStyle w:val="Hyperlink"/>
          <w:rFonts w:asciiTheme="minorHAnsi" w:hAnsiTheme="minorHAnsi" w:cstheme="minorHAnsi"/>
          <w:b/>
          <w:color w:val="A10067"/>
          <w:sz w:val="28"/>
          <w:szCs w:val="28"/>
        </w:rPr>
        <w:t>World</w:t>
      </w:r>
      <w:r w:rsidRPr="009C37C2">
        <w:rPr>
          <w:rStyle w:val="Hyperlink"/>
          <w:rFonts w:asciiTheme="minorHAnsi" w:hAnsiTheme="minorHAnsi" w:cstheme="minorHAnsi"/>
          <w:b/>
          <w:color w:val="A10067"/>
          <w:sz w:val="28"/>
          <w:szCs w:val="28"/>
        </w:rPr>
        <w:t xml:space="preserve"> Language Criteria</w:t>
      </w:r>
      <w:bookmarkEnd w:id="1"/>
      <w:bookmarkEnd w:id="2"/>
      <w:r w:rsidRPr="009C37C2">
        <w:rPr>
          <w:rStyle w:val="Hyperlink"/>
          <w:rFonts w:asciiTheme="minorHAnsi" w:hAnsiTheme="minorHAnsi" w:cstheme="minorHAnsi"/>
          <w:b/>
          <w:color w:val="A10067"/>
          <w:sz w:val="28"/>
          <w:szCs w:val="28"/>
        </w:rPr>
        <w:t xml:space="preserve">  </w:t>
      </w:r>
    </w:p>
    <w:p w14:paraId="4CA60272" w14:textId="77777777" w:rsidR="001310D9" w:rsidRDefault="001310D9" w:rsidP="001310D9">
      <w:pPr>
        <w:pStyle w:val="Default"/>
        <w:ind w:left="1080" w:right="690"/>
        <w:rPr>
          <w:rFonts w:asciiTheme="minorHAnsi" w:hAnsiTheme="minorHAnsi" w:cstheme="minorHAnsi"/>
          <w:sz w:val="22"/>
          <w:szCs w:val="22"/>
        </w:rPr>
      </w:pPr>
      <w:r w:rsidRPr="009C37C2">
        <w:rPr>
          <w:rFonts w:asciiTheme="minorHAnsi" w:hAnsiTheme="minorHAnsi" w:cstheme="minorHAnsi"/>
          <w:color w:val="auto"/>
          <w:sz w:val="22"/>
          <w:szCs w:val="22"/>
        </w:rPr>
        <w:t xml:space="preserve">Students who attain a score or level at the </w:t>
      </w:r>
      <w:r w:rsidRPr="009C37C2">
        <w:rPr>
          <w:rFonts w:asciiTheme="minorHAnsi" w:hAnsiTheme="minorHAnsi" w:cstheme="minorHAnsi"/>
          <w:b/>
          <w:color w:val="auto"/>
          <w:sz w:val="22"/>
          <w:szCs w:val="22"/>
        </w:rPr>
        <w:t xml:space="preserve">Intermediate-High </w:t>
      </w:r>
      <w:r w:rsidRPr="009C37C2">
        <w:rPr>
          <w:rFonts w:asciiTheme="minorHAnsi" w:hAnsiTheme="minorHAnsi" w:cstheme="minorHAnsi"/>
          <w:color w:val="auto"/>
          <w:sz w:val="22"/>
          <w:szCs w:val="22"/>
        </w:rPr>
        <w:t xml:space="preserve">level of the </w:t>
      </w:r>
      <w:hyperlink r:id="rId19" w:history="1">
        <w:r w:rsidRPr="009C37C2">
          <w:rPr>
            <w:rStyle w:val="Hyperlink"/>
            <w:rFonts w:asciiTheme="minorHAnsi" w:eastAsia="Calibri" w:hAnsiTheme="minorHAnsi" w:cstheme="minorHAnsi"/>
            <w:sz w:val="22"/>
            <w:szCs w:val="22"/>
          </w:rPr>
          <w:t>ACTFL Proficiency Guidelines</w:t>
        </w:r>
      </w:hyperlink>
      <w:r w:rsidRPr="009C37C2">
        <w:rPr>
          <w:rStyle w:val="Hyperlink"/>
          <w:rFonts w:asciiTheme="minorHAnsi" w:eastAsia="Calibri" w:hAnsiTheme="minorHAnsi" w:cstheme="minorHAnsi"/>
          <w:b/>
          <w:color w:val="auto"/>
          <w:sz w:val="22"/>
          <w:szCs w:val="22"/>
        </w:rPr>
        <w:t xml:space="preserve"> </w:t>
      </w:r>
      <w:r w:rsidRPr="009C37C2">
        <w:rPr>
          <w:rFonts w:asciiTheme="minorHAnsi" w:hAnsiTheme="minorHAnsi" w:cstheme="minorHAnsi"/>
          <w:color w:val="auto"/>
          <w:sz w:val="22"/>
          <w:szCs w:val="22"/>
        </w:rPr>
        <w:t xml:space="preserve">of 2012, published by the American Council on the Teaching of Foreign </w:t>
      </w:r>
      <w:r w:rsidRPr="009C37C2">
        <w:rPr>
          <w:rFonts w:asciiTheme="minorHAnsi" w:hAnsiTheme="minorHAnsi" w:cstheme="minorHAnsi"/>
          <w:noProof/>
          <w:color w:val="auto"/>
          <w:sz w:val="22"/>
          <w:szCs w:val="22"/>
        </w:rPr>
        <w:t xml:space="preserve">Languages, on a </w:t>
      </w:r>
      <w:r w:rsidRPr="009C37C2">
        <w:rPr>
          <w:rFonts w:asciiTheme="minorHAnsi" w:hAnsiTheme="minorHAnsi" w:cstheme="minorHAnsi"/>
          <w:color w:val="auto"/>
          <w:sz w:val="22"/>
          <w:szCs w:val="22"/>
        </w:rPr>
        <w:t xml:space="preserve">language assessment approved by the Department satisfy the </w:t>
      </w:r>
      <w:r>
        <w:rPr>
          <w:rFonts w:asciiTheme="minorHAnsi" w:hAnsiTheme="minorHAnsi" w:cstheme="minorHAnsi"/>
          <w:color w:val="auto"/>
          <w:sz w:val="22"/>
          <w:szCs w:val="22"/>
        </w:rPr>
        <w:t>world</w:t>
      </w:r>
      <w:r w:rsidRPr="009C37C2">
        <w:rPr>
          <w:rFonts w:asciiTheme="minorHAnsi" w:hAnsiTheme="minorHAnsi" w:cstheme="minorHAnsi"/>
          <w:color w:val="auto"/>
          <w:sz w:val="22"/>
          <w:szCs w:val="22"/>
        </w:rPr>
        <w:t xml:space="preserve"> language criteria for the State Seal of Biliteracy. </w:t>
      </w:r>
      <w:r w:rsidRPr="009C37C2">
        <w:rPr>
          <w:rFonts w:asciiTheme="minorHAnsi" w:hAnsiTheme="minorHAnsi" w:cstheme="minorHAnsi"/>
          <w:sz w:val="22"/>
          <w:szCs w:val="22"/>
        </w:rPr>
        <w:t xml:space="preserve"> A student may also be able to demonstrate a high level of proficiency in a </w:t>
      </w:r>
      <w:r>
        <w:rPr>
          <w:rFonts w:asciiTheme="minorHAnsi" w:hAnsiTheme="minorHAnsi" w:cstheme="minorHAnsi"/>
          <w:sz w:val="22"/>
          <w:szCs w:val="22"/>
        </w:rPr>
        <w:t>world</w:t>
      </w:r>
      <w:r w:rsidRPr="009C37C2">
        <w:rPr>
          <w:rFonts w:asciiTheme="minorHAnsi" w:hAnsiTheme="minorHAnsi" w:cstheme="minorHAnsi"/>
          <w:sz w:val="22"/>
          <w:szCs w:val="22"/>
        </w:rPr>
        <w:t xml:space="preserve"> language under certain circumstances as described in the </w:t>
      </w:r>
      <w:r w:rsidRPr="009C37C2">
        <w:rPr>
          <w:rFonts w:asciiTheme="minorHAnsi" w:hAnsiTheme="minorHAnsi" w:cstheme="minorHAnsi"/>
          <w:i/>
          <w:sz w:val="22"/>
          <w:szCs w:val="22"/>
        </w:rPr>
        <w:t>Portfolio-Based Alternative Evidence Method for Foreign Language Assessments</w:t>
      </w:r>
      <w:r w:rsidRPr="009C37C2">
        <w:rPr>
          <w:rFonts w:asciiTheme="minorHAnsi" w:hAnsiTheme="minorHAnsi" w:cstheme="minorHAnsi"/>
          <w:sz w:val="22"/>
          <w:szCs w:val="22"/>
        </w:rPr>
        <w:t xml:space="preserve"> section of this Guidance below.</w:t>
      </w:r>
    </w:p>
    <w:p w14:paraId="17B8B88B" w14:textId="77777777" w:rsidR="001310D9" w:rsidRPr="009C37C2" w:rsidRDefault="001310D9" w:rsidP="001310D9">
      <w:pPr>
        <w:pStyle w:val="Default"/>
        <w:ind w:left="1080" w:right="690"/>
        <w:rPr>
          <w:rFonts w:asciiTheme="minorHAnsi" w:hAnsiTheme="minorHAnsi" w:cstheme="minorHAnsi"/>
          <w:color w:val="auto"/>
          <w:sz w:val="22"/>
          <w:szCs w:val="22"/>
        </w:rPr>
      </w:pPr>
    </w:p>
    <w:p w14:paraId="248C59E8" w14:textId="77777777" w:rsidR="001310D9" w:rsidRPr="009C37C2" w:rsidRDefault="001310D9" w:rsidP="001310D9">
      <w:pPr>
        <w:pStyle w:val="Default"/>
        <w:ind w:left="1080" w:right="690"/>
        <w:rPr>
          <w:rFonts w:asciiTheme="minorHAnsi" w:hAnsiTheme="minorHAnsi" w:cstheme="minorHAnsi"/>
          <w:b/>
          <w:color w:val="auto"/>
          <w:sz w:val="22"/>
          <w:szCs w:val="22"/>
        </w:rPr>
      </w:pPr>
    </w:p>
    <w:p w14:paraId="3761CF9B" w14:textId="77777777" w:rsidR="001310D9" w:rsidRPr="009C37C2" w:rsidRDefault="001310D9" w:rsidP="001310D9">
      <w:pPr>
        <w:pStyle w:val="Default"/>
        <w:ind w:left="1080" w:right="690"/>
        <w:rPr>
          <w:rFonts w:asciiTheme="minorHAnsi" w:hAnsiTheme="minorHAnsi" w:cstheme="minorHAnsi"/>
          <w:b/>
          <w:color w:val="A10067"/>
          <w:sz w:val="28"/>
          <w:szCs w:val="28"/>
        </w:rPr>
      </w:pPr>
      <w:r w:rsidRPr="009C37C2">
        <w:rPr>
          <w:rFonts w:asciiTheme="minorHAnsi" w:hAnsiTheme="minorHAnsi" w:cstheme="minorHAnsi"/>
          <w:b/>
          <w:color w:val="A10067"/>
          <w:sz w:val="28"/>
          <w:szCs w:val="28"/>
        </w:rPr>
        <w:t>Criteria for the State Seal of Biliteracy with Distinction</w:t>
      </w:r>
    </w:p>
    <w:p w14:paraId="3E663B3C" w14:textId="77777777" w:rsidR="001310D9" w:rsidRPr="009C37C2" w:rsidRDefault="001310D9" w:rsidP="001310D9">
      <w:pPr>
        <w:pStyle w:val="Default"/>
        <w:ind w:left="1080" w:right="690"/>
        <w:rPr>
          <w:rFonts w:asciiTheme="minorHAnsi" w:hAnsiTheme="minorHAnsi" w:cstheme="minorHAnsi"/>
          <w:color w:val="auto"/>
          <w:sz w:val="22"/>
          <w:szCs w:val="22"/>
        </w:rPr>
      </w:pPr>
      <w:r w:rsidRPr="009C37C2">
        <w:rPr>
          <w:rFonts w:asciiTheme="minorHAnsi" w:hAnsiTheme="minorHAnsi" w:cstheme="minorHAnsi"/>
          <w:color w:val="auto"/>
          <w:sz w:val="22"/>
          <w:szCs w:val="22"/>
        </w:rPr>
        <w:t xml:space="preserve">Students who demonstrate mastery of English and a </w:t>
      </w:r>
      <w:r>
        <w:rPr>
          <w:rFonts w:asciiTheme="minorHAnsi" w:hAnsiTheme="minorHAnsi" w:cstheme="minorHAnsi"/>
          <w:color w:val="auto"/>
          <w:sz w:val="22"/>
          <w:szCs w:val="22"/>
        </w:rPr>
        <w:t>world</w:t>
      </w:r>
      <w:r w:rsidRPr="009C37C2">
        <w:rPr>
          <w:rFonts w:asciiTheme="minorHAnsi" w:hAnsiTheme="minorHAnsi" w:cstheme="minorHAnsi"/>
          <w:color w:val="auto"/>
          <w:sz w:val="22"/>
          <w:szCs w:val="22"/>
        </w:rPr>
        <w:t xml:space="preserve"> language may be eligible for the State Seal of Biliteracy with Distinction. To earn the State Seal of Biliteracy with Distinction, students must meet the following criteria:</w:t>
      </w:r>
    </w:p>
    <w:p w14:paraId="72FB4309" w14:textId="77777777" w:rsidR="001310D9" w:rsidRDefault="001310D9" w:rsidP="001310D9">
      <w:pPr>
        <w:pStyle w:val="Default"/>
        <w:numPr>
          <w:ilvl w:val="0"/>
          <w:numId w:val="2"/>
        </w:numPr>
        <w:ind w:left="1800" w:right="690"/>
        <w:rPr>
          <w:rFonts w:asciiTheme="minorHAnsi" w:hAnsiTheme="minorHAnsi" w:cstheme="minorHAnsi"/>
          <w:color w:val="auto"/>
          <w:sz w:val="22"/>
          <w:szCs w:val="22"/>
        </w:rPr>
      </w:pPr>
      <w:r w:rsidRPr="009C37C2">
        <w:rPr>
          <w:rFonts w:asciiTheme="minorHAnsi" w:hAnsiTheme="minorHAnsi" w:cstheme="minorHAnsi"/>
          <w:color w:val="auto"/>
          <w:sz w:val="22"/>
          <w:szCs w:val="22"/>
        </w:rPr>
        <w:t xml:space="preserve">English: meeting or exceeding the Advanced threshold scaled score of 260 on the English Language Arts grade 10 </w:t>
      </w:r>
      <w:r>
        <w:rPr>
          <w:rFonts w:asciiTheme="minorHAnsi" w:hAnsiTheme="minorHAnsi" w:cstheme="minorHAnsi"/>
          <w:color w:val="auto"/>
          <w:sz w:val="22"/>
          <w:szCs w:val="22"/>
        </w:rPr>
        <w:t xml:space="preserve">Legacy </w:t>
      </w:r>
      <w:r w:rsidRPr="009C37C2">
        <w:rPr>
          <w:rFonts w:asciiTheme="minorHAnsi" w:hAnsiTheme="minorHAnsi" w:cstheme="minorHAnsi"/>
          <w:color w:val="auto"/>
          <w:sz w:val="22"/>
          <w:szCs w:val="22"/>
        </w:rPr>
        <w:t>MCAS test</w:t>
      </w:r>
      <w:r>
        <w:rPr>
          <w:rFonts w:asciiTheme="minorHAnsi" w:hAnsiTheme="minorHAnsi" w:cstheme="minorHAnsi"/>
          <w:color w:val="auto"/>
          <w:sz w:val="22"/>
          <w:szCs w:val="22"/>
        </w:rPr>
        <w:t xml:space="preserve"> (Next-Gen MCAS – 501-560)</w:t>
      </w:r>
      <w:r w:rsidRPr="009C37C2">
        <w:rPr>
          <w:rFonts w:asciiTheme="minorHAnsi" w:hAnsiTheme="minorHAnsi" w:cstheme="minorHAnsi"/>
          <w:color w:val="auto"/>
          <w:sz w:val="22"/>
          <w:szCs w:val="22"/>
        </w:rPr>
        <w:t xml:space="preserve">; and </w:t>
      </w:r>
    </w:p>
    <w:p w14:paraId="2C47B319" w14:textId="77777777" w:rsidR="001310D9" w:rsidRPr="009C37C2" w:rsidRDefault="001310D9" w:rsidP="001310D9">
      <w:pPr>
        <w:pStyle w:val="Default"/>
        <w:numPr>
          <w:ilvl w:val="0"/>
          <w:numId w:val="2"/>
        </w:numPr>
        <w:ind w:left="1800" w:right="690"/>
        <w:rPr>
          <w:rFonts w:asciiTheme="minorHAnsi" w:hAnsiTheme="minorHAnsi" w:cstheme="minorHAnsi"/>
          <w:color w:val="auto"/>
          <w:sz w:val="22"/>
          <w:szCs w:val="22"/>
        </w:rPr>
      </w:pPr>
      <w:r>
        <w:rPr>
          <w:rFonts w:asciiTheme="minorHAnsi" w:hAnsiTheme="minorHAnsi" w:cstheme="minorHAnsi"/>
          <w:color w:val="auto"/>
          <w:sz w:val="22"/>
          <w:szCs w:val="22"/>
        </w:rPr>
        <w:t>World</w:t>
      </w:r>
      <w:r w:rsidRPr="009C37C2">
        <w:rPr>
          <w:rFonts w:asciiTheme="minorHAnsi" w:hAnsiTheme="minorHAnsi" w:cstheme="minorHAnsi"/>
          <w:color w:val="auto"/>
          <w:sz w:val="22"/>
          <w:szCs w:val="22"/>
        </w:rPr>
        <w:t xml:space="preserve"> Language: scoring at the Advanced-Low level of the ACTFL Proficiency Guidelines of 2012 on an assessment approved by the Department or demonstrating an Advanced-Low level of proficiency through a portfolio-based alternative evidence method described below.</w:t>
      </w:r>
    </w:p>
    <w:p w14:paraId="009BE4DD" w14:textId="051571F1" w:rsidR="00FE182E" w:rsidRPr="001310D9" w:rsidRDefault="00FE182E" w:rsidP="001310D9"/>
    <w:sectPr w:rsidR="00FE182E" w:rsidRPr="001310D9" w:rsidSect="00116C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F2152" w14:textId="77777777" w:rsidR="00E06EAB" w:rsidRDefault="00E06EAB" w:rsidP="00E73ABB">
      <w:pPr>
        <w:spacing w:line="240" w:lineRule="auto"/>
      </w:pPr>
      <w:r>
        <w:separator/>
      </w:r>
    </w:p>
  </w:endnote>
  <w:endnote w:type="continuationSeparator" w:id="0">
    <w:p w14:paraId="245DA1AE" w14:textId="77777777" w:rsidR="00E06EAB" w:rsidRDefault="00E06EAB" w:rsidP="00E73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PT Sans Narrow">
    <w:altName w:val="Arial Narrow"/>
    <w:charset w:val="00"/>
    <w:family w:val="auto"/>
    <w:pitch w:val="variable"/>
    <w:sig w:usb0="A00002EF" w:usb1="5000204B" w:usb2="00000000" w:usb3="00000000" w:csb0="00000097" w:csb1="00000000"/>
  </w:font>
  <w:font w:name="DengXian Light">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48B3D" w14:textId="77777777" w:rsidR="00E06EAB" w:rsidRDefault="00E06EAB" w:rsidP="00E73ABB">
      <w:pPr>
        <w:spacing w:line="240" w:lineRule="auto"/>
      </w:pPr>
      <w:r>
        <w:separator/>
      </w:r>
    </w:p>
  </w:footnote>
  <w:footnote w:type="continuationSeparator" w:id="0">
    <w:p w14:paraId="4EB9990C" w14:textId="77777777" w:rsidR="00E06EAB" w:rsidRDefault="00E06EAB" w:rsidP="00E73ABB">
      <w:pPr>
        <w:spacing w:line="240" w:lineRule="auto"/>
      </w:pPr>
      <w:r>
        <w:continuationSeparator/>
      </w:r>
    </w:p>
  </w:footnote>
  <w:footnote w:id="1">
    <w:p w14:paraId="252900D8" w14:textId="77777777" w:rsidR="001310D9" w:rsidRPr="009C37C2" w:rsidRDefault="001310D9" w:rsidP="001310D9">
      <w:pPr>
        <w:pStyle w:val="FootnoteText"/>
        <w:rPr>
          <w:sz w:val="16"/>
          <w:szCs w:val="16"/>
        </w:rPr>
      </w:pPr>
      <w:r w:rsidRPr="009452C9">
        <w:rPr>
          <w:rStyle w:val="FootnoteReference"/>
        </w:rPr>
        <w:footnoteRef/>
      </w:r>
      <w:r w:rsidRPr="009452C9">
        <w:t xml:space="preserve"> </w:t>
      </w:r>
      <w:r w:rsidRPr="009C37C2">
        <w:rPr>
          <w:sz w:val="16"/>
          <w:szCs w:val="16"/>
        </w:rPr>
        <w:t xml:space="preserve">For more information about the competency determination for students taking the grade 10 ELA MCAS in spring 2019, please see the </w:t>
      </w:r>
      <w:hyperlink r:id="rId1" w:history="1">
        <w:r w:rsidRPr="009C37C2">
          <w:rPr>
            <w:rStyle w:val="Hyperlink"/>
            <w:sz w:val="16"/>
            <w:szCs w:val="16"/>
          </w:rPr>
          <w:t>February 16, 2018 Memorandum to the Board of Elementary and Secondary Education</w:t>
        </w:r>
      </w:hyperlink>
      <w:r w:rsidRPr="009C37C2">
        <w:rPr>
          <w:sz w:val="16"/>
          <w:szCs w:val="16"/>
        </w:rPr>
        <w:t xml:space="preserve">.  </w:t>
      </w:r>
    </w:p>
  </w:footnote>
  <w:footnote w:id="2">
    <w:p w14:paraId="311222CE" w14:textId="77777777" w:rsidR="001310D9" w:rsidRPr="009C37C2" w:rsidRDefault="001310D9" w:rsidP="001310D9">
      <w:pPr>
        <w:pStyle w:val="FootnoteText"/>
        <w:rPr>
          <w:sz w:val="16"/>
          <w:szCs w:val="16"/>
        </w:rPr>
      </w:pPr>
      <w:r w:rsidRPr="009C37C2">
        <w:rPr>
          <w:rStyle w:val="FootnoteReference"/>
          <w:sz w:val="16"/>
          <w:szCs w:val="16"/>
        </w:rPr>
        <w:footnoteRef/>
      </w:r>
      <w:r w:rsidRPr="009C37C2">
        <w:rPr>
          <w:sz w:val="16"/>
          <w:szCs w:val="16"/>
        </w:rPr>
        <w:t xml:space="preserve"> For more information on the Educational Proficiency Plan, please see the </w:t>
      </w:r>
      <w:hyperlink r:id="rId2" w:history="1">
        <w:r w:rsidRPr="009C37C2">
          <w:rPr>
            <w:rStyle w:val="Hyperlink"/>
            <w:i/>
            <w:sz w:val="16"/>
            <w:szCs w:val="16"/>
          </w:rPr>
          <w:t>Requirements for the Educational Proficiency Plan (EPP) - Questions and Answers</w:t>
        </w:r>
      </w:hyperlink>
      <w:r w:rsidRPr="009C37C2">
        <w:rPr>
          <w: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C6C64"/>
    <w:multiLevelType w:val="hybridMultilevel"/>
    <w:tmpl w:val="D402DD04"/>
    <w:lvl w:ilvl="0" w:tplc="3356E02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4591EA3"/>
    <w:multiLevelType w:val="hybridMultilevel"/>
    <w:tmpl w:val="2AE4B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ABB"/>
    <w:rsid w:val="000E0A5C"/>
    <w:rsid w:val="00116C80"/>
    <w:rsid w:val="001247CB"/>
    <w:rsid w:val="001310D9"/>
    <w:rsid w:val="002D1A42"/>
    <w:rsid w:val="00322486"/>
    <w:rsid w:val="00436DE1"/>
    <w:rsid w:val="004A4231"/>
    <w:rsid w:val="008312F5"/>
    <w:rsid w:val="008D0059"/>
    <w:rsid w:val="008F2BB7"/>
    <w:rsid w:val="009465FA"/>
    <w:rsid w:val="0097598D"/>
    <w:rsid w:val="00AD1440"/>
    <w:rsid w:val="00E0219B"/>
    <w:rsid w:val="00E06EAB"/>
    <w:rsid w:val="00E73ABB"/>
    <w:rsid w:val="00E85F57"/>
    <w:rsid w:val="00EC6BBA"/>
    <w:rsid w:val="00F2017D"/>
    <w:rsid w:val="00FE18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0606"/>
  <w15:chartTrackingRefBased/>
  <w15:docId w15:val="{E33D0492-B3DE-4D58-A869-1AE5C4B46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73ABB"/>
    <w:pPr>
      <w:spacing w:after="0" w:line="276" w:lineRule="auto"/>
      <w:ind w:left="1138" w:right="1397"/>
      <w:jc w:val="both"/>
    </w:pPr>
    <w:rPr>
      <w:rFonts w:ascii="Calibri" w:eastAsia="Calibri" w:hAnsi="Calibri" w:cs="Calibri"/>
    </w:rPr>
  </w:style>
  <w:style w:type="paragraph" w:styleId="Heading1">
    <w:name w:val="heading 1"/>
    <w:basedOn w:val="Normal"/>
    <w:link w:val="Heading1Char"/>
    <w:uiPriority w:val="1"/>
    <w:qFormat/>
    <w:rsid w:val="00E73ABB"/>
    <w:pPr>
      <w:spacing w:before="10"/>
      <w:ind w:left="739"/>
      <w:outlineLvl w:val="0"/>
    </w:pPr>
    <w:rPr>
      <w:sz w:val="40"/>
      <w:szCs w:val="40"/>
    </w:rPr>
  </w:style>
  <w:style w:type="paragraph" w:styleId="Heading2">
    <w:name w:val="heading 2"/>
    <w:basedOn w:val="Normal"/>
    <w:link w:val="Heading2Char"/>
    <w:uiPriority w:val="1"/>
    <w:qFormat/>
    <w:rsid w:val="00E73ABB"/>
    <w:pPr>
      <w:spacing w:before="20"/>
      <w:ind w:left="3104"/>
      <w:outlineLvl w:val="1"/>
    </w:pPr>
    <w:rPr>
      <w:b/>
      <w:bCs/>
      <w:sz w:val="32"/>
      <w:szCs w:val="32"/>
    </w:rPr>
  </w:style>
  <w:style w:type="paragraph" w:styleId="Heading3">
    <w:name w:val="heading 3"/>
    <w:basedOn w:val="Normal"/>
    <w:link w:val="Heading3Char"/>
    <w:uiPriority w:val="1"/>
    <w:qFormat/>
    <w:rsid w:val="00E73ABB"/>
    <w:pPr>
      <w:spacing w:before="44"/>
      <w:ind w:left="1140"/>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73ABB"/>
    <w:rPr>
      <w:rFonts w:ascii="Calibri" w:eastAsia="Calibri" w:hAnsi="Calibri" w:cs="Calibri"/>
      <w:sz w:val="40"/>
      <w:szCs w:val="40"/>
    </w:rPr>
  </w:style>
  <w:style w:type="character" w:customStyle="1" w:styleId="Heading2Char">
    <w:name w:val="Heading 2 Char"/>
    <w:basedOn w:val="DefaultParagraphFont"/>
    <w:link w:val="Heading2"/>
    <w:uiPriority w:val="1"/>
    <w:rsid w:val="00E73ABB"/>
    <w:rPr>
      <w:rFonts w:ascii="Calibri" w:eastAsia="Calibri" w:hAnsi="Calibri" w:cs="Calibri"/>
      <w:b/>
      <w:bCs/>
      <w:sz w:val="32"/>
      <w:szCs w:val="32"/>
    </w:rPr>
  </w:style>
  <w:style w:type="character" w:customStyle="1" w:styleId="Heading3Char">
    <w:name w:val="Heading 3 Char"/>
    <w:basedOn w:val="DefaultParagraphFont"/>
    <w:link w:val="Heading3"/>
    <w:uiPriority w:val="1"/>
    <w:rsid w:val="00E73ABB"/>
    <w:rPr>
      <w:rFonts w:ascii="Calibri" w:eastAsia="Calibri" w:hAnsi="Calibri" w:cs="Calibri"/>
      <w:b/>
      <w:bCs/>
      <w:sz w:val="28"/>
      <w:szCs w:val="28"/>
    </w:rPr>
  </w:style>
  <w:style w:type="paragraph" w:styleId="ListParagraph">
    <w:name w:val="List Paragraph"/>
    <w:basedOn w:val="Normal"/>
    <w:link w:val="ListParagraphChar"/>
    <w:uiPriority w:val="34"/>
    <w:qFormat/>
    <w:rsid w:val="00E73ABB"/>
    <w:pPr>
      <w:ind w:left="1860" w:hanging="360"/>
    </w:pPr>
  </w:style>
  <w:style w:type="paragraph" w:styleId="FootnoteText">
    <w:name w:val="footnote text"/>
    <w:basedOn w:val="Normal"/>
    <w:link w:val="FootnoteTextChar"/>
    <w:uiPriority w:val="99"/>
    <w:unhideWhenUsed/>
    <w:rsid w:val="00E73ABB"/>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73ABB"/>
    <w:rPr>
      <w:sz w:val="20"/>
      <w:szCs w:val="20"/>
    </w:rPr>
  </w:style>
  <w:style w:type="character" w:styleId="FootnoteReference">
    <w:name w:val="footnote reference"/>
    <w:basedOn w:val="DefaultParagraphFont"/>
    <w:uiPriority w:val="99"/>
    <w:unhideWhenUsed/>
    <w:rsid w:val="00E73ABB"/>
    <w:rPr>
      <w:vertAlign w:val="superscript"/>
    </w:rPr>
  </w:style>
  <w:style w:type="character" w:styleId="Hyperlink">
    <w:name w:val="Hyperlink"/>
    <w:basedOn w:val="DefaultParagraphFont"/>
    <w:uiPriority w:val="99"/>
    <w:unhideWhenUsed/>
    <w:rsid w:val="00E73ABB"/>
    <w:rPr>
      <w:color w:val="0563C1" w:themeColor="hyperlink"/>
      <w:u w:val="single"/>
    </w:rPr>
  </w:style>
  <w:style w:type="character" w:customStyle="1" w:styleId="ListParagraphChar">
    <w:name w:val="List Paragraph Char"/>
    <w:basedOn w:val="DefaultParagraphFont"/>
    <w:link w:val="ListParagraph"/>
    <w:uiPriority w:val="34"/>
    <w:locked/>
    <w:rsid w:val="00E73ABB"/>
    <w:rPr>
      <w:rFonts w:ascii="Calibri" w:eastAsia="Calibri" w:hAnsi="Calibri" w:cs="Calibri"/>
    </w:rPr>
  </w:style>
  <w:style w:type="paragraph" w:styleId="PlainText">
    <w:name w:val="Plain Text"/>
    <w:basedOn w:val="Normal"/>
    <w:link w:val="PlainTextChar"/>
    <w:uiPriority w:val="99"/>
    <w:unhideWhenUsed/>
    <w:rsid w:val="00E73ABB"/>
    <w:pPr>
      <w:spacing w:line="240" w:lineRule="auto"/>
      <w:ind w:left="0" w:right="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E73ABB"/>
    <w:rPr>
      <w:rFonts w:ascii="Consolas" w:hAnsi="Consolas"/>
      <w:sz w:val="21"/>
      <w:szCs w:val="21"/>
    </w:rPr>
  </w:style>
  <w:style w:type="paragraph" w:customStyle="1" w:styleId="Default">
    <w:name w:val="Default"/>
    <w:rsid w:val="00E73ABB"/>
    <w:pPr>
      <w:autoSpaceDE w:val="0"/>
      <w:autoSpaceDN w:val="0"/>
      <w:adjustRightInd w:val="0"/>
      <w:spacing w:after="0" w:line="240" w:lineRule="auto"/>
    </w:pPr>
    <w:rPr>
      <w:rFonts w:ascii="Cambria" w:eastAsia="Open Sans" w:hAnsi="Cambria" w:cs="Cambria"/>
      <w:color w:val="000000"/>
      <w:sz w:val="24"/>
      <w:szCs w:val="24"/>
    </w:rPr>
  </w:style>
  <w:style w:type="paragraph" w:styleId="BalloonText">
    <w:name w:val="Balloon Text"/>
    <w:basedOn w:val="Normal"/>
    <w:link w:val="BalloonTextChar"/>
    <w:uiPriority w:val="99"/>
    <w:semiHidden/>
    <w:unhideWhenUsed/>
    <w:rsid w:val="001247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7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31.html?section=07" TargetMode="External"/><Relationship Id="rId18" Type="http://schemas.openxmlformats.org/officeDocument/2006/relationships/hyperlink" Target="mailto:el@doe.mass.ed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lawsregs/603cmr31.html?section=07" TargetMode="External"/><Relationship Id="rId2" Type="http://schemas.openxmlformats.org/officeDocument/2006/relationships/customXml" Target="../customXml/item2.xml"/><Relationship Id="rId16" Type="http://schemas.openxmlformats.org/officeDocument/2006/relationships/hyperlink" Target="http://www.doe.mass.edu/lawsregs/603cmr30.html?section=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mcas/testadmin/retest/pam.pdf" TargetMode="External"/><Relationship Id="rId10" Type="http://schemas.openxmlformats.org/officeDocument/2006/relationships/footnotes" Target="footnotes.xml"/><Relationship Id="rId19" Type="http://schemas.openxmlformats.org/officeDocument/2006/relationships/hyperlink" Target="https://www.actfl.org/publications/guidelines-and-manuals/actfl-proficiency-guidelines-2012ACTFL%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30.html?section=0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ccr/epp/qa.html" TargetMode="External"/><Relationship Id="rId1" Type="http://schemas.openxmlformats.org/officeDocument/2006/relationships/hyperlink" Target="http://www.doe.mass.edu/bese/docs/fy2018/2018-02/item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DESE-231-55337</_dlc_DocId>
    <_dlc_DocIdUrl xmlns="733efe1c-5bbe-4968-87dc-d400e65c879f">
      <Url>https://sharepoint.doemass.org/ese/webteam/cps/_layouts/DocIdRedir.aspx?ID=DESE-231-55337</Url>
      <Description>DESE-231-55337</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3D665-4C13-463E-8196-A978BE1CC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127AD-635C-42FA-A34F-7AA5B75882B2}">
  <ds:schemaRefs>
    <ds:schemaRef ds:uri="http://schemas.microsoft.com/sharepoint/events"/>
  </ds:schemaRefs>
</ds:datastoreItem>
</file>

<file path=customXml/itemProps3.xml><?xml version="1.0" encoding="utf-8"?>
<ds:datastoreItem xmlns:ds="http://schemas.openxmlformats.org/officeDocument/2006/customXml" ds:itemID="{B862434C-25A6-4FEF-AD41-09E68D740DF1}">
  <ds:schemaRefs>
    <ds:schemaRef ds:uri="http://schemas.microsoft.com/sharepoint/v3/contenttype/forms"/>
  </ds:schemaRefs>
</ds:datastoreItem>
</file>

<file path=customXml/itemProps4.xml><?xml version="1.0" encoding="utf-8"?>
<ds:datastoreItem xmlns:ds="http://schemas.openxmlformats.org/officeDocument/2006/customXml" ds:itemID="{09140E52-AB3C-4479-95B3-6998446249E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CA9FA19C-26C7-4B51-9115-16FBA73D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Criteria for Students to Earn the MA State Seal of Biliteracy</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Students to Earn the MA State Seal of Biliteracy</dc:title>
  <dc:subject/>
  <dc:creator>DESE</dc:creator>
  <cp:keywords/>
  <dc:description/>
  <cp:lastModifiedBy>Zou, Dong (EOE)</cp:lastModifiedBy>
  <cp:revision>3</cp:revision>
  <cp:lastPrinted>2019-09-18T20:06:00Z</cp:lastPrinted>
  <dcterms:created xsi:type="dcterms:W3CDTF">2019-10-09T19:40:00Z</dcterms:created>
  <dcterms:modified xsi:type="dcterms:W3CDTF">2019-10-16T19:00:00Z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16 2019</vt:lpwstr>
  </property>
</Properties>
</file>