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13792" w14:textId="77777777" w:rsidR="00411715" w:rsidRPr="00383DBF" w:rsidRDefault="00FF24F3" w:rsidP="00383DBF">
      <w:pPr>
        <w:pStyle w:val="Heading1"/>
        <w:rPr>
          <w:rFonts w:ascii="Arial" w:hAnsi="Arial" w:cs="Arial"/>
          <w:color w:val="auto"/>
          <w:sz w:val="44"/>
          <w:szCs w:val="44"/>
        </w:rPr>
      </w:pPr>
      <w:r w:rsidRPr="00383DBF">
        <w:rPr>
          <w:rFonts w:ascii="Arial" w:hAnsi="Arial" w:cs="Arial"/>
          <w:color w:val="auto"/>
          <w:sz w:val="44"/>
          <w:szCs w:val="44"/>
        </w:rPr>
        <w:t>Massachusetts Public Institutions of Higher Education Recognizing the State Seal of Biliteracy</w:t>
      </w:r>
    </w:p>
    <w:p w14:paraId="1A7D8F71" w14:textId="77777777" w:rsidR="00411715" w:rsidRDefault="00411715">
      <w:pPr>
        <w:pStyle w:val="DESENormal"/>
      </w:pPr>
    </w:p>
    <w:p w14:paraId="5DF4ACC1" w14:textId="77777777" w:rsidR="00411715" w:rsidRDefault="00FF24F3" w:rsidP="00487F29">
      <w:pPr>
        <w:pStyle w:val="DESENormal"/>
        <w:spacing w:before="160" w:after="240"/>
      </w:pPr>
      <w:r>
        <w:rPr>
          <w:color w:val="000000"/>
          <w:sz w:val="36"/>
        </w:rPr>
        <w:t>August 2026</w:t>
      </w:r>
    </w:p>
    <w:p w14:paraId="693FD8F9" w14:textId="277E4587" w:rsidR="00411715" w:rsidRDefault="00FF24F3" w:rsidP="00487F29">
      <w:pPr>
        <w:pStyle w:val="DESEH2"/>
      </w:pPr>
      <w:r>
        <w:t>Introduction</w:t>
      </w:r>
    </w:p>
    <w:p w14:paraId="5173BE18" w14:textId="0E64138F" w:rsidR="00411715" w:rsidRDefault="00FF24F3">
      <w:pPr>
        <w:pStyle w:val="DESENormal"/>
        <w:spacing w:before="120"/>
      </w:pPr>
      <w:r>
        <w:t>This document summarizes how Massachusetts public institutions of higher education</w:t>
      </w:r>
      <w:r w:rsidR="006A59F0">
        <w:t xml:space="preserve"> (IHEs)</w:t>
      </w:r>
      <w:r>
        <w:t xml:space="preserve"> recognize the Massachusetts State Seal of Biliteracy and the State Seal of Biliteracy with Distinction. Recognition may include course credit, course placement, or application of credit toward degree requirements.</w:t>
      </w:r>
    </w:p>
    <w:p w14:paraId="60507F4D" w14:textId="77777777" w:rsidR="00411715" w:rsidRDefault="00FF24F3">
      <w:pPr>
        <w:pStyle w:val="DESENormal"/>
        <w:spacing w:before="120" w:after="160"/>
      </w:pPr>
      <w:r>
        <w:t>Each institution establishes its own policies and procedures, which may change. Students should review the linked institutional webpage and contact the office listed below for current information, eligibility requirements, and instructions for receiving recognition.</w:t>
      </w:r>
    </w:p>
    <w:p w14:paraId="7A3E9AFC" w14:textId="48BC840A" w:rsidR="00487F29" w:rsidRDefault="00487F29">
      <w:pPr>
        <w:pStyle w:val="DESENormal"/>
        <w:spacing w:before="120" w:after="160"/>
      </w:pPr>
      <w:r w:rsidRPr="00487F29">
        <w:t xml:space="preserve">This list may not be comprehensive. Students should contact the registrar’s office, academic advising office, or world language department at their institution to ask whether it recognizes the Massachusetts State Seal of Biliteracy. Institutions that recognize the Seal but do not appear on this list are encouraged to contact </w:t>
      </w:r>
      <w:hyperlink r:id="rId8" w:history="1">
        <w:r w:rsidRPr="009D2EEE">
          <w:rPr>
            <w:rStyle w:val="Hyperlink"/>
          </w:rPr>
          <w:t>MAStateSealofBiliteracy@mass.gov</w:t>
        </w:r>
      </w:hyperlink>
      <w:r w:rsidRPr="00487F29">
        <w:t>.</w:t>
      </w:r>
      <w:r>
        <w:t xml:space="preserve"> </w:t>
      </w:r>
    </w:p>
    <w:p w14:paraId="0B308BFC" w14:textId="77777777" w:rsidR="00411715" w:rsidRDefault="00FF24F3">
      <w:pPr>
        <w:pStyle w:val="DESEH2"/>
        <w:spacing w:after="100"/>
      </w:pPr>
      <w:r>
        <w:lastRenderedPageBreak/>
        <w:t>Recognition by Institution</w:t>
      </w:r>
    </w:p>
    <w:tbl>
      <w:tblPr>
        <w:tblStyle w:val="TableGrid"/>
        <w:tblW w:w="12960" w:type="dxa"/>
        <w:tblLayout w:type="fixed"/>
        <w:tblLook w:val="04A0" w:firstRow="1" w:lastRow="0" w:firstColumn="1" w:lastColumn="0" w:noHBand="0" w:noVBand="1"/>
        <w:tblCaption w:val="Seal of Biliteracy Recogniztion by Institution"/>
        <w:tblDescription w:val="A listing of IHEs that recognize the Massachusetts State Seal of Biliteracy"/>
      </w:tblPr>
      <w:tblGrid>
        <w:gridCol w:w="1975"/>
        <w:gridCol w:w="2525"/>
        <w:gridCol w:w="2700"/>
        <w:gridCol w:w="2100"/>
        <w:gridCol w:w="3660"/>
      </w:tblGrid>
      <w:tr w:rsidR="00411715" w14:paraId="27C0FD38" w14:textId="77777777" w:rsidTr="00487F29">
        <w:trPr>
          <w:tblHeader/>
        </w:trPr>
        <w:tc>
          <w:tcPr>
            <w:tcW w:w="1975" w:type="dxa"/>
            <w:shd w:val="clear" w:color="auto" w:fill="E8E8E8"/>
            <w:tcMar>
              <w:top w:w="100" w:type="dxa"/>
              <w:left w:w="90" w:type="dxa"/>
              <w:bottom w:w="100" w:type="dxa"/>
              <w:right w:w="90" w:type="dxa"/>
            </w:tcMar>
            <w:vAlign w:val="center"/>
          </w:tcPr>
          <w:p w14:paraId="6077024F" w14:textId="77777777" w:rsidR="00411715" w:rsidRPr="00487F29" w:rsidRDefault="00FF24F3">
            <w:pPr>
              <w:pStyle w:val="DESENormal"/>
            </w:pPr>
            <w:r w:rsidRPr="00487F29">
              <w:rPr>
                <w:b/>
                <w:color w:val="000000"/>
              </w:rPr>
              <w:t>Institution and Webpage</w:t>
            </w:r>
          </w:p>
        </w:tc>
        <w:tc>
          <w:tcPr>
            <w:tcW w:w="2525" w:type="dxa"/>
            <w:shd w:val="clear" w:color="auto" w:fill="E8E8E8"/>
            <w:tcMar>
              <w:top w:w="100" w:type="dxa"/>
              <w:left w:w="90" w:type="dxa"/>
              <w:bottom w:w="100" w:type="dxa"/>
              <w:right w:w="90" w:type="dxa"/>
            </w:tcMar>
            <w:vAlign w:val="center"/>
          </w:tcPr>
          <w:p w14:paraId="50A080A4" w14:textId="77777777" w:rsidR="00411715" w:rsidRPr="00487F29" w:rsidRDefault="00FF24F3">
            <w:pPr>
              <w:pStyle w:val="DESENormal"/>
            </w:pPr>
            <w:r w:rsidRPr="00487F29">
              <w:rPr>
                <w:b/>
                <w:color w:val="000000"/>
              </w:rPr>
              <w:t>Recognition for the State Seal of Biliteracy</w:t>
            </w:r>
          </w:p>
        </w:tc>
        <w:tc>
          <w:tcPr>
            <w:tcW w:w="2700" w:type="dxa"/>
            <w:shd w:val="clear" w:color="auto" w:fill="E8E8E8"/>
            <w:tcMar>
              <w:top w:w="100" w:type="dxa"/>
              <w:left w:w="90" w:type="dxa"/>
              <w:bottom w:w="100" w:type="dxa"/>
              <w:right w:w="90" w:type="dxa"/>
            </w:tcMar>
            <w:vAlign w:val="center"/>
          </w:tcPr>
          <w:p w14:paraId="3873FBA8" w14:textId="77777777" w:rsidR="00411715" w:rsidRPr="00487F29" w:rsidRDefault="00FF24F3">
            <w:pPr>
              <w:pStyle w:val="DESENormal"/>
            </w:pPr>
            <w:r w:rsidRPr="00487F29">
              <w:rPr>
                <w:b/>
                <w:color w:val="000000"/>
              </w:rPr>
              <w:t>Recognition for the State Seal of Biliteracy with Distinction</w:t>
            </w:r>
          </w:p>
        </w:tc>
        <w:tc>
          <w:tcPr>
            <w:tcW w:w="2100" w:type="dxa"/>
            <w:shd w:val="clear" w:color="auto" w:fill="E8E8E8"/>
            <w:tcMar>
              <w:top w:w="100" w:type="dxa"/>
              <w:left w:w="90" w:type="dxa"/>
              <w:bottom w:w="100" w:type="dxa"/>
              <w:right w:w="90" w:type="dxa"/>
            </w:tcMar>
            <w:vAlign w:val="center"/>
          </w:tcPr>
          <w:p w14:paraId="548A1AF8" w14:textId="77777777" w:rsidR="00411715" w:rsidRPr="00487F29" w:rsidRDefault="00FF24F3">
            <w:pPr>
              <w:pStyle w:val="DESENormal"/>
            </w:pPr>
            <w:r w:rsidRPr="00487F29">
              <w:rPr>
                <w:b/>
                <w:color w:val="000000"/>
              </w:rPr>
              <w:t>Contact Office</w:t>
            </w:r>
          </w:p>
        </w:tc>
        <w:tc>
          <w:tcPr>
            <w:tcW w:w="3660" w:type="dxa"/>
            <w:shd w:val="clear" w:color="auto" w:fill="E8E8E8"/>
            <w:tcMar>
              <w:top w:w="100" w:type="dxa"/>
              <w:left w:w="90" w:type="dxa"/>
              <w:bottom w:w="100" w:type="dxa"/>
              <w:right w:w="90" w:type="dxa"/>
            </w:tcMar>
            <w:vAlign w:val="center"/>
          </w:tcPr>
          <w:p w14:paraId="51398C1C" w14:textId="77777777" w:rsidR="00411715" w:rsidRPr="00487F29" w:rsidRDefault="00FF24F3">
            <w:pPr>
              <w:pStyle w:val="DESENormal"/>
            </w:pPr>
            <w:r w:rsidRPr="00487F29">
              <w:rPr>
                <w:b/>
                <w:color w:val="000000"/>
              </w:rPr>
              <w:t>Additional Notes</w:t>
            </w:r>
          </w:p>
        </w:tc>
      </w:tr>
      <w:tr w:rsidR="00411715" w14:paraId="47AB8C40" w14:textId="77777777" w:rsidTr="00487F29">
        <w:trPr>
          <w:cantSplit/>
        </w:trPr>
        <w:tc>
          <w:tcPr>
            <w:tcW w:w="1975" w:type="dxa"/>
            <w:tcMar>
              <w:top w:w="90" w:type="dxa"/>
              <w:left w:w="90" w:type="dxa"/>
              <w:bottom w:w="90" w:type="dxa"/>
              <w:right w:w="90" w:type="dxa"/>
            </w:tcMar>
            <w:vAlign w:val="center"/>
          </w:tcPr>
          <w:p w14:paraId="31BF082A" w14:textId="77777777" w:rsidR="00411715" w:rsidRPr="00487F29" w:rsidRDefault="00FF24F3">
            <w:pPr>
              <w:pStyle w:val="DESENormal"/>
            </w:pPr>
            <w:hyperlink r:id="rId9">
              <w:r w:rsidRPr="00487F29">
                <w:rPr>
                  <w:b/>
                  <w:color w:val="0563C1"/>
                  <w:u w:val="single"/>
                </w:rPr>
                <w:t>Bridgewater State University</w:t>
              </w:r>
            </w:hyperlink>
          </w:p>
        </w:tc>
        <w:tc>
          <w:tcPr>
            <w:tcW w:w="2525" w:type="dxa"/>
            <w:tcMar>
              <w:top w:w="90" w:type="dxa"/>
              <w:left w:w="90" w:type="dxa"/>
              <w:bottom w:w="90" w:type="dxa"/>
              <w:right w:w="90" w:type="dxa"/>
            </w:tcMar>
            <w:vAlign w:val="center"/>
          </w:tcPr>
          <w:p w14:paraId="08A8FD4A" w14:textId="77777777" w:rsidR="00411715" w:rsidRPr="00487F29" w:rsidRDefault="00FF24F3">
            <w:pPr>
              <w:pStyle w:val="DESENormal"/>
            </w:pPr>
            <w:r w:rsidRPr="00487F29">
              <w:rPr>
                <w:color w:val="000000"/>
              </w:rPr>
              <w:t>Up to 12 language credits: courses 101, 102, 151, and 200 or equivalents.</w:t>
            </w:r>
          </w:p>
        </w:tc>
        <w:tc>
          <w:tcPr>
            <w:tcW w:w="2700" w:type="dxa"/>
            <w:tcMar>
              <w:top w:w="90" w:type="dxa"/>
              <w:left w:w="90" w:type="dxa"/>
              <w:bottom w:w="90" w:type="dxa"/>
              <w:right w:w="90" w:type="dxa"/>
            </w:tcMar>
            <w:vAlign w:val="center"/>
          </w:tcPr>
          <w:p w14:paraId="5609C50A" w14:textId="77777777" w:rsidR="00411715" w:rsidRPr="00487F29" w:rsidRDefault="00FF24F3">
            <w:pPr>
              <w:pStyle w:val="DESENormal"/>
            </w:pPr>
            <w:r w:rsidRPr="00487F29">
              <w:rPr>
                <w:color w:val="000000"/>
              </w:rPr>
              <w:t>Up to 15 language credits: courses 101, 102, 151, 200, and 234 or equivalents.</w:t>
            </w:r>
          </w:p>
        </w:tc>
        <w:tc>
          <w:tcPr>
            <w:tcW w:w="2100" w:type="dxa"/>
            <w:tcMar>
              <w:top w:w="90" w:type="dxa"/>
              <w:left w:w="90" w:type="dxa"/>
              <w:bottom w:w="90" w:type="dxa"/>
              <w:right w:w="90" w:type="dxa"/>
            </w:tcMar>
            <w:vAlign w:val="center"/>
          </w:tcPr>
          <w:p w14:paraId="4FD90392" w14:textId="77777777" w:rsidR="00411715" w:rsidRPr="00487F29" w:rsidRDefault="00FF24F3">
            <w:pPr>
              <w:pStyle w:val="DESENormal"/>
            </w:pPr>
            <w:r w:rsidRPr="00487F29">
              <w:rPr>
                <w:color w:val="000000"/>
              </w:rPr>
              <w:t>Department of Global Languages and Literatures</w:t>
            </w:r>
          </w:p>
        </w:tc>
        <w:tc>
          <w:tcPr>
            <w:tcW w:w="3660" w:type="dxa"/>
            <w:tcMar>
              <w:top w:w="90" w:type="dxa"/>
              <w:left w:w="90" w:type="dxa"/>
              <w:bottom w:w="90" w:type="dxa"/>
              <w:right w:w="90" w:type="dxa"/>
            </w:tcMar>
            <w:vAlign w:val="center"/>
          </w:tcPr>
          <w:p w14:paraId="536AEA4E" w14:textId="77777777" w:rsidR="00411715" w:rsidRPr="00487F29" w:rsidRDefault="00FF24F3">
            <w:pPr>
              <w:pStyle w:val="DESENormal"/>
            </w:pPr>
            <w:r w:rsidRPr="00487F29">
              <w:rPr>
                <w:color w:val="000000"/>
              </w:rPr>
              <w:t>Credit is awarded after the student completes the next course in the sequence, when applicable, or another course approved by the department chair.</w:t>
            </w:r>
          </w:p>
        </w:tc>
      </w:tr>
      <w:tr w:rsidR="00411715" w14:paraId="37EE08CC" w14:textId="77777777" w:rsidTr="00487F29">
        <w:trPr>
          <w:cantSplit/>
        </w:trPr>
        <w:tc>
          <w:tcPr>
            <w:tcW w:w="1975" w:type="dxa"/>
            <w:tcMar>
              <w:top w:w="90" w:type="dxa"/>
              <w:left w:w="90" w:type="dxa"/>
              <w:bottom w:w="90" w:type="dxa"/>
              <w:right w:w="90" w:type="dxa"/>
            </w:tcMar>
            <w:vAlign w:val="center"/>
          </w:tcPr>
          <w:p w14:paraId="1B304BE5" w14:textId="77777777" w:rsidR="00411715" w:rsidRPr="00487F29" w:rsidRDefault="00FF24F3">
            <w:pPr>
              <w:pStyle w:val="DESENormal"/>
            </w:pPr>
            <w:hyperlink r:id="rId10">
              <w:r w:rsidRPr="00487F29">
                <w:rPr>
                  <w:b/>
                  <w:color w:val="0563C1"/>
                  <w:u w:val="single"/>
                </w:rPr>
                <w:t>Bristol Community College</w:t>
              </w:r>
            </w:hyperlink>
          </w:p>
        </w:tc>
        <w:tc>
          <w:tcPr>
            <w:tcW w:w="2525" w:type="dxa"/>
            <w:tcMar>
              <w:top w:w="90" w:type="dxa"/>
              <w:left w:w="90" w:type="dxa"/>
              <w:bottom w:w="90" w:type="dxa"/>
              <w:right w:w="90" w:type="dxa"/>
            </w:tcMar>
            <w:vAlign w:val="center"/>
          </w:tcPr>
          <w:p w14:paraId="26DC3F19" w14:textId="77777777" w:rsidR="00411715" w:rsidRPr="00487F29" w:rsidRDefault="00FF24F3">
            <w:pPr>
              <w:pStyle w:val="DESENormal"/>
            </w:pPr>
            <w:r w:rsidRPr="00487F29">
              <w:rPr>
                <w:color w:val="000000"/>
              </w:rPr>
              <w:t>6 credits in the assessed language or humanities electives.</w:t>
            </w:r>
          </w:p>
        </w:tc>
        <w:tc>
          <w:tcPr>
            <w:tcW w:w="2700" w:type="dxa"/>
            <w:tcMar>
              <w:top w:w="90" w:type="dxa"/>
              <w:left w:w="90" w:type="dxa"/>
              <w:bottom w:w="90" w:type="dxa"/>
              <w:right w:w="90" w:type="dxa"/>
            </w:tcMar>
            <w:vAlign w:val="center"/>
          </w:tcPr>
          <w:p w14:paraId="6A6D70AE" w14:textId="77777777" w:rsidR="00411715" w:rsidRPr="00487F29" w:rsidRDefault="00FF24F3">
            <w:pPr>
              <w:pStyle w:val="DESENormal"/>
            </w:pPr>
            <w:r w:rsidRPr="00487F29">
              <w:rPr>
                <w:color w:val="000000"/>
              </w:rPr>
              <w:t>9 credits in the assessed language or humanities electives.</w:t>
            </w:r>
          </w:p>
        </w:tc>
        <w:tc>
          <w:tcPr>
            <w:tcW w:w="2100" w:type="dxa"/>
            <w:tcMar>
              <w:top w:w="90" w:type="dxa"/>
              <w:left w:w="90" w:type="dxa"/>
              <w:bottom w:w="90" w:type="dxa"/>
              <w:right w:w="90" w:type="dxa"/>
            </w:tcMar>
            <w:vAlign w:val="center"/>
          </w:tcPr>
          <w:p w14:paraId="0388B1CF" w14:textId="77777777" w:rsidR="00411715" w:rsidRPr="00487F29" w:rsidRDefault="00FF24F3">
            <w:pPr>
              <w:pStyle w:val="DESENormal"/>
            </w:pPr>
            <w:r w:rsidRPr="00487F29">
              <w:rPr>
                <w:color w:val="000000"/>
              </w:rPr>
              <w:t>Credit for Prior Learning</w:t>
            </w:r>
          </w:p>
        </w:tc>
        <w:tc>
          <w:tcPr>
            <w:tcW w:w="3660" w:type="dxa"/>
            <w:tcMar>
              <w:top w:w="90" w:type="dxa"/>
              <w:left w:w="90" w:type="dxa"/>
              <w:bottom w:w="90" w:type="dxa"/>
              <w:right w:w="90" w:type="dxa"/>
            </w:tcMar>
            <w:vAlign w:val="center"/>
          </w:tcPr>
          <w:p w14:paraId="2E1A0993" w14:textId="304F0FD8" w:rsidR="00411715" w:rsidRPr="00487F29" w:rsidRDefault="00FF24F3">
            <w:pPr>
              <w:pStyle w:val="DESENormal"/>
            </w:pPr>
            <w:r w:rsidRPr="00487F29">
              <w:rPr>
                <w:color w:val="000000"/>
              </w:rPr>
              <w:t xml:space="preserve">Humanities elective credit is awarded if Bristol does not offer the assessed language. </w:t>
            </w:r>
          </w:p>
        </w:tc>
      </w:tr>
      <w:tr w:rsidR="00411715" w14:paraId="74822799" w14:textId="77777777" w:rsidTr="00487F29">
        <w:trPr>
          <w:cantSplit/>
        </w:trPr>
        <w:tc>
          <w:tcPr>
            <w:tcW w:w="1975" w:type="dxa"/>
            <w:tcMar>
              <w:top w:w="90" w:type="dxa"/>
              <w:left w:w="90" w:type="dxa"/>
              <w:bottom w:w="90" w:type="dxa"/>
              <w:right w:w="90" w:type="dxa"/>
            </w:tcMar>
            <w:vAlign w:val="center"/>
          </w:tcPr>
          <w:p w14:paraId="41D43D05" w14:textId="77777777" w:rsidR="00411715" w:rsidRPr="00487F29" w:rsidRDefault="00FF24F3">
            <w:pPr>
              <w:pStyle w:val="DESENormal"/>
            </w:pPr>
            <w:hyperlink r:id="rId11">
              <w:r w:rsidRPr="00487F29">
                <w:rPr>
                  <w:b/>
                  <w:color w:val="0563C1"/>
                  <w:u w:val="single"/>
                </w:rPr>
                <w:t>Bunker Hill Community College</w:t>
              </w:r>
            </w:hyperlink>
          </w:p>
        </w:tc>
        <w:tc>
          <w:tcPr>
            <w:tcW w:w="2525" w:type="dxa"/>
            <w:tcMar>
              <w:top w:w="90" w:type="dxa"/>
              <w:left w:w="90" w:type="dxa"/>
              <w:bottom w:w="90" w:type="dxa"/>
              <w:right w:w="90" w:type="dxa"/>
            </w:tcMar>
            <w:vAlign w:val="center"/>
          </w:tcPr>
          <w:p w14:paraId="0635CA87" w14:textId="77777777" w:rsidR="00411715" w:rsidRPr="00487F29" w:rsidRDefault="00FF24F3">
            <w:pPr>
              <w:pStyle w:val="DESENormal"/>
            </w:pPr>
            <w:r w:rsidRPr="00487F29">
              <w:rPr>
                <w:color w:val="000000"/>
              </w:rPr>
              <w:t>6 foreign-language elective credits.</w:t>
            </w:r>
          </w:p>
        </w:tc>
        <w:tc>
          <w:tcPr>
            <w:tcW w:w="2700" w:type="dxa"/>
            <w:tcMar>
              <w:top w:w="90" w:type="dxa"/>
              <w:left w:w="90" w:type="dxa"/>
              <w:bottom w:w="90" w:type="dxa"/>
              <w:right w:w="90" w:type="dxa"/>
            </w:tcMar>
            <w:vAlign w:val="center"/>
          </w:tcPr>
          <w:p w14:paraId="58A74B1F" w14:textId="77777777" w:rsidR="00411715" w:rsidRPr="00487F29" w:rsidRDefault="00FF24F3">
            <w:pPr>
              <w:pStyle w:val="DESENormal"/>
            </w:pPr>
            <w:r w:rsidRPr="00487F29">
              <w:rPr>
                <w:color w:val="000000"/>
              </w:rPr>
              <w:t>9 foreign-language elective credits.</w:t>
            </w:r>
          </w:p>
        </w:tc>
        <w:tc>
          <w:tcPr>
            <w:tcW w:w="2100" w:type="dxa"/>
            <w:tcMar>
              <w:top w:w="90" w:type="dxa"/>
              <w:left w:w="90" w:type="dxa"/>
              <w:bottom w:w="90" w:type="dxa"/>
              <w:right w:w="90" w:type="dxa"/>
            </w:tcMar>
            <w:vAlign w:val="center"/>
          </w:tcPr>
          <w:p w14:paraId="24F9D94D" w14:textId="77777777" w:rsidR="00411715" w:rsidRPr="00487F29" w:rsidRDefault="00FF24F3">
            <w:pPr>
              <w:pStyle w:val="DESENormal"/>
            </w:pPr>
            <w:r w:rsidRPr="00487F29">
              <w:rPr>
                <w:color w:val="000000"/>
              </w:rPr>
              <w:t>Credit for Prior Learning</w:t>
            </w:r>
          </w:p>
        </w:tc>
        <w:tc>
          <w:tcPr>
            <w:tcW w:w="3660" w:type="dxa"/>
            <w:tcMar>
              <w:top w:w="90" w:type="dxa"/>
              <w:left w:w="90" w:type="dxa"/>
              <w:bottom w:w="90" w:type="dxa"/>
              <w:right w:w="90" w:type="dxa"/>
            </w:tcMar>
            <w:vAlign w:val="center"/>
          </w:tcPr>
          <w:p w14:paraId="20122E2D" w14:textId="3091B5A7" w:rsidR="00411715" w:rsidRPr="00487F29" w:rsidRDefault="006A59F0">
            <w:pPr>
              <w:pStyle w:val="DESENormal"/>
            </w:pPr>
            <w:r w:rsidRPr="006A59F0">
              <w:rPr>
                <w:color w:val="000000"/>
              </w:rPr>
              <w:t>B</w:t>
            </w:r>
            <w:r>
              <w:rPr>
                <w:color w:val="000000"/>
              </w:rPr>
              <w:t xml:space="preserve">unker </w:t>
            </w:r>
            <w:r w:rsidRPr="006A59F0">
              <w:rPr>
                <w:color w:val="000000"/>
              </w:rPr>
              <w:t>H</w:t>
            </w:r>
            <w:r>
              <w:rPr>
                <w:color w:val="000000"/>
              </w:rPr>
              <w:t xml:space="preserve">ill </w:t>
            </w:r>
            <w:r w:rsidRPr="006A59F0">
              <w:rPr>
                <w:color w:val="000000"/>
              </w:rPr>
              <w:t>C</w:t>
            </w:r>
            <w:r>
              <w:rPr>
                <w:color w:val="000000"/>
              </w:rPr>
              <w:t xml:space="preserve">ommunity </w:t>
            </w:r>
            <w:r w:rsidRPr="006A59F0">
              <w:rPr>
                <w:color w:val="000000"/>
              </w:rPr>
              <w:t>C</w:t>
            </w:r>
            <w:r>
              <w:rPr>
                <w:color w:val="000000"/>
              </w:rPr>
              <w:t>ollege</w:t>
            </w:r>
            <w:r w:rsidRPr="006A59F0">
              <w:rPr>
                <w:color w:val="000000"/>
              </w:rPr>
              <w:t xml:space="preserve"> awards credit based on the proficiency level represented by each award: Intermediate High for the Seal and Advanced Low for the Seal with Distinction.</w:t>
            </w:r>
          </w:p>
        </w:tc>
      </w:tr>
      <w:tr w:rsidR="00411715" w14:paraId="1375A669" w14:textId="77777777" w:rsidTr="00487F29">
        <w:trPr>
          <w:cantSplit/>
        </w:trPr>
        <w:tc>
          <w:tcPr>
            <w:tcW w:w="1975" w:type="dxa"/>
            <w:tcMar>
              <w:top w:w="90" w:type="dxa"/>
              <w:left w:w="90" w:type="dxa"/>
              <w:bottom w:w="90" w:type="dxa"/>
              <w:right w:w="90" w:type="dxa"/>
            </w:tcMar>
            <w:vAlign w:val="center"/>
          </w:tcPr>
          <w:p w14:paraId="4035FBB6" w14:textId="77777777" w:rsidR="00411715" w:rsidRPr="00487F29" w:rsidRDefault="00FF24F3">
            <w:pPr>
              <w:pStyle w:val="DESENormal"/>
            </w:pPr>
            <w:hyperlink r:id="rId12">
              <w:r w:rsidRPr="00487F29">
                <w:rPr>
                  <w:b/>
                  <w:color w:val="0563C1"/>
                  <w:u w:val="single"/>
                </w:rPr>
                <w:t>Cape Cod Community College</w:t>
              </w:r>
            </w:hyperlink>
          </w:p>
        </w:tc>
        <w:tc>
          <w:tcPr>
            <w:tcW w:w="2525" w:type="dxa"/>
            <w:tcMar>
              <w:top w:w="90" w:type="dxa"/>
              <w:left w:w="90" w:type="dxa"/>
              <w:bottom w:w="90" w:type="dxa"/>
              <w:right w:w="90" w:type="dxa"/>
            </w:tcMar>
            <w:vAlign w:val="center"/>
          </w:tcPr>
          <w:p w14:paraId="72065AF1" w14:textId="77777777" w:rsidR="00411715" w:rsidRPr="00487F29" w:rsidRDefault="00FF24F3">
            <w:pPr>
              <w:pStyle w:val="DESENormal"/>
            </w:pPr>
            <w:r w:rsidRPr="00487F29">
              <w:rPr>
                <w:color w:val="000000"/>
              </w:rPr>
              <w:t>Included within an award of 6-9 credits.</w:t>
            </w:r>
          </w:p>
        </w:tc>
        <w:tc>
          <w:tcPr>
            <w:tcW w:w="2700" w:type="dxa"/>
            <w:tcMar>
              <w:top w:w="90" w:type="dxa"/>
              <w:left w:w="90" w:type="dxa"/>
              <w:bottom w:w="90" w:type="dxa"/>
              <w:right w:w="90" w:type="dxa"/>
            </w:tcMar>
            <w:vAlign w:val="center"/>
          </w:tcPr>
          <w:p w14:paraId="78DBC9FB" w14:textId="77777777" w:rsidR="00411715" w:rsidRPr="00487F29" w:rsidRDefault="00FF24F3">
            <w:pPr>
              <w:pStyle w:val="DESENormal"/>
            </w:pPr>
            <w:r w:rsidRPr="00487F29">
              <w:rPr>
                <w:color w:val="000000"/>
              </w:rPr>
              <w:t>Included within an award of 6-9 credits.</w:t>
            </w:r>
          </w:p>
        </w:tc>
        <w:tc>
          <w:tcPr>
            <w:tcW w:w="2100" w:type="dxa"/>
            <w:tcMar>
              <w:top w:w="90" w:type="dxa"/>
              <w:left w:w="90" w:type="dxa"/>
              <w:bottom w:w="90" w:type="dxa"/>
              <w:right w:w="90" w:type="dxa"/>
            </w:tcMar>
            <w:vAlign w:val="center"/>
          </w:tcPr>
          <w:p w14:paraId="22E09AE5" w14:textId="77777777" w:rsidR="00411715" w:rsidRPr="00487F29" w:rsidRDefault="00FF24F3">
            <w:pPr>
              <w:pStyle w:val="DESENormal"/>
            </w:pPr>
            <w:r w:rsidRPr="00487F29">
              <w:rPr>
                <w:color w:val="000000"/>
              </w:rPr>
              <w:t>Credit for Prior Learning</w:t>
            </w:r>
          </w:p>
        </w:tc>
        <w:tc>
          <w:tcPr>
            <w:tcW w:w="3660" w:type="dxa"/>
            <w:tcMar>
              <w:top w:w="90" w:type="dxa"/>
              <w:left w:w="90" w:type="dxa"/>
              <w:bottom w:w="90" w:type="dxa"/>
              <w:right w:w="90" w:type="dxa"/>
            </w:tcMar>
            <w:vAlign w:val="center"/>
          </w:tcPr>
          <w:p w14:paraId="1DA30EA6" w14:textId="02A93DDA" w:rsidR="00411715" w:rsidRPr="00487F29" w:rsidRDefault="006A59F0">
            <w:pPr>
              <w:pStyle w:val="DESENormal"/>
            </w:pPr>
            <w:r w:rsidRPr="006A59F0">
              <w:rPr>
                <w:color w:val="000000"/>
              </w:rPr>
              <w:t xml:space="preserve">Students who earn the Seal may also receive a waiver from remedial English requirements. The college awards 6–9 credits for the Seal or Seal with Distinction but does not specify the number associated with each award </w:t>
            </w:r>
            <w:proofErr w:type="spellStart"/>
            <w:proofErr w:type="gramStart"/>
            <w:r w:rsidRPr="006A59F0">
              <w:rPr>
                <w:color w:val="000000"/>
              </w:rPr>
              <w:t>level.</w:t>
            </w:r>
            <w:r w:rsidR="00FF24F3" w:rsidRPr="00487F29">
              <w:rPr>
                <w:color w:val="000000"/>
              </w:rPr>
              <w:t>Confirm</w:t>
            </w:r>
            <w:proofErr w:type="spellEnd"/>
            <w:proofErr w:type="gramEnd"/>
            <w:r w:rsidR="00FF24F3" w:rsidRPr="00487F29">
              <w:rPr>
                <w:color w:val="000000"/>
              </w:rPr>
              <w:t xml:space="preserve"> the level-by-level benefit with the institution.</w:t>
            </w:r>
          </w:p>
        </w:tc>
      </w:tr>
      <w:tr w:rsidR="00411715" w14:paraId="1E8555D4" w14:textId="77777777" w:rsidTr="00487F29">
        <w:trPr>
          <w:cantSplit/>
        </w:trPr>
        <w:tc>
          <w:tcPr>
            <w:tcW w:w="1975" w:type="dxa"/>
            <w:tcMar>
              <w:top w:w="90" w:type="dxa"/>
              <w:left w:w="90" w:type="dxa"/>
              <w:bottom w:w="90" w:type="dxa"/>
              <w:right w:w="90" w:type="dxa"/>
            </w:tcMar>
            <w:vAlign w:val="center"/>
          </w:tcPr>
          <w:p w14:paraId="237DD526" w14:textId="77777777" w:rsidR="00411715" w:rsidRPr="00487F29" w:rsidRDefault="00FF24F3">
            <w:pPr>
              <w:pStyle w:val="DESENormal"/>
            </w:pPr>
            <w:hyperlink r:id="rId13">
              <w:r w:rsidRPr="00487F29">
                <w:rPr>
                  <w:b/>
                  <w:color w:val="0563C1"/>
                  <w:u w:val="single"/>
                </w:rPr>
                <w:t>Massachusetts Bay Community College</w:t>
              </w:r>
            </w:hyperlink>
          </w:p>
        </w:tc>
        <w:tc>
          <w:tcPr>
            <w:tcW w:w="2525" w:type="dxa"/>
            <w:tcMar>
              <w:top w:w="90" w:type="dxa"/>
              <w:left w:w="90" w:type="dxa"/>
              <w:bottom w:w="90" w:type="dxa"/>
              <w:right w:w="90" w:type="dxa"/>
            </w:tcMar>
            <w:vAlign w:val="center"/>
          </w:tcPr>
          <w:p w14:paraId="2D66E5D4" w14:textId="77777777" w:rsidR="00411715" w:rsidRPr="00487F29" w:rsidRDefault="00FF24F3">
            <w:pPr>
              <w:pStyle w:val="DESENormal"/>
            </w:pPr>
            <w:r w:rsidRPr="00487F29">
              <w:rPr>
                <w:color w:val="000000"/>
              </w:rPr>
              <w:t>6 credits: two semesters of a world language or equivalent humanities elective credit.</w:t>
            </w:r>
          </w:p>
        </w:tc>
        <w:tc>
          <w:tcPr>
            <w:tcW w:w="2700" w:type="dxa"/>
            <w:tcMar>
              <w:top w:w="90" w:type="dxa"/>
              <w:left w:w="90" w:type="dxa"/>
              <w:bottom w:w="90" w:type="dxa"/>
              <w:right w:w="90" w:type="dxa"/>
            </w:tcMar>
            <w:vAlign w:val="center"/>
          </w:tcPr>
          <w:p w14:paraId="5F8BB361" w14:textId="77777777" w:rsidR="00411715" w:rsidRPr="00487F29" w:rsidRDefault="00FF24F3">
            <w:pPr>
              <w:pStyle w:val="DESENormal"/>
            </w:pPr>
            <w:r w:rsidRPr="00487F29">
              <w:rPr>
                <w:color w:val="000000"/>
              </w:rPr>
              <w:t>No separate recognition stated.</w:t>
            </w:r>
          </w:p>
        </w:tc>
        <w:tc>
          <w:tcPr>
            <w:tcW w:w="2100" w:type="dxa"/>
            <w:tcMar>
              <w:top w:w="90" w:type="dxa"/>
              <w:left w:w="90" w:type="dxa"/>
              <w:bottom w:w="90" w:type="dxa"/>
              <w:right w:w="90" w:type="dxa"/>
            </w:tcMar>
            <w:vAlign w:val="center"/>
          </w:tcPr>
          <w:p w14:paraId="0D6D8761" w14:textId="77777777" w:rsidR="00411715" w:rsidRPr="00487F29" w:rsidRDefault="00FF24F3">
            <w:pPr>
              <w:pStyle w:val="DESENormal"/>
            </w:pPr>
            <w:r w:rsidRPr="00487F29">
              <w:rPr>
                <w:color w:val="000000"/>
              </w:rPr>
              <w:t>Academic and Transfer Advising Center; prospective students may contact Admissions</w:t>
            </w:r>
          </w:p>
        </w:tc>
        <w:tc>
          <w:tcPr>
            <w:tcW w:w="3660" w:type="dxa"/>
            <w:tcMar>
              <w:top w:w="90" w:type="dxa"/>
              <w:left w:w="90" w:type="dxa"/>
              <w:bottom w:w="90" w:type="dxa"/>
              <w:right w:w="90" w:type="dxa"/>
            </w:tcMar>
            <w:vAlign w:val="center"/>
          </w:tcPr>
          <w:p w14:paraId="3DEF405F" w14:textId="77777777" w:rsidR="00411715" w:rsidRPr="00487F29" w:rsidRDefault="00FF24F3">
            <w:pPr>
              <w:pStyle w:val="DESENormal"/>
            </w:pPr>
            <w:r w:rsidRPr="00487F29">
              <w:rPr>
                <w:color w:val="000000"/>
              </w:rPr>
              <w:t>The current webpage describes a 6-credit award and does not state that students with Distinction receive additional credit.</w:t>
            </w:r>
          </w:p>
        </w:tc>
      </w:tr>
      <w:tr w:rsidR="00411715" w14:paraId="3ACAF66F" w14:textId="77777777" w:rsidTr="00487F29">
        <w:trPr>
          <w:cantSplit/>
        </w:trPr>
        <w:tc>
          <w:tcPr>
            <w:tcW w:w="1975" w:type="dxa"/>
            <w:tcMar>
              <w:top w:w="90" w:type="dxa"/>
              <w:left w:w="90" w:type="dxa"/>
              <w:bottom w:w="90" w:type="dxa"/>
              <w:right w:w="90" w:type="dxa"/>
            </w:tcMar>
            <w:vAlign w:val="center"/>
          </w:tcPr>
          <w:p w14:paraId="7C3A6D45" w14:textId="77777777" w:rsidR="00411715" w:rsidRPr="00487F29" w:rsidRDefault="00FF24F3">
            <w:pPr>
              <w:pStyle w:val="DESENormal"/>
            </w:pPr>
            <w:hyperlink r:id="rId14">
              <w:r w:rsidRPr="00487F29">
                <w:rPr>
                  <w:b/>
                  <w:color w:val="0563C1"/>
                  <w:u w:val="single"/>
                </w:rPr>
                <w:t>Middlesex Community College</w:t>
              </w:r>
            </w:hyperlink>
          </w:p>
        </w:tc>
        <w:tc>
          <w:tcPr>
            <w:tcW w:w="2525" w:type="dxa"/>
            <w:tcMar>
              <w:top w:w="90" w:type="dxa"/>
              <w:left w:w="90" w:type="dxa"/>
              <w:bottom w:w="90" w:type="dxa"/>
              <w:right w:w="90" w:type="dxa"/>
            </w:tcMar>
            <w:vAlign w:val="center"/>
          </w:tcPr>
          <w:p w14:paraId="687EE64D" w14:textId="77777777" w:rsidR="00411715" w:rsidRPr="00487F29" w:rsidRDefault="00FF24F3">
            <w:pPr>
              <w:pStyle w:val="DESENormal"/>
            </w:pPr>
            <w:r w:rsidRPr="00487F29">
              <w:rPr>
                <w:color w:val="000000"/>
              </w:rPr>
              <w:t>Placement into college-level English Composition without placement testing or developmental coursework; 9 world-language elective credits.</w:t>
            </w:r>
          </w:p>
        </w:tc>
        <w:tc>
          <w:tcPr>
            <w:tcW w:w="2700" w:type="dxa"/>
            <w:tcMar>
              <w:top w:w="90" w:type="dxa"/>
              <w:left w:w="90" w:type="dxa"/>
              <w:bottom w:w="90" w:type="dxa"/>
              <w:right w:w="90" w:type="dxa"/>
            </w:tcMar>
            <w:vAlign w:val="center"/>
          </w:tcPr>
          <w:p w14:paraId="67560A16" w14:textId="77777777" w:rsidR="00411715" w:rsidRPr="00487F29" w:rsidRDefault="00FF24F3">
            <w:pPr>
              <w:pStyle w:val="DESENormal"/>
            </w:pPr>
            <w:r w:rsidRPr="00487F29">
              <w:rPr>
                <w:color w:val="000000"/>
              </w:rPr>
              <w:t>Same English placement; 12 world-language elective credits.</w:t>
            </w:r>
          </w:p>
        </w:tc>
        <w:tc>
          <w:tcPr>
            <w:tcW w:w="2100" w:type="dxa"/>
            <w:tcMar>
              <w:top w:w="90" w:type="dxa"/>
              <w:left w:w="90" w:type="dxa"/>
              <w:bottom w:w="90" w:type="dxa"/>
              <w:right w:w="90" w:type="dxa"/>
            </w:tcMar>
            <w:vAlign w:val="center"/>
          </w:tcPr>
          <w:p w14:paraId="6ACDE055" w14:textId="2013AEEF" w:rsidR="00411715" w:rsidRPr="00487F29" w:rsidRDefault="00FF24F3">
            <w:pPr>
              <w:pStyle w:val="DESENormal"/>
            </w:pPr>
            <w:r w:rsidRPr="00487F29">
              <w:rPr>
                <w:color w:val="000000"/>
              </w:rPr>
              <w:t>Credit for Prior Learning</w:t>
            </w:r>
            <w:r w:rsidR="006A59F0">
              <w:rPr>
                <w:color w:val="000000"/>
              </w:rPr>
              <w:t xml:space="preserve"> </w:t>
            </w:r>
            <w:r w:rsidRPr="00487F29">
              <w:rPr>
                <w:color w:val="000000"/>
              </w:rPr>
              <w:t>/</w:t>
            </w:r>
            <w:r w:rsidR="006A59F0">
              <w:rPr>
                <w:color w:val="000000"/>
              </w:rPr>
              <w:t xml:space="preserve"> </w:t>
            </w:r>
            <w:r w:rsidRPr="00487F29">
              <w:rPr>
                <w:color w:val="000000"/>
              </w:rPr>
              <w:t>Academic Advising</w:t>
            </w:r>
          </w:p>
        </w:tc>
        <w:tc>
          <w:tcPr>
            <w:tcW w:w="3660" w:type="dxa"/>
            <w:tcMar>
              <w:top w:w="90" w:type="dxa"/>
              <w:left w:w="90" w:type="dxa"/>
              <w:bottom w:w="90" w:type="dxa"/>
              <w:right w:w="90" w:type="dxa"/>
            </w:tcMar>
            <w:vAlign w:val="center"/>
          </w:tcPr>
          <w:p w14:paraId="7723FDC2" w14:textId="4ABBB1F1" w:rsidR="00411715" w:rsidRPr="00487F29" w:rsidRDefault="00E63FD0">
            <w:pPr>
              <w:pStyle w:val="DESENormal"/>
            </w:pPr>
            <w:r w:rsidRPr="00E63FD0">
              <w:rPr>
                <w:color w:val="000000"/>
              </w:rPr>
              <w:t>Students who earn either level of the Seal may enroll in college-level English Composition without placement testing or developmental coursework. Credits generally count as humanities or general electives; duplicate-credit restrictions apply.</w:t>
            </w:r>
          </w:p>
        </w:tc>
      </w:tr>
      <w:tr w:rsidR="00411715" w14:paraId="6042B455" w14:textId="77777777" w:rsidTr="00487F29">
        <w:trPr>
          <w:cantSplit/>
        </w:trPr>
        <w:tc>
          <w:tcPr>
            <w:tcW w:w="1975" w:type="dxa"/>
            <w:tcMar>
              <w:top w:w="90" w:type="dxa"/>
              <w:left w:w="90" w:type="dxa"/>
              <w:bottom w:w="90" w:type="dxa"/>
              <w:right w:w="90" w:type="dxa"/>
            </w:tcMar>
            <w:vAlign w:val="center"/>
          </w:tcPr>
          <w:p w14:paraId="175CDD03" w14:textId="4998A5F3" w:rsidR="00411715" w:rsidRPr="00487F29" w:rsidRDefault="00FF24F3">
            <w:pPr>
              <w:pStyle w:val="DESENormal"/>
            </w:pPr>
            <w:hyperlink r:id="rId15" w:anchor="alternatemethodsofearningcollegecredittext">
              <w:r w:rsidRPr="00487F29">
                <w:rPr>
                  <w:b/>
                  <w:color w:val="0563C1"/>
                  <w:u w:val="single"/>
                </w:rPr>
                <w:t>Mount Wachusett Community College</w:t>
              </w:r>
            </w:hyperlink>
          </w:p>
        </w:tc>
        <w:tc>
          <w:tcPr>
            <w:tcW w:w="2525" w:type="dxa"/>
            <w:tcMar>
              <w:top w:w="90" w:type="dxa"/>
              <w:left w:w="90" w:type="dxa"/>
              <w:bottom w:w="90" w:type="dxa"/>
              <w:right w:w="90" w:type="dxa"/>
            </w:tcMar>
            <w:vAlign w:val="center"/>
          </w:tcPr>
          <w:p w14:paraId="60978A03" w14:textId="77777777" w:rsidR="00411715" w:rsidRPr="00487F29" w:rsidRDefault="00FF24F3">
            <w:pPr>
              <w:pStyle w:val="DESENormal"/>
            </w:pPr>
            <w:r w:rsidRPr="00487F29">
              <w:rPr>
                <w:color w:val="000000"/>
              </w:rPr>
              <w:t>Up to 9 credits toward humanities requirements.</w:t>
            </w:r>
          </w:p>
        </w:tc>
        <w:tc>
          <w:tcPr>
            <w:tcW w:w="2700" w:type="dxa"/>
            <w:tcMar>
              <w:top w:w="90" w:type="dxa"/>
              <w:left w:w="90" w:type="dxa"/>
              <w:bottom w:w="90" w:type="dxa"/>
              <w:right w:w="90" w:type="dxa"/>
            </w:tcMar>
            <w:vAlign w:val="center"/>
          </w:tcPr>
          <w:p w14:paraId="309691B2" w14:textId="77777777" w:rsidR="00411715" w:rsidRPr="00487F29" w:rsidRDefault="00FF24F3">
            <w:pPr>
              <w:pStyle w:val="DESENormal"/>
            </w:pPr>
            <w:r w:rsidRPr="00487F29">
              <w:rPr>
                <w:color w:val="000000"/>
              </w:rPr>
              <w:t>Up to 12 credits toward humanities requirements.</w:t>
            </w:r>
          </w:p>
        </w:tc>
        <w:tc>
          <w:tcPr>
            <w:tcW w:w="2100" w:type="dxa"/>
            <w:tcMar>
              <w:top w:w="90" w:type="dxa"/>
              <w:left w:w="90" w:type="dxa"/>
              <w:bottom w:w="90" w:type="dxa"/>
              <w:right w:w="90" w:type="dxa"/>
            </w:tcMar>
            <w:vAlign w:val="center"/>
          </w:tcPr>
          <w:p w14:paraId="1B603621" w14:textId="77777777" w:rsidR="00411715" w:rsidRPr="00487F29" w:rsidRDefault="00FF24F3">
            <w:pPr>
              <w:pStyle w:val="DESENormal"/>
            </w:pPr>
            <w:r w:rsidRPr="00487F29">
              <w:rPr>
                <w:color w:val="000000"/>
              </w:rPr>
              <w:t>Admissions Office or Advising, Career, and Transfer Office</w:t>
            </w:r>
          </w:p>
        </w:tc>
        <w:tc>
          <w:tcPr>
            <w:tcW w:w="3660" w:type="dxa"/>
            <w:tcMar>
              <w:top w:w="90" w:type="dxa"/>
              <w:left w:w="90" w:type="dxa"/>
              <w:bottom w:w="90" w:type="dxa"/>
              <w:right w:w="90" w:type="dxa"/>
            </w:tcMar>
            <w:vAlign w:val="center"/>
          </w:tcPr>
          <w:p w14:paraId="55094902" w14:textId="77777777" w:rsidR="00411715" w:rsidRPr="00487F29" w:rsidRDefault="00FF24F3">
            <w:pPr>
              <w:pStyle w:val="DESENormal"/>
            </w:pPr>
            <w:r w:rsidRPr="00487F29">
              <w:rPr>
                <w:color w:val="000000"/>
              </w:rPr>
              <w:t>AP or CLEP credit may be combined with additional credit up to the applicable 9- or 12-credit ceiling.</w:t>
            </w:r>
          </w:p>
        </w:tc>
      </w:tr>
      <w:tr w:rsidR="00411715" w14:paraId="33250BE2" w14:textId="77777777" w:rsidTr="00487F29">
        <w:trPr>
          <w:cantSplit/>
        </w:trPr>
        <w:tc>
          <w:tcPr>
            <w:tcW w:w="1975" w:type="dxa"/>
            <w:tcMar>
              <w:top w:w="90" w:type="dxa"/>
              <w:left w:w="90" w:type="dxa"/>
              <w:bottom w:w="90" w:type="dxa"/>
              <w:right w:w="90" w:type="dxa"/>
            </w:tcMar>
            <w:vAlign w:val="center"/>
          </w:tcPr>
          <w:p w14:paraId="7A0CFC37" w14:textId="77777777" w:rsidR="00411715" w:rsidRPr="00487F29" w:rsidRDefault="00FF24F3">
            <w:pPr>
              <w:pStyle w:val="DESENormal"/>
            </w:pPr>
            <w:hyperlink r:id="rId16">
              <w:r w:rsidRPr="00487F29">
                <w:rPr>
                  <w:b/>
                  <w:color w:val="0563C1"/>
                  <w:u w:val="single"/>
                </w:rPr>
                <w:t>North Shore Community College</w:t>
              </w:r>
            </w:hyperlink>
          </w:p>
        </w:tc>
        <w:tc>
          <w:tcPr>
            <w:tcW w:w="2525" w:type="dxa"/>
            <w:tcMar>
              <w:top w:w="90" w:type="dxa"/>
              <w:left w:w="90" w:type="dxa"/>
              <w:bottom w:w="90" w:type="dxa"/>
              <w:right w:w="90" w:type="dxa"/>
            </w:tcMar>
            <w:vAlign w:val="center"/>
          </w:tcPr>
          <w:p w14:paraId="5F34B3ED" w14:textId="77777777" w:rsidR="00411715" w:rsidRPr="00487F29" w:rsidRDefault="00FF24F3">
            <w:pPr>
              <w:pStyle w:val="DESENormal"/>
            </w:pPr>
            <w:r w:rsidRPr="00487F29">
              <w:rPr>
                <w:color w:val="000000"/>
              </w:rPr>
              <w:t>9 credits.</w:t>
            </w:r>
          </w:p>
        </w:tc>
        <w:tc>
          <w:tcPr>
            <w:tcW w:w="2700" w:type="dxa"/>
            <w:tcMar>
              <w:top w:w="90" w:type="dxa"/>
              <w:left w:w="90" w:type="dxa"/>
              <w:bottom w:w="90" w:type="dxa"/>
              <w:right w:w="90" w:type="dxa"/>
            </w:tcMar>
            <w:vAlign w:val="center"/>
          </w:tcPr>
          <w:p w14:paraId="03E7854F" w14:textId="77777777" w:rsidR="00411715" w:rsidRPr="00487F29" w:rsidRDefault="00FF24F3">
            <w:pPr>
              <w:pStyle w:val="DESENormal"/>
            </w:pPr>
            <w:r w:rsidRPr="00487F29">
              <w:rPr>
                <w:color w:val="000000"/>
              </w:rPr>
              <w:t>12 credits.</w:t>
            </w:r>
          </w:p>
        </w:tc>
        <w:tc>
          <w:tcPr>
            <w:tcW w:w="2100" w:type="dxa"/>
            <w:tcMar>
              <w:top w:w="90" w:type="dxa"/>
              <w:left w:w="90" w:type="dxa"/>
              <w:bottom w:w="90" w:type="dxa"/>
              <w:right w:w="90" w:type="dxa"/>
            </w:tcMar>
            <w:vAlign w:val="center"/>
          </w:tcPr>
          <w:p w14:paraId="63F1E4FD" w14:textId="77777777" w:rsidR="00411715" w:rsidRPr="00487F29" w:rsidRDefault="00FF24F3">
            <w:pPr>
              <w:pStyle w:val="DESENormal"/>
            </w:pPr>
            <w:r w:rsidRPr="00487F29">
              <w:rPr>
                <w:color w:val="000000"/>
              </w:rPr>
              <w:t>Center for Alternative Studies/Credit for Prior Learning</w:t>
            </w:r>
          </w:p>
        </w:tc>
        <w:tc>
          <w:tcPr>
            <w:tcW w:w="3660" w:type="dxa"/>
            <w:tcMar>
              <w:top w:w="90" w:type="dxa"/>
              <w:left w:w="90" w:type="dxa"/>
              <w:bottom w:w="90" w:type="dxa"/>
              <w:right w:w="90" w:type="dxa"/>
            </w:tcMar>
            <w:vAlign w:val="center"/>
          </w:tcPr>
          <w:p w14:paraId="51EAAE14" w14:textId="77777777" w:rsidR="00411715" w:rsidRPr="00487F29" w:rsidRDefault="00FF24F3">
            <w:pPr>
              <w:pStyle w:val="DESENormal"/>
            </w:pPr>
            <w:r w:rsidRPr="00487F29">
              <w:rPr>
                <w:color w:val="000000"/>
              </w:rPr>
              <w:t xml:space="preserve">Duplicate-credit restrictions apply when a student also has AP, CLEP, or NSCC language-course credit. Credits may not </w:t>
            </w:r>
            <w:proofErr w:type="gramStart"/>
            <w:r w:rsidRPr="00487F29">
              <w:rPr>
                <w:color w:val="000000"/>
              </w:rPr>
              <w:t>transfer</w:t>
            </w:r>
            <w:proofErr w:type="gramEnd"/>
            <w:r w:rsidRPr="00487F29">
              <w:rPr>
                <w:color w:val="000000"/>
              </w:rPr>
              <w:t xml:space="preserve"> automatically to another institution.</w:t>
            </w:r>
          </w:p>
        </w:tc>
      </w:tr>
      <w:tr w:rsidR="00411715" w14:paraId="77422B3D" w14:textId="77777777" w:rsidTr="00487F29">
        <w:trPr>
          <w:cantSplit/>
        </w:trPr>
        <w:tc>
          <w:tcPr>
            <w:tcW w:w="1975" w:type="dxa"/>
            <w:tcMar>
              <w:top w:w="90" w:type="dxa"/>
              <w:left w:w="90" w:type="dxa"/>
              <w:bottom w:w="90" w:type="dxa"/>
              <w:right w:w="90" w:type="dxa"/>
            </w:tcMar>
            <w:vAlign w:val="center"/>
          </w:tcPr>
          <w:p w14:paraId="2F45B60B" w14:textId="77777777" w:rsidR="00411715" w:rsidRPr="00487F29" w:rsidRDefault="00FF24F3">
            <w:pPr>
              <w:pStyle w:val="DESENormal"/>
            </w:pPr>
            <w:hyperlink r:id="rId17">
              <w:r w:rsidRPr="00487F29">
                <w:rPr>
                  <w:b/>
                  <w:color w:val="0563C1"/>
                  <w:u w:val="single"/>
                </w:rPr>
                <w:t>Northern Essex Community College</w:t>
              </w:r>
            </w:hyperlink>
          </w:p>
        </w:tc>
        <w:tc>
          <w:tcPr>
            <w:tcW w:w="2525" w:type="dxa"/>
            <w:tcMar>
              <w:top w:w="90" w:type="dxa"/>
              <w:left w:w="90" w:type="dxa"/>
              <w:bottom w:w="90" w:type="dxa"/>
              <w:right w:w="90" w:type="dxa"/>
            </w:tcMar>
            <w:vAlign w:val="center"/>
          </w:tcPr>
          <w:p w14:paraId="20658EC7" w14:textId="77777777" w:rsidR="00411715" w:rsidRPr="00487F29" w:rsidRDefault="00FF24F3">
            <w:pPr>
              <w:pStyle w:val="DESENormal"/>
            </w:pPr>
            <w:r w:rsidRPr="00487F29">
              <w:rPr>
                <w:color w:val="000000"/>
              </w:rPr>
              <w:t>9 college credits; exemption from reading and writing placement assessments.</w:t>
            </w:r>
          </w:p>
        </w:tc>
        <w:tc>
          <w:tcPr>
            <w:tcW w:w="2700" w:type="dxa"/>
            <w:tcMar>
              <w:top w:w="90" w:type="dxa"/>
              <w:left w:w="90" w:type="dxa"/>
              <w:bottom w:w="90" w:type="dxa"/>
              <w:right w:w="90" w:type="dxa"/>
            </w:tcMar>
            <w:vAlign w:val="center"/>
          </w:tcPr>
          <w:p w14:paraId="73232668" w14:textId="77777777" w:rsidR="00411715" w:rsidRPr="00487F29" w:rsidRDefault="00FF24F3">
            <w:pPr>
              <w:pStyle w:val="DESENormal"/>
            </w:pPr>
            <w:r w:rsidRPr="00487F29">
              <w:rPr>
                <w:color w:val="000000"/>
              </w:rPr>
              <w:t>12 college credits; exemption from reading and writing placement assessments.</w:t>
            </w:r>
          </w:p>
        </w:tc>
        <w:tc>
          <w:tcPr>
            <w:tcW w:w="2100" w:type="dxa"/>
            <w:tcMar>
              <w:top w:w="90" w:type="dxa"/>
              <w:left w:w="90" w:type="dxa"/>
              <w:bottom w:w="90" w:type="dxa"/>
              <w:right w:w="90" w:type="dxa"/>
            </w:tcMar>
            <w:vAlign w:val="center"/>
          </w:tcPr>
          <w:p w14:paraId="268553E0" w14:textId="77777777" w:rsidR="00411715" w:rsidRPr="00487F29" w:rsidRDefault="00FF24F3">
            <w:pPr>
              <w:pStyle w:val="DESENormal"/>
            </w:pPr>
            <w:r w:rsidRPr="00487F29">
              <w:rPr>
                <w:color w:val="000000"/>
              </w:rPr>
              <w:t>Credit for Prior Learning</w:t>
            </w:r>
          </w:p>
        </w:tc>
        <w:tc>
          <w:tcPr>
            <w:tcW w:w="3660" w:type="dxa"/>
            <w:tcMar>
              <w:top w:w="90" w:type="dxa"/>
              <w:left w:w="90" w:type="dxa"/>
              <w:bottom w:w="90" w:type="dxa"/>
              <w:right w:w="90" w:type="dxa"/>
            </w:tcMar>
            <w:vAlign w:val="center"/>
          </w:tcPr>
          <w:p w14:paraId="63EF8806" w14:textId="77777777" w:rsidR="00411715" w:rsidRPr="00487F29" w:rsidRDefault="00FF24F3">
            <w:pPr>
              <w:pStyle w:val="DESENormal"/>
            </w:pPr>
            <w:r w:rsidRPr="00487F29">
              <w:rPr>
                <w:color w:val="000000"/>
              </w:rPr>
              <w:t>Students must enroll, complete NECC's request form, and submit documentation of the Seal. NECC states that the credit is free.</w:t>
            </w:r>
          </w:p>
        </w:tc>
      </w:tr>
      <w:tr w:rsidR="00411715" w14:paraId="0B831EBF" w14:textId="77777777" w:rsidTr="00487F29">
        <w:trPr>
          <w:cantSplit/>
        </w:trPr>
        <w:tc>
          <w:tcPr>
            <w:tcW w:w="1975" w:type="dxa"/>
            <w:tcMar>
              <w:top w:w="90" w:type="dxa"/>
              <w:left w:w="90" w:type="dxa"/>
              <w:bottom w:w="90" w:type="dxa"/>
              <w:right w:w="90" w:type="dxa"/>
            </w:tcMar>
            <w:vAlign w:val="center"/>
          </w:tcPr>
          <w:p w14:paraId="4081B3ED" w14:textId="77777777" w:rsidR="00411715" w:rsidRPr="00487F29" w:rsidRDefault="00FF24F3">
            <w:pPr>
              <w:pStyle w:val="DESENormal"/>
            </w:pPr>
            <w:hyperlink r:id="rId18">
              <w:r w:rsidRPr="00487F29">
                <w:rPr>
                  <w:b/>
                  <w:color w:val="0563C1"/>
                  <w:u w:val="single"/>
                </w:rPr>
                <w:t>Quinsigamond Community College</w:t>
              </w:r>
            </w:hyperlink>
          </w:p>
        </w:tc>
        <w:tc>
          <w:tcPr>
            <w:tcW w:w="2525" w:type="dxa"/>
            <w:tcMar>
              <w:top w:w="90" w:type="dxa"/>
              <w:left w:w="90" w:type="dxa"/>
              <w:bottom w:w="90" w:type="dxa"/>
              <w:right w:w="90" w:type="dxa"/>
            </w:tcMar>
            <w:vAlign w:val="center"/>
          </w:tcPr>
          <w:p w14:paraId="4AE0732C" w14:textId="77777777" w:rsidR="00411715" w:rsidRPr="00487F29" w:rsidRDefault="00FF24F3">
            <w:pPr>
              <w:pStyle w:val="DESENormal"/>
            </w:pPr>
            <w:r w:rsidRPr="00487F29">
              <w:rPr>
                <w:color w:val="000000"/>
              </w:rPr>
              <w:t>9 credits: 6 beginning-language credits and 3 intermediate-language credits.</w:t>
            </w:r>
          </w:p>
        </w:tc>
        <w:tc>
          <w:tcPr>
            <w:tcW w:w="2700" w:type="dxa"/>
            <w:tcMar>
              <w:top w:w="90" w:type="dxa"/>
              <w:left w:w="90" w:type="dxa"/>
              <w:bottom w:w="90" w:type="dxa"/>
              <w:right w:w="90" w:type="dxa"/>
            </w:tcMar>
            <w:vAlign w:val="center"/>
          </w:tcPr>
          <w:p w14:paraId="1FAF444A" w14:textId="77777777" w:rsidR="00411715" w:rsidRPr="00487F29" w:rsidRDefault="00FF24F3">
            <w:pPr>
              <w:pStyle w:val="DESENormal"/>
            </w:pPr>
            <w:r w:rsidRPr="00487F29">
              <w:rPr>
                <w:color w:val="000000"/>
              </w:rPr>
              <w:t>12 credits: 6 beginning-language credits and 6 intermediate-language credits.</w:t>
            </w:r>
          </w:p>
        </w:tc>
        <w:tc>
          <w:tcPr>
            <w:tcW w:w="2100" w:type="dxa"/>
            <w:tcMar>
              <w:top w:w="90" w:type="dxa"/>
              <w:left w:w="90" w:type="dxa"/>
              <w:bottom w:w="90" w:type="dxa"/>
              <w:right w:w="90" w:type="dxa"/>
            </w:tcMar>
            <w:vAlign w:val="center"/>
          </w:tcPr>
          <w:p w14:paraId="21DB948A" w14:textId="77777777" w:rsidR="00411715" w:rsidRPr="00487F29" w:rsidRDefault="00FF24F3">
            <w:pPr>
              <w:pStyle w:val="DESENormal"/>
            </w:pPr>
            <w:r w:rsidRPr="00487F29">
              <w:rPr>
                <w:color w:val="000000"/>
              </w:rPr>
              <w:t>Credit for Prior Learning</w:t>
            </w:r>
          </w:p>
        </w:tc>
        <w:tc>
          <w:tcPr>
            <w:tcW w:w="3660" w:type="dxa"/>
            <w:tcMar>
              <w:top w:w="90" w:type="dxa"/>
              <w:left w:w="90" w:type="dxa"/>
              <w:bottom w:w="90" w:type="dxa"/>
              <w:right w:w="90" w:type="dxa"/>
            </w:tcMar>
            <w:vAlign w:val="center"/>
          </w:tcPr>
          <w:p w14:paraId="7FDE3ACF" w14:textId="378E1B41" w:rsidR="00411715" w:rsidRPr="00E63FD0" w:rsidRDefault="00E63FD0">
            <w:pPr>
              <w:pStyle w:val="DESENormal"/>
            </w:pPr>
            <w:r>
              <w:rPr>
                <w:color w:val="000000"/>
              </w:rPr>
              <w:t xml:space="preserve">The policy is listed under </w:t>
            </w:r>
            <w:r>
              <w:rPr>
                <w:b/>
                <w:bCs/>
                <w:i/>
                <w:iCs/>
                <w:color w:val="000000"/>
              </w:rPr>
              <w:t>Languages</w:t>
            </w:r>
            <w:r>
              <w:rPr>
                <w:color w:val="000000"/>
              </w:rPr>
              <w:t xml:space="preserve"> in the </w:t>
            </w:r>
            <w:r>
              <w:rPr>
                <w:b/>
                <w:bCs/>
                <w:i/>
                <w:iCs/>
                <w:color w:val="000000"/>
              </w:rPr>
              <w:t xml:space="preserve">Industry Credential Articulations </w:t>
            </w:r>
            <w:r>
              <w:rPr>
                <w:color w:val="000000"/>
              </w:rPr>
              <w:t>dropdown menu.</w:t>
            </w:r>
          </w:p>
        </w:tc>
      </w:tr>
      <w:tr w:rsidR="00411715" w14:paraId="717ED358" w14:textId="77777777" w:rsidTr="00487F29">
        <w:trPr>
          <w:cantSplit/>
        </w:trPr>
        <w:tc>
          <w:tcPr>
            <w:tcW w:w="1975" w:type="dxa"/>
            <w:tcMar>
              <w:top w:w="90" w:type="dxa"/>
              <w:left w:w="90" w:type="dxa"/>
              <w:bottom w:w="90" w:type="dxa"/>
              <w:right w:w="90" w:type="dxa"/>
            </w:tcMar>
            <w:vAlign w:val="center"/>
          </w:tcPr>
          <w:p w14:paraId="403F4F7E" w14:textId="77777777" w:rsidR="00411715" w:rsidRPr="00487F29" w:rsidRDefault="00FF24F3">
            <w:pPr>
              <w:pStyle w:val="DESENormal"/>
            </w:pPr>
            <w:hyperlink r:id="rId19">
              <w:r w:rsidRPr="00487F29">
                <w:rPr>
                  <w:b/>
                  <w:color w:val="0563C1"/>
                  <w:u w:val="single"/>
                </w:rPr>
                <w:t>Salem State University</w:t>
              </w:r>
            </w:hyperlink>
          </w:p>
        </w:tc>
        <w:tc>
          <w:tcPr>
            <w:tcW w:w="2525" w:type="dxa"/>
            <w:tcMar>
              <w:top w:w="90" w:type="dxa"/>
              <w:left w:w="90" w:type="dxa"/>
              <w:bottom w:w="90" w:type="dxa"/>
              <w:right w:w="90" w:type="dxa"/>
            </w:tcMar>
            <w:vAlign w:val="center"/>
          </w:tcPr>
          <w:p w14:paraId="57D960E6" w14:textId="77777777" w:rsidR="00411715" w:rsidRPr="00487F29" w:rsidRDefault="00FF24F3">
            <w:pPr>
              <w:pStyle w:val="DESENormal"/>
            </w:pPr>
            <w:r w:rsidRPr="00487F29">
              <w:rPr>
                <w:color w:val="000000"/>
              </w:rPr>
              <w:t>6 credits corresponding to the 201-202 language sequence.</w:t>
            </w:r>
          </w:p>
        </w:tc>
        <w:tc>
          <w:tcPr>
            <w:tcW w:w="2700" w:type="dxa"/>
            <w:tcMar>
              <w:top w:w="90" w:type="dxa"/>
              <w:left w:w="90" w:type="dxa"/>
              <w:bottom w:w="90" w:type="dxa"/>
              <w:right w:w="90" w:type="dxa"/>
            </w:tcMar>
            <w:vAlign w:val="center"/>
          </w:tcPr>
          <w:p w14:paraId="49674660" w14:textId="77777777" w:rsidR="00411715" w:rsidRPr="00487F29" w:rsidRDefault="00FF24F3">
            <w:pPr>
              <w:pStyle w:val="DESENormal"/>
            </w:pPr>
            <w:r w:rsidRPr="00487F29">
              <w:rPr>
                <w:color w:val="000000"/>
              </w:rPr>
              <w:t xml:space="preserve">9 credits </w:t>
            </w:r>
            <w:proofErr w:type="gramStart"/>
            <w:r w:rsidRPr="00487F29">
              <w:rPr>
                <w:color w:val="000000"/>
              </w:rPr>
              <w:t>corresponding</w:t>
            </w:r>
            <w:proofErr w:type="gramEnd"/>
            <w:r w:rsidRPr="00487F29">
              <w:rPr>
                <w:color w:val="000000"/>
              </w:rPr>
              <w:t xml:space="preserve"> to the 201, 202, and 300 levels.</w:t>
            </w:r>
          </w:p>
        </w:tc>
        <w:tc>
          <w:tcPr>
            <w:tcW w:w="2100" w:type="dxa"/>
            <w:tcMar>
              <w:top w:w="90" w:type="dxa"/>
              <w:left w:w="90" w:type="dxa"/>
              <w:bottom w:w="90" w:type="dxa"/>
              <w:right w:w="90" w:type="dxa"/>
            </w:tcMar>
            <w:vAlign w:val="center"/>
          </w:tcPr>
          <w:p w14:paraId="1A039D28" w14:textId="77777777" w:rsidR="00411715" w:rsidRPr="00487F29" w:rsidRDefault="00FF24F3">
            <w:pPr>
              <w:pStyle w:val="DESENormal"/>
            </w:pPr>
            <w:r w:rsidRPr="00487F29">
              <w:rPr>
                <w:color w:val="000000"/>
              </w:rPr>
              <w:t>Department of World Languages and Cultures</w:t>
            </w:r>
          </w:p>
        </w:tc>
        <w:tc>
          <w:tcPr>
            <w:tcW w:w="3660" w:type="dxa"/>
            <w:tcMar>
              <w:top w:w="90" w:type="dxa"/>
              <w:left w:w="90" w:type="dxa"/>
              <w:bottom w:w="90" w:type="dxa"/>
              <w:right w:w="90" w:type="dxa"/>
            </w:tcMar>
            <w:vAlign w:val="center"/>
          </w:tcPr>
          <w:p w14:paraId="17B0B790" w14:textId="77777777" w:rsidR="00411715" w:rsidRPr="00487F29" w:rsidRDefault="00FF24F3">
            <w:pPr>
              <w:pStyle w:val="DESENormal"/>
            </w:pPr>
            <w:r w:rsidRPr="00487F29">
              <w:rPr>
                <w:color w:val="000000"/>
              </w:rPr>
              <w:t>The webpage also lists 3 credits for an 'intermediate' Seal level. Massachusetts' current Seal corresponds to Intermediate High, for which Salem lists 6 credits.</w:t>
            </w:r>
          </w:p>
        </w:tc>
      </w:tr>
      <w:tr w:rsidR="00411715" w14:paraId="33B2736F" w14:textId="77777777" w:rsidTr="00487F29">
        <w:trPr>
          <w:cantSplit/>
        </w:trPr>
        <w:tc>
          <w:tcPr>
            <w:tcW w:w="1975" w:type="dxa"/>
            <w:tcMar>
              <w:top w:w="90" w:type="dxa"/>
              <w:left w:w="90" w:type="dxa"/>
              <w:bottom w:w="90" w:type="dxa"/>
              <w:right w:w="90" w:type="dxa"/>
            </w:tcMar>
            <w:vAlign w:val="center"/>
          </w:tcPr>
          <w:p w14:paraId="297ED47A" w14:textId="77777777" w:rsidR="00411715" w:rsidRPr="00487F29" w:rsidRDefault="00FF24F3">
            <w:pPr>
              <w:pStyle w:val="DESENormal"/>
            </w:pPr>
            <w:hyperlink r:id="rId20">
              <w:r w:rsidRPr="00487F29">
                <w:rPr>
                  <w:b/>
                  <w:color w:val="0563C1"/>
                  <w:u w:val="single"/>
                </w:rPr>
                <w:t>University of Massachusetts Amherst</w:t>
              </w:r>
            </w:hyperlink>
          </w:p>
        </w:tc>
        <w:tc>
          <w:tcPr>
            <w:tcW w:w="2525" w:type="dxa"/>
            <w:tcMar>
              <w:top w:w="90" w:type="dxa"/>
              <w:left w:w="90" w:type="dxa"/>
              <w:bottom w:w="90" w:type="dxa"/>
              <w:right w:w="90" w:type="dxa"/>
            </w:tcMar>
            <w:vAlign w:val="center"/>
          </w:tcPr>
          <w:p w14:paraId="01AA0964" w14:textId="77777777" w:rsidR="00411715" w:rsidRPr="00487F29" w:rsidRDefault="00FF24F3">
            <w:pPr>
              <w:pStyle w:val="DESENormal"/>
            </w:pPr>
            <w:r w:rsidRPr="00487F29">
              <w:rPr>
                <w:color w:val="000000"/>
              </w:rPr>
              <w:t>12 credits.</w:t>
            </w:r>
          </w:p>
        </w:tc>
        <w:tc>
          <w:tcPr>
            <w:tcW w:w="2700" w:type="dxa"/>
            <w:tcMar>
              <w:top w:w="90" w:type="dxa"/>
              <w:left w:w="90" w:type="dxa"/>
              <w:bottom w:w="90" w:type="dxa"/>
              <w:right w:w="90" w:type="dxa"/>
            </w:tcMar>
            <w:vAlign w:val="center"/>
          </w:tcPr>
          <w:p w14:paraId="7336F63A" w14:textId="77777777" w:rsidR="00411715" w:rsidRPr="00487F29" w:rsidRDefault="00FF24F3">
            <w:pPr>
              <w:pStyle w:val="DESENormal"/>
            </w:pPr>
            <w:r w:rsidRPr="00487F29">
              <w:rPr>
                <w:color w:val="000000"/>
              </w:rPr>
              <w:t>15 credits.</w:t>
            </w:r>
          </w:p>
        </w:tc>
        <w:tc>
          <w:tcPr>
            <w:tcW w:w="2100" w:type="dxa"/>
            <w:tcMar>
              <w:top w:w="90" w:type="dxa"/>
              <w:left w:w="90" w:type="dxa"/>
              <w:bottom w:w="90" w:type="dxa"/>
              <w:right w:w="90" w:type="dxa"/>
            </w:tcMar>
            <w:vAlign w:val="center"/>
          </w:tcPr>
          <w:p w14:paraId="1E90F20E" w14:textId="77777777" w:rsidR="00411715" w:rsidRPr="00487F29" w:rsidRDefault="00FF24F3">
            <w:pPr>
              <w:pStyle w:val="DESENormal"/>
            </w:pPr>
            <w:r w:rsidRPr="00487F29">
              <w:rPr>
                <w:color w:val="000000"/>
              </w:rPr>
              <w:t>University Registrar - Academic Requirements and Transfer Credit</w:t>
            </w:r>
          </w:p>
        </w:tc>
        <w:tc>
          <w:tcPr>
            <w:tcW w:w="3660" w:type="dxa"/>
            <w:tcMar>
              <w:top w:w="90" w:type="dxa"/>
              <w:left w:w="90" w:type="dxa"/>
              <w:bottom w:w="90" w:type="dxa"/>
              <w:right w:w="90" w:type="dxa"/>
            </w:tcMar>
            <w:vAlign w:val="center"/>
          </w:tcPr>
          <w:p w14:paraId="39A2C027" w14:textId="77777777" w:rsidR="00411715" w:rsidRPr="00487F29" w:rsidRDefault="00FF24F3">
            <w:pPr>
              <w:pStyle w:val="DESENormal"/>
            </w:pPr>
            <w:r w:rsidRPr="00487F29">
              <w:rPr>
                <w:color w:val="000000"/>
              </w:rPr>
              <w:t>Beginning in 2026-2027, Spanish, Italian, and Portuguese receive specified course equivalents. Additional languages receive generic credit. Students must opt in and submit documentation.</w:t>
            </w:r>
          </w:p>
        </w:tc>
      </w:tr>
      <w:tr w:rsidR="00411715" w14:paraId="18BC7745" w14:textId="77777777" w:rsidTr="00487F29">
        <w:trPr>
          <w:cantSplit/>
        </w:trPr>
        <w:tc>
          <w:tcPr>
            <w:tcW w:w="1975" w:type="dxa"/>
            <w:tcMar>
              <w:top w:w="90" w:type="dxa"/>
              <w:left w:w="90" w:type="dxa"/>
              <w:bottom w:w="90" w:type="dxa"/>
              <w:right w:w="90" w:type="dxa"/>
            </w:tcMar>
            <w:vAlign w:val="center"/>
          </w:tcPr>
          <w:p w14:paraId="600325F1" w14:textId="77777777" w:rsidR="00411715" w:rsidRPr="00487F29" w:rsidRDefault="00FF24F3">
            <w:pPr>
              <w:pStyle w:val="DESENormal"/>
            </w:pPr>
            <w:hyperlink r:id="rId21">
              <w:r w:rsidRPr="00487F29">
                <w:rPr>
                  <w:b/>
                  <w:color w:val="0563C1"/>
                  <w:u w:val="single"/>
                </w:rPr>
                <w:t>University of Massachusetts Dartmouth</w:t>
              </w:r>
            </w:hyperlink>
          </w:p>
        </w:tc>
        <w:tc>
          <w:tcPr>
            <w:tcW w:w="2525" w:type="dxa"/>
            <w:tcMar>
              <w:top w:w="90" w:type="dxa"/>
              <w:left w:w="90" w:type="dxa"/>
              <w:bottom w:w="90" w:type="dxa"/>
              <w:right w:w="90" w:type="dxa"/>
            </w:tcMar>
            <w:vAlign w:val="center"/>
          </w:tcPr>
          <w:p w14:paraId="73D3665D" w14:textId="77777777" w:rsidR="00411715" w:rsidRPr="00487F29" w:rsidRDefault="00FF24F3">
            <w:pPr>
              <w:pStyle w:val="DESENormal"/>
            </w:pPr>
            <w:r w:rsidRPr="00487F29">
              <w:rPr>
                <w:color w:val="000000"/>
              </w:rPr>
              <w:t>12 credits.</w:t>
            </w:r>
          </w:p>
        </w:tc>
        <w:tc>
          <w:tcPr>
            <w:tcW w:w="2700" w:type="dxa"/>
            <w:tcMar>
              <w:top w:w="90" w:type="dxa"/>
              <w:left w:w="90" w:type="dxa"/>
              <w:bottom w:w="90" w:type="dxa"/>
              <w:right w:w="90" w:type="dxa"/>
            </w:tcMar>
            <w:vAlign w:val="center"/>
          </w:tcPr>
          <w:p w14:paraId="100AF97F" w14:textId="77777777" w:rsidR="00411715" w:rsidRPr="00487F29" w:rsidRDefault="00FF24F3">
            <w:pPr>
              <w:pStyle w:val="DESENormal"/>
            </w:pPr>
            <w:r w:rsidRPr="00487F29">
              <w:rPr>
                <w:color w:val="000000"/>
              </w:rPr>
              <w:t>15 credits.</w:t>
            </w:r>
          </w:p>
        </w:tc>
        <w:tc>
          <w:tcPr>
            <w:tcW w:w="2100" w:type="dxa"/>
            <w:tcMar>
              <w:top w:w="90" w:type="dxa"/>
              <w:left w:w="90" w:type="dxa"/>
              <w:bottom w:w="90" w:type="dxa"/>
              <w:right w:w="90" w:type="dxa"/>
            </w:tcMar>
            <w:vAlign w:val="center"/>
          </w:tcPr>
          <w:p w14:paraId="10122C6B" w14:textId="77777777" w:rsidR="00411715" w:rsidRPr="00487F29" w:rsidRDefault="00FF24F3">
            <w:pPr>
              <w:pStyle w:val="DESENormal"/>
            </w:pPr>
            <w:r w:rsidRPr="00487F29">
              <w:rPr>
                <w:color w:val="000000"/>
              </w:rPr>
              <w:t>Office of Undergraduate Admissions</w:t>
            </w:r>
          </w:p>
        </w:tc>
        <w:tc>
          <w:tcPr>
            <w:tcW w:w="3660" w:type="dxa"/>
            <w:tcMar>
              <w:top w:w="90" w:type="dxa"/>
              <w:left w:w="90" w:type="dxa"/>
              <w:bottom w:w="90" w:type="dxa"/>
              <w:right w:w="90" w:type="dxa"/>
            </w:tcMar>
            <w:vAlign w:val="center"/>
          </w:tcPr>
          <w:p w14:paraId="243ECFF4" w14:textId="138DF1FE" w:rsidR="00411715" w:rsidRPr="00487F29" w:rsidRDefault="00FF24F3">
            <w:pPr>
              <w:pStyle w:val="DESENormal"/>
            </w:pPr>
            <w:r w:rsidRPr="00487F29">
              <w:rPr>
                <w:color w:val="000000"/>
              </w:rPr>
              <w:t>The regular Seal receives four course equivalents in languages the university lists; additional languages receive two 6-credit generic language courses. The detailed table lists 15-credit sequences for Spanish, Portuguese, and French</w:t>
            </w:r>
            <w:r w:rsidR="006B0CB6">
              <w:rPr>
                <w:color w:val="000000"/>
              </w:rPr>
              <w:t>.</w:t>
            </w:r>
          </w:p>
        </w:tc>
      </w:tr>
      <w:tr w:rsidR="00411715" w14:paraId="77C28A7B" w14:textId="77777777" w:rsidTr="00487F29">
        <w:trPr>
          <w:cantSplit/>
        </w:trPr>
        <w:tc>
          <w:tcPr>
            <w:tcW w:w="1975" w:type="dxa"/>
            <w:tcMar>
              <w:top w:w="90" w:type="dxa"/>
              <w:left w:w="90" w:type="dxa"/>
              <w:bottom w:w="90" w:type="dxa"/>
              <w:right w:w="90" w:type="dxa"/>
            </w:tcMar>
            <w:vAlign w:val="center"/>
          </w:tcPr>
          <w:p w14:paraId="11384B51" w14:textId="77777777" w:rsidR="00411715" w:rsidRPr="00487F29" w:rsidRDefault="00FF24F3">
            <w:pPr>
              <w:pStyle w:val="DESENormal"/>
            </w:pPr>
            <w:hyperlink r:id="rId22">
              <w:r w:rsidRPr="00487F29">
                <w:rPr>
                  <w:b/>
                  <w:color w:val="0563C1"/>
                  <w:u w:val="single"/>
                </w:rPr>
                <w:t>Westfield State University</w:t>
              </w:r>
            </w:hyperlink>
          </w:p>
        </w:tc>
        <w:tc>
          <w:tcPr>
            <w:tcW w:w="2525" w:type="dxa"/>
            <w:tcMar>
              <w:top w:w="90" w:type="dxa"/>
              <w:left w:w="90" w:type="dxa"/>
              <w:bottom w:w="90" w:type="dxa"/>
              <w:right w:w="90" w:type="dxa"/>
            </w:tcMar>
            <w:vAlign w:val="center"/>
          </w:tcPr>
          <w:p w14:paraId="37AE0D36" w14:textId="77777777" w:rsidR="00411715" w:rsidRPr="00487F29" w:rsidRDefault="00FF24F3">
            <w:pPr>
              <w:pStyle w:val="DESENormal"/>
            </w:pPr>
            <w:r w:rsidRPr="00487F29">
              <w:rPr>
                <w:color w:val="000000"/>
              </w:rPr>
              <w:t>12 credits.</w:t>
            </w:r>
          </w:p>
        </w:tc>
        <w:tc>
          <w:tcPr>
            <w:tcW w:w="2700" w:type="dxa"/>
            <w:tcMar>
              <w:top w:w="90" w:type="dxa"/>
              <w:left w:w="90" w:type="dxa"/>
              <w:bottom w:w="90" w:type="dxa"/>
              <w:right w:w="90" w:type="dxa"/>
            </w:tcMar>
            <w:vAlign w:val="center"/>
          </w:tcPr>
          <w:p w14:paraId="2B3D9F98" w14:textId="77777777" w:rsidR="00411715" w:rsidRPr="00487F29" w:rsidRDefault="00FF24F3">
            <w:pPr>
              <w:pStyle w:val="DESENormal"/>
            </w:pPr>
            <w:r w:rsidRPr="00487F29">
              <w:rPr>
                <w:color w:val="000000"/>
              </w:rPr>
              <w:t>15 credits.</w:t>
            </w:r>
          </w:p>
        </w:tc>
        <w:tc>
          <w:tcPr>
            <w:tcW w:w="2100" w:type="dxa"/>
            <w:tcMar>
              <w:top w:w="90" w:type="dxa"/>
              <w:left w:w="90" w:type="dxa"/>
              <w:bottom w:w="90" w:type="dxa"/>
              <w:right w:w="90" w:type="dxa"/>
            </w:tcMar>
            <w:vAlign w:val="center"/>
          </w:tcPr>
          <w:p w14:paraId="76204EED" w14:textId="77777777" w:rsidR="00411715" w:rsidRPr="00487F29" w:rsidRDefault="00FF24F3">
            <w:pPr>
              <w:pStyle w:val="DESENormal"/>
            </w:pPr>
            <w:r w:rsidRPr="00487F29">
              <w:rPr>
                <w:color w:val="000000"/>
              </w:rPr>
              <w:t>Hispanic Studies Program</w:t>
            </w:r>
          </w:p>
        </w:tc>
        <w:tc>
          <w:tcPr>
            <w:tcW w:w="3660" w:type="dxa"/>
            <w:tcMar>
              <w:top w:w="90" w:type="dxa"/>
              <w:left w:w="90" w:type="dxa"/>
              <w:bottom w:w="90" w:type="dxa"/>
              <w:right w:w="90" w:type="dxa"/>
            </w:tcMar>
            <w:vAlign w:val="center"/>
          </w:tcPr>
          <w:p w14:paraId="5080C997" w14:textId="77777777" w:rsidR="00411715" w:rsidRPr="00487F29" w:rsidRDefault="00FF24F3">
            <w:pPr>
              <w:pStyle w:val="DESENormal"/>
            </w:pPr>
            <w:r w:rsidRPr="00487F29">
              <w:rPr>
                <w:color w:val="000000"/>
              </w:rPr>
              <w:t>All languages are accepted. Credits may count toward the 120-credit graduation total, electives in the Spanish major or minor, or programs with language requirements.</w:t>
            </w:r>
          </w:p>
        </w:tc>
      </w:tr>
      <w:tr w:rsidR="00411715" w14:paraId="614635CF" w14:textId="77777777" w:rsidTr="00487F29">
        <w:trPr>
          <w:cantSplit/>
        </w:trPr>
        <w:tc>
          <w:tcPr>
            <w:tcW w:w="1975" w:type="dxa"/>
            <w:tcMar>
              <w:top w:w="90" w:type="dxa"/>
              <w:left w:w="90" w:type="dxa"/>
              <w:bottom w:w="90" w:type="dxa"/>
              <w:right w:w="90" w:type="dxa"/>
            </w:tcMar>
            <w:vAlign w:val="center"/>
          </w:tcPr>
          <w:p w14:paraId="7D478EB6" w14:textId="77777777" w:rsidR="00411715" w:rsidRPr="00487F29" w:rsidRDefault="00FF24F3">
            <w:pPr>
              <w:pStyle w:val="DESENormal"/>
            </w:pPr>
            <w:hyperlink r:id="rId23">
              <w:r w:rsidRPr="00487F29">
                <w:rPr>
                  <w:b/>
                  <w:color w:val="0563C1"/>
                  <w:u w:val="single"/>
                </w:rPr>
                <w:t>Worcester State University</w:t>
              </w:r>
            </w:hyperlink>
          </w:p>
        </w:tc>
        <w:tc>
          <w:tcPr>
            <w:tcW w:w="2525" w:type="dxa"/>
            <w:tcMar>
              <w:top w:w="90" w:type="dxa"/>
              <w:left w:w="90" w:type="dxa"/>
              <w:bottom w:w="90" w:type="dxa"/>
              <w:right w:w="90" w:type="dxa"/>
            </w:tcMar>
            <w:vAlign w:val="center"/>
          </w:tcPr>
          <w:p w14:paraId="3D3ACA0A" w14:textId="77777777" w:rsidR="00411715" w:rsidRPr="00487F29" w:rsidRDefault="00FF24F3">
            <w:pPr>
              <w:pStyle w:val="DESENormal"/>
            </w:pPr>
            <w:r w:rsidRPr="00487F29">
              <w:rPr>
                <w:color w:val="000000"/>
              </w:rPr>
              <w:t xml:space="preserve">12 credits </w:t>
            </w:r>
            <w:proofErr w:type="gramStart"/>
            <w:r w:rsidRPr="00487F29">
              <w:rPr>
                <w:color w:val="000000"/>
              </w:rPr>
              <w:t>corresponding</w:t>
            </w:r>
            <w:proofErr w:type="gramEnd"/>
            <w:r w:rsidRPr="00487F29">
              <w:rPr>
                <w:color w:val="000000"/>
              </w:rPr>
              <w:t xml:space="preserve"> to beginning and intermediate language courses.</w:t>
            </w:r>
          </w:p>
        </w:tc>
        <w:tc>
          <w:tcPr>
            <w:tcW w:w="2700" w:type="dxa"/>
            <w:tcMar>
              <w:top w:w="90" w:type="dxa"/>
              <w:left w:w="90" w:type="dxa"/>
              <w:bottom w:w="90" w:type="dxa"/>
              <w:right w:w="90" w:type="dxa"/>
            </w:tcMar>
            <w:vAlign w:val="center"/>
          </w:tcPr>
          <w:p w14:paraId="1365A718" w14:textId="77777777" w:rsidR="00411715" w:rsidRPr="00487F29" w:rsidRDefault="00FF24F3">
            <w:pPr>
              <w:pStyle w:val="DESENormal"/>
            </w:pPr>
            <w:r w:rsidRPr="00487F29">
              <w:rPr>
                <w:color w:val="000000"/>
              </w:rPr>
              <w:t>No separate additional recognition stated; 12 credits under the published policy.</w:t>
            </w:r>
          </w:p>
        </w:tc>
        <w:tc>
          <w:tcPr>
            <w:tcW w:w="2100" w:type="dxa"/>
            <w:tcMar>
              <w:top w:w="90" w:type="dxa"/>
              <w:left w:w="90" w:type="dxa"/>
              <w:bottom w:w="90" w:type="dxa"/>
              <w:right w:w="90" w:type="dxa"/>
            </w:tcMar>
            <w:vAlign w:val="center"/>
          </w:tcPr>
          <w:p w14:paraId="3DC805CE" w14:textId="77777777" w:rsidR="00411715" w:rsidRPr="00487F29" w:rsidRDefault="00FF24F3">
            <w:pPr>
              <w:pStyle w:val="DESENormal"/>
            </w:pPr>
            <w:r w:rsidRPr="00487F29">
              <w:rPr>
                <w:color w:val="000000"/>
              </w:rPr>
              <w:t>Department of World Languages</w:t>
            </w:r>
          </w:p>
        </w:tc>
        <w:tc>
          <w:tcPr>
            <w:tcW w:w="3660" w:type="dxa"/>
            <w:tcMar>
              <w:top w:w="90" w:type="dxa"/>
              <w:left w:w="90" w:type="dxa"/>
              <w:bottom w:w="90" w:type="dxa"/>
              <w:right w:w="90" w:type="dxa"/>
            </w:tcMar>
            <w:vAlign w:val="center"/>
          </w:tcPr>
          <w:p w14:paraId="3D93919E" w14:textId="77777777" w:rsidR="00411715" w:rsidRPr="00487F29" w:rsidRDefault="00FF24F3">
            <w:pPr>
              <w:pStyle w:val="DESENormal"/>
            </w:pPr>
            <w:r w:rsidRPr="00487F29">
              <w:rPr>
                <w:color w:val="000000"/>
              </w:rPr>
              <w:t>Credits may count toward graduation, LASC, and applicable major or minor requirements. Students are encouraged to continue in a 300-level language course.</w:t>
            </w:r>
          </w:p>
        </w:tc>
      </w:tr>
    </w:tbl>
    <w:p w14:paraId="5D8B371D" w14:textId="77777777" w:rsidR="00FF24F3" w:rsidRDefault="00FF24F3"/>
    <w:sectPr w:rsidR="00FF24F3" w:rsidSect="005021A7">
      <w:headerReference w:type="default" r:id="rId24"/>
      <w:pgSz w:w="15840" w:h="12240"/>
      <w:pgMar w:top="1440" w:right="1440" w:bottom="1440" w:left="1440" w:header="504" w:footer="50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CF38D" w14:textId="77777777" w:rsidR="00780B40" w:rsidRDefault="00780B40" w:rsidP="002D6298">
      <w:pPr>
        <w:spacing w:after="0" w:line="240" w:lineRule="auto"/>
      </w:pPr>
      <w:r>
        <w:separator/>
      </w:r>
    </w:p>
  </w:endnote>
  <w:endnote w:type="continuationSeparator" w:id="0">
    <w:p w14:paraId="3A76D654" w14:textId="77777777" w:rsidR="00780B40" w:rsidRDefault="00780B40" w:rsidP="002D62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61534" w14:textId="77777777" w:rsidR="00780B40" w:rsidRDefault="00780B40" w:rsidP="002D6298">
      <w:pPr>
        <w:spacing w:after="0" w:line="240" w:lineRule="auto"/>
      </w:pPr>
      <w:r>
        <w:separator/>
      </w:r>
    </w:p>
  </w:footnote>
  <w:footnote w:type="continuationSeparator" w:id="0">
    <w:p w14:paraId="334F27E3" w14:textId="77777777" w:rsidR="00780B40" w:rsidRDefault="00780B40" w:rsidP="002D62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01F32" w14:textId="1E681C6A" w:rsidR="00487F29" w:rsidRDefault="00487F29" w:rsidP="00487F29">
    <w:pPr>
      <w:pStyle w:val="Header"/>
      <w:tabs>
        <w:tab w:val="left" w:pos="10080"/>
        <w:tab w:val="left" w:pos="10800"/>
        <w:tab w:val="left" w:pos="11520"/>
        <w:tab w:val="left" w:pos="12240"/>
        <w:tab w:val="right" w:pos="12960"/>
      </w:tabs>
    </w:pPr>
    <w:r>
      <w:t>Public IHEs that Recognize the MA State Seal of Biliteracy</w:t>
    </w:r>
    <w:r>
      <w:tab/>
      <w:t xml:space="preserve">        </w:t>
    </w:r>
    <w:r>
      <w:tab/>
    </w:r>
    <w:r>
      <w:tab/>
    </w:r>
    <w:r>
      <w:tab/>
      <w:t xml:space="preserve">              </w:t>
    </w:r>
    <w:r>
      <w:tab/>
      <w:t xml:space="preserve">            </w:t>
    </w:r>
    <w:sdt>
      <w:sdtPr>
        <w:id w:val="-1227211723"/>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1FD402D5" w14:textId="197C215C" w:rsidR="00411715" w:rsidRDefault="00411715">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5AE234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A991"/>
    <w:multiLevelType w:val="multilevel"/>
    <w:tmpl w:val="4784FA14"/>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1AA0037"/>
    <w:multiLevelType w:val="hybridMultilevel"/>
    <w:tmpl w:val="B44A0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482149"/>
    <w:multiLevelType w:val="hybridMultilevel"/>
    <w:tmpl w:val="33CA5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8174D0"/>
    <w:multiLevelType w:val="hybridMultilevel"/>
    <w:tmpl w:val="53B0F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343919"/>
    <w:multiLevelType w:val="multilevel"/>
    <w:tmpl w:val="7ADA7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7E6655"/>
    <w:multiLevelType w:val="multilevel"/>
    <w:tmpl w:val="3E92E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B65249"/>
    <w:multiLevelType w:val="hybridMultilevel"/>
    <w:tmpl w:val="082CF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EA0A9E"/>
    <w:multiLevelType w:val="hybridMultilevel"/>
    <w:tmpl w:val="07549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CA028A"/>
    <w:multiLevelType w:val="multilevel"/>
    <w:tmpl w:val="0F78F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8B7314"/>
    <w:multiLevelType w:val="multilevel"/>
    <w:tmpl w:val="4C0829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84B3BE0"/>
    <w:multiLevelType w:val="multilevel"/>
    <w:tmpl w:val="75BAE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CFC1D32"/>
    <w:multiLevelType w:val="hybridMultilevel"/>
    <w:tmpl w:val="80304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3657EC"/>
    <w:multiLevelType w:val="multilevel"/>
    <w:tmpl w:val="7E74C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4F562D"/>
    <w:multiLevelType w:val="hybridMultilevel"/>
    <w:tmpl w:val="A5AE7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384971"/>
    <w:multiLevelType w:val="multilevel"/>
    <w:tmpl w:val="93B27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A4132B7"/>
    <w:multiLevelType w:val="multilevel"/>
    <w:tmpl w:val="95964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7D4DF3"/>
    <w:multiLevelType w:val="multilevel"/>
    <w:tmpl w:val="3D962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0C3F28"/>
    <w:multiLevelType w:val="multilevel"/>
    <w:tmpl w:val="4AAC263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88632A4"/>
    <w:multiLevelType w:val="multilevel"/>
    <w:tmpl w:val="F64C7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FF1314"/>
    <w:multiLevelType w:val="multilevel"/>
    <w:tmpl w:val="13864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F6501E"/>
    <w:multiLevelType w:val="multilevel"/>
    <w:tmpl w:val="9B440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FF72CE"/>
    <w:multiLevelType w:val="hybridMultilevel"/>
    <w:tmpl w:val="51D26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B05B00"/>
    <w:multiLevelType w:val="multilevel"/>
    <w:tmpl w:val="B2107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7F3DA1"/>
    <w:multiLevelType w:val="multilevel"/>
    <w:tmpl w:val="F43AE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C840BD"/>
    <w:multiLevelType w:val="hybridMultilevel"/>
    <w:tmpl w:val="CC383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B046B2"/>
    <w:multiLevelType w:val="multilevel"/>
    <w:tmpl w:val="BD448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9C7492"/>
    <w:multiLevelType w:val="multilevel"/>
    <w:tmpl w:val="A6C2C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2B0E85"/>
    <w:multiLevelType w:val="multilevel"/>
    <w:tmpl w:val="77E02E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714F0F"/>
    <w:multiLevelType w:val="multilevel"/>
    <w:tmpl w:val="809A1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521A9F"/>
    <w:multiLevelType w:val="hybridMultilevel"/>
    <w:tmpl w:val="D4684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2058AC"/>
    <w:multiLevelType w:val="hybridMultilevel"/>
    <w:tmpl w:val="F9E0B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EA60C0"/>
    <w:multiLevelType w:val="multilevel"/>
    <w:tmpl w:val="FCEED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9A11D2D"/>
    <w:multiLevelType w:val="multilevel"/>
    <w:tmpl w:val="EF541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210DD2"/>
    <w:multiLevelType w:val="multilevel"/>
    <w:tmpl w:val="BEB6C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8C1EFA"/>
    <w:multiLevelType w:val="multilevel"/>
    <w:tmpl w:val="32D45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512D8A"/>
    <w:multiLevelType w:val="multilevel"/>
    <w:tmpl w:val="A43E4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DEA5866"/>
    <w:multiLevelType w:val="hybridMultilevel"/>
    <w:tmpl w:val="29760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EB82CE9"/>
    <w:multiLevelType w:val="hybridMultilevel"/>
    <w:tmpl w:val="54523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4119347">
    <w:abstractNumId w:val="6"/>
  </w:num>
  <w:num w:numId="2" w16cid:durableId="488789362">
    <w:abstractNumId w:val="21"/>
  </w:num>
  <w:num w:numId="3" w16cid:durableId="677538999">
    <w:abstractNumId w:val="19"/>
  </w:num>
  <w:num w:numId="4" w16cid:durableId="1793135984">
    <w:abstractNumId w:val="35"/>
  </w:num>
  <w:num w:numId="5" w16cid:durableId="1848515241">
    <w:abstractNumId w:val="11"/>
  </w:num>
  <w:num w:numId="6" w16cid:durableId="1218660796">
    <w:abstractNumId w:val="34"/>
  </w:num>
  <w:num w:numId="7" w16cid:durableId="1041978928">
    <w:abstractNumId w:val="28"/>
  </w:num>
  <w:num w:numId="8" w16cid:durableId="1297181462">
    <w:abstractNumId w:val="16"/>
  </w:num>
  <w:num w:numId="9" w16cid:durableId="1416509638">
    <w:abstractNumId w:val="32"/>
  </w:num>
  <w:num w:numId="10" w16cid:durableId="205683900">
    <w:abstractNumId w:val="7"/>
  </w:num>
  <w:num w:numId="11" w16cid:durableId="1329292133">
    <w:abstractNumId w:val="29"/>
  </w:num>
  <w:num w:numId="12" w16cid:durableId="2021227602">
    <w:abstractNumId w:val="18"/>
  </w:num>
  <w:num w:numId="13" w16cid:durableId="1805460503">
    <w:abstractNumId w:val="0"/>
  </w:num>
  <w:num w:numId="14" w16cid:durableId="1998531826">
    <w:abstractNumId w:val="2"/>
  </w:num>
  <w:num w:numId="15" w16cid:durableId="400294588">
    <w:abstractNumId w:val="8"/>
  </w:num>
  <w:num w:numId="16" w16cid:durableId="829635219">
    <w:abstractNumId w:val="25"/>
  </w:num>
  <w:num w:numId="17" w16cid:durableId="451747667">
    <w:abstractNumId w:val="31"/>
  </w:num>
  <w:num w:numId="18" w16cid:durableId="2034728407">
    <w:abstractNumId w:val="3"/>
  </w:num>
  <w:num w:numId="19" w16cid:durableId="1935164641">
    <w:abstractNumId w:val="36"/>
  </w:num>
  <w:num w:numId="20" w16cid:durableId="538784044">
    <w:abstractNumId w:val="17"/>
  </w:num>
  <w:num w:numId="21" w16cid:durableId="423494667">
    <w:abstractNumId w:val="13"/>
  </w:num>
  <w:num w:numId="22" w16cid:durableId="1833643908">
    <w:abstractNumId w:val="9"/>
  </w:num>
  <w:num w:numId="23" w16cid:durableId="1593902570">
    <w:abstractNumId w:val="33"/>
  </w:num>
  <w:num w:numId="24" w16cid:durableId="1119689113">
    <w:abstractNumId w:val="10"/>
  </w:num>
  <w:num w:numId="25" w16cid:durableId="595135801">
    <w:abstractNumId w:val="20"/>
  </w:num>
  <w:num w:numId="26" w16cid:durableId="1118522296">
    <w:abstractNumId w:val="14"/>
  </w:num>
  <w:num w:numId="27" w16cid:durableId="427699532">
    <w:abstractNumId w:val="15"/>
  </w:num>
  <w:num w:numId="28" w16cid:durableId="1851137816">
    <w:abstractNumId w:val="5"/>
  </w:num>
  <w:num w:numId="29" w16cid:durableId="954286491">
    <w:abstractNumId w:val="24"/>
  </w:num>
  <w:num w:numId="30" w16cid:durableId="1775905953">
    <w:abstractNumId w:val="22"/>
  </w:num>
  <w:num w:numId="31" w16cid:durableId="757481076">
    <w:abstractNumId w:val="12"/>
  </w:num>
  <w:num w:numId="32" w16cid:durableId="1103648278">
    <w:abstractNumId w:val="30"/>
  </w:num>
  <w:num w:numId="33" w16cid:durableId="1526209860">
    <w:abstractNumId w:val="38"/>
  </w:num>
  <w:num w:numId="34" w16cid:durableId="1605648967">
    <w:abstractNumId w:val="26"/>
  </w:num>
  <w:num w:numId="35" w16cid:durableId="1480800402">
    <w:abstractNumId w:val="37"/>
  </w:num>
  <w:num w:numId="36" w16cid:durableId="1341543563">
    <w:abstractNumId w:val="1"/>
  </w:num>
  <w:num w:numId="37" w16cid:durableId="1281567709">
    <w:abstractNumId w:val="4"/>
  </w:num>
  <w:num w:numId="38" w16cid:durableId="785392843">
    <w:abstractNumId w:val="27"/>
  </w:num>
  <w:num w:numId="39" w16cid:durableId="8262864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7BB"/>
    <w:rsid w:val="0000416F"/>
    <w:rsid w:val="000060AA"/>
    <w:rsid w:val="000113EF"/>
    <w:rsid w:val="00026851"/>
    <w:rsid w:val="000273DA"/>
    <w:rsid w:val="00033415"/>
    <w:rsid w:val="000335C9"/>
    <w:rsid w:val="00034782"/>
    <w:rsid w:val="000349AE"/>
    <w:rsid w:val="00036775"/>
    <w:rsid w:val="00037975"/>
    <w:rsid w:val="0004735D"/>
    <w:rsid w:val="000573F1"/>
    <w:rsid w:val="00061578"/>
    <w:rsid w:val="00065744"/>
    <w:rsid w:val="00066BBF"/>
    <w:rsid w:val="00067209"/>
    <w:rsid w:val="000722D1"/>
    <w:rsid w:val="000756EF"/>
    <w:rsid w:val="00075A96"/>
    <w:rsid w:val="00077DDD"/>
    <w:rsid w:val="000827BA"/>
    <w:rsid w:val="000902C1"/>
    <w:rsid w:val="000945FA"/>
    <w:rsid w:val="000A5E6C"/>
    <w:rsid w:val="000A655E"/>
    <w:rsid w:val="000B28FA"/>
    <w:rsid w:val="000B7346"/>
    <w:rsid w:val="000B7487"/>
    <w:rsid w:val="000C1E0A"/>
    <w:rsid w:val="000C6D49"/>
    <w:rsid w:val="000C7D9D"/>
    <w:rsid w:val="000D32D5"/>
    <w:rsid w:val="000D5630"/>
    <w:rsid w:val="000E05A2"/>
    <w:rsid w:val="000E4152"/>
    <w:rsid w:val="000E5E30"/>
    <w:rsid w:val="000F0482"/>
    <w:rsid w:val="000F3CDF"/>
    <w:rsid w:val="00107095"/>
    <w:rsid w:val="00110A61"/>
    <w:rsid w:val="00117ADB"/>
    <w:rsid w:val="00122791"/>
    <w:rsid w:val="00122B76"/>
    <w:rsid w:val="0012482B"/>
    <w:rsid w:val="00132055"/>
    <w:rsid w:val="00136827"/>
    <w:rsid w:val="00140611"/>
    <w:rsid w:val="00140DDA"/>
    <w:rsid w:val="00143BB0"/>
    <w:rsid w:val="0015009B"/>
    <w:rsid w:val="001563E1"/>
    <w:rsid w:val="00156F87"/>
    <w:rsid w:val="00160541"/>
    <w:rsid w:val="00162782"/>
    <w:rsid w:val="001654F0"/>
    <w:rsid w:val="00171483"/>
    <w:rsid w:val="00172908"/>
    <w:rsid w:val="001850FF"/>
    <w:rsid w:val="0019242D"/>
    <w:rsid w:val="00194C23"/>
    <w:rsid w:val="001A252C"/>
    <w:rsid w:val="001A3203"/>
    <w:rsid w:val="001A7A4A"/>
    <w:rsid w:val="001B2567"/>
    <w:rsid w:val="001B2B59"/>
    <w:rsid w:val="001B3BBB"/>
    <w:rsid w:val="001C674E"/>
    <w:rsid w:val="001D31F9"/>
    <w:rsid w:val="001E242D"/>
    <w:rsid w:val="001F0950"/>
    <w:rsid w:val="001F0A32"/>
    <w:rsid w:val="001F3DA2"/>
    <w:rsid w:val="001F4E86"/>
    <w:rsid w:val="001F734A"/>
    <w:rsid w:val="002146C0"/>
    <w:rsid w:val="00215DF4"/>
    <w:rsid w:val="00215FCA"/>
    <w:rsid w:val="00221022"/>
    <w:rsid w:val="0022412D"/>
    <w:rsid w:val="00226B5C"/>
    <w:rsid w:val="002270C7"/>
    <w:rsid w:val="002310A1"/>
    <w:rsid w:val="00234E42"/>
    <w:rsid w:val="0023549A"/>
    <w:rsid w:val="0023626D"/>
    <w:rsid w:val="00236271"/>
    <w:rsid w:val="00237C45"/>
    <w:rsid w:val="002400A3"/>
    <w:rsid w:val="0024322A"/>
    <w:rsid w:val="0024342A"/>
    <w:rsid w:val="00243D94"/>
    <w:rsid w:val="00244493"/>
    <w:rsid w:val="002453D3"/>
    <w:rsid w:val="00246CCC"/>
    <w:rsid w:val="00252666"/>
    <w:rsid w:val="00253045"/>
    <w:rsid w:val="00263BAC"/>
    <w:rsid w:val="00265271"/>
    <w:rsid w:val="00272C9B"/>
    <w:rsid w:val="002755F2"/>
    <w:rsid w:val="00277800"/>
    <w:rsid w:val="00281B08"/>
    <w:rsid w:val="00291E33"/>
    <w:rsid w:val="00292098"/>
    <w:rsid w:val="00297FBD"/>
    <w:rsid w:val="002A5BA3"/>
    <w:rsid w:val="002A6390"/>
    <w:rsid w:val="002B1DBA"/>
    <w:rsid w:val="002B6CBB"/>
    <w:rsid w:val="002C0398"/>
    <w:rsid w:val="002C2BC4"/>
    <w:rsid w:val="002D6298"/>
    <w:rsid w:val="002D634D"/>
    <w:rsid w:val="002D730E"/>
    <w:rsid w:val="002E25FC"/>
    <w:rsid w:val="002F3654"/>
    <w:rsid w:val="002F76C8"/>
    <w:rsid w:val="002F7F50"/>
    <w:rsid w:val="00302C3C"/>
    <w:rsid w:val="00306F70"/>
    <w:rsid w:val="003125F0"/>
    <w:rsid w:val="00315D79"/>
    <w:rsid w:val="00322165"/>
    <w:rsid w:val="00347469"/>
    <w:rsid w:val="00356087"/>
    <w:rsid w:val="00362A3C"/>
    <w:rsid w:val="003667BE"/>
    <w:rsid w:val="00372739"/>
    <w:rsid w:val="0037483F"/>
    <w:rsid w:val="0037564C"/>
    <w:rsid w:val="0037718F"/>
    <w:rsid w:val="00380C60"/>
    <w:rsid w:val="00383DBF"/>
    <w:rsid w:val="003964C9"/>
    <w:rsid w:val="003A096C"/>
    <w:rsid w:val="003B2A95"/>
    <w:rsid w:val="003B3A7D"/>
    <w:rsid w:val="003B3B69"/>
    <w:rsid w:val="003C20EA"/>
    <w:rsid w:val="003C35CA"/>
    <w:rsid w:val="003C57B1"/>
    <w:rsid w:val="003D09B6"/>
    <w:rsid w:val="003D2675"/>
    <w:rsid w:val="003D4DBB"/>
    <w:rsid w:val="003D4F6A"/>
    <w:rsid w:val="003E2343"/>
    <w:rsid w:val="003F0B38"/>
    <w:rsid w:val="003F15FA"/>
    <w:rsid w:val="003F7339"/>
    <w:rsid w:val="003F7E4B"/>
    <w:rsid w:val="00401E34"/>
    <w:rsid w:val="00411715"/>
    <w:rsid w:val="0041450F"/>
    <w:rsid w:val="00414D8E"/>
    <w:rsid w:val="00416F29"/>
    <w:rsid w:val="004226D9"/>
    <w:rsid w:val="004229D1"/>
    <w:rsid w:val="00422FC3"/>
    <w:rsid w:val="00424C2F"/>
    <w:rsid w:val="00431466"/>
    <w:rsid w:val="0043627D"/>
    <w:rsid w:val="00444F17"/>
    <w:rsid w:val="00465A60"/>
    <w:rsid w:val="00465E07"/>
    <w:rsid w:val="004679DB"/>
    <w:rsid w:val="00470EB4"/>
    <w:rsid w:val="004771B1"/>
    <w:rsid w:val="004773E8"/>
    <w:rsid w:val="00485688"/>
    <w:rsid w:val="0048578A"/>
    <w:rsid w:val="00487F29"/>
    <w:rsid w:val="0049423D"/>
    <w:rsid w:val="00494693"/>
    <w:rsid w:val="00494882"/>
    <w:rsid w:val="004A2D3B"/>
    <w:rsid w:val="004A5C4A"/>
    <w:rsid w:val="004B2F9A"/>
    <w:rsid w:val="004B6054"/>
    <w:rsid w:val="004C0001"/>
    <w:rsid w:val="004C02B1"/>
    <w:rsid w:val="004C05A9"/>
    <w:rsid w:val="004C28F1"/>
    <w:rsid w:val="004C5DCE"/>
    <w:rsid w:val="004C6010"/>
    <w:rsid w:val="004C7087"/>
    <w:rsid w:val="004C784C"/>
    <w:rsid w:val="004D1797"/>
    <w:rsid w:val="004D3C8A"/>
    <w:rsid w:val="004D639E"/>
    <w:rsid w:val="004E0E0E"/>
    <w:rsid w:val="004E212F"/>
    <w:rsid w:val="004E4CBC"/>
    <w:rsid w:val="004E7B16"/>
    <w:rsid w:val="004F2064"/>
    <w:rsid w:val="004F2C9D"/>
    <w:rsid w:val="004F4584"/>
    <w:rsid w:val="005000F2"/>
    <w:rsid w:val="005021A7"/>
    <w:rsid w:val="00503D95"/>
    <w:rsid w:val="00507389"/>
    <w:rsid w:val="0051461C"/>
    <w:rsid w:val="0051518E"/>
    <w:rsid w:val="005160EA"/>
    <w:rsid w:val="00524AFD"/>
    <w:rsid w:val="0053090A"/>
    <w:rsid w:val="00533FE2"/>
    <w:rsid w:val="00533FE5"/>
    <w:rsid w:val="00536A55"/>
    <w:rsid w:val="005552E2"/>
    <w:rsid w:val="00556D5A"/>
    <w:rsid w:val="005579F3"/>
    <w:rsid w:val="00560F1A"/>
    <w:rsid w:val="00560F5D"/>
    <w:rsid w:val="00561C7F"/>
    <w:rsid w:val="00561D93"/>
    <w:rsid w:val="00564465"/>
    <w:rsid w:val="0056553C"/>
    <w:rsid w:val="00566377"/>
    <w:rsid w:val="005671C0"/>
    <w:rsid w:val="00572332"/>
    <w:rsid w:val="00572B3E"/>
    <w:rsid w:val="0057628D"/>
    <w:rsid w:val="00581552"/>
    <w:rsid w:val="00582A90"/>
    <w:rsid w:val="00583D2E"/>
    <w:rsid w:val="005866FD"/>
    <w:rsid w:val="00591DEC"/>
    <w:rsid w:val="00595228"/>
    <w:rsid w:val="00595729"/>
    <w:rsid w:val="005A47F5"/>
    <w:rsid w:val="005B2CE2"/>
    <w:rsid w:val="005B5841"/>
    <w:rsid w:val="005C3FB5"/>
    <w:rsid w:val="005D2214"/>
    <w:rsid w:val="005E55CB"/>
    <w:rsid w:val="005E5C6E"/>
    <w:rsid w:val="005F4F8A"/>
    <w:rsid w:val="005F4FBD"/>
    <w:rsid w:val="005F5C00"/>
    <w:rsid w:val="005F6DAA"/>
    <w:rsid w:val="0060097E"/>
    <w:rsid w:val="006014C0"/>
    <w:rsid w:val="006017BF"/>
    <w:rsid w:val="00606812"/>
    <w:rsid w:val="0061040B"/>
    <w:rsid w:val="006121BD"/>
    <w:rsid w:val="00621FBE"/>
    <w:rsid w:val="00623576"/>
    <w:rsid w:val="006261A8"/>
    <w:rsid w:val="00626FE0"/>
    <w:rsid w:val="00630D81"/>
    <w:rsid w:val="00633D46"/>
    <w:rsid w:val="0064313F"/>
    <w:rsid w:val="006444FF"/>
    <w:rsid w:val="00650DDA"/>
    <w:rsid w:val="00655103"/>
    <w:rsid w:val="00657757"/>
    <w:rsid w:val="00660876"/>
    <w:rsid w:val="00661B34"/>
    <w:rsid w:val="00662D95"/>
    <w:rsid w:val="00673643"/>
    <w:rsid w:val="0067515A"/>
    <w:rsid w:val="00675921"/>
    <w:rsid w:val="00675E2C"/>
    <w:rsid w:val="00676D74"/>
    <w:rsid w:val="00677B49"/>
    <w:rsid w:val="00690729"/>
    <w:rsid w:val="00691B30"/>
    <w:rsid w:val="00692198"/>
    <w:rsid w:val="00694EE8"/>
    <w:rsid w:val="006958CB"/>
    <w:rsid w:val="006A2B23"/>
    <w:rsid w:val="006A3FA4"/>
    <w:rsid w:val="006A59F0"/>
    <w:rsid w:val="006A6143"/>
    <w:rsid w:val="006A6BDF"/>
    <w:rsid w:val="006B0084"/>
    <w:rsid w:val="006B0CB6"/>
    <w:rsid w:val="006B0DB3"/>
    <w:rsid w:val="006B290D"/>
    <w:rsid w:val="006B4C43"/>
    <w:rsid w:val="006B522A"/>
    <w:rsid w:val="006B754A"/>
    <w:rsid w:val="006C2DEF"/>
    <w:rsid w:val="006C795B"/>
    <w:rsid w:val="006D5270"/>
    <w:rsid w:val="006D7C0A"/>
    <w:rsid w:val="00703314"/>
    <w:rsid w:val="007036FE"/>
    <w:rsid w:val="007073D8"/>
    <w:rsid w:val="0071013A"/>
    <w:rsid w:val="00711022"/>
    <w:rsid w:val="0071175F"/>
    <w:rsid w:val="00712890"/>
    <w:rsid w:val="007149BD"/>
    <w:rsid w:val="007220FF"/>
    <w:rsid w:val="00736636"/>
    <w:rsid w:val="00736ECF"/>
    <w:rsid w:val="00736F8F"/>
    <w:rsid w:val="007402A2"/>
    <w:rsid w:val="0074116D"/>
    <w:rsid w:val="007464BF"/>
    <w:rsid w:val="00750957"/>
    <w:rsid w:val="00750F3F"/>
    <w:rsid w:val="0075109F"/>
    <w:rsid w:val="00752247"/>
    <w:rsid w:val="00756926"/>
    <w:rsid w:val="00757D4E"/>
    <w:rsid w:val="00762B89"/>
    <w:rsid w:val="007642CB"/>
    <w:rsid w:val="007662F1"/>
    <w:rsid w:val="00766CBB"/>
    <w:rsid w:val="00767EC6"/>
    <w:rsid w:val="00774C80"/>
    <w:rsid w:val="00776461"/>
    <w:rsid w:val="00776BCD"/>
    <w:rsid w:val="00780B40"/>
    <w:rsid w:val="00785B68"/>
    <w:rsid w:val="00785BEF"/>
    <w:rsid w:val="007960D8"/>
    <w:rsid w:val="007A21A8"/>
    <w:rsid w:val="007A600D"/>
    <w:rsid w:val="007A6D3F"/>
    <w:rsid w:val="007B69D4"/>
    <w:rsid w:val="007B73E1"/>
    <w:rsid w:val="007B7590"/>
    <w:rsid w:val="007C53B4"/>
    <w:rsid w:val="007C663F"/>
    <w:rsid w:val="007D658C"/>
    <w:rsid w:val="007E05C2"/>
    <w:rsid w:val="007E112D"/>
    <w:rsid w:val="007E126D"/>
    <w:rsid w:val="007E1D3B"/>
    <w:rsid w:val="007E4CBB"/>
    <w:rsid w:val="007E7D8F"/>
    <w:rsid w:val="007F64E5"/>
    <w:rsid w:val="007F7BC1"/>
    <w:rsid w:val="00800733"/>
    <w:rsid w:val="00802445"/>
    <w:rsid w:val="008045C3"/>
    <w:rsid w:val="00811703"/>
    <w:rsid w:val="008117A5"/>
    <w:rsid w:val="008118CD"/>
    <w:rsid w:val="00811FD9"/>
    <w:rsid w:val="00812B68"/>
    <w:rsid w:val="00817121"/>
    <w:rsid w:val="008227CA"/>
    <w:rsid w:val="00823B36"/>
    <w:rsid w:val="00830D82"/>
    <w:rsid w:val="00835B47"/>
    <w:rsid w:val="00837388"/>
    <w:rsid w:val="008449B8"/>
    <w:rsid w:val="00851545"/>
    <w:rsid w:val="00851D00"/>
    <w:rsid w:val="00853D27"/>
    <w:rsid w:val="008644FF"/>
    <w:rsid w:val="00866D17"/>
    <w:rsid w:val="00866EC2"/>
    <w:rsid w:val="00870753"/>
    <w:rsid w:val="00871C4A"/>
    <w:rsid w:val="008748BD"/>
    <w:rsid w:val="00877BC0"/>
    <w:rsid w:val="0088200B"/>
    <w:rsid w:val="0088655E"/>
    <w:rsid w:val="00887B8F"/>
    <w:rsid w:val="0089007B"/>
    <w:rsid w:val="00893E58"/>
    <w:rsid w:val="00893EE8"/>
    <w:rsid w:val="008A7DEE"/>
    <w:rsid w:val="008B010A"/>
    <w:rsid w:val="008B57A2"/>
    <w:rsid w:val="008B5BD8"/>
    <w:rsid w:val="008B69D3"/>
    <w:rsid w:val="008B6C21"/>
    <w:rsid w:val="008C54BD"/>
    <w:rsid w:val="008C6669"/>
    <w:rsid w:val="008D5241"/>
    <w:rsid w:val="008D5FD3"/>
    <w:rsid w:val="008D64A3"/>
    <w:rsid w:val="008F0279"/>
    <w:rsid w:val="008F04B5"/>
    <w:rsid w:val="008F4E78"/>
    <w:rsid w:val="009007BB"/>
    <w:rsid w:val="009079E7"/>
    <w:rsid w:val="00917803"/>
    <w:rsid w:val="00936E2A"/>
    <w:rsid w:val="00951134"/>
    <w:rsid w:val="009525EF"/>
    <w:rsid w:val="00967226"/>
    <w:rsid w:val="00970164"/>
    <w:rsid w:val="00972E09"/>
    <w:rsid w:val="00973DCD"/>
    <w:rsid w:val="00980E5C"/>
    <w:rsid w:val="009816D5"/>
    <w:rsid w:val="0098175E"/>
    <w:rsid w:val="0098271A"/>
    <w:rsid w:val="00984393"/>
    <w:rsid w:val="00990406"/>
    <w:rsid w:val="00991414"/>
    <w:rsid w:val="009950D5"/>
    <w:rsid w:val="009A1F4D"/>
    <w:rsid w:val="009A4B95"/>
    <w:rsid w:val="009A6D16"/>
    <w:rsid w:val="009B3CDE"/>
    <w:rsid w:val="009B638E"/>
    <w:rsid w:val="009C51AC"/>
    <w:rsid w:val="009D1617"/>
    <w:rsid w:val="009E1854"/>
    <w:rsid w:val="009E2F3E"/>
    <w:rsid w:val="009E33DA"/>
    <w:rsid w:val="009F52AE"/>
    <w:rsid w:val="00A016CB"/>
    <w:rsid w:val="00A15A5A"/>
    <w:rsid w:val="00A2451E"/>
    <w:rsid w:val="00A25165"/>
    <w:rsid w:val="00A33076"/>
    <w:rsid w:val="00A37E34"/>
    <w:rsid w:val="00A37F55"/>
    <w:rsid w:val="00A5163B"/>
    <w:rsid w:val="00A5536F"/>
    <w:rsid w:val="00A617C1"/>
    <w:rsid w:val="00A72BC4"/>
    <w:rsid w:val="00A82E94"/>
    <w:rsid w:val="00A859D9"/>
    <w:rsid w:val="00A912D8"/>
    <w:rsid w:val="00A92363"/>
    <w:rsid w:val="00AA1008"/>
    <w:rsid w:val="00AA1540"/>
    <w:rsid w:val="00AA20C8"/>
    <w:rsid w:val="00AA78EF"/>
    <w:rsid w:val="00AB2F5F"/>
    <w:rsid w:val="00AB4957"/>
    <w:rsid w:val="00AB6163"/>
    <w:rsid w:val="00AC7230"/>
    <w:rsid w:val="00AD0590"/>
    <w:rsid w:val="00AD3CC3"/>
    <w:rsid w:val="00AD45B2"/>
    <w:rsid w:val="00AE082E"/>
    <w:rsid w:val="00AE0E57"/>
    <w:rsid w:val="00AE210F"/>
    <w:rsid w:val="00AF0047"/>
    <w:rsid w:val="00AF0BFD"/>
    <w:rsid w:val="00AF3445"/>
    <w:rsid w:val="00B0356E"/>
    <w:rsid w:val="00B06342"/>
    <w:rsid w:val="00B1131C"/>
    <w:rsid w:val="00B141B9"/>
    <w:rsid w:val="00B148EE"/>
    <w:rsid w:val="00B15776"/>
    <w:rsid w:val="00B17748"/>
    <w:rsid w:val="00B312EF"/>
    <w:rsid w:val="00B33E69"/>
    <w:rsid w:val="00B34EF0"/>
    <w:rsid w:val="00B36BDC"/>
    <w:rsid w:val="00B47F52"/>
    <w:rsid w:val="00B61AD7"/>
    <w:rsid w:val="00B669D2"/>
    <w:rsid w:val="00B705D2"/>
    <w:rsid w:val="00B72388"/>
    <w:rsid w:val="00B72B06"/>
    <w:rsid w:val="00B82F7F"/>
    <w:rsid w:val="00B8795E"/>
    <w:rsid w:val="00B9327F"/>
    <w:rsid w:val="00B97EB7"/>
    <w:rsid w:val="00BA0043"/>
    <w:rsid w:val="00BB3DEE"/>
    <w:rsid w:val="00BB3EA4"/>
    <w:rsid w:val="00BC02CD"/>
    <w:rsid w:val="00BC13EC"/>
    <w:rsid w:val="00BC695F"/>
    <w:rsid w:val="00BD4097"/>
    <w:rsid w:val="00BD41CB"/>
    <w:rsid w:val="00BE1881"/>
    <w:rsid w:val="00BE2619"/>
    <w:rsid w:val="00BE4678"/>
    <w:rsid w:val="00BE67D7"/>
    <w:rsid w:val="00BF5180"/>
    <w:rsid w:val="00C02118"/>
    <w:rsid w:val="00C046C6"/>
    <w:rsid w:val="00C1085B"/>
    <w:rsid w:val="00C1146F"/>
    <w:rsid w:val="00C27AC3"/>
    <w:rsid w:val="00C33312"/>
    <w:rsid w:val="00C33F54"/>
    <w:rsid w:val="00C35B8B"/>
    <w:rsid w:val="00C402F1"/>
    <w:rsid w:val="00C51C66"/>
    <w:rsid w:val="00C5680C"/>
    <w:rsid w:val="00C5749C"/>
    <w:rsid w:val="00C62737"/>
    <w:rsid w:val="00C67CDD"/>
    <w:rsid w:val="00C73F0A"/>
    <w:rsid w:val="00C8195C"/>
    <w:rsid w:val="00C81B67"/>
    <w:rsid w:val="00C84D37"/>
    <w:rsid w:val="00C865CB"/>
    <w:rsid w:val="00CA039A"/>
    <w:rsid w:val="00CC32EA"/>
    <w:rsid w:val="00CC53A4"/>
    <w:rsid w:val="00CE133D"/>
    <w:rsid w:val="00CE438E"/>
    <w:rsid w:val="00CF0BBC"/>
    <w:rsid w:val="00CF48EE"/>
    <w:rsid w:val="00CF5B3A"/>
    <w:rsid w:val="00CF78DB"/>
    <w:rsid w:val="00CF7E4F"/>
    <w:rsid w:val="00D031D2"/>
    <w:rsid w:val="00D13495"/>
    <w:rsid w:val="00D137FD"/>
    <w:rsid w:val="00D20544"/>
    <w:rsid w:val="00D22257"/>
    <w:rsid w:val="00D27213"/>
    <w:rsid w:val="00D30417"/>
    <w:rsid w:val="00D4349B"/>
    <w:rsid w:val="00D45B40"/>
    <w:rsid w:val="00D5422D"/>
    <w:rsid w:val="00D6139D"/>
    <w:rsid w:val="00D639C2"/>
    <w:rsid w:val="00D7111B"/>
    <w:rsid w:val="00D76709"/>
    <w:rsid w:val="00D81439"/>
    <w:rsid w:val="00D82195"/>
    <w:rsid w:val="00D8477D"/>
    <w:rsid w:val="00D87421"/>
    <w:rsid w:val="00DA1C32"/>
    <w:rsid w:val="00DA2325"/>
    <w:rsid w:val="00DA3961"/>
    <w:rsid w:val="00DA53D6"/>
    <w:rsid w:val="00DB13B1"/>
    <w:rsid w:val="00DB3B0C"/>
    <w:rsid w:val="00DB72E5"/>
    <w:rsid w:val="00DC3A71"/>
    <w:rsid w:val="00DC5327"/>
    <w:rsid w:val="00DC6F20"/>
    <w:rsid w:val="00DD0B30"/>
    <w:rsid w:val="00DD6E5B"/>
    <w:rsid w:val="00DE1C89"/>
    <w:rsid w:val="00DE2F5F"/>
    <w:rsid w:val="00DE3E49"/>
    <w:rsid w:val="00DE5B15"/>
    <w:rsid w:val="00DF0444"/>
    <w:rsid w:val="00E002D8"/>
    <w:rsid w:val="00E025C3"/>
    <w:rsid w:val="00E10BBB"/>
    <w:rsid w:val="00E2658A"/>
    <w:rsid w:val="00E343B5"/>
    <w:rsid w:val="00E527E5"/>
    <w:rsid w:val="00E53EE0"/>
    <w:rsid w:val="00E60066"/>
    <w:rsid w:val="00E60186"/>
    <w:rsid w:val="00E63FD0"/>
    <w:rsid w:val="00E713F0"/>
    <w:rsid w:val="00E73938"/>
    <w:rsid w:val="00E7500A"/>
    <w:rsid w:val="00E75DD0"/>
    <w:rsid w:val="00E778CF"/>
    <w:rsid w:val="00E8652D"/>
    <w:rsid w:val="00E87DD5"/>
    <w:rsid w:val="00E90BB2"/>
    <w:rsid w:val="00E94170"/>
    <w:rsid w:val="00EA2072"/>
    <w:rsid w:val="00EB0A34"/>
    <w:rsid w:val="00EB13C1"/>
    <w:rsid w:val="00EB2D91"/>
    <w:rsid w:val="00EB371A"/>
    <w:rsid w:val="00EB6EDE"/>
    <w:rsid w:val="00EC51AB"/>
    <w:rsid w:val="00ED0B41"/>
    <w:rsid w:val="00ED35A2"/>
    <w:rsid w:val="00ED44BD"/>
    <w:rsid w:val="00ED61FA"/>
    <w:rsid w:val="00EF3A1E"/>
    <w:rsid w:val="00EF48FC"/>
    <w:rsid w:val="00EF4FDC"/>
    <w:rsid w:val="00EF7933"/>
    <w:rsid w:val="00F20A89"/>
    <w:rsid w:val="00F2349B"/>
    <w:rsid w:val="00F40CA4"/>
    <w:rsid w:val="00F41846"/>
    <w:rsid w:val="00F4213F"/>
    <w:rsid w:val="00F44945"/>
    <w:rsid w:val="00F453DC"/>
    <w:rsid w:val="00F46E44"/>
    <w:rsid w:val="00F54E0E"/>
    <w:rsid w:val="00F558DC"/>
    <w:rsid w:val="00F55BA6"/>
    <w:rsid w:val="00F569FC"/>
    <w:rsid w:val="00F63E7A"/>
    <w:rsid w:val="00F64456"/>
    <w:rsid w:val="00F6740C"/>
    <w:rsid w:val="00F73762"/>
    <w:rsid w:val="00F75F41"/>
    <w:rsid w:val="00F77E0E"/>
    <w:rsid w:val="00F929DD"/>
    <w:rsid w:val="00F92F43"/>
    <w:rsid w:val="00F95002"/>
    <w:rsid w:val="00F96246"/>
    <w:rsid w:val="00F97A1E"/>
    <w:rsid w:val="00F97C59"/>
    <w:rsid w:val="00FA2D35"/>
    <w:rsid w:val="00FA459A"/>
    <w:rsid w:val="00FA4C1D"/>
    <w:rsid w:val="00FA5FD9"/>
    <w:rsid w:val="00FA7CF7"/>
    <w:rsid w:val="00FB1F31"/>
    <w:rsid w:val="00FB2978"/>
    <w:rsid w:val="00FC000D"/>
    <w:rsid w:val="00FC31EB"/>
    <w:rsid w:val="00FC67BB"/>
    <w:rsid w:val="00FD273B"/>
    <w:rsid w:val="00FD451B"/>
    <w:rsid w:val="00FD4C3B"/>
    <w:rsid w:val="00FD66AF"/>
    <w:rsid w:val="00FE28A9"/>
    <w:rsid w:val="00FE62BB"/>
    <w:rsid w:val="00FF24F3"/>
    <w:rsid w:val="00FF30BE"/>
    <w:rsid w:val="00FF3220"/>
    <w:rsid w:val="00FF50C6"/>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A0AB68"/>
  <w15:chartTrackingRefBased/>
  <w15:docId w15:val="{B01941F9-2973-4910-A318-7FA7AC128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48EE"/>
  </w:style>
  <w:style w:type="paragraph" w:styleId="Heading1">
    <w:name w:val="heading 1"/>
    <w:basedOn w:val="Normal"/>
    <w:next w:val="Normal"/>
    <w:link w:val="Heading1Char"/>
    <w:uiPriority w:val="9"/>
    <w:qFormat/>
    <w:rsid w:val="00FC67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C67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C67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67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67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67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67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67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67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aliases w:val="DESE Caption"/>
    <w:basedOn w:val="Normal"/>
    <w:next w:val="Normal"/>
    <w:link w:val="CaptionChar"/>
    <w:unhideWhenUsed/>
    <w:rsid w:val="00B82F7F"/>
    <w:pPr>
      <w:spacing w:after="120" w:line="240" w:lineRule="auto"/>
    </w:pPr>
    <w:rPr>
      <w:rFonts w:ascii="Arial" w:eastAsia="Calibri" w:hAnsi="Arial" w:cs="Times New Roman"/>
      <w:b/>
      <w:bCs/>
      <w:color w:val="4F81BD"/>
      <w:kern w:val="0"/>
      <w:sz w:val="21"/>
      <w:szCs w:val="18"/>
      <w14:ligatures w14:val="none"/>
    </w:rPr>
  </w:style>
  <w:style w:type="character" w:customStyle="1" w:styleId="CaptionChar">
    <w:name w:val="Caption Char"/>
    <w:aliases w:val="DESE Caption Char"/>
    <w:basedOn w:val="DefaultParagraphFont"/>
    <w:link w:val="Caption"/>
    <w:rsid w:val="00B82F7F"/>
    <w:rPr>
      <w:rFonts w:ascii="Arial" w:eastAsia="Calibri" w:hAnsi="Arial" w:cs="Times New Roman"/>
      <w:b/>
      <w:bCs/>
      <w:color w:val="4F81BD"/>
      <w:kern w:val="0"/>
      <w:sz w:val="21"/>
      <w:szCs w:val="18"/>
      <w14:ligatures w14:val="none"/>
    </w:rPr>
  </w:style>
  <w:style w:type="paragraph" w:customStyle="1" w:styleId="DESEFootnote">
    <w:name w:val="DESE Footnote"/>
    <w:basedOn w:val="Normal"/>
    <w:link w:val="DESEFootnoteChar"/>
    <w:qFormat/>
    <w:rsid w:val="00B82F7F"/>
    <w:pPr>
      <w:spacing w:after="0" w:line="276" w:lineRule="auto"/>
    </w:pPr>
    <w:rPr>
      <w:rFonts w:ascii="Arial" w:eastAsiaTheme="minorEastAsia" w:hAnsi="Arial" w:cs="Arial"/>
      <w:kern w:val="0"/>
      <w:sz w:val="18"/>
      <w:szCs w:val="18"/>
      <w14:ligatures w14:val="none"/>
    </w:rPr>
  </w:style>
  <w:style w:type="character" w:customStyle="1" w:styleId="DESEFootnoteChar">
    <w:name w:val="DESE Footnote Char"/>
    <w:basedOn w:val="DefaultParagraphFont"/>
    <w:link w:val="DESEFootnote"/>
    <w:rsid w:val="00B82F7F"/>
    <w:rPr>
      <w:rFonts w:ascii="Arial" w:eastAsiaTheme="minorEastAsia" w:hAnsi="Arial" w:cs="Arial"/>
      <w:kern w:val="0"/>
      <w:sz w:val="18"/>
      <w:szCs w:val="18"/>
      <w14:ligatures w14:val="none"/>
    </w:rPr>
  </w:style>
  <w:style w:type="paragraph" w:customStyle="1" w:styleId="DESEH1Title">
    <w:name w:val="DESE H1 (Title)"/>
    <w:basedOn w:val="Normal"/>
    <w:link w:val="DESEH1TitleChar"/>
    <w:qFormat/>
    <w:rsid w:val="00B82F7F"/>
    <w:pPr>
      <w:spacing w:after="0" w:line="276" w:lineRule="auto"/>
    </w:pPr>
    <w:rPr>
      <w:rFonts w:ascii="Arial" w:eastAsia="MS Gothic" w:hAnsi="Arial" w:cs="Arial"/>
      <w:bCs/>
      <w:color w:val="000000"/>
      <w:kern w:val="0"/>
      <w:sz w:val="72"/>
      <w:szCs w:val="72"/>
      <w14:ligatures w14:val="none"/>
    </w:rPr>
  </w:style>
  <w:style w:type="character" w:customStyle="1" w:styleId="DESEH1TitleChar">
    <w:name w:val="DESE H1 (Title) Char"/>
    <w:basedOn w:val="DefaultParagraphFont"/>
    <w:link w:val="DESEH1Title"/>
    <w:rsid w:val="00B82F7F"/>
    <w:rPr>
      <w:rFonts w:ascii="Arial" w:eastAsia="MS Gothic" w:hAnsi="Arial" w:cs="Arial"/>
      <w:bCs/>
      <w:color w:val="000000"/>
      <w:kern w:val="0"/>
      <w:sz w:val="72"/>
      <w:szCs w:val="72"/>
      <w14:ligatures w14:val="none"/>
    </w:rPr>
  </w:style>
  <w:style w:type="paragraph" w:customStyle="1" w:styleId="DESEH2">
    <w:name w:val="DESE H2"/>
    <w:basedOn w:val="Normal"/>
    <w:link w:val="DESEH2Char"/>
    <w:qFormat/>
    <w:rsid w:val="00B82F7F"/>
    <w:pPr>
      <w:keepNext/>
      <w:keepLines/>
      <w:spacing w:before="40" w:after="0" w:line="240" w:lineRule="auto"/>
      <w:outlineLvl w:val="1"/>
    </w:pPr>
    <w:rPr>
      <w:rFonts w:ascii="Arial" w:eastAsiaTheme="majorEastAsia" w:hAnsi="Arial" w:cstheme="majorBidi"/>
      <w:kern w:val="0"/>
      <w:sz w:val="32"/>
      <w:szCs w:val="26"/>
      <w14:ligatures w14:val="none"/>
    </w:rPr>
  </w:style>
  <w:style w:type="character" w:customStyle="1" w:styleId="DESEH2Char">
    <w:name w:val="DESE H2 Char"/>
    <w:basedOn w:val="DefaultParagraphFont"/>
    <w:link w:val="DESEH2"/>
    <w:rsid w:val="00B82F7F"/>
    <w:rPr>
      <w:rFonts w:ascii="Arial" w:eastAsiaTheme="majorEastAsia" w:hAnsi="Arial" w:cstheme="majorBidi"/>
      <w:kern w:val="0"/>
      <w:sz w:val="32"/>
      <w:szCs w:val="26"/>
      <w14:ligatures w14:val="none"/>
    </w:rPr>
  </w:style>
  <w:style w:type="paragraph" w:customStyle="1" w:styleId="DESEH3">
    <w:name w:val="DESE H3"/>
    <w:basedOn w:val="Normal"/>
    <w:link w:val="DESEH3Char"/>
    <w:qFormat/>
    <w:rsid w:val="00B82F7F"/>
    <w:pPr>
      <w:keepNext/>
      <w:keepLines/>
      <w:spacing w:before="40" w:after="0" w:line="240" w:lineRule="auto"/>
      <w:outlineLvl w:val="2"/>
    </w:pPr>
    <w:rPr>
      <w:rFonts w:ascii="Arial" w:eastAsiaTheme="majorEastAsia" w:hAnsi="Arial" w:cstheme="majorBidi"/>
      <w:b/>
      <w:color w:val="000000"/>
      <w:kern w:val="0"/>
      <w:shd w:val="clear" w:color="auto" w:fill="FFFFFF"/>
      <w14:ligatures w14:val="none"/>
    </w:rPr>
  </w:style>
  <w:style w:type="character" w:customStyle="1" w:styleId="DESEH3Char">
    <w:name w:val="DESE H3 Char"/>
    <w:basedOn w:val="DefaultParagraphFont"/>
    <w:link w:val="DESEH3"/>
    <w:rsid w:val="00B82F7F"/>
    <w:rPr>
      <w:rFonts w:ascii="Arial" w:eastAsiaTheme="majorEastAsia" w:hAnsi="Arial" w:cstheme="majorBidi"/>
      <w:b/>
      <w:color w:val="000000"/>
      <w:kern w:val="0"/>
      <w14:ligatures w14:val="none"/>
    </w:rPr>
  </w:style>
  <w:style w:type="paragraph" w:customStyle="1" w:styleId="DESENormal">
    <w:name w:val="DESE Normal"/>
    <w:basedOn w:val="Normal"/>
    <w:link w:val="DESENormalChar"/>
    <w:qFormat/>
    <w:rsid w:val="00B82F7F"/>
    <w:pPr>
      <w:spacing w:after="0" w:line="240" w:lineRule="auto"/>
    </w:pPr>
    <w:rPr>
      <w:rFonts w:ascii="Arial" w:eastAsiaTheme="minorEastAsia" w:hAnsi="Arial" w:cs="Arial"/>
      <w:kern w:val="0"/>
      <w14:ligatures w14:val="none"/>
    </w:rPr>
  </w:style>
  <w:style w:type="character" w:customStyle="1" w:styleId="DESENormalChar">
    <w:name w:val="DESE Normal Char"/>
    <w:basedOn w:val="DefaultParagraphFont"/>
    <w:link w:val="DESENormal"/>
    <w:rsid w:val="00B82F7F"/>
    <w:rPr>
      <w:rFonts w:ascii="Arial" w:eastAsiaTheme="minorEastAsia" w:hAnsi="Arial" w:cs="Arial"/>
      <w:kern w:val="0"/>
      <w14:ligatures w14:val="none"/>
    </w:rPr>
  </w:style>
  <w:style w:type="paragraph" w:customStyle="1" w:styleId="DESESubtitle">
    <w:name w:val="DESE Subtitle"/>
    <w:basedOn w:val="Normal"/>
    <w:link w:val="DESESubtitleChar"/>
    <w:qFormat/>
    <w:rsid w:val="00B82F7F"/>
    <w:pPr>
      <w:spacing w:after="0" w:line="276" w:lineRule="auto"/>
    </w:pPr>
    <w:rPr>
      <w:rFonts w:ascii="Arial" w:eastAsia="MS Gothic" w:hAnsi="Arial" w:cs="Arial"/>
      <w:bCs/>
      <w:color w:val="000000"/>
      <w:kern w:val="0"/>
      <w:sz w:val="32"/>
      <w:szCs w:val="32"/>
      <w14:ligatures w14:val="none"/>
    </w:rPr>
  </w:style>
  <w:style w:type="character" w:customStyle="1" w:styleId="DESESubtitleChar">
    <w:name w:val="DESE Subtitle Char"/>
    <w:basedOn w:val="DefaultParagraphFont"/>
    <w:link w:val="DESESubtitle"/>
    <w:rsid w:val="00B82F7F"/>
    <w:rPr>
      <w:rFonts w:ascii="Arial" w:eastAsia="MS Gothic" w:hAnsi="Arial" w:cs="Arial"/>
      <w:bCs/>
      <w:color w:val="000000"/>
      <w:kern w:val="0"/>
      <w:sz w:val="32"/>
      <w:szCs w:val="32"/>
      <w14:ligatures w14:val="none"/>
    </w:rPr>
  </w:style>
  <w:style w:type="paragraph" w:customStyle="1" w:styleId="DESETableTitle">
    <w:name w:val="DESE Table Title"/>
    <w:basedOn w:val="Caption"/>
    <w:link w:val="DESETableTitleChar"/>
    <w:qFormat/>
    <w:rsid w:val="00B82F7F"/>
    <w:pPr>
      <w:spacing w:after="0" w:line="276" w:lineRule="auto"/>
    </w:pPr>
    <w:rPr>
      <w:rFonts w:cs="Arial"/>
    </w:rPr>
  </w:style>
  <w:style w:type="character" w:customStyle="1" w:styleId="DESETableTitleChar">
    <w:name w:val="DESE Table Title Char"/>
    <w:basedOn w:val="CaptionChar"/>
    <w:link w:val="DESETableTitle"/>
    <w:rsid w:val="00B82F7F"/>
    <w:rPr>
      <w:rFonts w:ascii="Arial" w:eastAsia="Calibri" w:hAnsi="Arial" w:cs="Arial"/>
      <w:b/>
      <w:bCs/>
      <w:color w:val="4F81BD"/>
      <w:kern w:val="0"/>
      <w:sz w:val="21"/>
      <w:szCs w:val="18"/>
      <w14:ligatures w14:val="none"/>
    </w:rPr>
  </w:style>
  <w:style w:type="character" w:styleId="Hyperlink">
    <w:name w:val="Hyperlink"/>
    <w:basedOn w:val="DefaultParagraphFont"/>
    <w:uiPriority w:val="99"/>
    <w:unhideWhenUsed/>
    <w:qFormat/>
    <w:rsid w:val="00CF48EE"/>
    <w:rPr>
      <w:color w:val="0563C1"/>
      <w:u w:val="single"/>
    </w:rPr>
  </w:style>
  <w:style w:type="character" w:customStyle="1" w:styleId="Heading1Char">
    <w:name w:val="Heading 1 Char"/>
    <w:basedOn w:val="DefaultParagraphFont"/>
    <w:link w:val="Heading1"/>
    <w:uiPriority w:val="9"/>
    <w:rsid w:val="00FC67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C67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C67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67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67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67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67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67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67BB"/>
    <w:rPr>
      <w:rFonts w:eastAsiaTheme="majorEastAsia" w:cstheme="majorBidi"/>
      <w:color w:val="272727" w:themeColor="text1" w:themeTint="D8"/>
    </w:rPr>
  </w:style>
  <w:style w:type="paragraph" w:styleId="Title">
    <w:name w:val="Title"/>
    <w:basedOn w:val="Normal"/>
    <w:next w:val="Normal"/>
    <w:link w:val="TitleChar"/>
    <w:uiPriority w:val="10"/>
    <w:qFormat/>
    <w:rsid w:val="00FC67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67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67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67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67BB"/>
    <w:pPr>
      <w:spacing w:before="160"/>
      <w:jc w:val="center"/>
    </w:pPr>
    <w:rPr>
      <w:i/>
      <w:iCs/>
      <w:color w:val="404040" w:themeColor="text1" w:themeTint="BF"/>
    </w:rPr>
  </w:style>
  <w:style w:type="character" w:customStyle="1" w:styleId="QuoteChar">
    <w:name w:val="Quote Char"/>
    <w:basedOn w:val="DefaultParagraphFont"/>
    <w:link w:val="Quote"/>
    <w:uiPriority w:val="29"/>
    <w:rsid w:val="00FC67BB"/>
    <w:rPr>
      <w:i/>
      <w:iCs/>
      <w:color w:val="404040" w:themeColor="text1" w:themeTint="BF"/>
    </w:rPr>
  </w:style>
  <w:style w:type="paragraph" w:styleId="ListParagraph">
    <w:name w:val="List Paragraph"/>
    <w:basedOn w:val="Normal"/>
    <w:uiPriority w:val="34"/>
    <w:qFormat/>
    <w:rsid w:val="00FC67BB"/>
    <w:pPr>
      <w:ind w:left="720"/>
      <w:contextualSpacing/>
    </w:pPr>
  </w:style>
  <w:style w:type="character" w:styleId="IntenseEmphasis">
    <w:name w:val="Intense Emphasis"/>
    <w:basedOn w:val="DefaultParagraphFont"/>
    <w:uiPriority w:val="21"/>
    <w:qFormat/>
    <w:rsid w:val="00FC67BB"/>
    <w:rPr>
      <w:i/>
      <w:iCs/>
      <w:color w:val="0F4761" w:themeColor="accent1" w:themeShade="BF"/>
    </w:rPr>
  </w:style>
  <w:style w:type="paragraph" w:styleId="IntenseQuote">
    <w:name w:val="Intense Quote"/>
    <w:basedOn w:val="Normal"/>
    <w:next w:val="Normal"/>
    <w:link w:val="IntenseQuoteChar"/>
    <w:uiPriority w:val="30"/>
    <w:qFormat/>
    <w:rsid w:val="00FC67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67BB"/>
    <w:rPr>
      <w:i/>
      <w:iCs/>
      <w:color w:val="0F4761" w:themeColor="accent1" w:themeShade="BF"/>
    </w:rPr>
  </w:style>
  <w:style w:type="character" w:styleId="IntenseReference">
    <w:name w:val="Intense Reference"/>
    <w:basedOn w:val="DefaultParagraphFont"/>
    <w:uiPriority w:val="32"/>
    <w:qFormat/>
    <w:rsid w:val="00FC67BB"/>
    <w:rPr>
      <w:b/>
      <w:bCs/>
      <w:smallCaps/>
      <w:color w:val="0F4761" w:themeColor="accent1" w:themeShade="BF"/>
      <w:spacing w:val="5"/>
    </w:rPr>
  </w:style>
  <w:style w:type="character" w:styleId="CommentReference">
    <w:name w:val="annotation reference"/>
    <w:basedOn w:val="DefaultParagraphFont"/>
    <w:uiPriority w:val="99"/>
    <w:semiHidden/>
    <w:unhideWhenUsed/>
    <w:rsid w:val="00272C9B"/>
    <w:rPr>
      <w:sz w:val="16"/>
      <w:szCs w:val="16"/>
    </w:rPr>
  </w:style>
  <w:style w:type="paragraph" w:styleId="CommentText">
    <w:name w:val="annotation text"/>
    <w:basedOn w:val="Normal"/>
    <w:link w:val="CommentTextChar"/>
    <w:uiPriority w:val="99"/>
    <w:unhideWhenUsed/>
    <w:rsid w:val="00272C9B"/>
    <w:pPr>
      <w:spacing w:line="240" w:lineRule="auto"/>
    </w:pPr>
    <w:rPr>
      <w:sz w:val="20"/>
      <w:szCs w:val="20"/>
    </w:rPr>
  </w:style>
  <w:style w:type="character" w:customStyle="1" w:styleId="CommentTextChar">
    <w:name w:val="Comment Text Char"/>
    <w:basedOn w:val="DefaultParagraphFont"/>
    <w:link w:val="CommentText"/>
    <w:uiPriority w:val="99"/>
    <w:rsid w:val="00272C9B"/>
    <w:rPr>
      <w:sz w:val="20"/>
      <w:szCs w:val="20"/>
    </w:rPr>
  </w:style>
  <w:style w:type="paragraph" w:styleId="CommentSubject">
    <w:name w:val="annotation subject"/>
    <w:basedOn w:val="CommentText"/>
    <w:next w:val="CommentText"/>
    <w:link w:val="CommentSubjectChar"/>
    <w:uiPriority w:val="99"/>
    <w:semiHidden/>
    <w:unhideWhenUsed/>
    <w:rsid w:val="00272C9B"/>
    <w:rPr>
      <w:b/>
      <w:bCs/>
    </w:rPr>
  </w:style>
  <w:style w:type="character" w:customStyle="1" w:styleId="CommentSubjectChar">
    <w:name w:val="Comment Subject Char"/>
    <w:basedOn w:val="CommentTextChar"/>
    <w:link w:val="CommentSubject"/>
    <w:uiPriority w:val="99"/>
    <w:semiHidden/>
    <w:rsid w:val="00272C9B"/>
    <w:rPr>
      <w:b/>
      <w:bCs/>
      <w:sz w:val="20"/>
      <w:szCs w:val="20"/>
    </w:rPr>
  </w:style>
  <w:style w:type="table" w:styleId="TableGrid">
    <w:name w:val="Table Grid"/>
    <w:basedOn w:val="TableNormal"/>
    <w:uiPriority w:val="39"/>
    <w:rsid w:val="00DD0B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40DDA"/>
    <w:rPr>
      <w:color w:val="605E5C"/>
      <w:shd w:val="clear" w:color="auto" w:fill="E1DFDD"/>
    </w:rPr>
  </w:style>
  <w:style w:type="paragraph" w:styleId="ListBullet">
    <w:name w:val="List Bullet"/>
    <w:basedOn w:val="Normal"/>
    <w:uiPriority w:val="99"/>
    <w:unhideWhenUsed/>
    <w:rsid w:val="004C6010"/>
    <w:pPr>
      <w:numPr>
        <w:numId w:val="13"/>
      </w:numPr>
      <w:tabs>
        <w:tab w:val="clear" w:pos="360"/>
      </w:tabs>
      <w:spacing w:after="100" w:line="276" w:lineRule="auto"/>
      <w:ind w:left="0" w:firstLine="0"/>
      <w:contextualSpacing/>
    </w:pPr>
    <w:rPr>
      <w:rFonts w:ascii="Arial" w:eastAsiaTheme="minorEastAsia" w:hAnsi="Arial"/>
      <w:color w:val="000000"/>
      <w:kern w:val="0"/>
      <w:sz w:val="19"/>
      <w:szCs w:val="22"/>
      <w14:ligatures w14:val="none"/>
    </w:rPr>
  </w:style>
  <w:style w:type="character" w:styleId="FollowedHyperlink">
    <w:name w:val="FollowedHyperlink"/>
    <w:basedOn w:val="DefaultParagraphFont"/>
    <w:uiPriority w:val="99"/>
    <w:semiHidden/>
    <w:unhideWhenUsed/>
    <w:rsid w:val="005A47F5"/>
    <w:rPr>
      <w:color w:val="96607D" w:themeColor="followedHyperlink"/>
      <w:u w:val="single"/>
    </w:rPr>
  </w:style>
  <w:style w:type="paragraph" w:styleId="TOCHeading">
    <w:name w:val="TOC Heading"/>
    <w:basedOn w:val="Heading1"/>
    <w:next w:val="Normal"/>
    <w:uiPriority w:val="39"/>
    <w:unhideWhenUsed/>
    <w:qFormat/>
    <w:rsid w:val="00FC31EB"/>
    <w:pPr>
      <w:spacing w:before="240" w:after="0" w:line="259" w:lineRule="auto"/>
      <w:outlineLvl w:val="9"/>
    </w:pPr>
    <w:rPr>
      <w:kern w:val="0"/>
      <w:sz w:val="32"/>
      <w:szCs w:val="32"/>
      <w14:ligatures w14:val="none"/>
    </w:rPr>
  </w:style>
  <w:style w:type="paragraph" w:styleId="TOC2">
    <w:name w:val="toc 2"/>
    <w:basedOn w:val="Normal"/>
    <w:next w:val="Normal"/>
    <w:autoRedefine/>
    <w:uiPriority w:val="39"/>
    <w:unhideWhenUsed/>
    <w:rsid w:val="00FC31EB"/>
    <w:pPr>
      <w:spacing w:after="100"/>
      <w:ind w:left="240"/>
    </w:pPr>
  </w:style>
  <w:style w:type="paragraph" w:styleId="TOC3">
    <w:name w:val="toc 3"/>
    <w:basedOn w:val="Normal"/>
    <w:next w:val="Normal"/>
    <w:autoRedefine/>
    <w:uiPriority w:val="39"/>
    <w:unhideWhenUsed/>
    <w:rsid w:val="00FC31EB"/>
    <w:pPr>
      <w:spacing w:after="100"/>
      <w:ind w:left="480"/>
    </w:pPr>
  </w:style>
  <w:style w:type="paragraph" w:styleId="FootnoteText">
    <w:name w:val="footnote text"/>
    <w:basedOn w:val="Normal"/>
    <w:link w:val="FootnoteTextChar"/>
    <w:uiPriority w:val="99"/>
    <w:semiHidden/>
    <w:unhideWhenUsed/>
    <w:rsid w:val="002D629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6298"/>
    <w:rPr>
      <w:sz w:val="20"/>
      <w:szCs w:val="20"/>
    </w:rPr>
  </w:style>
  <w:style w:type="character" w:styleId="FootnoteReference">
    <w:name w:val="footnote reference"/>
    <w:basedOn w:val="DefaultParagraphFont"/>
    <w:uiPriority w:val="99"/>
    <w:semiHidden/>
    <w:unhideWhenUsed/>
    <w:rsid w:val="002D6298"/>
    <w:rPr>
      <w:vertAlign w:val="superscript"/>
    </w:rPr>
  </w:style>
  <w:style w:type="paragraph" w:styleId="Header">
    <w:name w:val="header"/>
    <w:basedOn w:val="Normal"/>
    <w:link w:val="HeaderChar"/>
    <w:uiPriority w:val="99"/>
    <w:unhideWhenUsed/>
    <w:rsid w:val="00AB2F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2F5F"/>
  </w:style>
  <w:style w:type="paragraph" w:styleId="Footer">
    <w:name w:val="footer"/>
    <w:basedOn w:val="Normal"/>
    <w:link w:val="FooterChar"/>
    <w:uiPriority w:val="99"/>
    <w:unhideWhenUsed/>
    <w:rsid w:val="00AB2F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2F5F"/>
  </w:style>
  <w:style w:type="paragraph" w:styleId="BodyText">
    <w:name w:val="Body Text"/>
    <w:basedOn w:val="Normal"/>
    <w:link w:val="BodyTextChar"/>
    <w:qFormat/>
    <w:rsid w:val="00BC02CD"/>
    <w:pPr>
      <w:spacing w:before="180" w:after="180" w:line="240" w:lineRule="auto"/>
    </w:pPr>
    <w:rPr>
      <w:kern w:val="0"/>
      <w14:ligatures w14:val="none"/>
    </w:rPr>
  </w:style>
  <w:style w:type="character" w:customStyle="1" w:styleId="BodyTextChar">
    <w:name w:val="Body Text Char"/>
    <w:basedOn w:val="DefaultParagraphFont"/>
    <w:link w:val="BodyText"/>
    <w:rsid w:val="00BC02CD"/>
    <w:rPr>
      <w:kern w:val="0"/>
      <w14:ligatures w14:val="none"/>
    </w:rPr>
  </w:style>
  <w:style w:type="paragraph" w:customStyle="1" w:styleId="FirstParagraph">
    <w:name w:val="First Paragraph"/>
    <w:basedOn w:val="BodyText"/>
    <w:next w:val="BodyText"/>
    <w:qFormat/>
    <w:rsid w:val="00BC02CD"/>
  </w:style>
  <w:style w:type="paragraph" w:customStyle="1" w:styleId="Compact">
    <w:name w:val="Compact"/>
    <w:basedOn w:val="BodyText"/>
    <w:qFormat/>
    <w:rsid w:val="00BC02CD"/>
    <w:pPr>
      <w:spacing w:before="36" w:after="3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StateSealofBiliteracy@mass.gov" TargetMode="External"/><Relationship Id="rId13" Type="http://schemas.openxmlformats.org/officeDocument/2006/relationships/hyperlink" Target="https://www.massbay.edu/cpl" TargetMode="External"/><Relationship Id="rId18" Type="http://schemas.openxmlformats.org/officeDocument/2006/relationships/hyperlink" Target="https://www.qcc.edu/admissions/get-credit-prior-learning"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umassd.edu/registrar/credit/" TargetMode="External"/><Relationship Id="rId7" Type="http://schemas.openxmlformats.org/officeDocument/2006/relationships/endnotes" Target="endnotes.xml"/><Relationship Id="rId12" Type="http://schemas.openxmlformats.org/officeDocument/2006/relationships/hyperlink" Target="https://capecod.edu/credit-for-life-experience/" TargetMode="External"/><Relationship Id="rId17" Type="http://schemas.openxmlformats.org/officeDocument/2006/relationships/hyperlink" Target="https://necc.edu/academics/beyond-the-classroom/credit-prior-learning/"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northshore.edu/cas/credit/seal-of-biliteracy.html" TargetMode="External"/><Relationship Id="rId20" Type="http://schemas.openxmlformats.org/officeDocument/2006/relationships/hyperlink" Target="https://www.umass.edu/registrar/massachusetts-state-seal-biliterac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hcc.edu/media/03-documents/MA-Seal-Language-for-CPL-Webpage.pdf"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catalog.mwcc.edu/academicresources/" TargetMode="External"/><Relationship Id="rId23" Type="http://schemas.openxmlformats.org/officeDocument/2006/relationships/hyperlink" Target="https://www.worcester.edu/world-languages/seal-of-biliteracy/" TargetMode="External"/><Relationship Id="rId10" Type="http://schemas.openxmlformats.org/officeDocument/2006/relationships/hyperlink" Target="https://bristolcc.edu/news/2021/mastatesealofbiliteracy.html" TargetMode="External"/><Relationship Id="rId19" Type="http://schemas.openxmlformats.org/officeDocument/2006/relationships/hyperlink" Target="https://www.salemstate.edu/academics/college-arts-and-sciences/world-languages-and-cultures/language-placement-guidelines" TargetMode="External"/><Relationship Id="rId4" Type="http://schemas.openxmlformats.org/officeDocument/2006/relationships/settings" Target="settings.xml"/><Relationship Id="rId9" Type="http://schemas.openxmlformats.org/officeDocument/2006/relationships/hyperlink" Target="https://www.bridgew.edu/department/global-languages-and-literatures/academic-programs" TargetMode="External"/><Relationship Id="rId14" Type="http://schemas.openxmlformats.org/officeDocument/2006/relationships/hyperlink" Target="https://www.middlesex.edu/students/advising/creditforpriorlearning/biliteracy.html" TargetMode="External"/><Relationship Id="rId22" Type="http://schemas.openxmlformats.org/officeDocument/2006/relationships/hyperlink" Target="https://www.westfield.ma.edu/academics/department-sociology-hispanic-and-liberal-interdisciplinary-studies/world-langu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1FA5AF-7FEB-470E-94F3-E997BA96CBE4}">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6</Pages>
  <Words>1151</Words>
  <Characters>6567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Massachusetts Public Institutions of Higher Education Recognizing the State Seal of Biliteracy</vt:lpstr>
    </vt:vector>
  </TitlesOfParts>
  <Company/>
  <LinksUpToDate>false</LinksUpToDate>
  <CharactersWithSpaces>7703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Public Institutions of Higher Education Recognizing the State Seal of Biliteracy</dc:title>
  <dc:subject/>
  <dc:creator>DESE</dc:creator>
  <cp:keywords>State Seal of Biliteracy, higher education, college credit, course placement</cp:keywords>
  <dc:description/>
  <cp:lastModifiedBy>Zou, Dong (EOE)</cp:lastModifiedBy>
  <cp:revision>6</cp:revision>
  <dcterms:created xsi:type="dcterms:W3CDTF">2026-08-05T12:33:00Z</dcterms:created>
  <dcterms:modified xsi:type="dcterms:W3CDTF">2026-09-11T17:29:00Z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Sep 11 2026 12:00AM</vt:lpwstr>
  </property>
</Properties>
</file>