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C599" w14:textId="1C357806" w:rsidR="009E1213" w:rsidRPr="009E1213" w:rsidRDefault="009E1213" w:rsidP="00440FAE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[Name of School District]</w:t>
      </w:r>
    </w:p>
    <w:p w14:paraId="4D70DBBF" w14:textId="66ABCBAE" w:rsidR="0067175D" w:rsidRDefault="005B050D" w:rsidP="00440F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Instructions for Evaluating Portfolio Evidence for the Massachusetts Seal of Biliteracy</w:t>
      </w:r>
    </w:p>
    <w:p w14:paraId="0D118CC9" w14:textId="76903FC3" w:rsidR="004D16BF" w:rsidRDefault="00AE0F8A" w:rsidP="00F52411">
      <w:pPr>
        <w:pStyle w:val="ListParagraph"/>
        <w:numPr>
          <w:ilvl w:val="0"/>
          <w:numId w:val="5"/>
        </w:numPr>
      </w:pPr>
      <w:r>
        <w:t xml:space="preserve">The </w:t>
      </w:r>
      <w:r w:rsidR="00042280">
        <w:t>p</w:t>
      </w:r>
      <w:r>
        <w:t xml:space="preserve">ortfolio rater collects evidence </w:t>
      </w:r>
      <w:r w:rsidR="001533AD">
        <w:t xml:space="preserve">from the student. </w:t>
      </w:r>
    </w:p>
    <w:p w14:paraId="7577902A" w14:textId="5BEF7969" w:rsidR="00F52411" w:rsidRDefault="001533AD" w:rsidP="004D16BF">
      <w:pPr>
        <w:pStyle w:val="ListParagraph"/>
        <w:numPr>
          <w:ilvl w:val="1"/>
          <w:numId w:val="5"/>
        </w:numPr>
      </w:pPr>
      <w:r>
        <w:t>Evidence may include, but is not limited to:</w:t>
      </w:r>
    </w:p>
    <w:p w14:paraId="10F73338" w14:textId="400E89A6" w:rsidR="001533AD" w:rsidRDefault="007A066C" w:rsidP="004D16BF">
      <w:pPr>
        <w:pStyle w:val="ListParagraph"/>
        <w:numPr>
          <w:ilvl w:val="2"/>
          <w:numId w:val="5"/>
        </w:numPr>
      </w:pPr>
      <w:r>
        <w:t>Paper or electronic evidence that the student submits</w:t>
      </w:r>
      <w:r w:rsidR="009F46FC">
        <w:t xml:space="preserve"> (not an exhaustive list)</w:t>
      </w:r>
    </w:p>
    <w:p w14:paraId="5CD05366" w14:textId="0E1CB7F0" w:rsidR="007A066C" w:rsidRDefault="007A066C" w:rsidP="004D16BF">
      <w:pPr>
        <w:pStyle w:val="ListParagraph"/>
        <w:numPr>
          <w:ilvl w:val="3"/>
          <w:numId w:val="5"/>
        </w:numPr>
      </w:pPr>
      <w:r>
        <w:t>Writing selections</w:t>
      </w:r>
    </w:p>
    <w:p w14:paraId="50F22DCC" w14:textId="4310210A" w:rsidR="007F3CFE" w:rsidRDefault="007F3CFE" w:rsidP="004D16BF">
      <w:pPr>
        <w:pStyle w:val="ListParagraph"/>
        <w:numPr>
          <w:ilvl w:val="3"/>
          <w:numId w:val="5"/>
        </w:numPr>
      </w:pPr>
      <w:r>
        <w:t>Recorded conversations</w:t>
      </w:r>
    </w:p>
    <w:p w14:paraId="5DD20B7E" w14:textId="5DB26570" w:rsidR="007F3CFE" w:rsidRDefault="007F3CFE" w:rsidP="004D16BF">
      <w:pPr>
        <w:pStyle w:val="ListParagraph"/>
        <w:numPr>
          <w:ilvl w:val="3"/>
          <w:numId w:val="5"/>
        </w:numPr>
      </w:pPr>
      <w:r>
        <w:t>Written, spoken, or signed reflections</w:t>
      </w:r>
      <w:r w:rsidR="00747595">
        <w:t xml:space="preserve"> of a text</w:t>
      </w:r>
      <w:r w:rsidR="00E607D0">
        <w:rPr>
          <w:rStyle w:val="FootnoteReference"/>
        </w:rPr>
        <w:footnoteReference w:id="2"/>
      </w:r>
    </w:p>
    <w:p w14:paraId="50B1EBF0" w14:textId="213EB17D" w:rsidR="009F46FC" w:rsidRDefault="009F46FC" w:rsidP="004D16BF">
      <w:pPr>
        <w:pStyle w:val="ListParagraph"/>
        <w:numPr>
          <w:ilvl w:val="2"/>
          <w:numId w:val="5"/>
        </w:numPr>
      </w:pPr>
      <w:r>
        <w:t>In-person meetings between the rater and the student</w:t>
      </w:r>
      <w:r w:rsidR="00C90157">
        <w:t xml:space="preserve"> (not an exhaustive list)</w:t>
      </w:r>
    </w:p>
    <w:p w14:paraId="28881B8B" w14:textId="0BD1A396" w:rsidR="009F46FC" w:rsidRDefault="009F46FC" w:rsidP="004D16BF">
      <w:pPr>
        <w:pStyle w:val="ListParagraph"/>
        <w:numPr>
          <w:ilvl w:val="3"/>
          <w:numId w:val="5"/>
        </w:numPr>
      </w:pPr>
      <w:r>
        <w:t>Conversations</w:t>
      </w:r>
    </w:p>
    <w:p w14:paraId="047D5E14" w14:textId="7D2BBE35" w:rsidR="006F0E44" w:rsidRDefault="006F0E44" w:rsidP="004D16BF">
      <w:pPr>
        <w:pStyle w:val="ListParagraph"/>
        <w:numPr>
          <w:ilvl w:val="3"/>
          <w:numId w:val="5"/>
        </w:numPr>
      </w:pPr>
      <w:r>
        <w:t>In-person discussion of a text</w:t>
      </w:r>
    </w:p>
    <w:p w14:paraId="122CE121" w14:textId="56259EFA" w:rsidR="00C90157" w:rsidRDefault="00C90157" w:rsidP="004D16BF">
      <w:pPr>
        <w:pStyle w:val="ListParagraph"/>
        <w:numPr>
          <w:ilvl w:val="3"/>
          <w:numId w:val="5"/>
        </w:numPr>
      </w:pPr>
      <w:r>
        <w:t>In-person presentation</w:t>
      </w:r>
      <w:r w:rsidR="001E31BE">
        <w:t>s</w:t>
      </w:r>
    </w:p>
    <w:p w14:paraId="7C50B78E" w14:textId="0AAD42C9" w:rsidR="001E31BE" w:rsidRDefault="001E31BE" w:rsidP="001E31BE">
      <w:pPr>
        <w:pStyle w:val="ListParagraph"/>
        <w:numPr>
          <w:ilvl w:val="1"/>
          <w:numId w:val="5"/>
        </w:numPr>
      </w:pPr>
      <w:r>
        <w:t xml:space="preserve">Students should submit no fewer than 2 pieces of evidence for each </w:t>
      </w:r>
      <w:r w:rsidR="00552F77">
        <w:t>indicator</w:t>
      </w:r>
    </w:p>
    <w:p w14:paraId="465812CE" w14:textId="2704F04A" w:rsidR="00552F77" w:rsidRDefault="00DF5C14" w:rsidP="00552F77">
      <w:pPr>
        <w:pStyle w:val="ListParagraph"/>
        <w:numPr>
          <w:ilvl w:val="2"/>
          <w:numId w:val="5"/>
        </w:numPr>
      </w:pPr>
      <w:r>
        <w:t>Each</w:t>
      </w:r>
      <w:r w:rsidR="00EF6B61">
        <w:t xml:space="preserve"> </w:t>
      </w:r>
      <w:r>
        <w:t>domain</w:t>
      </w:r>
      <w:r w:rsidR="00F15A3D">
        <w:t xml:space="preserve"> has 3 indicators. The student should submit at least </w:t>
      </w:r>
      <w:r w:rsidR="00EF6B61">
        <w:t>2</w:t>
      </w:r>
      <w:r w:rsidR="000D2FC6">
        <w:t xml:space="preserve"> pieces of evidence</w:t>
      </w:r>
      <w:r w:rsidR="00EF6B61">
        <w:t xml:space="preserve"> </w:t>
      </w:r>
      <w:r w:rsidR="000D2FC6">
        <w:t>for</w:t>
      </w:r>
      <w:r w:rsidR="005B5E5D">
        <w:t xml:space="preserve"> </w:t>
      </w:r>
      <w:r w:rsidR="00EF6B61">
        <w:t xml:space="preserve">each indicator for a minimum of 6 pieces of evidence for </w:t>
      </w:r>
      <w:r w:rsidR="005B5E5D">
        <w:t>each domain</w:t>
      </w:r>
    </w:p>
    <w:p w14:paraId="27684788" w14:textId="6C199839" w:rsidR="00DF5C14" w:rsidRDefault="00BA27C8" w:rsidP="00552F77">
      <w:pPr>
        <w:pStyle w:val="ListParagraph"/>
        <w:numPr>
          <w:ilvl w:val="2"/>
          <w:numId w:val="5"/>
        </w:numPr>
      </w:pPr>
      <w:r>
        <w:t>Depending on the language, the rater will evaluate between 1 and four domains</w:t>
      </w:r>
      <w:r w:rsidR="002D05D5">
        <w:t xml:space="preserve"> (See Table 1)</w:t>
      </w:r>
    </w:p>
    <w:p w14:paraId="2CF1ADB5" w14:textId="633BF1B1" w:rsidR="002D05D5" w:rsidRDefault="002D05D5" w:rsidP="002D05D5">
      <w:pPr>
        <w:pStyle w:val="ListParagraph"/>
        <w:numPr>
          <w:ilvl w:val="1"/>
          <w:numId w:val="5"/>
        </w:numPr>
      </w:pPr>
      <w:r>
        <w:t xml:space="preserve">Examples of evidence are provided </w:t>
      </w:r>
      <w:r w:rsidR="00872A7A">
        <w:t>in Table 3</w:t>
      </w:r>
      <w:r w:rsidRPr="0009054D">
        <w:rPr>
          <w:color w:val="FF0000"/>
        </w:rPr>
        <w:t xml:space="preserve"> </w:t>
      </w:r>
      <w:r>
        <w:t>of this document.</w:t>
      </w:r>
      <w:r w:rsidR="009749A0">
        <w:br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1350"/>
        <w:gridCol w:w="1350"/>
        <w:gridCol w:w="1440"/>
        <w:gridCol w:w="1530"/>
      </w:tblGrid>
      <w:tr w:rsidR="002D05D5" w:rsidRPr="00A61637" w14:paraId="5EC39B9F" w14:textId="77777777" w:rsidTr="00F07801">
        <w:trPr>
          <w:jc w:val="center"/>
        </w:trPr>
        <w:tc>
          <w:tcPr>
            <w:tcW w:w="9085" w:type="dxa"/>
            <w:gridSpan w:val="5"/>
            <w:shd w:val="clear" w:color="auto" w:fill="D9D9D9" w:themeFill="background1" w:themeFillShade="D9"/>
          </w:tcPr>
          <w:p w14:paraId="2BF7DC1A" w14:textId="32353188" w:rsidR="002D05D5" w:rsidRPr="009749A0" w:rsidRDefault="002D05D5" w:rsidP="00F07801">
            <w:pPr>
              <w:rPr>
                <w:b/>
                <w:bCs/>
                <w:sz w:val="20"/>
                <w:szCs w:val="20"/>
              </w:rPr>
            </w:pPr>
            <w:r w:rsidRPr="009749A0">
              <w:rPr>
                <w:b/>
                <w:bCs/>
                <w:sz w:val="20"/>
                <w:szCs w:val="20"/>
              </w:rPr>
              <w:t>Table 1: Domains associated with various languages</w:t>
            </w:r>
          </w:p>
        </w:tc>
      </w:tr>
      <w:tr w:rsidR="002D05D5" w14:paraId="151BF1D6" w14:textId="77777777" w:rsidTr="00F07801">
        <w:trPr>
          <w:jc w:val="center"/>
        </w:trPr>
        <w:tc>
          <w:tcPr>
            <w:tcW w:w="3415" w:type="dxa"/>
          </w:tcPr>
          <w:p w14:paraId="11361C39" w14:textId="77777777" w:rsidR="002D05D5" w:rsidRPr="009749A0" w:rsidRDefault="002D05D5" w:rsidP="00F0780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3E57B0A" w14:textId="77777777" w:rsidR="002D05D5" w:rsidRPr="009749A0" w:rsidRDefault="002D05D5" w:rsidP="00F07801">
            <w:pPr>
              <w:rPr>
                <w:sz w:val="20"/>
                <w:szCs w:val="20"/>
              </w:rPr>
            </w:pPr>
            <w:r w:rsidRPr="009749A0">
              <w:rPr>
                <w:sz w:val="20"/>
                <w:szCs w:val="20"/>
              </w:rPr>
              <w:t>Interpretive Reading</w:t>
            </w:r>
            <w:r w:rsidRPr="009749A0">
              <w:rPr>
                <w:rStyle w:val="FootnoteReference"/>
                <w:sz w:val="20"/>
                <w:szCs w:val="20"/>
              </w:rPr>
              <w:footnoteReference w:id="3"/>
            </w:r>
          </w:p>
        </w:tc>
        <w:tc>
          <w:tcPr>
            <w:tcW w:w="1350" w:type="dxa"/>
          </w:tcPr>
          <w:p w14:paraId="75AE21A5" w14:textId="77777777" w:rsidR="002D05D5" w:rsidRPr="009749A0" w:rsidRDefault="002D05D5" w:rsidP="00F07801">
            <w:pPr>
              <w:rPr>
                <w:sz w:val="20"/>
                <w:szCs w:val="20"/>
              </w:rPr>
            </w:pPr>
            <w:r w:rsidRPr="009749A0">
              <w:rPr>
                <w:sz w:val="20"/>
                <w:szCs w:val="20"/>
              </w:rPr>
              <w:t>Interpretive Listening</w:t>
            </w:r>
          </w:p>
        </w:tc>
        <w:tc>
          <w:tcPr>
            <w:tcW w:w="1440" w:type="dxa"/>
          </w:tcPr>
          <w:p w14:paraId="344DB02D" w14:textId="77777777" w:rsidR="002D05D5" w:rsidRPr="009749A0" w:rsidRDefault="002D05D5" w:rsidP="00F07801">
            <w:pPr>
              <w:rPr>
                <w:sz w:val="20"/>
                <w:szCs w:val="20"/>
              </w:rPr>
            </w:pPr>
            <w:r w:rsidRPr="009749A0">
              <w:rPr>
                <w:sz w:val="20"/>
                <w:szCs w:val="20"/>
              </w:rPr>
              <w:t>Interpersonal Speaking</w:t>
            </w:r>
            <w:r w:rsidRPr="009749A0">
              <w:rPr>
                <w:rStyle w:val="FootnoteReference"/>
                <w:sz w:val="20"/>
                <w:szCs w:val="20"/>
              </w:rPr>
              <w:footnoteReference w:id="4"/>
            </w:r>
          </w:p>
        </w:tc>
        <w:tc>
          <w:tcPr>
            <w:tcW w:w="1530" w:type="dxa"/>
          </w:tcPr>
          <w:p w14:paraId="236C844B" w14:textId="77777777" w:rsidR="002D05D5" w:rsidRPr="009749A0" w:rsidRDefault="002D05D5" w:rsidP="00F07801">
            <w:pPr>
              <w:rPr>
                <w:sz w:val="20"/>
                <w:szCs w:val="20"/>
              </w:rPr>
            </w:pPr>
            <w:r w:rsidRPr="009749A0">
              <w:rPr>
                <w:sz w:val="20"/>
                <w:szCs w:val="20"/>
              </w:rPr>
              <w:t>Presentational Writing</w:t>
            </w:r>
          </w:p>
        </w:tc>
      </w:tr>
      <w:tr w:rsidR="002D05D5" w14:paraId="48B4C915" w14:textId="77777777" w:rsidTr="00F07801">
        <w:trPr>
          <w:jc w:val="center"/>
        </w:trPr>
        <w:tc>
          <w:tcPr>
            <w:tcW w:w="3415" w:type="dxa"/>
          </w:tcPr>
          <w:p w14:paraId="6C19683F" w14:textId="77777777" w:rsidR="002D05D5" w:rsidRPr="009749A0" w:rsidRDefault="002D05D5" w:rsidP="00F07801">
            <w:pPr>
              <w:rPr>
                <w:sz w:val="20"/>
                <w:szCs w:val="20"/>
              </w:rPr>
            </w:pPr>
            <w:r w:rsidRPr="009749A0">
              <w:rPr>
                <w:sz w:val="20"/>
                <w:szCs w:val="20"/>
              </w:rPr>
              <w:t>Modern, voiced, written languages</w:t>
            </w:r>
          </w:p>
        </w:tc>
        <w:tc>
          <w:tcPr>
            <w:tcW w:w="1350" w:type="dxa"/>
          </w:tcPr>
          <w:p w14:paraId="25C119FF" w14:textId="77777777" w:rsidR="002D05D5" w:rsidRPr="009749A0" w:rsidRDefault="002D05D5" w:rsidP="00F07801">
            <w:pPr>
              <w:jc w:val="center"/>
              <w:rPr>
                <w:sz w:val="20"/>
                <w:szCs w:val="20"/>
              </w:rPr>
            </w:pPr>
            <w:r w:rsidRPr="009749A0">
              <w:rPr>
                <w:rFonts w:ascii="Chiller" w:hAnsi="Chiller"/>
                <w:sz w:val="20"/>
                <w:szCs w:val="20"/>
              </w:rPr>
              <w:sym w:font="Wingdings" w:char="F0FC"/>
            </w:r>
          </w:p>
        </w:tc>
        <w:tc>
          <w:tcPr>
            <w:tcW w:w="1350" w:type="dxa"/>
          </w:tcPr>
          <w:p w14:paraId="7C0F0EB2" w14:textId="77777777" w:rsidR="002D05D5" w:rsidRPr="009749A0" w:rsidRDefault="002D05D5" w:rsidP="00F07801">
            <w:pPr>
              <w:jc w:val="center"/>
              <w:rPr>
                <w:sz w:val="20"/>
                <w:szCs w:val="20"/>
              </w:rPr>
            </w:pPr>
            <w:r w:rsidRPr="009749A0">
              <w:rPr>
                <w:rFonts w:ascii="Chiller" w:hAnsi="Chiller"/>
                <w:sz w:val="20"/>
                <w:szCs w:val="20"/>
              </w:rPr>
              <w:sym w:font="Wingdings" w:char="F0FC"/>
            </w:r>
          </w:p>
        </w:tc>
        <w:tc>
          <w:tcPr>
            <w:tcW w:w="1440" w:type="dxa"/>
          </w:tcPr>
          <w:p w14:paraId="68B3B24E" w14:textId="77777777" w:rsidR="002D05D5" w:rsidRPr="009749A0" w:rsidRDefault="002D05D5" w:rsidP="00F07801">
            <w:pPr>
              <w:jc w:val="center"/>
              <w:rPr>
                <w:sz w:val="20"/>
                <w:szCs w:val="20"/>
              </w:rPr>
            </w:pPr>
            <w:r w:rsidRPr="009749A0">
              <w:rPr>
                <w:rFonts w:ascii="Chiller" w:hAnsi="Chiller"/>
                <w:sz w:val="20"/>
                <w:szCs w:val="20"/>
              </w:rPr>
              <w:sym w:font="Wingdings" w:char="F0FC"/>
            </w:r>
          </w:p>
        </w:tc>
        <w:tc>
          <w:tcPr>
            <w:tcW w:w="1530" w:type="dxa"/>
          </w:tcPr>
          <w:p w14:paraId="50CC4D0D" w14:textId="77777777" w:rsidR="002D05D5" w:rsidRPr="009749A0" w:rsidRDefault="002D05D5" w:rsidP="00F07801">
            <w:pPr>
              <w:jc w:val="center"/>
              <w:rPr>
                <w:sz w:val="20"/>
                <w:szCs w:val="20"/>
              </w:rPr>
            </w:pPr>
            <w:r w:rsidRPr="009749A0">
              <w:rPr>
                <w:rFonts w:ascii="Chiller" w:hAnsi="Chiller"/>
                <w:sz w:val="20"/>
                <w:szCs w:val="20"/>
              </w:rPr>
              <w:sym w:font="Wingdings" w:char="F0FC"/>
            </w:r>
          </w:p>
        </w:tc>
      </w:tr>
      <w:tr w:rsidR="002D05D5" w14:paraId="229E9A92" w14:textId="77777777" w:rsidTr="00F07801">
        <w:trPr>
          <w:jc w:val="center"/>
        </w:trPr>
        <w:tc>
          <w:tcPr>
            <w:tcW w:w="3415" w:type="dxa"/>
          </w:tcPr>
          <w:p w14:paraId="5A9310E8" w14:textId="77777777" w:rsidR="002D05D5" w:rsidRPr="009749A0" w:rsidRDefault="002D05D5" w:rsidP="00F07801">
            <w:pPr>
              <w:rPr>
                <w:sz w:val="20"/>
                <w:szCs w:val="20"/>
              </w:rPr>
            </w:pPr>
            <w:r w:rsidRPr="009749A0">
              <w:rPr>
                <w:sz w:val="20"/>
                <w:szCs w:val="20"/>
              </w:rPr>
              <w:t>Unvoiced languages (ASL)</w:t>
            </w:r>
          </w:p>
        </w:tc>
        <w:tc>
          <w:tcPr>
            <w:tcW w:w="1350" w:type="dxa"/>
          </w:tcPr>
          <w:p w14:paraId="56FC6BCC" w14:textId="77777777" w:rsidR="002D05D5" w:rsidRPr="009749A0" w:rsidRDefault="002D05D5" w:rsidP="00F07801">
            <w:pPr>
              <w:jc w:val="center"/>
              <w:rPr>
                <w:sz w:val="20"/>
                <w:szCs w:val="20"/>
              </w:rPr>
            </w:pPr>
            <w:r w:rsidRPr="009749A0">
              <w:rPr>
                <w:rFonts w:ascii="Chiller" w:hAnsi="Chiller"/>
                <w:sz w:val="20"/>
                <w:szCs w:val="20"/>
              </w:rPr>
              <w:sym w:font="Wingdings" w:char="F0FC"/>
            </w:r>
          </w:p>
        </w:tc>
        <w:tc>
          <w:tcPr>
            <w:tcW w:w="1350" w:type="dxa"/>
          </w:tcPr>
          <w:p w14:paraId="2CC050F2" w14:textId="77777777" w:rsidR="002D05D5" w:rsidRPr="009749A0" w:rsidRDefault="002D05D5" w:rsidP="00F0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8EE139A" w14:textId="77777777" w:rsidR="002D05D5" w:rsidRPr="009749A0" w:rsidRDefault="002D05D5" w:rsidP="00F07801">
            <w:pPr>
              <w:jc w:val="center"/>
              <w:rPr>
                <w:sz w:val="20"/>
                <w:szCs w:val="20"/>
              </w:rPr>
            </w:pPr>
            <w:r w:rsidRPr="009749A0">
              <w:rPr>
                <w:rFonts w:ascii="Chiller" w:hAnsi="Chiller"/>
                <w:sz w:val="20"/>
                <w:szCs w:val="20"/>
              </w:rPr>
              <w:sym w:font="Wingdings" w:char="F0FC"/>
            </w:r>
          </w:p>
        </w:tc>
        <w:tc>
          <w:tcPr>
            <w:tcW w:w="1530" w:type="dxa"/>
          </w:tcPr>
          <w:p w14:paraId="1072E3EC" w14:textId="77777777" w:rsidR="002D05D5" w:rsidRPr="009749A0" w:rsidRDefault="002D05D5" w:rsidP="00F07801">
            <w:pPr>
              <w:jc w:val="center"/>
              <w:rPr>
                <w:sz w:val="20"/>
                <w:szCs w:val="20"/>
              </w:rPr>
            </w:pPr>
          </w:p>
        </w:tc>
      </w:tr>
      <w:tr w:rsidR="002D05D5" w14:paraId="72E41B5C" w14:textId="77777777" w:rsidTr="00F07801">
        <w:trPr>
          <w:jc w:val="center"/>
        </w:trPr>
        <w:tc>
          <w:tcPr>
            <w:tcW w:w="3415" w:type="dxa"/>
          </w:tcPr>
          <w:p w14:paraId="399C919B" w14:textId="77777777" w:rsidR="002D05D5" w:rsidRPr="009749A0" w:rsidRDefault="002D05D5" w:rsidP="00F07801">
            <w:pPr>
              <w:rPr>
                <w:sz w:val="20"/>
                <w:szCs w:val="20"/>
              </w:rPr>
            </w:pPr>
            <w:r w:rsidRPr="009749A0">
              <w:rPr>
                <w:sz w:val="20"/>
                <w:szCs w:val="20"/>
              </w:rPr>
              <w:t>Classical languages</w:t>
            </w:r>
          </w:p>
        </w:tc>
        <w:tc>
          <w:tcPr>
            <w:tcW w:w="1350" w:type="dxa"/>
          </w:tcPr>
          <w:p w14:paraId="468AB47C" w14:textId="77777777" w:rsidR="002D05D5" w:rsidRPr="009749A0" w:rsidRDefault="002D05D5" w:rsidP="00F07801">
            <w:pPr>
              <w:jc w:val="center"/>
              <w:rPr>
                <w:sz w:val="20"/>
                <w:szCs w:val="20"/>
              </w:rPr>
            </w:pPr>
            <w:r w:rsidRPr="009749A0">
              <w:rPr>
                <w:rFonts w:ascii="Chiller" w:hAnsi="Chiller"/>
                <w:sz w:val="20"/>
                <w:szCs w:val="20"/>
              </w:rPr>
              <w:sym w:font="Wingdings" w:char="F0FC"/>
            </w:r>
          </w:p>
        </w:tc>
        <w:tc>
          <w:tcPr>
            <w:tcW w:w="1350" w:type="dxa"/>
          </w:tcPr>
          <w:p w14:paraId="523AD655" w14:textId="77777777" w:rsidR="002D05D5" w:rsidRPr="009749A0" w:rsidRDefault="002D05D5" w:rsidP="00F0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63D5A30" w14:textId="77777777" w:rsidR="002D05D5" w:rsidRPr="009749A0" w:rsidRDefault="002D05D5" w:rsidP="00F0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AB9BF13" w14:textId="77777777" w:rsidR="002D05D5" w:rsidRPr="009749A0" w:rsidRDefault="002D05D5" w:rsidP="00F07801">
            <w:pPr>
              <w:jc w:val="center"/>
              <w:rPr>
                <w:sz w:val="20"/>
                <w:szCs w:val="20"/>
              </w:rPr>
            </w:pPr>
          </w:p>
        </w:tc>
      </w:tr>
      <w:tr w:rsidR="002D05D5" w14:paraId="7F2EAAE6" w14:textId="77777777" w:rsidTr="00F07801">
        <w:trPr>
          <w:jc w:val="center"/>
        </w:trPr>
        <w:tc>
          <w:tcPr>
            <w:tcW w:w="3415" w:type="dxa"/>
          </w:tcPr>
          <w:p w14:paraId="33FA81FF" w14:textId="77777777" w:rsidR="002D05D5" w:rsidRPr="009749A0" w:rsidRDefault="002D05D5" w:rsidP="00F07801">
            <w:pPr>
              <w:rPr>
                <w:sz w:val="20"/>
                <w:szCs w:val="20"/>
              </w:rPr>
            </w:pPr>
            <w:r w:rsidRPr="009749A0">
              <w:rPr>
                <w:sz w:val="20"/>
                <w:szCs w:val="20"/>
              </w:rPr>
              <w:t>Unwritten languages</w:t>
            </w:r>
          </w:p>
        </w:tc>
        <w:tc>
          <w:tcPr>
            <w:tcW w:w="1350" w:type="dxa"/>
          </w:tcPr>
          <w:p w14:paraId="2C59EAEE" w14:textId="77777777" w:rsidR="002D05D5" w:rsidRPr="009749A0" w:rsidRDefault="002D05D5" w:rsidP="00F0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0967764" w14:textId="77777777" w:rsidR="002D05D5" w:rsidRPr="009749A0" w:rsidRDefault="002D05D5" w:rsidP="00F07801">
            <w:pPr>
              <w:jc w:val="center"/>
              <w:rPr>
                <w:sz w:val="20"/>
                <w:szCs w:val="20"/>
              </w:rPr>
            </w:pPr>
            <w:r w:rsidRPr="009749A0">
              <w:rPr>
                <w:rFonts w:ascii="Chiller" w:hAnsi="Chiller"/>
                <w:sz w:val="20"/>
                <w:szCs w:val="20"/>
              </w:rPr>
              <w:sym w:font="Wingdings" w:char="F0FC"/>
            </w:r>
          </w:p>
        </w:tc>
        <w:tc>
          <w:tcPr>
            <w:tcW w:w="1440" w:type="dxa"/>
          </w:tcPr>
          <w:p w14:paraId="776F0361" w14:textId="77777777" w:rsidR="002D05D5" w:rsidRPr="009749A0" w:rsidRDefault="002D05D5" w:rsidP="00F07801">
            <w:pPr>
              <w:jc w:val="center"/>
              <w:rPr>
                <w:sz w:val="20"/>
                <w:szCs w:val="20"/>
              </w:rPr>
            </w:pPr>
            <w:r w:rsidRPr="009749A0">
              <w:rPr>
                <w:rFonts w:ascii="Chiller" w:hAnsi="Chiller"/>
                <w:sz w:val="20"/>
                <w:szCs w:val="20"/>
              </w:rPr>
              <w:sym w:font="Wingdings" w:char="F0FC"/>
            </w:r>
          </w:p>
        </w:tc>
        <w:tc>
          <w:tcPr>
            <w:tcW w:w="1530" w:type="dxa"/>
          </w:tcPr>
          <w:p w14:paraId="78E18816" w14:textId="77777777" w:rsidR="002D05D5" w:rsidRPr="009749A0" w:rsidRDefault="002D05D5" w:rsidP="00F0780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03434B" w14:textId="77777777" w:rsidR="002D05D5" w:rsidRDefault="002D05D5" w:rsidP="002D05D5"/>
    <w:p w14:paraId="461643F8" w14:textId="06B89A9D" w:rsidR="00D40979" w:rsidRDefault="00D40979" w:rsidP="00D40979">
      <w:pPr>
        <w:pStyle w:val="ListParagraph"/>
        <w:numPr>
          <w:ilvl w:val="0"/>
          <w:numId w:val="5"/>
        </w:numPr>
      </w:pPr>
      <w:r>
        <w:t>The portfolio rater evaluates the student</w:t>
      </w:r>
      <w:r w:rsidR="009749A0">
        <w:t>’s</w:t>
      </w:r>
      <w:r>
        <w:t xml:space="preserve"> evidence</w:t>
      </w:r>
      <w:r w:rsidR="006C7C6F">
        <w:t>.</w:t>
      </w:r>
    </w:p>
    <w:p w14:paraId="73101E0C" w14:textId="59FAE81D" w:rsidR="006C7C6F" w:rsidRDefault="00CA7654" w:rsidP="006C7C6F">
      <w:pPr>
        <w:pStyle w:val="ListParagraph"/>
        <w:numPr>
          <w:ilvl w:val="1"/>
          <w:numId w:val="5"/>
        </w:numPr>
      </w:pPr>
      <w:r>
        <w:t>The rater looks at all evidence for each indicator (See Table 2)</w:t>
      </w:r>
    </w:p>
    <w:p w14:paraId="09A79919" w14:textId="68D1FB8F" w:rsidR="002543B3" w:rsidRDefault="002543B3" w:rsidP="006C7C6F">
      <w:pPr>
        <w:pStyle w:val="ListParagraph"/>
        <w:numPr>
          <w:ilvl w:val="1"/>
          <w:numId w:val="5"/>
        </w:numPr>
      </w:pPr>
      <w:r>
        <w:t>When considering all the evidence for each indicator, the rater establishes whether the student can:</w:t>
      </w:r>
    </w:p>
    <w:p w14:paraId="5AAC816D" w14:textId="65449CCE" w:rsidR="002543B3" w:rsidRDefault="002543B3" w:rsidP="002543B3">
      <w:pPr>
        <w:pStyle w:val="ListParagraph"/>
        <w:numPr>
          <w:ilvl w:val="2"/>
          <w:numId w:val="5"/>
        </w:numPr>
      </w:pPr>
      <w:r>
        <w:t>Not yet perform that skill</w:t>
      </w:r>
      <w:r w:rsidR="001511AF">
        <w:t>.</w:t>
      </w:r>
    </w:p>
    <w:p w14:paraId="6D48E65F" w14:textId="03D329D9" w:rsidR="002543B3" w:rsidRDefault="002543B3" w:rsidP="002543B3">
      <w:pPr>
        <w:pStyle w:val="ListParagraph"/>
        <w:numPr>
          <w:ilvl w:val="2"/>
          <w:numId w:val="5"/>
        </w:numPr>
      </w:pPr>
      <w:r>
        <w:t xml:space="preserve">Sometimes perform that skill (less than </w:t>
      </w:r>
      <w:r w:rsidR="00B57AFF">
        <w:t>50% of</w:t>
      </w:r>
      <w:r>
        <w:t xml:space="preserve"> the time)</w:t>
      </w:r>
    </w:p>
    <w:p w14:paraId="04245CD8" w14:textId="0A581FE8" w:rsidR="002543B3" w:rsidRDefault="005C0430" w:rsidP="002543B3">
      <w:pPr>
        <w:pStyle w:val="ListParagraph"/>
        <w:numPr>
          <w:ilvl w:val="2"/>
          <w:numId w:val="5"/>
        </w:numPr>
      </w:pPr>
      <w:r>
        <w:t>Usually perform that skill (50</w:t>
      </w:r>
      <w:r w:rsidR="00E531F8">
        <w:t>-90</w:t>
      </w:r>
      <w:r>
        <w:t>% of the time or more)</w:t>
      </w:r>
    </w:p>
    <w:p w14:paraId="30953277" w14:textId="7D0D752E" w:rsidR="00B57AFF" w:rsidRDefault="00B57AFF" w:rsidP="002543B3">
      <w:pPr>
        <w:pStyle w:val="ListParagraph"/>
        <w:numPr>
          <w:ilvl w:val="2"/>
          <w:numId w:val="5"/>
        </w:numPr>
      </w:pPr>
      <w:r>
        <w:t>Always perform that skill (9</w:t>
      </w:r>
      <w:r w:rsidR="006961A8">
        <w:t>0</w:t>
      </w:r>
      <w:r>
        <w:t>-100% of the time)</w:t>
      </w:r>
      <w:r w:rsidR="00042280">
        <w:t>.</w:t>
      </w:r>
    </w:p>
    <w:p w14:paraId="07621DE9" w14:textId="77777777" w:rsidR="00FA0349" w:rsidRDefault="00042280" w:rsidP="00FA0349">
      <w:pPr>
        <w:pStyle w:val="ListParagraph"/>
        <w:numPr>
          <w:ilvl w:val="1"/>
          <w:numId w:val="5"/>
        </w:numPr>
      </w:pPr>
      <w:r>
        <w:t>The rater indicates their assessment of each indicator on Table 2</w:t>
      </w:r>
      <w:r w:rsidR="00B162A4">
        <w:t>.</w:t>
      </w:r>
      <w:r w:rsidR="00FA0349" w:rsidRPr="00FA0349">
        <w:t xml:space="preserve"> </w:t>
      </w:r>
    </w:p>
    <w:p w14:paraId="3B759EEF" w14:textId="23CEE410" w:rsidR="00BD15F8" w:rsidRDefault="00FA0349" w:rsidP="00FA0349">
      <w:pPr>
        <w:pStyle w:val="ListParagraph"/>
        <w:numPr>
          <w:ilvl w:val="1"/>
          <w:numId w:val="5"/>
        </w:numPr>
      </w:pPr>
      <w:r>
        <w:t>It is possible that the student will not submit evidence for some domains. The rater should leave the domain blank if student did not submit any evidence for that domain.</w:t>
      </w:r>
    </w:p>
    <w:p w14:paraId="7E4489C4" w14:textId="4D123DE2" w:rsidR="00042280" w:rsidRDefault="00042280" w:rsidP="00042280">
      <w:pPr>
        <w:pStyle w:val="ListParagraph"/>
        <w:numPr>
          <w:ilvl w:val="0"/>
          <w:numId w:val="5"/>
        </w:numPr>
      </w:pPr>
      <w:r>
        <w:t xml:space="preserve">The portfolio rater provides </w:t>
      </w:r>
      <w:r w:rsidR="00CB1537">
        <w:t>signs and returns the completed Table 2 to</w:t>
      </w:r>
      <w:r w:rsidR="009E1213">
        <w:t xml:space="preserve"> </w:t>
      </w:r>
      <w:r w:rsidR="009E1213" w:rsidRPr="009E1213">
        <w:rPr>
          <w:color w:val="FF0000"/>
        </w:rPr>
        <w:t xml:space="preserve">[district Seal of Biliteracy coordinator and contact information] </w:t>
      </w:r>
      <w:r w:rsidR="009E1213">
        <w:t xml:space="preserve">by </w:t>
      </w:r>
      <w:r w:rsidR="009E1213" w:rsidRPr="009E1213">
        <w:rPr>
          <w:color w:val="FF0000"/>
        </w:rPr>
        <w:t>[district-determined due date]</w:t>
      </w:r>
      <w:r w:rsidR="009E1213">
        <w:t>.</w:t>
      </w:r>
    </w:p>
    <w:p w14:paraId="4FDCEE34" w14:textId="557EA54E" w:rsidR="007A6CEB" w:rsidRPr="00DE2BEE" w:rsidRDefault="007A6CEB" w:rsidP="00042280">
      <w:pPr>
        <w:pStyle w:val="ListParagraph"/>
        <w:numPr>
          <w:ilvl w:val="0"/>
          <w:numId w:val="5"/>
        </w:numPr>
        <w:rPr>
          <w:b/>
          <w:bCs/>
        </w:rPr>
      </w:pPr>
      <w:r w:rsidRPr="00DE2BEE">
        <w:rPr>
          <w:b/>
          <w:bCs/>
        </w:rPr>
        <w:t xml:space="preserve">Districts </w:t>
      </w:r>
      <w:r w:rsidR="001054F3" w:rsidRPr="00DE2BEE">
        <w:rPr>
          <w:b/>
          <w:bCs/>
        </w:rPr>
        <w:t>must</w:t>
      </w:r>
      <w:r w:rsidRPr="00DE2BEE">
        <w:rPr>
          <w:b/>
          <w:bCs/>
        </w:rPr>
        <w:t xml:space="preserve"> retain</w:t>
      </w:r>
      <w:r w:rsidR="001054F3" w:rsidRPr="00DE2BEE">
        <w:rPr>
          <w:b/>
          <w:bCs/>
        </w:rPr>
        <w:t xml:space="preserve"> the portfolio rater’s report</w:t>
      </w:r>
      <w:r w:rsidR="00DE2BEE" w:rsidRPr="00DE2BEE">
        <w:rPr>
          <w:b/>
          <w:bCs/>
        </w:rPr>
        <w:t xml:space="preserve"> (Table 2)</w:t>
      </w:r>
      <w:r w:rsidR="001054F3" w:rsidRPr="00DE2BEE">
        <w:rPr>
          <w:b/>
          <w:bCs/>
        </w:rPr>
        <w:t xml:space="preserve"> for their records.</w:t>
      </w:r>
    </w:p>
    <w:p w14:paraId="3D1F9EE0" w14:textId="77777777" w:rsidR="00F52411" w:rsidRDefault="00F52411" w:rsidP="00440FAE">
      <w:pPr>
        <w:jc w:val="center"/>
        <w:rPr>
          <w:b/>
          <w:bCs/>
          <w:sz w:val="28"/>
          <w:szCs w:val="28"/>
        </w:rPr>
      </w:pPr>
    </w:p>
    <w:p w14:paraId="164CAC97" w14:textId="486B0A24" w:rsidR="00F52411" w:rsidRPr="00F52411" w:rsidRDefault="00F52411" w:rsidP="00440FAE">
      <w:pPr>
        <w:jc w:val="center"/>
        <w:rPr>
          <w:sz w:val="28"/>
          <w:szCs w:val="28"/>
        </w:rPr>
        <w:sectPr w:rsidR="00F52411" w:rsidRPr="00F52411" w:rsidSect="0067175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017E7B2" w14:textId="3212CCEF" w:rsidR="00F522EF" w:rsidRDefault="00166CC2" w:rsidP="00493EAB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Massachusetts Seal of Biliteracy </w:t>
      </w:r>
      <w:r w:rsidR="00440FAE" w:rsidRPr="008C3C09">
        <w:rPr>
          <w:b/>
          <w:bCs/>
          <w:sz w:val="20"/>
          <w:szCs w:val="20"/>
        </w:rPr>
        <w:t xml:space="preserve">Portfolio Indicators </w:t>
      </w:r>
    </w:p>
    <w:p w14:paraId="32155AA7" w14:textId="4D0C0394" w:rsidR="00210BAE" w:rsidRPr="008C3C09" w:rsidRDefault="00166CC2" w:rsidP="00493EAB">
      <w:p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Portfolio Rater/Credible Authority: </w:t>
      </w:r>
      <w:r w:rsidR="00210BAE" w:rsidRPr="008C3C09">
        <w:rPr>
          <w:sz w:val="20"/>
          <w:szCs w:val="20"/>
        </w:rPr>
        <w:t xml:space="preserve">Please </w:t>
      </w:r>
      <w:r>
        <w:rPr>
          <w:sz w:val="20"/>
          <w:szCs w:val="20"/>
        </w:rPr>
        <w:t xml:space="preserve">ensure that the student submits </w:t>
      </w:r>
      <w:r w:rsidR="00B03A8F" w:rsidRPr="00B03A8F">
        <w:rPr>
          <w:b/>
          <w:bCs/>
          <w:sz w:val="20"/>
          <w:szCs w:val="20"/>
        </w:rPr>
        <w:t xml:space="preserve">at least </w:t>
      </w:r>
      <w:r w:rsidR="00DF5C14">
        <w:rPr>
          <w:b/>
          <w:bCs/>
          <w:sz w:val="20"/>
          <w:szCs w:val="20"/>
        </w:rPr>
        <w:t>two</w:t>
      </w:r>
      <w:r w:rsidRPr="00B03A8F">
        <w:rPr>
          <w:b/>
          <w:bCs/>
          <w:sz w:val="20"/>
          <w:szCs w:val="20"/>
        </w:rPr>
        <w:t xml:space="preserve"> pieces of evidence for each indicator</w:t>
      </w:r>
      <w:r>
        <w:rPr>
          <w:sz w:val="20"/>
          <w:szCs w:val="20"/>
        </w:rPr>
        <w:t xml:space="preserve">. Use this form to indicate the student’s ability to perform each indicator. Sign and return this page to the </w:t>
      </w:r>
      <w:r w:rsidR="00424734">
        <w:rPr>
          <w:sz w:val="20"/>
          <w:szCs w:val="20"/>
        </w:rPr>
        <w:t>district’s Seal of Biliteracy coordinator</w:t>
      </w:r>
      <w:r>
        <w:rPr>
          <w:sz w:val="20"/>
          <w:szCs w:val="20"/>
        </w:rPr>
        <w:t>. Examples</w:t>
      </w:r>
      <w:r w:rsidR="00210BAE" w:rsidRPr="008C3C09">
        <w:rPr>
          <w:sz w:val="20"/>
          <w:szCs w:val="20"/>
        </w:rPr>
        <w:t xml:space="preserve"> of each indicator may be found in the following pages.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195"/>
        <w:gridCol w:w="3009"/>
        <w:gridCol w:w="1072"/>
        <w:gridCol w:w="1144"/>
        <w:gridCol w:w="1075"/>
        <w:gridCol w:w="1080"/>
      </w:tblGrid>
      <w:tr w:rsidR="00F2435D" w:rsidRPr="008C3C09" w14:paraId="0E61F1F9" w14:textId="77777777" w:rsidTr="00F07801">
        <w:tc>
          <w:tcPr>
            <w:tcW w:w="1457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DF7394" w14:textId="262AC6E4" w:rsidR="00F2435D" w:rsidRPr="00CE4FF8" w:rsidRDefault="00F2435D" w:rsidP="00493EA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CE4FF8">
              <w:rPr>
                <w:b/>
                <w:bCs/>
                <w:sz w:val="20"/>
                <w:szCs w:val="20"/>
              </w:rPr>
              <w:t>Table 2</w:t>
            </w:r>
            <w:r w:rsidR="00CE4FF8" w:rsidRPr="00CE4FF8">
              <w:rPr>
                <w:b/>
                <w:bCs/>
                <w:sz w:val="20"/>
                <w:szCs w:val="20"/>
              </w:rPr>
              <w:t>:</w:t>
            </w:r>
            <w:r w:rsidR="00CE4FF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E4FF8">
              <w:rPr>
                <w:b/>
                <w:bCs/>
                <w:sz w:val="20"/>
                <w:szCs w:val="20"/>
              </w:rPr>
              <w:t>Portfolio Indicators</w:t>
            </w:r>
            <w:r w:rsidR="009E1213">
              <w:rPr>
                <w:b/>
                <w:bCs/>
                <w:sz w:val="20"/>
                <w:szCs w:val="20"/>
              </w:rPr>
              <w:t xml:space="preserve"> and Student Performance</w:t>
            </w:r>
          </w:p>
        </w:tc>
      </w:tr>
      <w:tr w:rsidR="008C3C09" w:rsidRPr="008C3C09" w14:paraId="21AED975" w14:textId="77777777" w:rsidTr="00AE0980">
        <w:tc>
          <w:tcPr>
            <w:tcW w:w="71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3F1A8E" w14:textId="4B4CD55C" w:rsidR="008C3C09" w:rsidRPr="008C3C09" w:rsidRDefault="008C3C09" w:rsidP="00493EA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8C3C09">
              <w:rPr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738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B18101" w14:textId="38AC8B7E" w:rsidR="008C3C09" w:rsidRPr="008C3C09" w:rsidRDefault="008C3C09" w:rsidP="00493EA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8C3C09">
              <w:rPr>
                <w:b/>
                <w:bCs/>
                <w:sz w:val="20"/>
                <w:szCs w:val="20"/>
              </w:rPr>
              <w:t>Portfolio Rater Name</w:t>
            </w:r>
          </w:p>
        </w:tc>
      </w:tr>
      <w:tr w:rsidR="008C3C09" w:rsidRPr="008C3C09" w14:paraId="6F2F11FD" w14:textId="77777777" w:rsidTr="00AE0980">
        <w:tc>
          <w:tcPr>
            <w:tcW w:w="71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DEA097" w14:textId="698DE5BF" w:rsidR="008C3C09" w:rsidRPr="008C3C09" w:rsidRDefault="008C3C09" w:rsidP="00493EA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8C3C09">
              <w:rPr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738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CEC382" w14:textId="422F4967" w:rsidR="008C3C09" w:rsidRPr="008C3C09" w:rsidRDefault="001A10BA" w:rsidP="00493EA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Portfolio Rater Phone or Email</w:t>
            </w:r>
          </w:p>
        </w:tc>
      </w:tr>
      <w:tr w:rsidR="00E967D0" w:rsidRPr="008C3C09" w14:paraId="25EF1D7E" w14:textId="77777777" w:rsidTr="00AE0980">
        <w:tc>
          <w:tcPr>
            <w:tcW w:w="102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974BA7" w14:textId="7D4A7DB6" w:rsidR="00440FAE" w:rsidRPr="008C3C09" w:rsidRDefault="00166CC2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Indicators</w:t>
            </w:r>
            <w:r>
              <w:rPr>
                <w:rStyle w:val="FootnoteReference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5B3AD6" w14:textId="77777777" w:rsidR="00440FAE" w:rsidRDefault="00440F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3C09">
              <w:rPr>
                <w:b/>
                <w:bCs/>
                <w:sz w:val="20"/>
                <w:szCs w:val="20"/>
              </w:rPr>
              <w:t>Not yet</w:t>
            </w:r>
          </w:p>
          <w:p w14:paraId="633E29FF" w14:textId="2986C9F0" w:rsidR="00C24EF2" w:rsidRPr="008C3C09" w:rsidRDefault="00C24EF2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8288A">
              <w:rPr>
                <w:b/>
                <w:bCs/>
                <w:sz w:val="18"/>
                <w:szCs w:val="18"/>
              </w:rPr>
              <w:t>(&lt;10% of the time)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8F2D00" w14:textId="77777777" w:rsidR="00440FAE" w:rsidRDefault="00440F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3C09">
              <w:rPr>
                <w:b/>
                <w:bCs/>
                <w:sz w:val="20"/>
                <w:szCs w:val="20"/>
              </w:rPr>
              <w:t>Sometimes</w:t>
            </w:r>
          </w:p>
          <w:p w14:paraId="62DDFDCA" w14:textId="011803C5" w:rsidR="00493EAB" w:rsidRPr="0042340D" w:rsidRDefault="0042340D" w:rsidP="0042340D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8288A">
              <w:rPr>
                <w:b/>
                <w:bCs/>
                <w:sz w:val="18"/>
                <w:szCs w:val="18"/>
              </w:rPr>
              <w:t>(10-</w:t>
            </w:r>
            <w:r w:rsidR="00C24EF2" w:rsidRPr="00D8288A">
              <w:rPr>
                <w:b/>
                <w:bCs/>
                <w:sz w:val="18"/>
                <w:szCs w:val="18"/>
              </w:rPr>
              <w:t>49</w:t>
            </w:r>
            <w:r w:rsidRPr="00D8288A">
              <w:rPr>
                <w:b/>
                <w:bCs/>
                <w:sz w:val="18"/>
                <w:szCs w:val="18"/>
              </w:rPr>
              <w:t xml:space="preserve">% of the time) 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48DA8E" w14:textId="77777777" w:rsidR="00440FAE" w:rsidRDefault="005C0430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Usually</w:t>
            </w:r>
          </w:p>
          <w:p w14:paraId="795E2CA2" w14:textId="59FDD066" w:rsidR="00C24EF2" w:rsidRPr="008C3C09" w:rsidRDefault="00C24EF2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8288A">
              <w:rPr>
                <w:b/>
                <w:bCs/>
                <w:sz w:val="18"/>
                <w:szCs w:val="18"/>
              </w:rPr>
              <w:t>(50-90% of the time)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7F5EEB" w14:textId="77777777" w:rsidR="00440FAE" w:rsidRDefault="00440F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3C09">
              <w:rPr>
                <w:b/>
                <w:bCs/>
                <w:sz w:val="20"/>
                <w:szCs w:val="20"/>
              </w:rPr>
              <w:t>Always</w:t>
            </w:r>
          </w:p>
          <w:p w14:paraId="2CE34587" w14:textId="0C1E00F0" w:rsidR="00E967D0" w:rsidRPr="008C3C09" w:rsidRDefault="00E967D0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8288A">
              <w:rPr>
                <w:b/>
                <w:bCs/>
                <w:sz w:val="18"/>
                <w:szCs w:val="18"/>
              </w:rPr>
              <w:t>(</w:t>
            </w:r>
            <w:r w:rsidR="00932085">
              <w:rPr>
                <w:b/>
                <w:bCs/>
                <w:sz w:val="18"/>
                <w:szCs w:val="18"/>
              </w:rPr>
              <w:t>&gt;90%</w:t>
            </w:r>
            <w:r w:rsidR="00D8288A">
              <w:rPr>
                <w:b/>
                <w:bCs/>
                <w:sz w:val="18"/>
                <w:szCs w:val="18"/>
              </w:rPr>
              <w:t xml:space="preserve"> of the time</w:t>
            </w:r>
            <w:r w:rsidR="00A44701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967D0" w:rsidRPr="008C3C09" w14:paraId="5EF474F8" w14:textId="77777777" w:rsidTr="00AE0980">
        <w:tc>
          <w:tcPr>
            <w:tcW w:w="10204" w:type="dxa"/>
            <w:gridSpan w:val="2"/>
            <w:tcBorders>
              <w:right w:val="nil"/>
            </w:tcBorders>
            <w:shd w:val="clear" w:color="auto" w:fill="2F5496" w:themeFill="accent1" w:themeFillShade="BF"/>
          </w:tcPr>
          <w:p w14:paraId="7763DFF9" w14:textId="711005A4" w:rsidR="00440FAE" w:rsidRPr="008C3C09" w:rsidRDefault="008C3C09" w:rsidP="00493EA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Domain 1: </w:t>
            </w:r>
            <w:r w:rsidR="00440FAE" w:rsidRPr="008C3C09">
              <w:rPr>
                <w:b/>
                <w:bCs/>
                <w:color w:val="FFFFFF" w:themeColor="background1"/>
                <w:sz w:val="20"/>
                <w:szCs w:val="20"/>
              </w:rPr>
              <w:t>Interpretive Listening or Viewing</w:t>
            </w:r>
          </w:p>
        </w:tc>
        <w:tc>
          <w:tcPr>
            <w:tcW w:w="1072" w:type="dxa"/>
            <w:tcBorders>
              <w:left w:val="nil"/>
              <w:right w:val="nil"/>
            </w:tcBorders>
            <w:shd w:val="clear" w:color="auto" w:fill="2F5496" w:themeFill="accent1" w:themeFillShade="BF"/>
          </w:tcPr>
          <w:p w14:paraId="4D945276" w14:textId="77777777" w:rsidR="00440FAE" w:rsidRPr="008C3C09" w:rsidRDefault="00440F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nil"/>
              <w:right w:val="nil"/>
            </w:tcBorders>
            <w:shd w:val="clear" w:color="auto" w:fill="2F5496" w:themeFill="accent1" w:themeFillShade="BF"/>
          </w:tcPr>
          <w:p w14:paraId="4E2C4E36" w14:textId="77777777" w:rsidR="00440FAE" w:rsidRPr="008C3C09" w:rsidRDefault="00440F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shd w:val="clear" w:color="auto" w:fill="2F5496" w:themeFill="accent1" w:themeFillShade="BF"/>
          </w:tcPr>
          <w:p w14:paraId="14C14330" w14:textId="77777777" w:rsidR="00440FAE" w:rsidRPr="008C3C09" w:rsidRDefault="00440F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2F5496" w:themeFill="accent1" w:themeFillShade="BF"/>
          </w:tcPr>
          <w:p w14:paraId="553B4C8C" w14:textId="77777777" w:rsidR="00440FAE" w:rsidRPr="008C3C09" w:rsidRDefault="00440F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67D0" w:rsidRPr="008C3C09" w14:paraId="2E35A167" w14:textId="77777777" w:rsidTr="00AE0980">
        <w:tc>
          <w:tcPr>
            <w:tcW w:w="10204" w:type="dxa"/>
            <w:gridSpan w:val="2"/>
            <w:shd w:val="clear" w:color="auto" w:fill="D9E2F3" w:themeFill="accent1" w:themeFillTint="33"/>
          </w:tcPr>
          <w:p w14:paraId="0F635F90" w14:textId="21ADC4FB" w:rsidR="00440FAE" w:rsidRPr="008C3C09" w:rsidRDefault="001F1223" w:rsidP="00493EA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1.a </w:t>
            </w:r>
            <w:r w:rsidR="00440FAE" w:rsidRPr="008C3C09">
              <w:rPr>
                <w:sz w:val="20"/>
                <w:szCs w:val="20"/>
              </w:rPr>
              <w:t xml:space="preserve">The student </w:t>
            </w:r>
            <w:r w:rsidR="00440FAE" w:rsidRPr="008C3C09">
              <w:rPr>
                <w:color w:val="000000" w:themeColor="text1"/>
                <w:sz w:val="20"/>
                <w:szCs w:val="20"/>
                <w:lang w:val="en-US"/>
              </w:rPr>
              <w:t xml:space="preserve">can identify the underlying message and some supporting details across major time frames in </w:t>
            </w:r>
            <w:r w:rsidR="00440FAE" w:rsidRPr="008C3C09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descriptive informational texts</w:t>
            </w:r>
            <w:r w:rsidR="00440FAE" w:rsidRPr="008C3C09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72" w:type="dxa"/>
            <w:shd w:val="clear" w:color="auto" w:fill="D9E2F3" w:themeFill="accent1" w:themeFillTint="33"/>
          </w:tcPr>
          <w:p w14:paraId="7255BE33" w14:textId="77777777" w:rsidR="00440FAE" w:rsidRPr="008C3C09" w:rsidRDefault="00440F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D9E2F3" w:themeFill="accent1" w:themeFillTint="33"/>
          </w:tcPr>
          <w:p w14:paraId="5E6E8EC8" w14:textId="77777777" w:rsidR="00440FAE" w:rsidRPr="008C3C09" w:rsidRDefault="00440F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D9E2F3" w:themeFill="accent1" w:themeFillTint="33"/>
          </w:tcPr>
          <w:p w14:paraId="526869FE" w14:textId="77777777" w:rsidR="00440FAE" w:rsidRPr="008C3C09" w:rsidRDefault="00440F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0AB71F3A" w14:textId="77777777" w:rsidR="00440FAE" w:rsidRPr="008C3C09" w:rsidRDefault="00440F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67D0" w:rsidRPr="008C3C09" w14:paraId="76489840" w14:textId="77777777" w:rsidTr="00AE0980">
        <w:tc>
          <w:tcPr>
            <w:tcW w:w="10204" w:type="dxa"/>
            <w:gridSpan w:val="2"/>
            <w:shd w:val="clear" w:color="auto" w:fill="D9E2F3" w:themeFill="accent1" w:themeFillTint="33"/>
          </w:tcPr>
          <w:p w14:paraId="5A7DC222" w14:textId="2564D53E" w:rsidR="00440FAE" w:rsidRPr="008C3C09" w:rsidRDefault="001F1223" w:rsidP="00493EA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1.b </w:t>
            </w:r>
            <w:r w:rsidR="003B34D5" w:rsidRPr="008C3C09">
              <w:rPr>
                <w:bCs/>
                <w:sz w:val="20"/>
                <w:szCs w:val="20"/>
              </w:rPr>
              <w:t xml:space="preserve">The student can follow the main story and some supporting details across major time frames in </w:t>
            </w:r>
            <w:r w:rsidR="003B34D5" w:rsidRPr="008C3C09">
              <w:rPr>
                <w:b/>
                <w:sz w:val="20"/>
                <w:szCs w:val="20"/>
              </w:rPr>
              <w:t>fictional texts</w:t>
            </w:r>
            <w:r w:rsidR="003B34D5" w:rsidRPr="008C3C0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72" w:type="dxa"/>
            <w:shd w:val="clear" w:color="auto" w:fill="D9E2F3" w:themeFill="accent1" w:themeFillTint="33"/>
          </w:tcPr>
          <w:p w14:paraId="064A4947" w14:textId="77777777" w:rsidR="00440FAE" w:rsidRDefault="00440F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58D8AC3" w14:textId="68D31E9D" w:rsidR="00AE0980" w:rsidRPr="008C3C09" w:rsidRDefault="00AE0980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D9E2F3" w:themeFill="accent1" w:themeFillTint="33"/>
          </w:tcPr>
          <w:p w14:paraId="421130B5" w14:textId="77777777" w:rsidR="00440FAE" w:rsidRPr="008C3C09" w:rsidRDefault="00440F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D9E2F3" w:themeFill="accent1" w:themeFillTint="33"/>
          </w:tcPr>
          <w:p w14:paraId="28866FBD" w14:textId="77777777" w:rsidR="00440FAE" w:rsidRPr="008C3C09" w:rsidRDefault="00440F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48797349" w14:textId="77777777" w:rsidR="00440FAE" w:rsidRPr="008C3C09" w:rsidRDefault="00440F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67D0" w:rsidRPr="008C3C09" w14:paraId="4C86B72D" w14:textId="77777777" w:rsidTr="00AE0980">
        <w:tc>
          <w:tcPr>
            <w:tcW w:w="1020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A05BC32" w14:textId="653CA958" w:rsidR="00440FAE" w:rsidRPr="008C3C09" w:rsidRDefault="001F1223" w:rsidP="00493EA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1.c </w:t>
            </w:r>
            <w:r w:rsidR="003B34D5" w:rsidRPr="008C3C09">
              <w:rPr>
                <w:bCs/>
                <w:iCs/>
                <w:sz w:val="20"/>
                <w:szCs w:val="20"/>
              </w:rPr>
              <w:t xml:space="preserve">The student can understand the main message and some supporting details across major time frames in </w:t>
            </w:r>
            <w:r w:rsidR="003B34D5" w:rsidRPr="008C3C09">
              <w:rPr>
                <w:b/>
                <w:iCs/>
                <w:sz w:val="20"/>
                <w:szCs w:val="20"/>
              </w:rPr>
              <w:t>conversation and discussions</w:t>
            </w:r>
            <w:r w:rsidR="003B34D5" w:rsidRPr="008C3C09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11A833" w14:textId="77777777" w:rsidR="00440FAE" w:rsidRPr="008C3C09" w:rsidRDefault="00440F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56E84CB" w14:textId="77777777" w:rsidR="00440FAE" w:rsidRPr="008C3C09" w:rsidRDefault="00440F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BE9388A" w14:textId="77777777" w:rsidR="00440FAE" w:rsidRPr="008C3C09" w:rsidRDefault="00440F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D2AC2F9" w14:textId="77777777" w:rsidR="00440FAE" w:rsidRPr="008C3C09" w:rsidRDefault="00440F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67D0" w:rsidRPr="008C3C09" w14:paraId="22E3987C" w14:textId="77777777" w:rsidTr="00AE0980">
        <w:tc>
          <w:tcPr>
            <w:tcW w:w="10204" w:type="dxa"/>
            <w:gridSpan w:val="2"/>
            <w:tcBorders>
              <w:right w:val="nil"/>
            </w:tcBorders>
            <w:shd w:val="clear" w:color="auto" w:fill="ED7D31" w:themeFill="accent2"/>
          </w:tcPr>
          <w:p w14:paraId="1B21E50C" w14:textId="5192B75D" w:rsidR="003B34D5" w:rsidRPr="008C3C09" w:rsidRDefault="008C3C09" w:rsidP="00493EA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Domain 2: </w:t>
            </w:r>
            <w:r w:rsidR="003B34D5" w:rsidRPr="008C3C09">
              <w:rPr>
                <w:b/>
                <w:bCs/>
                <w:color w:val="FFFFFF" w:themeColor="background1"/>
                <w:sz w:val="20"/>
                <w:szCs w:val="20"/>
              </w:rPr>
              <w:t>Interpretive Reading</w:t>
            </w:r>
          </w:p>
        </w:tc>
        <w:tc>
          <w:tcPr>
            <w:tcW w:w="1072" w:type="dxa"/>
            <w:tcBorders>
              <w:left w:val="nil"/>
              <w:right w:val="nil"/>
            </w:tcBorders>
            <w:shd w:val="clear" w:color="auto" w:fill="ED7D31" w:themeFill="accent2"/>
          </w:tcPr>
          <w:p w14:paraId="7E5CCF54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nil"/>
              <w:right w:val="nil"/>
            </w:tcBorders>
            <w:shd w:val="clear" w:color="auto" w:fill="ED7D31" w:themeFill="accent2"/>
          </w:tcPr>
          <w:p w14:paraId="498ABEC7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shd w:val="clear" w:color="auto" w:fill="ED7D31" w:themeFill="accent2"/>
          </w:tcPr>
          <w:p w14:paraId="6AC5BC78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ED7D31" w:themeFill="accent2"/>
          </w:tcPr>
          <w:p w14:paraId="3EDC422D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67D0" w:rsidRPr="008C3C09" w14:paraId="10925BE9" w14:textId="77777777" w:rsidTr="00AE0980">
        <w:tc>
          <w:tcPr>
            <w:tcW w:w="10204" w:type="dxa"/>
            <w:gridSpan w:val="2"/>
            <w:shd w:val="clear" w:color="auto" w:fill="FBE4D5" w:themeFill="accent2" w:themeFillTint="33"/>
          </w:tcPr>
          <w:p w14:paraId="105D8240" w14:textId="477A431F" w:rsidR="003B34D5" w:rsidRPr="008C3C09" w:rsidRDefault="001F1223" w:rsidP="00493EAB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2.a </w:t>
            </w:r>
            <w:r w:rsidR="003B34D5" w:rsidRPr="008C3C09">
              <w:rPr>
                <w:bCs/>
                <w:color w:val="000000" w:themeColor="text1"/>
                <w:sz w:val="20"/>
                <w:szCs w:val="20"/>
              </w:rPr>
              <w:t>The student can identify the underlying message and some supporting details across major time frames in</w:t>
            </w:r>
            <w:r w:rsidR="003B34D5" w:rsidRPr="008C3C09">
              <w:rPr>
                <w:b/>
                <w:color w:val="000000" w:themeColor="text1"/>
                <w:sz w:val="20"/>
                <w:szCs w:val="20"/>
              </w:rPr>
              <w:t xml:space="preserve"> descriptive informational texts.</w:t>
            </w:r>
          </w:p>
        </w:tc>
        <w:tc>
          <w:tcPr>
            <w:tcW w:w="1072" w:type="dxa"/>
            <w:shd w:val="clear" w:color="auto" w:fill="FBE4D5" w:themeFill="accent2" w:themeFillTint="33"/>
          </w:tcPr>
          <w:p w14:paraId="6E5A8360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FBE4D5" w:themeFill="accent2" w:themeFillTint="33"/>
          </w:tcPr>
          <w:p w14:paraId="216EE792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BE4D5" w:themeFill="accent2" w:themeFillTint="33"/>
          </w:tcPr>
          <w:p w14:paraId="36B6A2E2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E4D5" w:themeFill="accent2" w:themeFillTint="33"/>
          </w:tcPr>
          <w:p w14:paraId="17937F96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967D0" w:rsidRPr="008C3C09" w14:paraId="0E940705" w14:textId="77777777" w:rsidTr="00AE0980">
        <w:tc>
          <w:tcPr>
            <w:tcW w:w="10204" w:type="dxa"/>
            <w:gridSpan w:val="2"/>
            <w:shd w:val="clear" w:color="auto" w:fill="FBE4D5" w:themeFill="accent2" w:themeFillTint="33"/>
          </w:tcPr>
          <w:p w14:paraId="59DCB8E2" w14:textId="2BADD968" w:rsidR="003B34D5" w:rsidRPr="008C3C09" w:rsidRDefault="001F1223" w:rsidP="00493EAB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2.b </w:t>
            </w:r>
            <w:r w:rsidR="003B34D5" w:rsidRPr="008C3C09">
              <w:rPr>
                <w:bCs/>
                <w:color w:val="000000" w:themeColor="text1"/>
                <w:sz w:val="20"/>
                <w:szCs w:val="20"/>
              </w:rPr>
              <w:t>The student can follow the main story and some supporting details across major time frames in</w:t>
            </w:r>
            <w:r w:rsidR="003B34D5" w:rsidRPr="008C3C09">
              <w:rPr>
                <w:b/>
                <w:color w:val="000000" w:themeColor="text1"/>
                <w:sz w:val="20"/>
                <w:szCs w:val="20"/>
              </w:rPr>
              <w:t xml:space="preserve"> fictional texts.</w:t>
            </w:r>
          </w:p>
        </w:tc>
        <w:tc>
          <w:tcPr>
            <w:tcW w:w="1072" w:type="dxa"/>
            <w:shd w:val="clear" w:color="auto" w:fill="FBE4D5" w:themeFill="accent2" w:themeFillTint="33"/>
          </w:tcPr>
          <w:p w14:paraId="459A1740" w14:textId="77777777" w:rsidR="003B34D5" w:rsidRDefault="003B34D5" w:rsidP="00493EAB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3AD9BA2" w14:textId="5129A48A" w:rsidR="00AE0980" w:rsidRPr="008C3C09" w:rsidRDefault="00AE0980" w:rsidP="00493EAB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FBE4D5" w:themeFill="accent2" w:themeFillTint="33"/>
          </w:tcPr>
          <w:p w14:paraId="36384E0C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BE4D5" w:themeFill="accent2" w:themeFillTint="33"/>
          </w:tcPr>
          <w:p w14:paraId="2917050B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E4D5" w:themeFill="accent2" w:themeFillTint="33"/>
          </w:tcPr>
          <w:p w14:paraId="732932F0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967D0" w:rsidRPr="008C3C09" w14:paraId="083D978D" w14:textId="77777777" w:rsidTr="00AE0980">
        <w:tc>
          <w:tcPr>
            <w:tcW w:w="10204" w:type="dxa"/>
            <w:gridSpan w:val="2"/>
            <w:shd w:val="clear" w:color="auto" w:fill="FBE4D5" w:themeFill="accent2" w:themeFillTint="33"/>
          </w:tcPr>
          <w:p w14:paraId="5FDDF899" w14:textId="7B66A3FB" w:rsidR="003B34D5" w:rsidRPr="008C3C09" w:rsidRDefault="001F1223" w:rsidP="00493EAB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 xml:space="preserve">2.c </w:t>
            </w:r>
            <w:r w:rsidR="003B34D5" w:rsidRPr="008C3C09">
              <w:rPr>
                <w:bCs/>
                <w:iCs/>
                <w:color w:val="000000" w:themeColor="text1"/>
                <w:sz w:val="20"/>
                <w:szCs w:val="20"/>
              </w:rPr>
              <w:t xml:space="preserve">The student can understand the main message and some supporting details across major time frames in </w:t>
            </w:r>
            <w:r w:rsidR="003B34D5" w:rsidRPr="008C3C09">
              <w:rPr>
                <w:b/>
                <w:iCs/>
                <w:color w:val="000000" w:themeColor="text1"/>
                <w:sz w:val="20"/>
                <w:szCs w:val="20"/>
              </w:rPr>
              <w:t>conversation and discussions</w:t>
            </w:r>
            <w:r w:rsidR="003B34D5" w:rsidRPr="008C3C09">
              <w:rPr>
                <w:bCs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72" w:type="dxa"/>
            <w:shd w:val="clear" w:color="auto" w:fill="FBE4D5" w:themeFill="accent2" w:themeFillTint="33"/>
          </w:tcPr>
          <w:p w14:paraId="6196DEBF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FBE4D5" w:themeFill="accent2" w:themeFillTint="33"/>
          </w:tcPr>
          <w:p w14:paraId="73EC2511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BE4D5" w:themeFill="accent2" w:themeFillTint="33"/>
          </w:tcPr>
          <w:p w14:paraId="4556FBA8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E4D5" w:themeFill="accent2" w:themeFillTint="33"/>
          </w:tcPr>
          <w:p w14:paraId="350126E3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967D0" w:rsidRPr="008C3C09" w14:paraId="575E6B9E" w14:textId="77777777" w:rsidTr="004039F9">
        <w:tc>
          <w:tcPr>
            <w:tcW w:w="10204" w:type="dxa"/>
            <w:gridSpan w:val="2"/>
            <w:shd w:val="clear" w:color="auto" w:fill="6BA42C"/>
          </w:tcPr>
          <w:p w14:paraId="3871D0E7" w14:textId="429CEE45" w:rsidR="003B34D5" w:rsidRPr="008C3C09" w:rsidRDefault="008C3C09" w:rsidP="00493EA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Domain 3: </w:t>
            </w:r>
            <w:r w:rsidR="003B34D5" w:rsidRPr="008C3C09">
              <w:rPr>
                <w:b/>
                <w:bCs/>
                <w:color w:val="FFFFFF" w:themeColor="background1"/>
                <w:sz w:val="20"/>
                <w:szCs w:val="20"/>
              </w:rPr>
              <w:t>Interpersonal Listening/Speaking or Signing</w:t>
            </w:r>
          </w:p>
        </w:tc>
        <w:tc>
          <w:tcPr>
            <w:tcW w:w="1072" w:type="dxa"/>
            <w:shd w:val="clear" w:color="auto" w:fill="6BA42C"/>
          </w:tcPr>
          <w:p w14:paraId="0167FCAC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6BA42C"/>
          </w:tcPr>
          <w:p w14:paraId="0D55024B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6BA42C"/>
          </w:tcPr>
          <w:p w14:paraId="1145A661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6BA42C"/>
          </w:tcPr>
          <w:p w14:paraId="380C9FE2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67D0" w:rsidRPr="008C3C09" w14:paraId="35457BA6" w14:textId="77777777" w:rsidTr="00AE0980">
        <w:tc>
          <w:tcPr>
            <w:tcW w:w="10204" w:type="dxa"/>
            <w:gridSpan w:val="2"/>
            <w:shd w:val="clear" w:color="auto" w:fill="E2EFD9" w:themeFill="accent6" w:themeFillTint="33"/>
          </w:tcPr>
          <w:p w14:paraId="5C536BB5" w14:textId="0FCB0AB6" w:rsidR="003B34D5" w:rsidRPr="008C3C09" w:rsidRDefault="001F1223" w:rsidP="00493EA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3.a </w:t>
            </w:r>
            <w:r w:rsidR="00210BAE" w:rsidRPr="008C3C09">
              <w:rPr>
                <w:bCs/>
                <w:sz w:val="20"/>
                <w:szCs w:val="20"/>
              </w:rPr>
              <w:t>The student</w:t>
            </w:r>
            <w:r w:rsidR="003B34D5" w:rsidRPr="008C3C09">
              <w:rPr>
                <w:bCs/>
                <w:sz w:val="20"/>
                <w:szCs w:val="20"/>
              </w:rPr>
              <w:t xml:space="preserve"> can </w:t>
            </w:r>
            <w:r w:rsidR="003B34D5" w:rsidRPr="008C3C09">
              <w:rPr>
                <w:b/>
                <w:sz w:val="20"/>
                <w:szCs w:val="20"/>
              </w:rPr>
              <w:t>exchange information and ideas</w:t>
            </w:r>
            <w:r w:rsidR="003B34D5" w:rsidRPr="008C3C09">
              <w:rPr>
                <w:bCs/>
                <w:sz w:val="20"/>
                <w:szCs w:val="20"/>
              </w:rPr>
              <w:t xml:space="preserve"> in discussions on a variety of familiar and concrete academic and social topics, using a few simple paragraphs across major time frames.</w:t>
            </w:r>
          </w:p>
        </w:tc>
        <w:tc>
          <w:tcPr>
            <w:tcW w:w="1072" w:type="dxa"/>
            <w:shd w:val="clear" w:color="auto" w:fill="E2EFD9" w:themeFill="accent6" w:themeFillTint="33"/>
          </w:tcPr>
          <w:p w14:paraId="0757DA65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E2EFD9" w:themeFill="accent6" w:themeFillTint="33"/>
          </w:tcPr>
          <w:p w14:paraId="50620DC9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E2EFD9" w:themeFill="accent6" w:themeFillTint="33"/>
          </w:tcPr>
          <w:p w14:paraId="5CB7C198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14:paraId="108ABB70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67D0" w:rsidRPr="008C3C09" w14:paraId="3153C154" w14:textId="77777777" w:rsidTr="00AE0980">
        <w:tc>
          <w:tcPr>
            <w:tcW w:w="10204" w:type="dxa"/>
            <w:gridSpan w:val="2"/>
            <w:shd w:val="clear" w:color="auto" w:fill="E2EFD9" w:themeFill="accent6" w:themeFillTint="33"/>
          </w:tcPr>
          <w:p w14:paraId="45A55F7A" w14:textId="4B795A67" w:rsidR="003B34D5" w:rsidRPr="008C3C09" w:rsidRDefault="006737D6" w:rsidP="00493EA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3.b </w:t>
            </w:r>
            <w:r w:rsidR="00210BAE" w:rsidRPr="008C3C09">
              <w:rPr>
                <w:bCs/>
                <w:sz w:val="20"/>
                <w:szCs w:val="20"/>
              </w:rPr>
              <w:t xml:space="preserve">The student can </w:t>
            </w:r>
            <w:r w:rsidR="00210BAE" w:rsidRPr="008C3C09">
              <w:rPr>
                <w:b/>
                <w:sz w:val="20"/>
                <w:szCs w:val="20"/>
              </w:rPr>
              <w:t>interact and negotiate to resolve an unexpected complication</w:t>
            </w:r>
            <w:r w:rsidR="00210BAE" w:rsidRPr="008C3C09">
              <w:rPr>
                <w:bCs/>
                <w:sz w:val="20"/>
                <w:szCs w:val="20"/>
              </w:rPr>
              <w:t xml:space="preserve"> that arises in a familiar situation, using a few simple paragraphs across major time frames.</w:t>
            </w:r>
          </w:p>
        </w:tc>
        <w:tc>
          <w:tcPr>
            <w:tcW w:w="1072" w:type="dxa"/>
            <w:shd w:val="clear" w:color="auto" w:fill="E2EFD9" w:themeFill="accent6" w:themeFillTint="33"/>
          </w:tcPr>
          <w:p w14:paraId="744CB2CB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E2EFD9" w:themeFill="accent6" w:themeFillTint="33"/>
          </w:tcPr>
          <w:p w14:paraId="3D741008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E2EFD9" w:themeFill="accent6" w:themeFillTint="33"/>
          </w:tcPr>
          <w:p w14:paraId="2897C72B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14:paraId="61C0824D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67D0" w:rsidRPr="008C3C09" w14:paraId="11FE8B0D" w14:textId="77777777" w:rsidTr="00AE0980">
        <w:tc>
          <w:tcPr>
            <w:tcW w:w="10204" w:type="dxa"/>
            <w:gridSpan w:val="2"/>
            <w:shd w:val="clear" w:color="auto" w:fill="E2EFD9" w:themeFill="accent6" w:themeFillTint="33"/>
          </w:tcPr>
          <w:p w14:paraId="752C88EE" w14:textId="5ACB3E7D" w:rsidR="003B34D5" w:rsidRPr="008C3C09" w:rsidRDefault="006737D6" w:rsidP="00493EA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3.c </w:t>
            </w:r>
            <w:r w:rsidR="00210BAE" w:rsidRPr="008C3C09">
              <w:rPr>
                <w:bCs/>
                <w:iCs/>
                <w:sz w:val="20"/>
                <w:szCs w:val="20"/>
              </w:rPr>
              <w:t xml:space="preserve">The student can </w:t>
            </w:r>
            <w:r w:rsidR="00210BAE" w:rsidRPr="008C3C09">
              <w:rPr>
                <w:b/>
                <w:iCs/>
                <w:sz w:val="20"/>
                <w:szCs w:val="20"/>
              </w:rPr>
              <w:t>maintain conversations by providing explanations and comparisons of preferences, opinions and advice</w:t>
            </w:r>
            <w:r w:rsidR="00210BAE" w:rsidRPr="008C3C09">
              <w:rPr>
                <w:bCs/>
                <w:iCs/>
                <w:sz w:val="20"/>
                <w:szCs w:val="20"/>
              </w:rPr>
              <w:t xml:space="preserve"> on familiar and concrete academic and social topics, using a few simple paragraphs across major timeframes.</w:t>
            </w:r>
          </w:p>
        </w:tc>
        <w:tc>
          <w:tcPr>
            <w:tcW w:w="1072" w:type="dxa"/>
            <w:shd w:val="clear" w:color="auto" w:fill="E2EFD9" w:themeFill="accent6" w:themeFillTint="33"/>
          </w:tcPr>
          <w:p w14:paraId="488E155C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E2EFD9" w:themeFill="accent6" w:themeFillTint="33"/>
          </w:tcPr>
          <w:p w14:paraId="0DD650DA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E2EFD9" w:themeFill="accent6" w:themeFillTint="33"/>
          </w:tcPr>
          <w:p w14:paraId="71E87A48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14:paraId="7EA81A1B" w14:textId="77777777" w:rsidR="003B34D5" w:rsidRPr="008C3C09" w:rsidRDefault="003B34D5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67D0" w:rsidRPr="008C3C09" w14:paraId="390CE50C" w14:textId="77777777" w:rsidTr="00AE0980">
        <w:tc>
          <w:tcPr>
            <w:tcW w:w="10204" w:type="dxa"/>
            <w:gridSpan w:val="2"/>
            <w:shd w:val="clear" w:color="auto" w:fill="7030A0"/>
          </w:tcPr>
          <w:p w14:paraId="69C071B2" w14:textId="1E75D272" w:rsidR="00210BAE" w:rsidRPr="008C3C09" w:rsidRDefault="008C3C09" w:rsidP="00493EA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Domain 4: </w:t>
            </w:r>
            <w:r w:rsidR="00210BAE" w:rsidRPr="008C3C09">
              <w:rPr>
                <w:b/>
                <w:bCs/>
                <w:color w:val="FFFFFF" w:themeColor="background1"/>
                <w:sz w:val="20"/>
                <w:szCs w:val="20"/>
              </w:rPr>
              <w:t>Presentational Writing</w:t>
            </w:r>
          </w:p>
        </w:tc>
        <w:tc>
          <w:tcPr>
            <w:tcW w:w="1072" w:type="dxa"/>
            <w:shd w:val="clear" w:color="auto" w:fill="7030A0"/>
          </w:tcPr>
          <w:p w14:paraId="16D6BA18" w14:textId="77777777" w:rsidR="00210BAE" w:rsidRPr="008C3C09" w:rsidRDefault="00210B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7030A0"/>
          </w:tcPr>
          <w:p w14:paraId="46ADEAEF" w14:textId="77777777" w:rsidR="00210BAE" w:rsidRPr="008C3C09" w:rsidRDefault="00210B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7030A0"/>
          </w:tcPr>
          <w:p w14:paraId="191A9FDA" w14:textId="77777777" w:rsidR="00210BAE" w:rsidRPr="008C3C09" w:rsidRDefault="00210B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7030A0"/>
          </w:tcPr>
          <w:p w14:paraId="2D733D8C" w14:textId="77777777" w:rsidR="00210BAE" w:rsidRPr="008C3C09" w:rsidRDefault="00210B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67D0" w:rsidRPr="008C3C09" w14:paraId="108D4BEA" w14:textId="77777777" w:rsidTr="00AE0980">
        <w:tc>
          <w:tcPr>
            <w:tcW w:w="10204" w:type="dxa"/>
            <w:gridSpan w:val="2"/>
            <w:shd w:val="clear" w:color="auto" w:fill="DCC5ED"/>
          </w:tcPr>
          <w:p w14:paraId="3EBBD83F" w14:textId="62D15E98" w:rsidR="00210BAE" w:rsidRPr="008C3C09" w:rsidRDefault="006737D6" w:rsidP="00493EA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4.a </w:t>
            </w:r>
            <w:r w:rsidR="00210BAE" w:rsidRPr="008C3C09">
              <w:rPr>
                <w:bCs/>
                <w:sz w:val="20"/>
                <w:szCs w:val="20"/>
              </w:rPr>
              <w:t xml:space="preserve">The student can </w:t>
            </w:r>
            <w:r w:rsidR="00210BAE" w:rsidRPr="008C3C09">
              <w:rPr>
                <w:b/>
                <w:sz w:val="20"/>
                <w:szCs w:val="20"/>
              </w:rPr>
              <w:t>tell stories</w:t>
            </w:r>
            <w:r w:rsidR="00210BAE" w:rsidRPr="008C3C09">
              <w:rPr>
                <w:bCs/>
                <w:sz w:val="20"/>
                <w:szCs w:val="20"/>
              </w:rPr>
              <w:t xml:space="preserve"> about school and community events and personal experiences, using paragraphs across major time frames.</w:t>
            </w:r>
          </w:p>
        </w:tc>
        <w:tc>
          <w:tcPr>
            <w:tcW w:w="1072" w:type="dxa"/>
            <w:shd w:val="clear" w:color="auto" w:fill="DCC5ED"/>
          </w:tcPr>
          <w:p w14:paraId="4763CF63" w14:textId="77777777" w:rsidR="00210BAE" w:rsidRPr="008C3C09" w:rsidRDefault="00210B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DCC5ED"/>
          </w:tcPr>
          <w:p w14:paraId="5B17F562" w14:textId="77777777" w:rsidR="00210BAE" w:rsidRPr="008C3C09" w:rsidRDefault="00210B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DCC5ED"/>
          </w:tcPr>
          <w:p w14:paraId="412DAA6F" w14:textId="77777777" w:rsidR="00210BAE" w:rsidRPr="008C3C09" w:rsidRDefault="00210B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CC5ED"/>
          </w:tcPr>
          <w:p w14:paraId="0FF04B81" w14:textId="77777777" w:rsidR="00210BAE" w:rsidRPr="008C3C09" w:rsidRDefault="00210B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67D0" w:rsidRPr="008C3C09" w14:paraId="4BBA792A" w14:textId="77777777" w:rsidTr="00AE0980">
        <w:tc>
          <w:tcPr>
            <w:tcW w:w="10204" w:type="dxa"/>
            <w:gridSpan w:val="2"/>
            <w:shd w:val="clear" w:color="auto" w:fill="DCC5ED"/>
          </w:tcPr>
          <w:p w14:paraId="17A5FE64" w14:textId="60F6F694" w:rsidR="00210BAE" w:rsidRPr="008C3C09" w:rsidRDefault="006737D6" w:rsidP="00493EA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4.b </w:t>
            </w:r>
            <w:r w:rsidR="00210BAE" w:rsidRPr="008C3C09">
              <w:rPr>
                <w:bCs/>
                <w:sz w:val="20"/>
                <w:szCs w:val="20"/>
              </w:rPr>
              <w:t xml:space="preserve">The student can </w:t>
            </w:r>
            <w:r w:rsidR="00210BAE" w:rsidRPr="008C3C09">
              <w:rPr>
                <w:b/>
                <w:sz w:val="20"/>
                <w:szCs w:val="20"/>
              </w:rPr>
              <w:t>state a viewpoint with supporting evidence</w:t>
            </w:r>
            <w:r w:rsidR="00210BAE" w:rsidRPr="008C3C09">
              <w:rPr>
                <w:bCs/>
                <w:sz w:val="20"/>
                <w:szCs w:val="20"/>
              </w:rPr>
              <w:t xml:space="preserve"> on some concrete academic, social and professional topics of interest, using paragraphs across major timeframes.</w:t>
            </w:r>
          </w:p>
        </w:tc>
        <w:tc>
          <w:tcPr>
            <w:tcW w:w="1072" w:type="dxa"/>
            <w:shd w:val="clear" w:color="auto" w:fill="DCC5ED"/>
          </w:tcPr>
          <w:p w14:paraId="561D0683" w14:textId="77777777" w:rsidR="00210BAE" w:rsidRPr="008C3C09" w:rsidRDefault="00210B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DCC5ED"/>
          </w:tcPr>
          <w:p w14:paraId="328FB4AB" w14:textId="77777777" w:rsidR="00210BAE" w:rsidRPr="008C3C09" w:rsidRDefault="00210B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DCC5ED"/>
          </w:tcPr>
          <w:p w14:paraId="4E12DF3C" w14:textId="77777777" w:rsidR="00210BAE" w:rsidRPr="008C3C09" w:rsidRDefault="00210B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CC5ED"/>
          </w:tcPr>
          <w:p w14:paraId="450AD5D7" w14:textId="77777777" w:rsidR="00210BAE" w:rsidRPr="008C3C09" w:rsidRDefault="00210B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67D0" w:rsidRPr="008C3C09" w14:paraId="05E12EB4" w14:textId="77777777" w:rsidTr="00AE0980">
        <w:tc>
          <w:tcPr>
            <w:tcW w:w="10204" w:type="dxa"/>
            <w:gridSpan w:val="2"/>
            <w:shd w:val="clear" w:color="auto" w:fill="DCC5ED"/>
          </w:tcPr>
          <w:p w14:paraId="4BC714DA" w14:textId="371F794A" w:rsidR="00210BAE" w:rsidRPr="008C3C09" w:rsidRDefault="006737D6" w:rsidP="00493EA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4.c </w:t>
            </w:r>
            <w:bookmarkStart w:id="0" w:name="_Hlk60323564"/>
            <w:r w:rsidR="00210BAE" w:rsidRPr="008C3C09">
              <w:rPr>
                <w:bCs/>
                <w:iCs/>
                <w:sz w:val="20"/>
                <w:szCs w:val="20"/>
              </w:rPr>
              <w:t xml:space="preserve">The student can </w:t>
            </w:r>
            <w:r w:rsidR="00210BAE" w:rsidRPr="008C3C09">
              <w:rPr>
                <w:b/>
                <w:iCs/>
                <w:sz w:val="20"/>
                <w:szCs w:val="20"/>
              </w:rPr>
              <w:t>deliver presentations</w:t>
            </w:r>
            <w:r w:rsidR="00210BAE" w:rsidRPr="008C3C09">
              <w:rPr>
                <w:bCs/>
                <w:iCs/>
                <w:sz w:val="20"/>
                <w:szCs w:val="20"/>
              </w:rPr>
              <w:t xml:space="preserve"> </w:t>
            </w:r>
            <w:r w:rsidR="00210BAE" w:rsidRPr="006F3158">
              <w:rPr>
                <w:b/>
                <w:iCs/>
                <w:sz w:val="20"/>
                <w:szCs w:val="20"/>
              </w:rPr>
              <w:t>on some concrete academic, social and professional topics of interest</w:t>
            </w:r>
            <w:r w:rsidR="00210BAE" w:rsidRPr="008C3C09">
              <w:rPr>
                <w:bCs/>
                <w:iCs/>
                <w:sz w:val="20"/>
                <w:szCs w:val="20"/>
              </w:rPr>
              <w:t>, using paragraphs across major time frames.</w:t>
            </w:r>
            <w:bookmarkEnd w:id="0"/>
          </w:p>
        </w:tc>
        <w:tc>
          <w:tcPr>
            <w:tcW w:w="1072" w:type="dxa"/>
            <w:shd w:val="clear" w:color="auto" w:fill="DCC5ED"/>
          </w:tcPr>
          <w:p w14:paraId="2F77CBCF" w14:textId="77777777" w:rsidR="00210BAE" w:rsidRPr="008C3C09" w:rsidRDefault="00210B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DCC5ED"/>
          </w:tcPr>
          <w:p w14:paraId="21D28B29" w14:textId="77777777" w:rsidR="00210BAE" w:rsidRPr="008C3C09" w:rsidRDefault="00210B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DCC5ED"/>
          </w:tcPr>
          <w:p w14:paraId="253157E6" w14:textId="77777777" w:rsidR="00210BAE" w:rsidRPr="008C3C09" w:rsidRDefault="00210B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CC5ED"/>
          </w:tcPr>
          <w:p w14:paraId="7105C847" w14:textId="77777777" w:rsidR="00210BAE" w:rsidRPr="008C3C09" w:rsidRDefault="00210BAE" w:rsidP="00493E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4E6180B" w14:textId="77777777" w:rsidR="006333FA" w:rsidRDefault="006333FA" w:rsidP="00493EAB">
      <w:pPr>
        <w:spacing w:line="240" w:lineRule="auto"/>
        <w:rPr>
          <w:b/>
          <w:bCs/>
        </w:rPr>
      </w:pPr>
    </w:p>
    <w:p w14:paraId="5DAF0CD1" w14:textId="22814EF3" w:rsidR="000B68D2" w:rsidRDefault="00166CC2" w:rsidP="00493EAB">
      <w:pPr>
        <w:spacing w:line="240" w:lineRule="auto"/>
        <w:rPr>
          <w:b/>
          <w:bCs/>
        </w:rPr>
      </w:pPr>
      <w:r>
        <w:rPr>
          <w:b/>
          <w:bCs/>
        </w:rPr>
        <w:t>Portfolio Rater Signature ___________________________________</w:t>
      </w:r>
      <w:r>
        <w:rPr>
          <w:b/>
          <w:bCs/>
        </w:rPr>
        <w:tab/>
      </w:r>
      <w:r w:rsidR="000B68D2">
        <w:rPr>
          <w:b/>
          <w:bCs/>
        </w:rPr>
        <w:tab/>
      </w:r>
      <w:r w:rsidR="000B68D2">
        <w:rPr>
          <w:b/>
          <w:bCs/>
        </w:rPr>
        <w:tab/>
      </w:r>
      <w:r w:rsidR="000B68D2">
        <w:rPr>
          <w:b/>
          <w:bCs/>
        </w:rPr>
        <w:tab/>
      </w:r>
      <w:r w:rsidR="000B68D2">
        <w:rPr>
          <w:b/>
          <w:bCs/>
        </w:rPr>
        <w:tab/>
      </w:r>
      <w:r w:rsidR="000B68D2">
        <w:rPr>
          <w:b/>
          <w:bCs/>
        </w:rPr>
        <w:tab/>
      </w:r>
      <w:r w:rsidR="000B68D2">
        <w:rPr>
          <w:b/>
          <w:bCs/>
        </w:rPr>
        <w:tab/>
      </w:r>
      <w:r>
        <w:rPr>
          <w:b/>
          <w:bCs/>
        </w:rPr>
        <w:t>Date_______________</w:t>
      </w:r>
      <w:r w:rsidR="00D3530E">
        <w:rPr>
          <w:b/>
          <w:bCs/>
        </w:rPr>
        <w:t xml:space="preserve">  </w:t>
      </w:r>
    </w:p>
    <w:p w14:paraId="5DCC1026" w14:textId="4C4A8202" w:rsidR="00055797" w:rsidRDefault="00D3530E" w:rsidP="00493EAB">
      <w:pPr>
        <w:spacing w:line="240" w:lineRule="auto"/>
        <w:rPr>
          <w:b/>
          <w:bCs/>
        </w:rPr>
      </w:pPr>
      <w:r>
        <w:rPr>
          <w:b/>
          <w:bCs/>
        </w:rPr>
        <w:t>Final Score (</w:t>
      </w:r>
      <w:r w:rsidR="000B68D2">
        <w:rPr>
          <w:b/>
          <w:bCs/>
        </w:rPr>
        <w:t>to be completed by district</w:t>
      </w:r>
      <w:r w:rsidR="00875AF7">
        <w:rPr>
          <w:b/>
          <w:bCs/>
        </w:rPr>
        <w:t xml:space="preserve"> using Portfolio Score Conversion Tool</w:t>
      </w:r>
      <w:r w:rsidR="000B68D2">
        <w:rPr>
          <w:b/>
          <w:bCs/>
        </w:rPr>
        <w:t>):</w:t>
      </w:r>
      <w:r w:rsidR="00B029E7">
        <w:rPr>
          <w:b/>
          <w:bCs/>
        </w:rPr>
        <w:t xml:space="preserve">  </w:t>
      </w:r>
      <w:r w:rsidR="00BE04B5">
        <w:rPr>
          <w:b/>
          <w:bCs/>
        </w:rPr>
        <w:t xml:space="preserve"> </w:t>
      </w:r>
      <w:r w:rsidR="00BE04B5">
        <w:rPr>
          <w:b/>
          <w:bCs/>
        </w:rPr>
        <w:sym w:font="Wingdings" w:char="F071"/>
      </w:r>
      <w:r w:rsidR="005F6C7C">
        <w:rPr>
          <w:b/>
          <w:bCs/>
        </w:rPr>
        <w:t xml:space="preserve"> </w:t>
      </w:r>
      <w:r w:rsidR="00BE04B5">
        <w:rPr>
          <w:b/>
          <w:bCs/>
        </w:rPr>
        <w:t>Below</w:t>
      </w:r>
      <w:r w:rsidR="005F6C7C">
        <w:rPr>
          <w:b/>
          <w:bCs/>
        </w:rPr>
        <w:t xml:space="preserve"> Intermediate High</w:t>
      </w:r>
      <w:r w:rsidR="005F6C7C">
        <w:rPr>
          <w:b/>
          <w:bCs/>
        </w:rPr>
        <w:tab/>
      </w:r>
      <w:r w:rsidR="005F6C7C">
        <w:rPr>
          <w:b/>
          <w:bCs/>
        </w:rPr>
        <w:sym w:font="Wingdings" w:char="F071"/>
      </w:r>
      <w:r w:rsidR="005F6C7C">
        <w:rPr>
          <w:b/>
          <w:bCs/>
        </w:rPr>
        <w:t xml:space="preserve"> Intermediate High</w:t>
      </w:r>
      <w:r w:rsidR="005F6C7C">
        <w:rPr>
          <w:b/>
          <w:bCs/>
        </w:rPr>
        <w:tab/>
      </w:r>
      <w:r w:rsidR="005F6C7C">
        <w:rPr>
          <w:b/>
          <w:bCs/>
        </w:rPr>
        <w:sym w:font="Wingdings" w:char="F071"/>
      </w:r>
      <w:r w:rsidR="005F6C7C">
        <w:rPr>
          <w:b/>
          <w:bCs/>
        </w:rPr>
        <w:t xml:space="preserve"> Advanced Low </w:t>
      </w:r>
      <w:r w:rsidR="000B68D2">
        <w:rPr>
          <w:b/>
          <w:bCs/>
        </w:rPr>
        <w:t xml:space="preserve"> </w:t>
      </w:r>
    </w:p>
    <w:p w14:paraId="6D03616B" w14:textId="3C83BDDF" w:rsidR="009D24BC" w:rsidRDefault="009D24BC" w:rsidP="00493EAB">
      <w:pPr>
        <w:spacing w:line="240" w:lineRule="auto"/>
        <w:rPr>
          <w:b/>
          <w:bCs/>
        </w:rPr>
        <w:sectPr w:rsidR="009D24BC" w:rsidSect="003B34D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142E5" w14:paraId="2EAF4F2F" w14:textId="77777777" w:rsidTr="00E62C45">
        <w:tc>
          <w:tcPr>
            <w:tcW w:w="10790" w:type="dxa"/>
            <w:shd w:val="clear" w:color="auto" w:fill="D9D9D9" w:themeFill="background1" w:themeFillShade="D9"/>
          </w:tcPr>
          <w:p w14:paraId="5BA04621" w14:textId="464C2E3D" w:rsidR="00C142E5" w:rsidRPr="0076605F" w:rsidRDefault="00C142E5" w:rsidP="00C142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Table 3: Examples</w:t>
            </w:r>
          </w:p>
        </w:tc>
      </w:tr>
      <w:tr w:rsidR="00C142E5" w14:paraId="372F7811" w14:textId="77777777" w:rsidTr="00C142E5">
        <w:tc>
          <w:tcPr>
            <w:tcW w:w="10790" w:type="dxa"/>
          </w:tcPr>
          <w:p w14:paraId="3B43E831" w14:textId="75159479" w:rsidR="00C142E5" w:rsidRDefault="00C142E5" w:rsidP="00C142E5">
            <w:r>
              <w:t>This list is taken from the NCSSFL-ACTFL Can-Do Statements. The bulleted statements below serve only as examples of what students are able to do at this level of proficiency. This is not an exhaustive list, nor is it a required checklist. This serves only to give the rater a more concrete idea of what types of evidence the student should provide.</w:t>
            </w:r>
          </w:p>
        </w:tc>
      </w:tr>
      <w:tr w:rsidR="00E62C45" w14:paraId="60088AA9" w14:textId="77777777" w:rsidTr="005204A3">
        <w:tc>
          <w:tcPr>
            <w:tcW w:w="10790" w:type="dxa"/>
            <w:shd w:val="clear" w:color="auto" w:fill="2F5496"/>
          </w:tcPr>
          <w:p w14:paraId="63F24331" w14:textId="4CF14DCB" w:rsidR="00E62C45" w:rsidRPr="005204A3" w:rsidRDefault="00E62C45" w:rsidP="00C142E5">
            <w:pPr>
              <w:rPr>
                <w:b/>
                <w:bCs/>
                <w:color w:val="FFFFFF" w:themeColor="background1"/>
              </w:rPr>
            </w:pPr>
            <w:r w:rsidRPr="005204A3">
              <w:rPr>
                <w:b/>
                <w:bCs/>
                <w:color w:val="FFFFFF" w:themeColor="background1"/>
              </w:rPr>
              <w:t>Domain 1: Interpretive Listening or Viewing</w:t>
            </w:r>
          </w:p>
        </w:tc>
      </w:tr>
      <w:tr w:rsidR="00351D24" w14:paraId="401C5D16" w14:textId="77777777" w:rsidTr="00C142E5">
        <w:tc>
          <w:tcPr>
            <w:tcW w:w="10790" w:type="dxa"/>
          </w:tcPr>
          <w:p w14:paraId="25BDBAD1" w14:textId="77777777" w:rsidR="00351D24" w:rsidRPr="004039F9" w:rsidRDefault="00351D24" w:rsidP="00351D2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039F9">
              <w:rPr>
                <w:b/>
                <w:bCs/>
              </w:rPr>
              <w:t>The student can identify the underlying message and some supporting details across major time frames in descriptive informational texts.</w:t>
            </w:r>
          </w:p>
          <w:p w14:paraId="7AB4A064" w14:textId="77777777" w:rsidR="00351D24" w:rsidRPr="0076605F" w:rsidRDefault="00351D24" w:rsidP="00351D24">
            <w:pPr>
              <w:pStyle w:val="ListParagraph"/>
              <w:numPr>
                <w:ilvl w:val="1"/>
                <w:numId w:val="1"/>
              </w:numPr>
            </w:pPr>
            <w:r w:rsidRPr="0076605F">
              <w:t>Understand short presentations about famous people in history.</w:t>
            </w:r>
          </w:p>
          <w:p w14:paraId="7E7A0C91" w14:textId="77777777" w:rsidR="00351D24" w:rsidRPr="0076605F" w:rsidRDefault="00351D24" w:rsidP="00351D24">
            <w:pPr>
              <w:pStyle w:val="ListParagraph"/>
              <w:numPr>
                <w:ilvl w:val="1"/>
                <w:numId w:val="1"/>
              </w:numPr>
            </w:pPr>
            <w:r w:rsidRPr="0076605F">
              <w:t>Follow the details of televised promotions for upcoming programs.</w:t>
            </w:r>
          </w:p>
          <w:p w14:paraId="2B411AC7" w14:textId="77777777" w:rsidR="00351D24" w:rsidRPr="0076605F" w:rsidRDefault="00351D24" w:rsidP="00351D24">
            <w:pPr>
              <w:pStyle w:val="ListParagraph"/>
              <w:numPr>
                <w:ilvl w:val="1"/>
                <w:numId w:val="1"/>
              </w:numPr>
            </w:pPr>
            <w:r w:rsidRPr="0076605F">
              <w:t>Identify the events of a travel writer’s most recent trip as recounted in a podcast.</w:t>
            </w:r>
          </w:p>
          <w:p w14:paraId="7BAD00C2" w14:textId="77777777" w:rsidR="00351D24" w:rsidRPr="0076605F" w:rsidRDefault="00351D24" w:rsidP="00351D24">
            <w:pPr>
              <w:pStyle w:val="ListParagraph"/>
              <w:numPr>
                <w:ilvl w:val="1"/>
                <w:numId w:val="1"/>
              </w:numPr>
            </w:pPr>
            <w:r w:rsidRPr="0076605F">
              <w:t>Understand the main points of a recorded short story.</w:t>
            </w:r>
          </w:p>
          <w:p w14:paraId="7C1B586E" w14:textId="6EEAFC7A" w:rsidR="00351D24" w:rsidRPr="00351D24" w:rsidRDefault="00351D24" w:rsidP="00351D24">
            <w:pPr>
              <w:pStyle w:val="ListParagraph"/>
              <w:numPr>
                <w:ilvl w:val="1"/>
                <w:numId w:val="1"/>
              </w:numPr>
            </w:pPr>
            <w:r w:rsidRPr="0076605F">
              <w:t>Understand a talk about a student’s study abroad experience.</w:t>
            </w:r>
          </w:p>
        </w:tc>
      </w:tr>
      <w:tr w:rsidR="00351D24" w14:paraId="4A212C5B" w14:textId="77777777" w:rsidTr="00C142E5">
        <w:tc>
          <w:tcPr>
            <w:tcW w:w="10790" w:type="dxa"/>
          </w:tcPr>
          <w:p w14:paraId="26002340" w14:textId="77777777" w:rsidR="00351D24" w:rsidRPr="004039F9" w:rsidRDefault="00351D24" w:rsidP="00351D2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039F9">
              <w:rPr>
                <w:b/>
                <w:bCs/>
              </w:rPr>
              <w:t>The student can follow the main story and some supporting details across major time frames in fictional texts.</w:t>
            </w:r>
          </w:p>
          <w:p w14:paraId="6E55035F" w14:textId="77777777" w:rsidR="00351D24" w:rsidRPr="0076605F" w:rsidRDefault="00351D24" w:rsidP="00351D24">
            <w:pPr>
              <w:pStyle w:val="ListParagraph"/>
              <w:numPr>
                <w:ilvl w:val="1"/>
                <w:numId w:val="1"/>
              </w:numPr>
            </w:pPr>
            <w:r w:rsidRPr="0076605F">
              <w:t>Understand the moral lesson expressed in an oral fable.</w:t>
            </w:r>
          </w:p>
          <w:p w14:paraId="4E6F4B65" w14:textId="77777777" w:rsidR="00351D24" w:rsidRPr="0076605F" w:rsidRDefault="00351D24" w:rsidP="00351D24">
            <w:pPr>
              <w:pStyle w:val="ListParagraph"/>
              <w:numPr>
                <w:ilvl w:val="1"/>
                <w:numId w:val="1"/>
              </w:numPr>
            </w:pPr>
            <w:r w:rsidRPr="0076605F">
              <w:t>Identify events that influenced a character’s decisions in an opera.</w:t>
            </w:r>
          </w:p>
          <w:p w14:paraId="1EAC5383" w14:textId="77777777" w:rsidR="00351D24" w:rsidRPr="0076605F" w:rsidRDefault="00351D24" w:rsidP="00351D24">
            <w:pPr>
              <w:pStyle w:val="ListParagraph"/>
              <w:numPr>
                <w:ilvl w:val="1"/>
                <w:numId w:val="1"/>
              </w:numPr>
            </w:pPr>
            <w:r w:rsidRPr="0076605F">
              <w:t>Identify the historical values expressed in an epic poem.</w:t>
            </w:r>
          </w:p>
          <w:p w14:paraId="540C78B1" w14:textId="77777777" w:rsidR="00351D24" w:rsidRPr="0076605F" w:rsidRDefault="00351D24" w:rsidP="00351D24">
            <w:pPr>
              <w:pStyle w:val="ListParagraph"/>
              <w:numPr>
                <w:ilvl w:val="1"/>
                <w:numId w:val="1"/>
              </w:numPr>
            </w:pPr>
            <w:r w:rsidRPr="0076605F">
              <w:t>Identify the political beliefs of characters in an historical re-enactment.</w:t>
            </w:r>
          </w:p>
          <w:p w14:paraId="2F0ABDD4" w14:textId="7B792BA8" w:rsidR="00351D24" w:rsidRPr="00351D24" w:rsidRDefault="00351D24" w:rsidP="00351D24">
            <w:pPr>
              <w:pStyle w:val="ListParagraph"/>
              <w:numPr>
                <w:ilvl w:val="1"/>
                <w:numId w:val="1"/>
              </w:numPr>
            </w:pPr>
            <w:r w:rsidRPr="0076605F">
              <w:t>Understand the reasons for a character’s transformation in a play.</w:t>
            </w:r>
          </w:p>
        </w:tc>
      </w:tr>
      <w:tr w:rsidR="00351D24" w14:paraId="6F9460C4" w14:textId="77777777" w:rsidTr="00C142E5">
        <w:tc>
          <w:tcPr>
            <w:tcW w:w="10790" w:type="dxa"/>
          </w:tcPr>
          <w:p w14:paraId="64505C77" w14:textId="77777777" w:rsidR="00351D24" w:rsidRPr="004039F9" w:rsidRDefault="00351D24" w:rsidP="00351D2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039F9">
              <w:rPr>
                <w:b/>
                <w:bCs/>
              </w:rPr>
              <w:t>The student can understand the main message and some supporting details across major time frames in conversation and discussions.</w:t>
            </w:r>
          </w:p>
          <w:p w14:paraId="79F82987" w14:textId="77777777" w:rsidR="00351D24" w:rsidRPr="0076605F" w:rsidRDefault="00351D24" w:rsidP="00351D24">
            <w:pPr>
              <w:pStyle w:val="ListParagraph"/>
              <w:numPr>
                <w:ilvl w:val="1"/>
                <w:numId w:val="1"/>
              </w:numPr>
            </w:pPr>
            <w:r w:rsidRPr="0076605F">
              <w:t>Understand the discussion about the remodeling of a room between an interior designer and a customer.</w:t>
            </w:r>
          </w:p>
          <w:p w14:paraId="405E1A40" w14:textId="77777777" w:rsidR="00351D24" w:rsidRPr="0076605F" w:rsidRDefault="00351D24" w:rsidP="00351D24">
            <w:pPr>
              <w:pStyle w:val="ListParagraph"/>
              <w:numPr>
                <w:ilvl w:val="1"/>
                <w:numId w:val="1"/>
              </w:numPr>
            </w:pPr>
            <w:r w:rsidRPr="0076605F">
              <w:t>Understand the feelings expressed by friends about their parents or relatives.</w:t>
            </w:r>
          </w:p>
          <w:p w14:paraId="7521ECFA" w14:textId="77777777" w:rsidR="00351D24" w:rsidRPr="0076605F" w:rsidRDefault="00351D24" w:rsidP="00351D24">
            <w:pPr>
              <w:pStyle w:val="ListParagraph"/>
              <w:numPr>
                <w:ilvl w:val="1"/>
                <w:numId w:val="1"/>
              </w:numPr>
            </w:pPr>
            <w:r w:rsidRPr="0076605F">
              <w:t>Understand a couple’s plans for their wedding and honeymoon.</w:t>
            </w:r>
          </w:p>
          <w:p w14:paraId="318D29F5" w14:textId="77777777" w:rsidR="00351D24" w:rsidRPr="0076605F" w:rsidRDefault="00351D24" w:rsidP="00351D24">
            <w:pPr>
              <w:pStyle w:val="ListParagraph"/>
              <w:numPr>
                <w:ilvl w:val="1"/>
                <w:numId w:val="1"/>
              </w:numPr>
            </w:pPr>
            <w:r w:rsidRPr="0076605F">
              <w:t>Follow a video conferencing session where participants are talking about a planned environmental project.</w:t>
            </w:r>
          </w:p>
          <w:p w14:paraId="1CC93F76" w14:textId="490EBDA0" w:rsidR="00351D24" w:rsidRPr="00351D24" w:rsidRDefault="00351D24" w:rsidP="00351D24">
            <w:pPr>
              <w:pStyle w:val="ListParagraph"/>
              <w:numPr>
                <w:ilvl w:val="1"/>
                <w:numId w:val="1"/>
              </w:numPr>
            </w:pPr>
            <w:r w:rsidRPr="0076605F">
              <w:t>Understand a conversation where friends express their concerns about an upcoming election.</w:t>
            </w:r>
          </w:p>
        </w:tc>
      </w:tr>
      <w:tr w:rsidR="006C7616" w14:paraId="1013D9D3" w14:textId="77777777" w:rsidTr="006C7616">
        <w:tc>
          <w:tcPr>
            <w:tcW w:w="10790" w:type="dxa"/>
            <w:shd w:val="clear" w:color="auto" w:fill="ED7D31" w:themeFill="accent2"/>
          </w:tcPr>
          <w:p w14:paraId="48481329" w14:textId="52E18E8E" w:rsidR="006C7616" w:rsidRPr="006C7616" w:rsidRDefault="006C7616" w:rsidP="006C7616">
            <w:pPr>
              <w:rPr>
                <w:b/>
                <w:bCs/>
                <w:color w:val="2F5496"/>
              </w:rPr>
            </w:pPr>
            <w:r w:rsidRPr="006C7616">
              <w:rPr>
                <w:b/>
                <w:bCs/>
                <w:color w:val="FFFFFF" w:themeColor="background1"/>
              </w:rPr>
              <w:t>Domain 2: Interpretive Reading</w:t>
            </w:r>
          </w:p>
        </w:tc>
      </w:tr>
      <w:tr w:rsidR="006C7616" w14:paraId="2035D7EF" w14:textId="77777777" w:rsidTr="00C142E5">
        <w:tc>
          <w:tcPr>
            <w:tcW w:w="10790" w:type="dxa"/>
          </w:tcPr>
          <w:p w14:paraId="424D1145" w14:textId="77777777" w:rsidR="006C7616" w:rsidRPr="004039F9" w:rsidRDefault="006C7616" w:rsidP="004039F9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4039F9">
              <w:rPr>
                <w:b/>
                <w:bCs/>
              </w:rPr>
              <w:t xml:space="preserve">The student can identify the underlying message and some supporting details across major time frames in descriptive informational texts. </w:t>
            </w:r>
          </w:p>
          <w:p w14:paraId="219C6E77" w14:textId="77777777" w:rsidR="006C7616" w:rsidRPr="0076605F" w:rsidRDefault="006C7616" w:rsidP="004039F9">
            <w:pPr>
              <w:pStyle w:val="ListParagraph"/>
              <w:numPr>
                <w:ilvl w:val="1"/>
                <w:numId w:val="8"/>
              </w:numPr>
            </w:pPr>
            <w:r w:rsidRPr="0076605F">
              <w:t>Understand written summaries of candidates’ platforms to make a voting decision.</w:t>
            </w:r>
          </w:p>
          <w:p w14:paraId="0946A260" w14:textId="77777777" w:rsidR="006C7616" w:rsidRPr="0076605F" w:rsidRDefault="006C7616" w:rsidP="004039F9">
            <w:pPr>
              <w:pStyle w:val="ListParagraph"/>
              <w:numPr>
                <w:ilvl w:val="1"/>
                <w:numId w:val="8"/>
              </w:numPr>
            </w:pPr>
            <w:r w:rsidRPr="0076605F">
              <w:t>Understand some events described in an excerpt from an historical journal.</w:t>
            </w:r>
          </w:p>
          <w:p w14:paraId="75CFF9DD" w14:textId="77777777" w:rsidR="006C7616" w:rsidRPr="0076605F" w:rsidRDefault="006C7616" w:rsidP="004039F9">
            <w:pPr>
              <w:pStyle w:val="ListParagraph"/>
              <w:numPr>
                <w:ilvl w:val="1"/>
                <w:numId w:val="8"/>
              </w:numPr>
            </w:pPr>
            <w:r w:rsidRPr="0076605F">
              <w:t>Understand absentee and sick leave policies in an employee handbook.</w:t>
            </w:r>
          </w:p>
          <w:p w14:paraId="46B18DF1" w14:textId="77777777" w:rsidR="006C7616" w:rsidRPr="0076605F" w:rsidRDefault="006C7616" w:rsidP="004039F9">
            <w:pPr>
              <w:pStyle w:val="ListParagraph"/>
              <w:numPr>
                <w:ilvl w:val="1"/>
                <w:numId w:val="8"/>
              </w:numPr>
            </w:pPr>
            <w:r w:rsidRPr="0076605F">
              <w:t>Read movie reviews to choose what to watch.</w:t>
            </w:r>
          </w:p>
          <w:p w14:paraId="249F3DBB" w14:textId="77777777" w:rsidR="006C7616" w:rsidRPr="0076605F" w:rsidRDefault="006C7616" w:rsidP="004039F9">
            <w:pPr>
              <w:pStyle w:val="ListParagraph"/>
              <w:numPr>
                <w:ilvl w:val="1"/>
                <w:numId w:val="8"/>
              </w:numPr>
            </w:pPr>
            <w:r w:rsidRPr="0076605F">
              <w:t>Read a catalogue of course descriptions to choose my classes.</w:t>
            </w:r>
          </w:p>
          <w:p w14:paraId="13618B9E" w14:textId="77777777" w:rsidR="006C7616" w:rsidRPr="006C7616" w:rsidRDefault="006C7616" w:rsidP="006C7616">
            <w:pPr>
              <w:rPr>
                <w:b/>
                <w:bCs/>
                <w:color w:val="2F5496"/>
              </w:rPr>
            </w:pPr>
          </w:p>
        </w:tc>
      </w:tr>
      <w:tr w:rsidR="006C7616" w14:paraId="1B62DF22" w14:textId="77777777" w:rsidTr="00C142E5">
        <w:tc>
          <w:tcPr>
            <w:tcW w:w="10790" w:type="dxa"/>
          </w:tcPr>
          <w:p w14:paraId="275EBF65" w14:textId="77777777" w:rsidR="006C7616" w:rsidRPr="004039F9" w:rsidRDefault="006C7616" w:rsidP="004039F9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4039F9">
              <w:rPr>
                <w:b/>
                <w:bCs/>
              </w:rPr>
              <w:t>The student can follow the main story and some supporting details across major time frames in fictional texts.</w:t>
            </w:r>
          </w:p>
          <w:p w14:paraId="78E141EF" w14:textId="77777777" w:rsidR="006C7616" w:rsidRPr="0076605F" w:rsidRDefault="006C7616" w:rsidP="006C7616">
            <w:pPr>
              <w:pStyle w:val="ListParagraph"/>
              <w:numPr>
                <w:ilvl w:val="1"/>
                <w:numId w:val="2"/>
              </w:numPr>
            </w:pPr>
            <w:r w:rsidRPr="0076605F">
              <w:t xml:space="preserve">Understand the moral lesson expressed in a fable. </w:t>
            </w:r>
          </w:p>
          <w:p w14:paraId="74AB54A9" w14:textId="77777777" w:rsidR="006C7616" w:rsidRPr="0076605F" w:rsidRDefault="006C7616" w:rsidP="006C7616">
            <w:pPr>
              <w:pStyle w:val="ListParagraph"/>
              <w:numPr>
                <w:ilvl w:val="1"/>
                <w:numId w:val="2"/>
              </w:numPr>
            </w:pPr>
            <w:r w:rsidRPr="0076605F">
              <w:t>Understand the details that motivated the main character to commit a crime in a mystery.</w:t>
            </w:r>
          </w:p>
          <w:p w14:paraId="6BDBD01A" w14:textId="77777777" w:rsidR="006C7616" w:rsidRPr="0076605F" w:rsidRDefault="006C7616" w:rsidP="006C7616">
            <w:pPr>
              <w:pStyle w:val="ListParagraph"/>
              <w:numPr>
                <w:ilvl w:val="1"/>
                <w:numId w:val="2"/>
              </w:numPr>
            </w:pPr>
            <w:r w:rsidRPr="0076605F">
              <w:t>Identify the historical values expressed in an epic poem.</w:t>
            </w:r>
          </w:p>
          <w:p w14:paraId="6ACB6742" w14:textId="77777777" w:rsidR="006C7616" w:rsidRPr="0076605F" w:rsidRDefault="006C7616" w:rsidP="006C7616">
            <w:pPr>
              <w:pStyle w:val="ListParagraph"/>
              <w:numPr>
                <w:ilvl w:val="1"/>
                <w:numId w:val="2"/>
              </w:numPr>
            </w:pPr>
            <w:r w:rsidRPr="0076605F">
              <w:t>Understand the main points of a science fiction short story.</w:t>
            </w:r>
          </w:p>
          <w:p w14:paraId="18454BE3" w14:textId="77777777" w:rsidR="006C7616" w:rsidRPr="0076605F" w:rsidRDefault="006C7616" w:rsidP="006C7616">
            <w:pPr>
              <w:pStyle w:val="ListParagraph"/>
              <w:numPr>
                <w:ilvl w:val="1"/>
                <w:numId w:val="2"/>
              </w:numPr>
            </w:pPr>
            <w:r w:rsidRPr="0076605F">
              <w:t>Understand the reasons for a character’s transformation in a chapter of a graphic novel.</w:t>
            </w:r>
          </w:p>
          <w:p w14:paraId="2837EFA4" w14:textId="77777777" w:rsidR="006C7616" w:rsidRPr="004039F9" w:rsidRDefault="006C7616" w:rsidP="004039F9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4039F9">
              <w:rPr>
                <w:b/>
                <w:bCs/>
              </w:rPr>
              <w:lastRenderedPageBreak/>
              <w:t>The student can understand the main message and some supporting details across major time frames in conversations and discussions.</w:t>
            </w:r>
          </w:p>
          <w:p w14:paraId="04F12C57" w14:textId="77777777" w:rsidR="006C7616" w:rsidRPr="0076605F" w:rsidRDefault="006C7616" w:rsidP="006C7616">
            <w:pPr>
              <w:pStyle w:val="ListParagraph"/>
              <w:numPr>
                <w:ilvl w:val="1"/>
                <w:numId w:val="2"/>
              </w:numPr>
            </w:pPr>
            <w:r w:rsidRPr="0076605F">
              <w:t>I can understand a discussion about a home remodeling on a designer’s blog.</w:t>
            </w:r>
          </w:p>
          <w:p w14:paraId="333EBD34" w14:textId="77777777" w:rsidR="006C7616" w:rsidRPr="0076605F" w:rsidRDefault="006C7616" w:rsidP="006C7616">
            <w:pPr>
              <w:pStyle w:val="ListParagraph"/>
              <w:numPr>
                <w:ilvl w:val="1"/>
                <w:numId w:val="2"/>
              </w:numPr>
            </w:pPr>
            <w:r w:rsidRPr="0076605F">
              <w:t>I can understand an email thread about someone’s wedding plans.</w:t>
            </w:r>
          </w:p>
          <w:p w14:paraId="08ED4531" w14:textId="77777777" w:rsidR="006C7616" w:rsidRPr="0076605F" w:rsidRDefault="006C7616" w:rsidP="006C7616">
            <w:pPr>
              <w:pStyle w:val="ListParagraph"/>
              <w:numPr>
                <w:ilvl w:val="1"/>
                <w:numId w:val="2"/>
              </w:numPr>
            </w:pPr>
            <w:r w:rsidRPr="0076605F">
              <w:t>I can understand an online forum where people express concerns about an upcoming election.</w:t>
            </w:r>
          </w:p>
          <w:p w14:paraId="11841F5A" w14:textId="77777777" w:rsidR="006C7616" w:rsidRPr="0076605F" w:rsidRDefault="006C7616" w:rsidP="006C7616">
            <w:pPr>
              <w:pStyle w:val="ListParagraph"/>
              <w:numPr>
                <w:ilvl w:val="1"/>
                <w:numId w:val="2"/>
              </w:numPr>
            </w:pPr>
            <w:r w:rsidRPr="0076605F">
              <w:t>I can understand an exchange of letters relating to a product malfunction.</w:t>
            </w:r>
          </w:p>
          <w:p w14:paraId="14B37C2A" w14:textId="77777777" w:rsidR="006C7616" w:rsidRPr="0076605F" w:rsidRDefault="006C7616" w:rsidP="006C7616">
            <w:pPr>
              <w:pStyle w:val="ListParagraph"/>
              <w:numPr>
                <w:ilvl w:val="1"/>
                <w:numId w:val="2"/>
              </w:numPr>
            </w:pPr>
            <w:r w:rsidRPr="0076605F">
              <w:t>I can understand reactions and responses in an electronic discussion about a new law.</w:t>
            </w:r>
          </w:p>
          <w:p w14:paraId="457E5A81" w14:textId="77777777" w:rsidR="006C7616" w:rsidRPr="006C7616" w:rsidRDefault="006C7616" w:rsidP="006C7616">
            <w:pPr>
              <w:rPr>
                <w:b/>
                <w:bCs/>
                <w:color w:val="2F5496"/>
              </w:rPr>
            </w:pPr>
          </w:p>
        </w:tc>
      </w:tr>
      <w:tr w:rsidR="006C7616" w14:paraId="6FC454BF" w14:textId="77777777" w:rsidTr="004039F9">
        <w:tc>
          <w:tcPr>
            <w:tcW w:w="10790" w:type="dxa"/>
            <w:shd w:val="clear" w:color="auto" w:fill="6BA42C"/>
          </w:tcPr>
          <w:p w14:paraId="4F8D034C" w14:textId="34D457FD" w:rsidR="006C7616" w:rsidRPr="00FA0349" w:rsidRDefault="00FA0349" w:rsidP="00FA0349">
            <w:pPr>
              <w:spacing w:line="259" w:lineRule="auto"/>
              <w:rPr>
                <w:b/>
                <w:bCs/>
                <w:color w:val="70AD47" w:themeColor="accent6"/>
              </w:rPr>
            </w:pPr>
            <w:r w:rsidRPr="00FA0349">
              <w:rPr>
                <w:b/>
                <w:bCs/>
                <w:color w:val="FFFFFF" w:themeColor="background1"/>
              </w:rPr>
              <w:lastRenderedPageBreak/>
              <w:t>Domain 3: Interpersonal Listening/Speaking</w:t>
            </w:r>
          </w:p>
        </w:tc>
      </w:tr>
      <w:tr w:rsidR="006C7616" w14:paraId="7DC1AADB" w14:textId="77777777" w:rsidTr="00C142E5">
        <w:tc>
          <w:tcPr>
            <w:tcW w:w="10790" w:type="dxa"/>
          </w:tcPr>
          <w:p w14:paraId="5ACF6402" w14:textId="650CA829" w:rsidR="00FA0349" w:rsidRPr="004039F9" w:rsidRDefault="00FA0349" w:rsidP="00FA034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b/>
                <w:bCs/>
              </w:rPr>
            </w:pPr>
            <w:r w:rsidRPr="004039F9">
              <w:rPr>
                <w:b/>
                <w:bCs/>
              </w:rPr>
              <w:t>The student can exchange information and ideas in discussions on a variety of familiar and concrete academic and social topics, using a few simple paragraphs across major time frames.</w:t>
            </w:r>
          </w:p>
          <w:p w14:paraId="613C94B7" w14:textId="77777777" w:rsidR="00FA0349" w:rsidRPr="009C189A" w:rsidRDefault="00FA0349" w:rsidP="00FA0349">
            <w:pPr>
              <w:pStyle w:val="ListParagraph"/>
              <w:numPr>
                <w:ilvl w:val="1"/>
                <w:numId w:val="2"/>
              </w:numPr>
            </w:pPr>
            <w:r>
              <w:t>P</w:t>
            </w:r>
            <w:r w:rsidRPr="009C189A">
              <w:t>articipate in a conversation to identify current and past examples of challenges that immigrants faced.</w:t>
            </w:r>
          </w:p>
          <w:p w14:paraId="6C221136" w14:textId="77777777" w:rsidR="00FA0349" w:rsidRPr="009C189A" w:rsidRDefault="00FA0349" w:rsidP="00FA0349">
            <w:pPr>
              <w:pStyle w:val="ListParagraph"/>
              <w:numPr>
                <w:ilvl w:val="1"/>
                <w:numId w:val="2"/>
              </w:numPr>
            </w:pPr>
            <w:r>
              <w:t>D</w:t>
            </w:r>
            <w:r w:rsidRPr="009C189A">
              <w:t>iscuss with others the preparations that have been done and need to be done for an upcoming play or presentation.</w:t>
            </w:r>
          </w:p>
          <w:p w14:paraId="71FB318F" w14:textId="77777777" w:rsidR="00FA0349" w:rsidRPr="009C189A" w:rsidRDefault="00FA0349" w:rsidP="00FA0349">
            <w:pPr>
              <w:pStyle w:val="ListParagraph"/>
              <w:numPr>
                <w:ilvl w:val="1"/>
                <w:numId w:val="2"/>
              </w:numPr>
            </w:pPr>
            <w:r>
              <w:t>D</w:t>
            </w:r>
            <w:r w:rsidRPr="009C189A">
              <w:t>iscuss with a friend on the phone a problem I am having and come up with solutions.</w:t>
            </w:r>
          </w:p>
          <w:p w14:paraId="74E12E7F" w14:textId="5DF3A8EC" w:rsidR="006C7616" w:rsidRPr="00FA0349" w:rsidRDefault="00FA0349" w:rsidP="006C7616">
            <w:pPr>
              <w:pStyle w:val="ListParagraph"/>
              <w:numPr>
                <w:ilvl w:val="1"/>
                <w:numId w:val="2"/>
              </w:numPr>
            </w:pPr>
            <w:r>
              <w:t>D</w:t>
            </w:r>
            <w:r w:rsidRPr="009C189A">
              <w:t>iscuss important historical events and their connection to the present.</w:t>
            </w:r>
          </w:p>
        </w:tc>
      </w:tr>
      <w:tr w:rsidR="006C7616" w14:paraId="07BAB6F7" w14:textId="77777777" w:rsidTr="00C142E5">
        <w:tc>
          <w:tcPr>
            <w:tcW w:w="10790" w:type="dxa"/>
          </w:tcPr>
          <w:p w14:paraId="7DDE0931" w14:textId="0B591CD8" w:rsidR="00FA0349" w:rsidRPr="004039F9" w:rsidRDefault="00FA0349" w:rsidP="00FA034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b/>
                <w:bCs/>
              </w:rPr>
            </w:pPr>
            <w:r w:rsidRPr="004039F9">
              <w:rPr>
                <w:b/>
                <w:bCs/>
              </w:rPr>
              <w:t>The student can interact and negotiate to resolve an unexpected complication that arises in a familiar situation, using a few simple paragraphs across major time frames.</w:t>
            </w:r>
          </w:p>
          <w:p w14:paraId="4A138C4B" w14:textId="77777777" w:rsidR="00FA0349" w:rsidRPr="009C189A" w:rsidRDefault="00FA0349" w:rsidP="00FA0349">
            <w:pPr>
              <w:pStyle w:val="ListParagraph"/>
              <w:numPr>
                <w:ilvl w:val="1"/>
                <w:numId w:val="2"/>
              </w:numPr>
            </w:pPr>
            <w:r>
              <w:t>N</w:t>
            </w:r>
            <w:r w:rsidRPr="009C189A">
              <w:t>egotiate with a customer service representative to receive a refund for an item I purchased.</w:t>
            </w:r>
          </w:p>
          <w:p w14:paraId="6AF9FDDF" w14:textId="77777777" w:rsidR="00FA0349" w:rsidRPr="009C189A" w:rsidRDefault="00FA0349" w:rsidP="00FA0349">
            <w:pPr>
              <w:pStyle w:val="ListParagraph"/>
              <w:numPr>
                <w:ilvl w:val="1"/>
                <w:numId w:val="2"/>
              </w:numPr>
            </w:pPr>
            <w:r>
              <w:t>I</w:t>
            </w:r>
            <w:r w:rsidRPr="009C189A">
              <w:t>nteract with my supervisor to request time off from work and explain why I need it.</w:t>
            </w:r>
          </w:p>
          <w:p w14:paraId="138D520B" w14:textId="77777777" w:rsidR="00FA0349" w:rsidRPr="009C189A" w:rsidRDefault="00FA0349" w:rsidP="00FA0349">
            <w:pPr>
              <w:pStyle w:val="ListParagraph"/>
              <w:numPr>
                <w:ilvl w:val="1"/>
                <w:numId w:val="2"/>
              </w:numPr>
            </w:pPr>
            <w:r>
              <w:t>D</w:t>
            </w:r>
            <w:r w:rsidRPr="009C189A">
              <w:t>iscuss with a friend how and when I am going to replace an item that I borrowed and then lost.</w:t>
            </w:r>
          </w:p>
          <w:p w14:paraId="2F91378E" w14:textId="77777777" w:rsidR="00FA0349" w:rsidRPr="009C189A" w:rsidRDefault="00FA0349" w:rsidP="00FA0349">
            <w:pPr>
              <w:pStyle w:val="ListParagraph"/>
              <w:numPr>
                <w:ilvl w:val="1"/>
                <w:numId w:val="2"/>
              </w:numPr>
            </w:pPr>
            <w:r>
              <w:t>I</w:t>
            </w:r>
            <w:r w:rsidRPr="009C189A">
              <w:t>nteract with the hotel staff to request a room switch.</w:t>
            </w:r>
          </w:p>
          <w:p w14:paraId="710D07F8" w14:textId="77777777" w:rsidR="00FA0349" w:rsidRPr="009C189A" w:rsidRDefault="00FA0349" w:rsidP="00FA0349">
            <w:pPr>
              <w:pStyle w:val="ListParagraph"/>
              <w:numPr>
                <w:ilvl w:val="1"/>
                <w:numId w:val="2"/>
              </w:numPr>
            </w:pPr>
            <w:r>
              <w:t>D</w:t>
            </w:r>
            <w:r w:rsidRPr="009C189A">
              <w:t>iscuss with the rental agent what happened to a rental car.</w:t>
            </w:r>
          </w:p>
          <w:p w14:paraId="4B2FE6EC" w14:textId="77777777" w:rsidR="006C7616" w:rsidRPr="006C7616" w:rsidRDefault="006C7616" w:rsidP="006C7616">
            <w:pPr>
              <w:rPr>
                <w:b/>
                <w:bCs/>
                <w:color w:val="2F5496"/>
              </w:rPr>
            </w:pPr>
          </w:p>
        </w:tc>
      </w:tr>
      <w:tr w:rsidR="00FA0349" w14:paraId="750BF3A6" w14:textId="77777777" w:rsidTr="00C142E5">
        <w:tc>
          <w:tcPr>
            <w:tcW w:w="10790" w:type="dxa"/>
          </w:tcPr>
          <w:p w14:paraId="7CEBD0BC" w14:textId="1ABB6141" w:rsidR="00FA0349" w:rsidRPr="004039F9" w:rsidRDefault="00FA0349" w:rsidP="00FA034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b/>
                <w:bCs/>
              </w:rPr>
            </w:pPr>
            <w:r w:rsidRPr="004039F9">
              <w:rPr>
                <w:b/>
                <w:bCs/>
              </w:rPr>
              <w:t>The student can maintain conversations by providing explanations and comparisons of preferences, opinions and advice on familiar and concrete academic and social topics, using a few simple paragraphs across major timeframes.</w:t>
            </w:r>
          </w:p>
          <w:p w14:paraId="7DB3C2F1" w14:textId="77777777" w:rsidR="00FA0349" w:rsidRPr="009C189A" w:rsidRDefault="00FA0349" w:rsidP="00FA0349">
            <w:pPr>
              <w:pStyle w:val="ListParagraph"/>
              <w:numPr>
                <w:ilvl w:val="1"/>
                <w:numId w:val="2"/>
              </w:numPr>
            </w:pPr>
            <w:r>
              <w:t>N</w:t>
            </w:r>
            <w:r w:rsidRPr="009C189A">
              <w:t>egotiate with a customer service representative to receive a refund for an item I purchased.</w:t>
            </w:r>
          </w:p>
          <w:p w14:paraId="744A8CA9" w14:textId="77777777" w:rsidR="00FA0349" w:rsidRPr="009C189A" w:rsidRDefault="00FA0349" w:rsidP="00FA0349">
            <w:pPr>
              <w:pStyle w:val="ListParagraph"/>
              <w:numPr>
                <w:ilvl w:val="1"/>
                <w:numId w:val="2"/>
              </w:numPr>
            </w:pPr>
            <w:r>
              <w:t>I</w:t>
            </w:r>
            <w:r w:rsidRPr="009C189A">
              <w:t>nteract with my supervisor to request time off from work and explain why I need it.</w:t>
            </w:r>
          </w:p>
          <w:p w14:paraId="6B032BFF" w14:textId="77777777" w:rsidR="00FA0349" w:rsidRPr="009C189A" w:rsidRDefault="00FA0349" w:rsidP="00FA0349">
            <w:pPr>
              <w:pStyle w:val="ListParagraph"/>
              <w:numPr>
                <w:ilvl w:val="1"/>
                <w:numId w:val="2"/>
              </w:numPr>
            </w:pPr>
            <w:r>
              <w:t>D</w:t>
            </w:r>
            <w:r w:rsidRPr="009C189A">
              <w:t>iscuss with a friend how and when I am going to replace an item that I borrowed and then lost.</w:t>
            </w:r>
          </w:p>
          <w:p w14:paraId="73BBD889" w14:textId="77777777" w:rsidR="00FA0349" w:rsidRPr="009C189A" w:rsidRDefault="00FA0349" w:rsidP="00FA0349">
            <w:pPr>
              <w:pStyle w:val="ListParagraph"/>
              <w:numPr>
                <w:ilvl w:val="1"/>
                <w:numId w:val="2"/>
              </w:numPr>
            </w:pPr>
            <w:r>
              <w:t>I</w:t>
            </w:r>
            <w:r w:rsidRPr="009C189A">
              <w:t>nteract with the hotel staff to request a room switch.</w:t>
            </w:r>
          </w:p>
          <w:p w14:paraId="086EE633" w14:textId="77777777" w:rsidR="00FA0349" w:rsidRDefault="00FA0349" w:rsidP="00FA0349">
            <w:pPr>
              <w:pStyle w:val="ListParagraph"/>
              <w:numPr>
                <w:ilvl w:val="1"/>
                <w:numId w:val="2"/>
              </w:numPr>
            </w:pPr>
            <w:r>
              <w:t>D</w:t>
            </w:r>
            <w:r w:rsidRPr="009C189A">
              <w:t>iscuss with the rental agent what happened to a rental car.</w:t>
            </w:r>
          </w:p>
          <w:p w14:paraId="4A99457F" w14:textId="77777777" w:rsidR="00FA0349" w:rsidRPr="006C7616" w:rsidRDefault="00FA0349" w:rsidP="006C7616">
            <w:pPr>
              <w:rPr>
                <w:b/>
                <w:bCs/>
                <w:color w:val="2F5496"/>
              </w:rPr>
            </w:pPr>
          </w:p>
        </w:tc>
      </w:tr>
      <w:tr w:rsidR="00FA0349" w14:paraId="041A76E7" w14:textId="77777777" w:rsidTr="003E7CDF">
        <w:tc>
          <w:tcPr>
            <w:tcW w:w="10790" w:type="dxa"/>
            <w:shd w:val="clear" w:color="auto" w:fill="7030A0"/>
          </w:tcPr>
          <w:p w14:paraId="297B8E9A" w14:textId="72001B73" w:rsidR="00FA0349" w:rsidRPr="003E7CDF" w:rsidRDefault="003E7CDF" w:rsidP="006C7616">
            <w:pPr>
              <w:rPr>
                <w:b/>
                <w:bCs/>
                <w:color w:val="FFFFFF" w:themeColor="background1"/>
              </w:rPr>
            </w:pPr>
            <w:r w:rsidRPr="003E7CDF">
              <w:rPr>
                <w:b/>
                <w:bCs/>
                <w:color w:val="FFFFFF" w:themeColor="background1"/>
              </w:rPr>
              <w:t>Domain 4: Presentational Writing</w:t>
            </w:r>
          </w:p>
        </w:tc>
      </w:tr>
      <w:tr w:rsidR="006C7616" w14:paraId="72FCBA65" w14:textId="77777777" w:rsidTr="00C142E5">
        <w:tc>
          <w:tcPr>
            <w:tcW w:w="10790" w:type="dxa"/>
          </w:tcPr>
          <w:p w14:paraId="2808493C" w14:textId="77777777" w:rsidR="003E7CDF" w:rsidRPr="004039F9" w:rsidRDefault="003E7CDF" w:rsidP="003E7CDF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4039F9">
              <w:rPr>
                <w:b/>
                <w:bCs/>
              </w:rPr>
              <w:t>The student can tell stories about school and community events and personal experiences, using paragraphs across major time frames.</w:t>
            </w:r>
          </w:p>
          <w:p w14:paraId="60EE415C" w14:textId="77777777" w:rsidR="003E7CDF" w:rsidRPr="002F7EF2" w:rsidRDefault="003E7CDF" w:rsidP="003E7CDF">
            <w:pPr>
              <w:pStyle w:val="ListParagraph"/>
              <w:numPr>
                <w:ilvl w:val="1"/>
                <w:numId w:val="2"/>
              </w:numPr>
            </w:pPr>
            <w:r>
              <w:t>W</w:t>
            </w:r>
            <w:r w:rsidRPr="002F7EF2">
              <w:t>rite about a family reunion for my relatives in another country.</w:t>
            </w:r>
          </w:p>
          <w:p w14:paraId="2F4E59F6" w14:textId="77777777" w:rsidR="003E7CDF" w:rsidRPr="002F7EF2" w:rsidRDefault="003E7CDF" w:rsidP="003E7CDF">
            <w:pPr>
              <w:pStyle w:val="ListParagraph"/>
              <w:numPr>
                <w:ilvl w:val="1"/>
                <w:numId w:val="2"/>
              </w:numPr>
            </w:pPr>
            <w:r>
              <w:t>W</w:t>
            </w:r>
            <w:r w:rsidRPr="002F7EF2">
              <w:t>rite a blog post describing the highlights of a recent trip or excursion.</w:t>
            </w:r>
          </w:p>
          <w:p w14:paraId="6BDE0FA7" w14:textId="77777777" w:rsidR="003E7CDF" w:rsidRPr="002F7EF2" w:rsidRDefault="003E7CDF" w:rsidP="003E7CDF">
            <w:pPr>
              <w:pStyle w:val="ListParagraph"/>
              <w:numPr>
                <w:ilvl w:val="1"/>
                <w:numId w:val="2"/>
              </w:numPr>
            </w:pPr>
            <w:r>
              <w:t>W</w:t>
            </w:r>
            <w:r w:rsidRPr="002F7EF2">
              <w:t xml:space="preserve">rite about a social, </w:t>
            </w:r>
            <w:proofErr w:type="gramStart"/>
            <w:r w:rsidRPr="002F7EF2">
              <w:t>cultural</w:t>
            </w:r>
            <w:proofErr w:type="gramEnd"/>
            <w:r w:rsidRPr="002F7EF2">
              <w:t xml:space="preserve"> or political event that occurred or will occur in my community.</w:t>
            </w:r>
          </w:p>
          <w:p w14:paraId="033A69E2" w14:textId="2E1C063D" w:rsidR="006C7616" w:rsidRPr="003E7CDF" w:rsidRDefault="003E7CDF" w:rsidP="006C7616">
            <w:pPr>
              <w:pStyle w:val="ListParagraph"/>
              <w:numPr>
                <w:ilvl w:val="1"/>
                <w:numId w:val="2"/>
              </w:numPr>
            </w:pPr>
            <w:r>
              <w:t>D</w:t>
            </w:r>
            <w:r w:rsidRPr="002F7EF2">
              <w:t>escribe certain trends in leisure time or use of social media and the results of those trends.</w:t>
            </w:r>
          </w:p>
        </w:tc>
      </w:tr>
      <w:tr w:rsidR="006C7616" w14:paraId="3628657C" w14:textId="77777777" w:rsidTr="00C142E5">
        <w:tc>
          <w:tcPr>
            <w:tcW w:w="10790" w:type="dxa"/>
          </w:tcPr>
          <w:p w14:paraId="4C360D80" w14:textId="77777777" w:rsidR="003E7CDF" w:rsidRPr="004039F9" w:rsidRDefault="003E7CDF" w:rsidP="003E7CDF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4039F9">
              <w:rPr>
                <w:b/>
                <w:bCs/>
              </w:rPr>
              <w:t>The student can state a viewpoint with supporting evidence on some concrete academic, social and professional topics of interest, using paragraphs across major timeframes.</w:t>
            </w:r>
          </w:p>
          <w:p w14:paraId="50B0CE73" w14:textId="77777777" w:rsidR="003E7CDF" w:rsidRPr="002F7EF2" w:rsidRDefault="003E7CDF" w:rsidP="003E7CDF">
            <w:pPr>
              <w:pStyle w:val="ListParagraph"/>
              <w:numPr>
                <w:ilvl w:val="1"/>
                <w:numId w:val="2"/>
              </w:numPr>
            </w:pPr>
            <w:r>
              <w:t>W</w:t>
            </w:r>
            <w:r w:rsidRPr="002F7EF2">
              <w:t>rite an essay to convince others of the value of experiencing art and music from cultures other than my own.</w:t>
            </w:r>
          </w:p>
          <w:p w14:paraId="29ED01A6" w14:textId="77777777" w:rsidR="003E7CDF" w:rsidRPr="002F7EF2" w:rsidRDefault="003E7CDF" w:rsidP="003E7CDF">
            <w:pPr>
              <w:pStyle w:val="ListParagraph"/>
              <w:numPr>
                <w:ilvl w:val="1"/>
                <w:numId w:val="2"/>
              </w:numPr>
            </w:pPr>
            <w:r>
              <w:lastRenderedPageBreak/>
              <w:t>W</w:t>
            </w:r>
            <w:r w:rsidRPr="002F7EF2">
              <w:t>rite an essay for or against a position on a social issue.</w:t>
            </w:r>
          </w:p>
          <w:p w14:paraId="0464F80D" w14:textId="77777777" w:rsidR="003E7CDF" w:rsidRPr="002F7EF2" w:rsidRDefault="003E7CDF" w:rsidP="003E7CDF">
            <w:pPr>
              <w:pStyle w:val="ListParagraph"/>
              <w:numPr>
                <w:ilvl w:val="1"/>
                <w:numId w:val="2"/>
              </w:numPr>
            </w:pPr>
            <w:r>
              <w:t>W</w:t>
            </w:r>
            <w:r w:rsidRPr="002F7EF2">
              <w:t>rite a brief article giving a rationale for dietary and exercise practices to promote healthy living.</w:t>
            </w:r>
          </w:p>
          <w:p w14:paraId="2561DB57" w14:textId="2BCBF43B" w:rsidR="006C7616" w:rsidRPr="003E7CDF" w:rsidRDefault="003E7CDF" w:rsidP="006C7616">
            <w:pPr>
              <w:pStyle w:val="ListParagraph"/>
              <w:numPr>
                <w:ilvl w:val="1"/>
                <w:numId w:val="2"/>
              </w:numPr>
            </w:pPr>
            <w:r>
              <w:t>C</w:t>
            </w:r>
            <w:r w:rsidRPr="002F7EF2">
              <w:t xml:space="preserve">reate, </w:t>
            </w:r>
            <w:proofErr w:type="gramStart"/>
            <w:r w:rsidRPr="002F7EF2">
              <w:t>write</w:t>
            </w:r>
            <w:proofErr w:type="gramEnd"/>
            <w:r w:rsidRPr="002F7EF2">
              <w:t xml:space="preserve"> and edit an online journal, blog or discussion forum promoting community events, services or products.</w:t>
            </w:r>
          </w:p>
        </w:tc>
      </w:tr>
      <w:tr w:rsidR="00C142E5" w14:paraId="66E5DD15" w14:textId="77777777" w:rsidTr="00C142E5">
        <w:tc>
          <w:tcPr>
            <w:tcW w:w="10790" w:type="dxa"/>
          </w:tcPr>
          <w:p w14:paraId="61526AA6" w14:textId="77777777" w:rsidR="00C142E5" w:rsidRPr="004039F9" w:rsidRDefault="00C142E5" w:rsidP="00C142E5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4039F9">
              <w:rPr>
                <w:b/>
                <w:bCs/>
              </w:rPr>
              <w:lastRenderedPageBreak/>
              <w:t>The student can deliver presentations on some concrete academic, social and professional topics of interest, using paragraphs across major time frames.</w:t>
            </w:r>
          </w:p>
          <w:p w14:paraId="31D24776" w14:textId="77777777" w:rsidR="00C142E5" w:rsidRPr="002F7EF2" w:rsidRDefault="00C142E5" w:rsidP="00C142E5">
            <w:pPr>
              <w:pStyle w:val="ListParagraph"/>
              <w:numPr>
                <w:ilvl w:val="1"/>
                <w:numId w:val="2"/>
              </w:numPr>
            </w:pPr>
            <w:r>
              <w:t>R</w:t>
            </w:r>
            <w:r w:rsidRPr="002F7EF2">
              <w:t>evise class or meeting notes that I have taken for distribution.</w:t>
            </w:r>
          </w:p>
          <w:p w14:paraId="6B0C3595" w14:textId="77777777" w:rsidR="00C142E5" w:rsidRPr="002F7EF2" w:rsidRDefault="00C142E5" w:rsidP="00C142E5">
            <w:pPr>
              <w:pStyle w:val="ListParagraph"/>
              <w:numPr>
                <w:ilvl w:val="1"/>
                <w:numId w:val="2"/>
              </w:numPr>
            </w:pPr>
            <w:r>
              <w:t>D</w:t>
            </w:r>
            <w:r w:rsidRPr="002F7EF2">
              <w:t xml:space="preserve">raft and revise a synopsis or abstract for a science fair project, research study or conference.  </w:t>
            </w:r>
          </w:p>
          <w:p w14:paraId="4E708C6A" w14:textId="77777777" w:rsidR="00C142E5" w:rsidRPr="002F7EF2" w:rsidRDefault="00C142E5" w:rsidP="00C142E5">
            <w:pPr>
              <w:pStyle w:val="ListParagraph"/>
              <w:numPr>
                <w:ilvl w:val="1"/>
                <w:numId w:val="2"/>
              </w:numPr>
            </w:pPr>
            <w:r>
              <w:t>W</w:t>
            </w:r>
            <w:r w:rsidRPr="002F7EF2">
              <w:t>rite job descriptions or performance reports.</w:t>
            </w:r>
          </w:p>
          <w:p w14:paraId="37663401" w14:textId="31C9EF92" w:rsidR="00C142E5" w:rsidRDefault="00C142E5" w:rsidP="00872A7A">
            <w:pPr>
              <w:pStyle w:val="ListParagraph"/>
              <w:numPr>
                <w:ilvl w:val="1"/>
                <w:numId w:val="2"/>
              </w:numPr>
            </w:pPr>
            <w:r>
              <w:t>D</w:t>
            </w:r>
            <w:r w:rsidRPr="002F7EF2">
              <w:t>raft and revise a resume or cover letter.</w:t>
            </w:r>
          </w:p>
        </w:tc>
      </w:tr>
    </w:tbl>
    <w:p w14:paraId="0D0DA0A3" w14:textId="04D935C7" w:rsidR="002F7EF2" w:rsidRPr="002F7EF2" w:rsidRDefault="002F7EF2" w:rsidP="00872A7A"/>
    <w:sectPr w:rsidR="002F7EF2" w:rsidRPr="002F7EF2" w:rsidSect="00C142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BDF23" w14:textId="77777777" w:rsidR="003B456C" w:rsidRDefault="003B456C" w:rsidP="00166CC2">
      <w:pPr>
        <w:spacing w:line="240" w:lineRule="auto"/>
      </w:pPr>
      <w:r>
        <w:separator/>
      </w:r>
    </w:p>
  </w:endnote>
  <w:endnote w:type="continuationSeparator" w:id="0">
    <w:p w14:paraId="71A89EA1" w14:textId="77777777" w:rsidR="003B456C" w:rsidRDefault="003B456C" w:rsidP="00166CC2">
      <w:pPr>
        <w:spacing w:line="240" w:lineRule="auto"/>
      </w:pPr>
      <w:r>
        <w:continuationSeparator/>
      </w:r>
    </w:p>
  </w:endnote>
  <w:endnote w:type="continuationNotice" w:id="1">
    <w:p w14:paraId="13F8824C" w14:textId="77777777" w:rsidR="003B456C" w:rsidRDefault="003B45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A30B9" w14:textId="77777777" w:rsidR="003B456C" w:rsidRDefault="003B456C" w:rsidP="00166CC2">
      <w:pPr>
        <w:spacing w:line="240" w:lineRule="auto"/>
      </w:pPr>
      <w:r>
        <w:separator/>
      </w:r>
    </w:p>
  </w:footnote>
  <w:footnote w:type="continuationSeparator" w:id="0">
    <w:p w14:paraId="1A8C2958" w14:textId="77777777" w:rsidR="003B456C" w:rsidRDefault="003B456C" w:rsidP="00166CC2">
      <w:pPr>
        <w:spacing w:line="240" w:lineRule="auto"/>
      </w:pPr>
      <w:r>
        <w:continuationSeparator/>
      </w:r>
    </w:p>
  </w:footnote>
  <w:footnote w:type="continuationNotice" w:id="1">
    <w:p w14:paraId="3429B35B" w14:textId="77777777" w:rsidR="003B456C" w:rsidRDefault="003B456C">
      <w:pPr>
        <w:spacing w:line="240" w:lineRule="auto"/>
      </w:pPr>
    </w:p>
  </w:footnote>
  <w:footnote w:id="2">
    <w:p w14:paraId="1FEA6CEE" w14:textId="0AE4E80B" w:rsidR="00E607D0" w:rsidRPr="00E607D0" w:rsidRDefault="00E607D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Text refers to any one-way communication directed at the student. A text could</w:t>
      </w:r>
      <w:r w:rsidR="008A72A8">
        <w:rPr>
          <w:lang w:val="en-US"/>
        </w:rPr>
        <w:t xml:space="preserve"> include, for example,</w:t>
      </w:r>
      <w:r>
        <w:rPr>
          <w:lang w:val="en-US"/>
        </w:rPr>
        <w:t xml:space="preserve"> a newspaper article, a report heard on the radio, a </w:t>
      </w:r>
      <w:r w:rsidR="003B1389">
        <w:rPr>
          <w:lang w:val="en-US"/>
        </w:rPr>
        <w:t>play that the student watched, or a signed presentation/conversation that the student viewed,</w:t>
      </w:r>
    </w:p>
  </w:footnote>
  <w:footnote w:id="3">
    <w:p w14:paraId="3C5F43F3" w14:textId="77777777" w:rsidR="002D05D5" w:rsidRPr="006A2359" w:rsidRDefault="002D05D5" w:rsidP="002D05D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For ASL – Interpretive Viewing</w:t>
      </w:r>
    </w:p>
  </w:footnote>
  <w:footnote w:id="4">
    <w:p w14:paraId="2DBE87A3" w14:textId="77777777" w:rsidR="002D05D5" w:rsidRPr="006A2359" w:rsidRDefault="002D05D5" w:rsidP="002D05D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For ASL – Interpersonal Signing</w:t>
      </w:r>
    </w:p>
  </w:footnote>
  <w:footnote w:id="5">
    <w:p w14:paraId="6E64F874" w14:textId="7A3D9B16" w:rsidR="00166CC2" w:rsidRPr="00166CC2" w:rsidRDefault="00166CC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NCSSFL-ACTFL Can-Do Statements, </w:t>
      </w:r>
      <w:hyperlink r:id="rId1" w:history="1">
        <w:r w:rsidRPr="007F6339">
          <w:rPr>
            <w:rStyle w:val="Hyperlink"/>
          </w:rPr>
          <w:t>https://ncssfl.org/linguafolio2020/2017-can-do-statements/</w:t>
        </w:r>
      </w:hyperlink>
      <w:r>
        <w:t xml:space="preserve"> , December 31, 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419F6"/>
    <w:multiLevelType w:val="hybridMultilevel"/>
    <w:tmpl w:val="D75EEC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B460C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B4D35"/>
    <w:multiLevelType w:val="hybridMultilevel"/>
    <w:tmpl w:val="1E3C2C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07A92"/>
    <w:multiLevelType w:val="hybridMultilevel"/>
    <w:tmpl w:val="5CBAD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358A1"/>
    <w:multiLevelType w:val="hybridMultilevel"/>
    <w:tmpl w:val="6B9CAD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97F2F"/>
    <w:multiLevelType w:val="hybridMultilevel"/>
    <w:tmpl w:val="7D94F324"/>
    <w:lvl w:ilvl="0" w:tplc="78582AE8">
      <w:numFmt w:val="decimal"/>
      <w:lvlText w:val="(%1-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60E94"/>
    <w:multiLevelType w:val="hybridMultilevel"/>
    <w:tmpl w:val="80888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B460C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02470"/>
    <w:multiLevelType w:val="hybridMultilevel"/>
    <w:tmpl w:val="894CAD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B460C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E164D"/>
    <w:multiLevelType w:val="hybridMultilevel"/>
    <w:tmpl w:val="4B7683B0"/>
    <w:lvl w:ilvl="0" w:tplc="C53649C4">
      <w:start w:val="1"/>
      <w:numFmt w:val="lowerLetter"/>
      <w:lvlText w:val="%1."/>
      <w:lvlJc w:val="left"/>
      <w:pPr>
        <w:ind w:left="720" w:hanging="360"/>
      </w:pPr>
      <w:rPr>
        <w:rFonts w:eastAsia="Calibri" w:cs="Calibri" w:hint="default"/>
        <w:b/>
        <w:color w:val="70AD47" w:themeColor="accent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AE"/>
    <w:rsid w:val="00042280"/>
    <w:rsid w:val="00055797"/>
    <w:rsid w:val="00064EF1"/>
    <w:rsid w:val="0009054D"/>
    <w:rsid w:val="000A047C"/>
    <w:rsid w:val="000B68D2"/>
    <w:rsid w:val="000C49E1"/>
    <w:rsid w:val="000D2FC6"/>
    <w:rsid w:val="001054F3"/>
    <w:rsid w:val="001313F5"/>
    <w:rsid w:val="001456A0"/>
    <w:rsid w:val="001511AF"/>
    <w:rsid w:val="001533AD"/>
    <w:rsid w:val="00166CC2"/>
    <w:rsid w:val="00176B9E"/>
    <w:rsid w:val="001A10BA"/>
    <w:rsid w:val="001E31BE"/>
    <w:rsid w:val="001F1223"/>
    <w:rsid w:val="00210BAE"/>
    <w:rsid w:val="00213EF0"/>
    <w:rsid w:val="00216B73"/>
    <w:rsid w:val="00226329"/>
    <w:rsid w:val="00227D49"/>
    <w:rsid w:val="00242E2C"/>
    <w:rsid w:val="002543B3"/>
    <w:rsid w:val="00256AD7"/>
    <w:rsid w:val="00257E42"/>
    <w:rsid w:val="002C55DC"/>
    <w:rsid w:val="002D05D5"/>
    <w:rsid w:val="002F7EF2"/>
    <w:rsid w:val="00351D24"/>
    <w:rsid w:val="003B1389"/>
    <w:rsid w:val="003B34D5"/>
    <w:rsid w:val="003B456C"/>
    <w:rsid w:val="003E7CDF"/>
    <w:rsid w:val="003F27EC"/>
    <w:rsid w:val="004039F9"/>
    <w:rsid w:val="0042340D"/>
    <w:rsid w:val="00424734"/>
    <w:rsid w:val="00440FAE"/>
    <w:rsid w:val="00455157"/>
    <w:rsid w:val="004739BC"/>
    <w:rsid w:val="00477A81"/>
    <w:rsid w:val="0048366D"/>
    <w:rsid w:val="00493EAB"/>
    <w:rsid w:val="004D16BF"/>
    <w:rsid w:val="004D17EF"/>
    <w:rsid w:val="005204A3"/>
    <w:rsid w:val="00552F77"/>
    <w:rsid w:val="00581E2A"/>
    <w:rsid w:val="00591390"/>
    <w:rsid w:val="005B050D"/>
    <w:rsid w:val="005B5E5D"/>
    <w:rsid w:val="005C0430"/>
    <w:rsid w:val="005D1C5F"/>
    <w:rsid w:val="005F618E"/>
    <w:rsid w:val="005F6C7C"/>
    <w:rsid w:val="006333FA"/>
    <w:rsid w:val="0064024E"/>
    <w:rsid w:val="0064778E"/>
    <w:rsid w:val="006637F5"/>
    <w:rsid w:val="0067175D"/>
    <w:rsid w:val="006737D6"/>
    <w:rsid w:val="006766BD"/>
    <w:rsid w:val="00685742"/>
    <w:rsid w:val="006961A8"/>
    <w:rsid w:val="006C7616"/>
    <w:rsid w:val="006C7C6F"/>
    <w:rsid w:val="006F0E44"/>
    <w:rsid w:val="006F3158"/>
    <w:rsid w:val="00747595"/>
    <w:rsid w:val="007637F6"/>
    <w:rsid w:val="0076605F"/>
    <w:rsid w:val="007A066C"/>
    <w:rsid w:val="007A6CEB"/>
    <w:rsid w:val="007E0DA9"/>
    <w:rsid w:val="007F3CFE"/>
    <w:rsid w:val="00822D61"/>
    <w:rsid w:val="00872A7A"/>
    <w:rsid w:val="00875AF7"/>
    <w:rsid w:val="008938BE"/>
    <w:rsid w:val="008A72A8"/>
    <w:rsid w:val="008B0C5F"/>
    <w:rsid w:val="008C3C09"/>
    <w:rsid w:val="008D1607"/>
    <w:rsid w:val="009124A1"/>
    <w:rsid w:val="00932085"/>
    <w:rsid w:val="009749A0"/>
    <w:rsid w:val="009962E5"/>
    <w:rsid w:val="009C189A"/>
    <w:rsid w:val="009D24BC"/>
    <w:rsid w:val="009E1213"/>
    <w:rsid w:val="009E6936"/>
    <w:rsid w:val="009F46FC"/>
    <w:rsid w:val="00A14D90"/>
    <w:rsid w:val="00A44701"/>
    <w:rsid w:val="00AA0666"/>
    <w:rsid w:val="00AA3D82"/>
    <w:rsid w:val="00AE0980"/>
    <w:rsid w:val="00AE0F8A"/>
    <w:rsid w:val="00AF034F"/>
    <w:rsid w:val="00B029E7"/>
    <w:rsid w:val="00B03A8F"/>
    <w:rsid w:val="00B162A4"/>
    <w:rsid w:val="00B34C68"/>
    <w:rsid w:val="00B57AFF"/>
    <w:rsid w:val="00BA27C8"/>
    <w:rsid w:val="00BD15F8"/>
    <w:rsid w:val="00BD31DD"/>
    <w:rsid w:val="00BE04B5"/>
    <w:rsid w:val="00C10D4C"/>
    <w:rsid w:val="00C142E5"/>
    <w:rsid w:val="00C16935"/>
    <w:rsid w:val="00C24EF2"/>
    <w:rsid w:val="00C74E3F"/>
    <w:rsid w:val="00C8027C"/>
    <w:rsid w:val="00C805B4"/>
    <w:rsid w:val="00C8188D"/>
    <w:rsid w:val="00C90157"/>
    <w:rsid w:val="00CA13D7"/>
    <w:rsid w:val="00CA7654"/>
    <w:rsid w:val="00CB0E8F"/>
    <w:rsid w:val="00CB1537"/>
    <w:rsid w:val="00CE4FF8"/>
    <w:rsid w:val="00D3530E"/>
    <w:rsid w:val="00D40979"/>
    <w:rsid w:val="00D8288A"/>
    <w:rsid w:val="00DC5E56"/>
    <w:rsid w:val="00DE2BEE"/>
    <w:rsid w:val="00DE677A"/>
    <w:rsid w:val="00DF3FDE"/>
    <w:rsid w:val="00DF5C14"/>
    <w:rsid w:val="00E11319"/>
    <w:rsid w:val="00E43C5C"/>
    <w:rsid w:val="00E531F8"/>
    <w:rsid w:val="00E607D0"/>
    <w:rsid w:val="00E62C45"/>
    <w:rsid w:val="00E967D0"/>
    <w:rsid w:val="00ED1358"/>
    <w:rsid w:val="00EF6B61"/>
    <w:rsid w:val="00F07801"/>
    <w:rsid w:val="00F128C0"/>
    <w:rsid w:val="00F15A3D"/>
    <w:rsid w:val="00F2435D"/>
    <w:rsid w:val="00F522EF"/>
    <w:rsid w:val="00F52411"/>
    <w:rsid w:val="00F627F1"/>
    <w:rsid w:val="00F660F6"/>
    <w:rsid w:val="00F717EC"/>
    <w:rsid w:val="00FA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74D4"/>
  <w15:chartTrackingRefBased/>
  <w15:docId w15:val="{17DAB6DA-08C3-433B-A4E2-48077C69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F6"/>
    <w:pPr>
      <w:spacing w:after="0" w:line="276" w:lineRule="auto"/>
    </w:pPr>
    <w:rPr>
      <w:rFonts w:ascii="Calibri" w:hAnsi="Calibri" w:cs="Calibri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7F6"/>
    <w:pPr>
      <w:outlineLvl w:val="0"/>
    </w:pPr>
    <w:rPr>
      <w:rFonts w:ascii="Georgia" w:hAnsi="Georgia"/>
      <w:b/>
      <w:bCs/>
      <w:color w:val="0C75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7F6"/>
    <w:pPr>
      <w:outlineLvl w:val="2"/>
    </w:pPr>
    <w:rPr>
      <w:rFonts w:ascii="Georgia" w:hAnsi="Georgia"/>
      <w:b/>
      <w:bCs/>
      <w:color w:val="802B0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7637F6"/>
    <w:rPr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paragraph" w:customStyle="1" w:styleId="WLHeading1">
    <w:name w:val="WL Heading 1"/>
    <w:basedOn w:val="Heading1"/>
    <w:link w:val="WLHeading1Char"/>
    <w:qFormat/>
    <w:rsid w:val="007637F6"/>
  </w:style>
  <w:style w:type="character" w:customStyle="1" w:styleId="WLHeading1Char">
    <w:name w:val="WL Heading 1 Char"/>
    <w:basedOn w:val="Heading1Char"/>
    <w:link w:val="WLHeading1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7637F6"/>
    <w:rPr>
      <w:rFonts w:ascii="Georgia" w:eastAsia="Calibri" w:hAnsi="Georgia" w:cs="Calibri"/>
      <w:b/>
      <w:bCs/>
      <w:color w:val="802B0C"/>
      <w:lang w:val="en"/>
    </w:rPr>
  </w:style>
  <w:style w:type="paragraph" w:styleId="TOC1">
    <w:name w:val="toc 1"/>
    <w:basedOn w:val="Normal"/>
    <w:next w:val="Normal"/>
    <w:autoRedefine/>
    <w:uiPriority w:val="39"/>
    <w:unhideWhenUsed/>
    <w:rsid w:val="00763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37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37F6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F6"/>
    <w:pPr>
      <w:spacing w:line="240" w:lineRule="auto"/>
    </w:pPr>
    <w:rPr>
      <w:rFonts w:eastAsia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F6"/>
    <w:rPr>
      <w:rFonts w:ascii="Calibri" w:eastAsia="Arial" w:hAnsi="Calibri" w:cs="Arial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F6"/>
    <w:rPr>
      <w:rFonts w:ascii="Calibri" w:eastAsia="Calibri" w:hAnsi="Calibri" w:cs="Calibri"/>
      <w:lang w:val="en"/>
    </w:rPr>
  </w:style>
  <w:style w:type="paragraph" w:styleId="Footer">
    <w:name w:val="footer"/>
    <w:basedOn w:val="Normal"/>
    <w:link w:val="Foot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F6"/>
    <w:rPr>
      <w:rFonts w:ascii="Calibri" w:eastAsia="Calibri" w:hAnsi="Calibri" w:cs="Calibri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7637F6"/>
    <w:rPr>
      <w:vertAlign w:val="superscript"/>
    </w:rPr>
  </w:style>
  <w:style w:type="paragraph" w:styleId="Title">
    <w:name w:val="Title"/>
    <w:aliases w:val="WL Title"/>
    <w:basedOn w:val="Normal"/>
    <w:next w:val="Normal"/>
    <w:link w:val="TitleChar"/>
    <w:uiPriority w:val="10"/>
    <w:qFormat/>
    <w:rsid w:val="007637F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  <w:lang w:val="en-US"/>
    </w:rPr>
  </w:style>
  <w:style w:type="character" w:customStyle="1" w:styleId="TitleChar">
    <w:name w:val="Title Char"/>
    <w:aliases w:val="WL Title Char"/>
    <w:basedOn w:val="DefaultParagraphFont"/>
    <w:link w:val="Title"/>
    <w:uiPriority w:val="10"/>
    <w:rsid w:val="007637F6"/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</w:rPr>
  </w:style>
  <w:style w:type="paragraph" w:styleId="Subtitle">
    <w:name w:val="Subtitle"/>
    <w:aliases w:val="WL Subtitle"/>
    <w:basedOn w:val="Normal"/>
    <w:next w:val="Normal"/>
    <w:link w:val="SubtitleChar"/>
    <w:uiPriority w:val="11"/>
    <w:qFormat/>
    <w:rsid w:val="007637F6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0C7580"/>
      <w:sz w:val="32"/>
      <w:szCs w:val="24"/>
      <w:lang w:val="en-US" w:bidi="hi-IN"/>
    </w:rPr>
  </w:style>
  <w:style w:type="character" w:customStyle="1" w:styleId="SubtitleChar">
    <w:name w:val="Subtitle Char"/>
    <w:aliases w:val="WL Subtitle Char"/>
    <w:basedOn w:val="DefaultParagraphFont"/>
    <w:link w:val="Subtitle"/>
    <w:uiPriority w:val="11"/>
    <w:rsid w:val="007637F6"/>
    <w:rPr>
      <w:rFonts w:eastAsiaTheme="majorEastAsia" w:cstheme="majorBidi"/>
      <w:iCs/>
      <w:color w:val="0C7580"/>
      <w:sz w:val="32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7637F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37F6"/>
    <w:pPr>
      <w:ind w:left="720"/>
      <w:contextualSpacing/>
    </w:pPr>
    <w:rPr>
      <w:rFonts w:eastAsia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7637F6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customStyle="1" w:styleId="WLHeading2">
    <w:name w:val="WL Heading 2"/>
    <w:basedOn w:val="Normal"/>
    <w:link w:val="WLHeading2Char"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character" w:customStyle="1" w:styleId="WLHeading2Char">
    <w:name w:val="WL Heading 2 Char"/>
    <w:basedOn w:val="DefaultParagraphFont"/>
    <w:link w:val="WLHeading2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table" w:styleId="TableGrid">
    <w:name w:val="Table Grid"/>
    <w:basedOn w:val="TableNormal"/>
    <w:uiPriority w:val="39"/>
    <w:rsid w:val="0044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6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cssfl.org/linguafolio2020/2017-can-do-stat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9" ma:contentTypeDescription="Create a new document." ma:contentTypeScope="" ma:versionID="e33a964e5acf2b0cdcd14f6b093a5a5a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ac5f65a717dfe110f8eac0b4bc436a6e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363AC-B7DA-4D6B-9FEE-94E231A143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1CEA9-5D43-45F1-B09F-89E2AEEC8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18889-4777-466F-816B-57A6916F3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638E2F-612C-4E6F-8657-16D18A29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Evaluating Portfolio Evidence for the Massachusetts Seal of Biliteracy</vt:lpstr>
    </vt:vector>
  </TitlesOfParts>
  <Company/>
  <LinksUpToDate>false</LinksUpToDate>
  <CharactersWithSpaces>11696</CharactersWithSpaces>
  <SharedDoc>false</SharedDoc>
  <HLinks>
    <vt:vector size="6" baseType="variant">
      <vt:variant>
        <vt:i4>3342397</vt:i4>
      </vt:variant>
      <vt:variant>
        <vt:i4>0</vt:i4>
      </vt:variant>
      <vt:variant>
        <vt:i4>0</vt:i4>
      </vt:variant>
      <vt:variant>
        <vt:i4>5</vt:i4>
      </vt:variant>
      <vt:variant>
        <vt:lpwstr>https://ncssfl.org/linguafolio2020/2017-can-do-statements/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Evaluating Portfolio Evidence for the Massachusetts Seal of Biliteracy</dc:title>
  <dc:subject/>
  <dc:creator>DESE</dc:creator>
  <cp:keywords/>
  <dc:description/>
  <cp:lastModifiedBy>Zou, Dong (EOE)</cp:lastModifiedBy>
  <cp:revision>133</cp:revision>
  <cp:lastPrinted>2020-12-31T21:47:00Z</cp:lastPrinted>
  <dcterms:created xsi:type="dcterms:W3CDTF">2020-12-31T21:07:00Z</dcterms:created>
  <dcterms:modified xsi:type="dcterms:W3CDTF">2021-11-23T20:50:00Z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23 2021</vt:lpwstr>
  </property>
</Properties>
</file>