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571D2" w14:textId="096D74BC" w:rsidR="00C51662" w:rsidRDefault="00C768DD" w:rsidP="001A7D18">
      <w:pPr>
        <w:rPr>
          <w:rFonts w:ascii="Calibri" w:eastAsia="Calibri" w:hAnsi="Calibri" w:cs="Calibri"/>
          <w:color w:val="000000" w:themeColor="text1"/>
        </w:rPr>
      </w:pPr>
      <w:r>
        <w:rPr>
          <w:noProof/>
          <w:lang w:eastAsia="es-US"/>
        </w:rPr>
        <mc:AlternateContent>
          <mc:Choice Requires="wps">
            <w:drawing>
              <wp:inline distT="0" distB="0" distL="0" distR="0" wp14:anchorId="3B7B00B2" wp14:editId="63A8FFB5">
                <wp:extent cx="6329680" cy="1263650"/>
                <wp:effectExtent l="0" t="0" r="13970" b="12700"/>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29680" cy="126365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2D4926" w14:textId="5342D987" w:rsidR="00CF6566" w:rsidRDefault="00C768DD" w:rsidP="00EA00DF">
                            <w:pPr>
                              <w:spacing w:after="0"/>
                              <w:jc w:val="center"/>
                              <w:rPr>
                                <w:rFonts w:ascii="Calibri" w:eastAsia="Calibri" w:hAnsi="Calibri" w:cs="Calibri"/>
                                <w:b/>
                                <w:bCs/>
                                <w:color w:val="000000" w:themeColor="text1"/>
                              </w:rPr>
                            </w:pPr>
                            <w:r w:rsidRPr="00996B64">
                              <w:rPr>
                                <w:color w:val="000000" w:themeColor="text1"/>
                              </w:rPr>
                              <w:t>Departamento de Educación Primaria y Secundaria de Massachusetts</w:t>
                            </w:r>
                            <w:r>
                              <w:rPr>
                                <w:color w:val="000000" w:themeColor="text1"/>
                              </w:rPr>
                              <w:br/>
                            </w:r>
                            <w:r>
                              <w:rPr>
                                <w:rFonts w:ascii="Calibri" w:hAnsi="Calibri"/>
                                <w:b/>
                                <w:color w:val="000000" w:themeColor="text1"/>
                              </w:rPr>
                              <w:t>Guía sobre las pautas actualizadas para directivos escolares y de</w:t>
                            </w:r>
                            <w:r w:rsidR="00FF78D9">
                              <w:rPr>
                                <w:rFonts w:ascii="Calibri" w:hAnsi="Calibri"/>
                                <w:b/>
                                <w:color w:val="000000" w:themeColor="text1"/>
                              </w:rPr>
                              <w:t>l</w:t>
                            </w:r>
                            <w:r>
                              <w:rPr>
                                <w:rFonts w:ascii="Calibri" w:hAnsi="Calibri"/>
                                <w:b/>
                                <w:color w:val="000000" w:themeColor="text1"/>
                              </w:rPr>
                              <w:t xml:space="preserve"> distrito</w:t>
                            </w:r>
                            <w:r>
                              <w:rPr>
                                <w:rFonts w:ascii="Calibri" w:hAnsi="Calibri"/>
                                <w:b/>
                                <w:color w:val="000000" w:themeColor="text1"/>
                              </w:rPr>
                              <w:br/>
                              <w:t xml:space="preserve">En relación con la disciplina estudiantil según la </w:t>
                            </w:r>
                            <w:hyperlink r:id="rId8" w:history="1">
                              <w:r>
                                <w:rPr>
                                  <w:rStyle w:val="Hyperlink"/>
                                  <w:rFonts w:ascii="Calibri" w:hAnsi="Calibri"/>
                                  <w:b/>
                                </w:rPr>
                                <w:t>G.L. c. 71, s. 37H ¾ (b)</w:t>
                              </w:r>
                            </w:hyperlink>
                            <w:r>
                              <w:rPr>
                                <w:rFonts w:ascii="Calibri" w:hAnsi="Calibri"/>
                                <w:b/>
                                <w:color w:val="000000" w:themeColor="text1"/>
                              </w:rPr>
                              <w:t>, en su versión modificada por el</w:t>
                            </w:r>
                          </w:p>
                          <w:p w14:paraId="6D808CB6" w14:textId="43BA0AF3" w:rsidR="00C768DD" w:rsidRPr="008C14D7" w:rsidRDefault="00C768DD" w:rsidP="00430136">
                            <w:pPr>
                              <w:spacing w:after="0"/>
                              <w:jc w:val="center"/>
                              <w:rPr>
                                <w:color w:val="000000" w:themeColor="text1"/>
                              </w:rPr>
                            </w:pPr>
                            <w:r>
                              <w:rPr>
                                <w:rFonts w:ascii="Calibri" w:hAnsi="Calibri"/>
                                <w:b/>
                                <w:color w:val="000000" w:themeColor="text1"/>
                              </w:rPr>
                              <w:t xml:space="preserve">Capítulo 177 de las Leyes de 2022, </w:t>
                            </w:r>
                            <w:r>
                              <w:rPr>
                                <w:rFonts w:ascii="Calibri" w:hAnsi="Calibri"/>
                                <w:b/>
                                <w:color w:val="000000" w:themeColor="text1"/>
                              </w:rPr>
                              <w:br/>
                            </w:r>
                            <w:r>
                              <w:rPr>
                                <w:rFonts w:ascii="Calibri" w:hAnsi="Calibri"/>
                                <w:b/>
                                <w:i/>
                                <w:color w:val="000000" w:themeColor="text1"/>
                              </w:rPr>
                              <w:t xml:space="preserve">Ley </w:t>
                            </w:r>
                            <w:r w:rsidR="00B66CE1">
                              <w:rPr>
                                <w:rFonts w:ascii="Calibri" w:hAnsi="Calibri"/>
                                <w:b/>
                                <w:i/>
                                <w:color w:val="000000" w:themeColor="text1"/>
                              </w:rPr>
                              <w:t>para enfrentar</w:t>
                            </w:r>
                            <w:r>
                              <w:rPr>
                                <w:rFonts w:ascii="Calibri" w:hAnsi="Calibri"/>
                                <w:b/>
                                <w:i/>
                                <w:color w:val="000000" w:themeColor="text1"/>
                              </w:rPr>
                              <w:t xml:space="preserve"> los obstáculos </w:t>
                            </w:r>
                            <w:r w:rsidR="00FF78D9">
                              <w:rPr>
                                <w:rFonts w:ascii="Calibri" w:hAnsi="Calibri"/>
                                <w:b/>
                                <w:i/>
                                <w:color w:val="000000" w:themeColor="text1"/>
                              </w:rPr>
                              <w:t>a</w:t>
                            </w:r>
                            <w:r>
                              <w:rPr>
                                <w:rFonts w:ascii="Calibri" w:hAnsi="Calibri"/>
                                <w:b/>
                                <w:i/>
                                <w:color w:val="000000" w:themeColor="text1"/>
                              </w:rPr>
                              <w:t xml:space="preserve"> la atención de la salud mental </w:t>
                            </w:r>
                            <w:r>
                              <w:rPr>
                                <w:rFonts w:ascii="Calibri" w:hAnsi="Calibri"/>
                                <w:b/>
                                <w:color w:val="000000" w:themeColor="text1"/>
                              </w:rPr>
                              <w:br/>
                            </w:r>
                            <w:proofErr w:type="gramStart"/>
                            <w:r>
                              <w:rPr>
                                <w:rFonts w:ascii="Calibri" w:hAnsi="Calibri"/>
                                <w:b/>
                                <w:color w:val="000000" w:themeColor="text1"/>
                              </w:rPr>
                              <w:t>Febrero</w:t>
                            </w:r>
                            <w:proofErr w:type="gramEnd"/>
                            <w:r>
                              <w:rPr>
                                <w:rFonts w:ascii="Calibri" w:hAnsi="Calibri"/>
                                <w:b/>
                                <w:color w:val="000000" w:themeColor="text1"/>
                              </w:rPr>
                              <w:t xml:space="preserve"> 2023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7B00B2" id="Rectangle 1" o:spid="_x0000_s1026" alt="&quot;&quot;" style="width:498.4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" fillcolor="#d5dce4 [671]" strokecolor="#1f3763 [1604]" strokeweight="1pt">
                <v:textbox>
                  <w:txbxContent>
                    <w:p w14:paraId="2B2D4926" w14:textId="5342D987" w:rsidR="00CF6566" w:rsidRDefault="00C768DD" w:rsidP="00EA00DF">
                      <w:pPr>
                        <w:spacing w:after="0"/>
                        <w:jc w:val="center"/>
                        <w:rPr>
                          <w:rFonts w:ascii="Calibri" w:eastAsia="Calibri" w:hAnsi="Calibri" w:cs="Calibri"/>
                          <w:b/>
                          <w:bCs/>
                          <w:color w:val="000000" w:themeColor="text1"/>
                        </w:rPr>
                      </w:pPr>
                      <w:r w:rsidRPr="00996B64">
                        <w:rPr>
                          <w:color w:val="000000" w:themeColor="text1"/>
                        </w:rPr>
                        <w:t>Departamento de Educación Primaria y Secundaria de Massachusetts</w:t>
                      </w:r>
                      <w:r>
                        <w:rPr>
                          <w:color w:val="000000" w:themeColor="text1"/>
                        </w:rPr>
                        <w:br/>
                      </w:r>
                      <w:r>
                        <w:rPr>
                          <w:rFonts w:ascii="Calibri" w:hAnsi="Calibri"/>
                          <w:b/>
                          <w:color w:val="000000" w:themeColor="text1"/>
                        </w:rPr>
                        <w:t>Guía sobre las pautas actualizadas para directivos escolares y de</w:t>
                      </w:r>
                      <w:r w:rsidR="00FF78D9">
                        <w:rPr>
                          <w:rFonts w:ascii="Calibri" w:hAnsi="Calibri"/>
                          <w:b/>
                          <w:color w:val="000000" w:themeColor="text1"/>
                        </w:rPr>
                        <w:t>l</w:t>
                      </w:r>
                      <w:r>
                        <w:rPr>
                          <w:rFonts w:ascii="Calibri" w:hAnsi="Calibri"/>
                          <w:b/>
                          <w:color w:val="000000" w:themeColor="text1"/>
                        </w:rPr>
                        <w:t xml:space="preserve"> distrito</w:t>
                      </w:r>
                      <w:r>
                        <w:rPr>
                          <w:rFonts w:ascii="Calibri" w:hAnsi="Calibri"/>
                          <w:b/>
                          <w:color w:val="000000" w:themeColor="text1"/>
                        </w:rPr>
                        <w:br/>
                        <w:t xml:space="preserve">En relación con la disciplina estudiantil según la </w:t>
                      </w:r>
                      <w:hyperlink r:id="rId9" w:history="1">
                        <w:proofErr w:type="spellStart"/>
                        <w:r>
                          <w:rPr>
                            <w:rStyle w:val="Hyperlink"/>
                            <w:rFonts w:ascii="Calibri" w:hAnsi="Calibri"/>
                            <w:b/>
                          </w:rPr>
                          <w:t>G.L</w:t>
                        </w:r>
                        <w:proofErr w:type="spellEnd"/>
                        <w:r>
                          <w:rPr>
                            <w:rStyle w:val="Hyperlink"/>
                            <w:rFonts w:ascii="Calibri" w:hAnsi="Calibri"/>
                            <w:b/>
                          </w:rPr>
                          <w:t>. c. 71, s. 37H ¾ (b)</w:t>
                        </w:r>
                      </w:hyperlink>
                      <w:r>
                        <w:rPr>
                          <w:rFonts w:ascii="Calibri" w:hAnsi="Calibri"/>
                          <w:b/>
                          <w:color w:val="000000" w:themeColor="text1"/>
                        </w:rPr>
                        <w:t>, en su versión modificada por el</w:t>
                      </w:r>
                    </w:p>
                    <w:p w14:paraId="6D808CB6" w14:textId="43BA0AF3" w:rsidR="00C768DD" w:rsidRPr="008C14D7" w:rsidRDefault="00C768DD" w:rsidP="00430136">
                      <w:pPr>
                        <w:spacing w:after="0"/>
                        <w:jc w:val="center"/>
                        <w:rPr>
                          <w:color w:val="000000" w:themeColor="text1"/>
                        </w:rPr>
                      </w:pPr>
                      <w:r>
                        <w:rPr>
                          <w:rFonts w:ascii="Calibri" w:hAnsi="Calibri"/>
                          <w:b/>
                          <w:color w:val="000000" w:themeColor="text1"/>
                        </w:rPr>
                        <w:t xml:space="preserve">Capítulo 177 de las Leyes de 2022, </w:t>
                      </w:r>
                      <w:r>
                        <w:rPr>
                          <w:rFonts w:ascii="Calibri" w:hAnsi="Calibri"/>
                          <w:b/>
                          <w:color w:val="000000" w:themeColor="text1"/>
                        </w:rPr>
                        <w:br/>
                      </w:r>
                      <w:r>
                        <w:rPr>
                          <w:rFonts w:ascii="Calibri" w:hAnsi="Calibri"/>
                          <w:b/>
                          <w:i/>
                          <w:color w:val="000000" w:themeColor="text1"/>
                        </w:rPr>
                        <w:t xml:space="preserve">Ley </w:t>
                      </w:r>
                      <w:r w:rsidR="00B66CE1">
                        <w:rPr>
                          <w:rFonts w:ascii="Calibri" w:hAnsi="Calibri"/>
                          <w:b/>
                          <w:i/>
                          <w:color w:val="000000" w:themeColor="text1"/>
                        </w:rPr>
                        <w:t>para enfrentar</w:t>
                      </w:r>
                      <w:r>
                        <w:rPr>
                          <w:rFonts w:ascii="Calibri" w:hAnsi="Calibri"/>
                          <w:b/>
                          <w:i/>
                          <w:color w:val="000000" w:themeColor="text1"/>
                        </w:rPr>
                        <w:t xml:space="preserve"> los obstáculos </w:t>
                      </w:r>
                      <w:r w:rsidR="00FF78D9">
                        <w:rPr>
                          <w:rFonts w:ascii="Calibri" w:hAnsi="Calibri"/>
                          <w:b/>
                          <w:i/>
                          <w:color w:val="000000" w:themeColor="text1"/>
                        </w:rPr>
                        <w:t>a</w:t>
                      </w:r>
                      <w:r>
                        <w:rPr>
                          <w:rFonts w:ascii="Calibri" w:hAnsi="Calibri"/>
                          <w:b/>
                          <w:i/>
                          <w:color w:val="000000" w:themeColor="text1"/>
                        </w:rPr>
                        <w:t xml:space="preserve"> la atención de la salud mental </w:t>
                      </w:r>
                      <w:r>
                        <w:rPr>
                          <w:rFonts w:ascii="Calibri" w:hAnsi="Calibri"/>
                          <w:b/>
                          <w:color w:val="000000" w:themeColor="text1"/>
                        </w:rPr>
                        <w:br/>
                      </w:r>
                      <w:proofErr w:type="gramStart"/>
                      <w:r>
                        <w:rPr>
                          <w:rFonts w:ascii="Calibri" w:hAnsi="Calibri"/>
                          <w:b/>
                          <w:color w:val="000000" w:themeColor="text1"/>
                        </w:rPr>
                        <w:t>Febrero</w:t>
                      </w:r>
                      <w:proofErr w:type="gramEnd"/>
                      <w:r>
                        <w:rPr>
                          <w:rFonts w:ascii="Calibri" w:hAnsi="Calibri"/>
                          <w:b/>
                          <w:color w:val="000000" w:themeColor="text1"/>
                        </w:rPr>
                        <w:t xml:space="preserve"> 2023 </w:t>
                      </w:r>
                    </w:p>
                  </w:txbxContent>
                </v:textbox>
                <w10:anchorlock/>
              </v:rect>
            </w:pict>
          </mc:Fallback>
        </mc:AlternateContent>
      </w:r>
      <w:r>
        <w:t xml:space="preserve">             </w:t>
      </w:r>
      <w:r>
        <w:rPr>
          <w:rFonts w:ascii="Calibri" w:hAnsi="Calibri"/>
          <w:color w:val="000000" w:themeColor="text1"/>
        </w:rPr>
        <w:t xml:space="preserve">                  </w:t>
      </w:r>
    </w:p>
    <w:p w14:paraId="2FCDF7DD" w14:textId="0D95E6AD" w:rsidR="001A7D18" w:rsidRPr="001A7D18" w:rsidRDefault="00391554" w:rsidP="00AF3DAA">
      <w:pPr>
        <w:ind w:left="1890"/>
        <w:rPr>
          <w:rFonts w:ascii="Calibri" w:eastAsia="Calibri" w:hAnsi="Calibri" w:cs="Calibri"/>
          <w:color w:val="000000" w:themeColor="text1"/>
        </w:rPr>
      </w:pPr>
      <w:r>
        <w:rPr>
          <w:rFonts w:ascii="Calibri" w:hAnsi="Calibri"/>
          <w:color w:val="000000" w:themeColor="text1"/>
        </w:rPr>
        <w:t>ÍNDICE</w:t>
      </w:r>
      <w:r w:rsidR="00902451">
        <w:rPr>
          <w:rFonts w:ascii="Calibri" w:hAnsi="Calibri"/>
          <w:color w:val="000000" w:themeColor="text1"/>
        </w:rPr>
        <w:t xml:space="preserve"> DEL DOCUMENTO:</w:t>
      </w:r>
    </w:p>
    <w:p w14:paraId="66A42A71" w14:textId="2A645AB9" w:rsidR="00C768DD" w:rsidRPr="009959C8" w:rsidRDefault="00000000" w:rsidP="00C768DD">
      <w:pPr>
        <w:pStyle w:val="ListParagraph"/>
        <w:numPr>
          <w:ilvl w:val="0"/>
          <w:numId w:val="3"/>
        </w:numPr>
        <w:ind w:left="2250" w:hanging="360"/>
        <w:rPr>
          <w:rFonts w:ascii="Calibri" w:eastAsia="Calibri" w:hAnsi="Calibri" w:cs="Calibri"/>
          <w:color w:val="000000" w:themeColor="text1"/>
        </w:rPr>
      </w:pPr>
      <w:hyperlink w:anchor="_Introduction_1" w:history="1">
        <w:r w:rsidR="00D659D7">
          <w:rPr>
            <w:rStyle w:val="Hyperlink"/>
            <w:rFonts w:ascii="Calibri" w:hAnsi="Calibri"/>
          </w:rPr>
          <w:t>Introducción</w:t>
        </w:r>
      </w:hyperlink>
    </w:p>
    <w:p w14:paraId="42FD3034" w14:textId="3625DFB5" w:rsidR="00C768DD" w:rsidRPr="009959C8" w:rsidRDefault="00000000" w:rsidP="00C768DD">
      <w:pPr>
        <w:pStyle w:val="ListParagraph"/>
        <w:numPr>
          <w:ilvl w:val="0"/>
          <w:numId w:val="3"/>
        </w:numPr>
        <w:ind w:left="2250" w:hanging="360"/>
        <w:rPr>
          <w:rFonts w:ascii="Calibri" w:eastAsia="Calibri" w:hAnsi="Calibri" w:cs="Calibri"/>
        </w:rPr>
      </w:pPr>
      <w:hyperlink w:anchor="_Research-Based_Support_for" w:history="1">
        <w:r w:rsidR="00D659D7">
          <w:rPr>
            <w:rStyle w:val="Hyperlink"/>
            <w:rFonts w:ascii="Calibri" w:hAnsi="Calibri"/>
          </w:rPr>
          <w:t xml:space="preserve">Ayuda basada en la investigación para </w:t>
        </w:r>
        <w:proofErr w:type="spellStart"/>
        <w:r w:rsidR="00D659D7">
          <w:rPr>
            <w:rStyle w:val="Hyperlink"/>
            <w:rFonts w:ascii="Calibri" w:hAnsi="Calibri"/>
          </w:rPr>
          <w:t>rep</w:t>
        </w:r>
        <w:r w:rsidR="00D976BF">
          <w:rPr>
            <w:rStyle w:val="Hyperlink"/>
            <w:rFonts w:ascii="Calibri" w:hAnsi="Calibri"/>
          </w:rPr>
          <w:t>lanteamentar</w:t>
        </w:r>
        <w:proofErr w:type="spellEnd"/>
        <w:r w:rsidR="00D659D7">
          <w:rPr>
            <w:rStyle w:val="Hyperlink"/>
            <w:rFonts w:ascii="Calibri" w:hAnsi="Calibri"/>
          </w:rPr>
          <w:t xml:space="preserve"> las prácticas disciplinarias</w:t>
        </w:r>
      </w:hyperlink>
    </w:p>
    <w:p w14:paraId="5BF093DF" w14:textId="1E4C3F0D" w:rsidR="00D64C6B" w:rsidRPr="00F426E7" w:rsidRDefault="00000000" w:rsidP="00C768DD">
      <w:pPr>
        <w:pStyle w:val="ListParagraph"/>
        <w:numPr>
          <w:ilvl w:val="0"/>
          <w:numId w:val="3"/>
        </w:numPr>
        <w:ind w:left="2250" w:hanging="360"/>
        <w:rPr>
          <w:rStyle w:val="Hyperlink"/>
        </w:rPr>
      </w:pPr>
      <w:hyperlink w:anchor="_Requirements_of_G.L." w:history="1">
        <w:r w:rsidR="00D659D7">
          <w:rPr>
            <w:rStyle w:val="Hyperlink"/>
            <w:rFonts w:ascii="Calibri" w:hAnsi="Calibri"/>
          </w:rPr>
          <w:t>Requisitos de la G.L. c. 71, §37H¾(b), en su versión modificada</w:t>
        </w:r>
      </w:hyperlink>
      <w:r w:rsidR="00D659D7">
        <w:rPr>
          <w:rStyle w:val="Hyperlink"/>
          <w:rFonts w:ascii="Calibri" w:hAnsi="Calibri"/>
        </w:rPr>
        <w:t xml:space="preserve"> </w:t>
      </w:r>
    </w:p>
    <w:p w14:paraId="4D516CBA" w14:textId="6544873F" w:rsidR="00F426E7" w:rsidRPr="00F426E7" w:rsidRDefault="00000000" w:rsidP="0024030B">
      <w:pPr>
        <w:pStyle w:val="ListParagraph"/>
        <w:numPr>
          <w:ilvl w:val="0"/>
          <w:numId w:val="3"/>
        </w:numPr>
        <w:ind w:left="2250" w:hanging="360"/>
        <w:rPr>
          <w:rStyle w:val="Hyperlink"/>
        </w:rPr>
      </w:pPr>
      <w:hyperlink w:anchor="_Frequently_Asked_Questions" w:history="1">
        <w:r w:rsidR="00D659D7">
          <w:rPr>
            <w:rStyle w:val="Hyperlink"/>
            <w:rFonts w:ascii="Calibri" w:hAnsi="Calibri"/>
          </w:rPr>
          <w:t>Preguntas Frecuentes (FAQ) sobre la disciplina estudiantil según la G.L. c. 71, §37H¾(b), en su versión modificada</w:t>
        </w:r>
      </w:hyperlink>
    </w:p>
    <w:p w14:paraId="6A009707" w14:textId="7C3B5508" w:rsidR="00C768DD" w:rsidRPr="00F426E7" w:rsidRDefault="00000000" w:rsidP="0024030B">
      <w:pPr>
        <w:pStyle w:val="ListParagraph"/>
        <w:numPr>
          <w:ilvl w:val="0"/>
          <w:numId w:val="3"/>
        </w:numPr>
        <w:ind w:left="2250" w:hanging="360"/>
        <w:rPr>
          <w:rFonts w:ascii="Calibri" w:eastAsia="Calibri" w:hAnsi="Calibri" w:cs="Calibri"/>
        </w:rPr>
      </w:pPr>
      <w:hyperlink w:anchor="_Professional_Development" w:history="1">
        <w:r w:rsidR="00D659D7">
          <w:rPr>
            <w:rStyle w:val="Hyperlink"/>
          </w:rPr>
          <w:t>Desarrollo profesional</w:t>
        </w:r>
      </w:hyperlink>
      <w:r w:rsidR="00D659D7">
        <w:rPr>
          <w:rStyle w:val="Hyperlink"/>
          <w:i/>
          <w:u w:val="none"/>
        </w:rPr>
        <w:t xml:space="preserve"> (sección actualizada en marzo de 2023)</w:t>
      </w:r>
    </w:p>
    <w:p w14:paraId="33AEE499" w14:textId="575CECDD" w:rsidR="00C768DD" w:rsidRPr="009959C8" w:rsidRDefault="00000000" w:rsidP="00912617">
      <w:pPr>
        <w:pStyle w:val="ListParagraph"/>
        <w:numPr>
          <w:ilvl w:val="0"/>
          <w:numId w:val="3"/>
        </w:numPr>
        <w:spacing w:after="0"/>
        <w:ind w:left="2250" w:hanging="360"/>
        <w:rPr>
          <w:rFonts w:ascii="Calibri" w:eastAsia="Calibri" w:hAnsi="Calibri" w:cs="Calibri"/>
        </w:rPr>
      </w:pPr>
      <w:hyperlink w:anchor="_Links_to_Additional" w:history="1">
        <w:r w:rsidR="00D659D7">
          <w:rPr>
            <w:rStyle w:val="Hyperlink"/>
          </w:rPr>
          <w:t>Enlaces a ejemplos de recursos externos</w:t>
        </w:r>
      </w:hyperlink>
    </w:p>
    <w:p w14:paraId="3CBFCE8C" w14:textId="22F7B7B9" w:rsidR="00955348" w:rsidRPr="009038E4" w:rsidRDefault="00EB6A34" w:rsidP="00391554">
      <w:pPr>
        <w:ind w:left="1890" w:right="-360"/>
        <w:rPr>
          <w:b/>
          <w:bCs/>
        </w:rPr>
      </w:pPr>
      <w:r>
        <w:t>APÉNDICE:</w:t>
      </w:r>
      <w:r>
        <w:rPr>
          <w:b/>
          <w:sz w:val="24"/>
        </w:rPr>
        <w:t xml:space="preserve"> </w:t>
      </w:r>
      <w:hyperlink w:anchor="_APPENDIX:_Comparison_of" w:history="1">
        <w:r>
          <w:rPr>
            <w:rStyle w:val="Hyperlink"/>
          </w:rPr>
          <w:t>Comparación del lenguaje actual con el anterior en la G.L. c. 71, §37H¾(b)</w:t>
        </w:r>
      </w:hyperlink>
      <w:bookmarkStart w:id="0" w:name="_Introduction"/>
      <w:bookmarkEnd w:id="0"/>
      <w:r>
        <w:rPr>
          <w:rStyle w:val="Hyperlink"/>
        </w:rPr>
        <w:br/>
      </w:r>
    </w:p>
    <w:p w14:paraId="1634256F" w14:textId="77777777" w:rsidR="00C768DD" w:rsidRPr="00422519" w:rsidRDefault="00C768DD" w:rsidP="00C768DD">
      <w:pPr>
        <w:pStyle w:val="Heading2"/>
        <w:numPr>
          <w:ilvl w:val="0"/>
          <w:numId w:val="4"/>
        </w:numPr>
        <w:rPr>
          <w:b/>
          <w:bCs/>
          <w:color w:val="auto"/>
          <w:sz w:val="24"/>
          <w:szCs w:val="24"/>
        </w:rPr>
      </w:pPr>
      <w:bookmarkStart w:id="1" w:name="_Introduction_1"/>
      <w:bookmarkEnd w:id="1"/>
      <w:r>
        <w:rPr>
          <w:b/>
          <w:color w:val="auto"/>
          <w:sz w:val="24"/>
        </w:rPr>
        <w:t>Introducción</w:t>
      </w:r>
      <w:r>
        <w:rPr>
          <w:b/>
          <w:color w:val="auto"/>
          <w:sz w:val="24"/>
        </w:rPr>
        <w:br/>
      </w:r>
    </w:p>
    <w:p w14:paraId="698CD1D0" w14:textId="6603E703" w:rsidR="00C768DD" w:rsidRPr="008A0EBB" w:rsidRDefault="00C768DD" w:rsidP="00C768DD">
      <w:pPr>
        <w:ind w:left="720"/>
        <w:rPr>
          <w:rFonts w:ascii="Calibri" w:eastAsia="Calibri" w:hAnsi="Calibri" w:cs="Calibri"/>
        </w:rPr>
      </w:pPr>
      <w:r>
        <w:t xml:space="preserve">Desde el 2016, el Departamento de Educación Primaria y Secundaria (Departamento/DESE) se ha asociado con escuelas y distritos de todo el estado en la </w:t>
      </w:r>
      <w:hyperlink r:id="rId10">
        <w:r>
          <w:rPr>
            <w:rStyle w:val="Hyperlink"/>
          </w:rPr>
          <w:t xml:space="preserve">iniciativa </w:t>
        </w:r>
        <w:r w:rsidR="004927C2">
          <w:rPr>
            <w:rStyle w:val="Hyperlink"/>
          </w:rPr>
          <w:t>Replant</w:t>
        </w:r>
        <w:r w:rsidR="00814F8B">
          <w:rPr>
            <w:rStyle w:val="Hyperlink"/>
          </w:rPr>
          <w:t>e</w:t>
        </w:r>
        <w:r w:rsidR="004927C2">
          <w:rPr>
            <w:rStyle w:val="Hyperlink"/>
          </w:rPr>
          <w:t>amiento de</w:t>
        </w:r>
        <w:r>
          <w:rPr>
            <w:rStyle w:val="Hyperlink"/>
          </w:rPr>
          <w:t xml:space="preserve"> la Disciplina</w:t>
        </w:r>
      </w:hyperlink>
      <w:r>
        <w:t>.</w:t>
      </w:r>
      <w:r>
        <w:rPr>
          <w:rFonts w:ascii="Calibri" w:hAnsi="Calibri"/>
          <w:color w:val="000000" w:themeColor="text1"/>
        </w:rPr>
        <w:t xml:space="preserve"> Esta iniciativa ha incluido una red de aprendizaje profesional diseñada para ayudar a las escuelas y distritos a reducir el uso de la suspensión </w:t>
      </w:r>
      <w:r w:rsidRPr="1710F4ED">
        <w:rPr>
          <w:rFonts w:ascii="Calibri" w:hAnsi="Calibri"/>
          <w:color w:val="000000" w:themeColor="text1"/>
        </w:rPr>
        <w:t>a</w:t>
      </w:r>
      <w:r>
        <w:rPr>
          <w:rFonts w:ascii="Calibri" w:hAnsi="Calibri"/>
          <w:color w:val="000000" w:themeColor="text1"/>
        </w:rPr>
        <w:t xml:space="preserve"> largo plazo </w:t>
      </w:r>
      <w:r w:rsidRPr="00C22363">
        <w:rPr>
          <w:rFonts w:ascii="Calibri" w:hAnsi="Calibri"/>
          <w:color w:val="000000" w:themeColor="text1"/>
        </w:rPr>
        <w:t>y la expulsión</w:t>
      </w:r>
      <w:r>
        <w:rPr>
          <w:rFonts w:ascii="Calibri" w:hAnsi="Calibri"/>
          <w:color w:val="000000" w:themeColor="text1"/>
        </w:rPr>
        <w:t xml:space="preserve"> para todos los estudiantes y a disminuir las tasas desproporcionadas de suspensión y expulsión para estudiantes con discapacidades y estudiantes de color.</w:t>
      </w:r>
    </w:p>
    <w:p w14:paraId="6337B283" w14:textId="44EDACE7" w:rsidR="0064121B" w:rsidRDefault="00A96FEF" w:rsidP="00C768DD">
      <w:pPr>
        <w:ind w:left="720"/>
        <w:rPr>
          <w:rStyle w:val="apple-converted-space"/>
          <w:rFonts w:ascii="Segoe UI" w:hAnsi="Segoe UI" w:cs="Segoe UI"/>
          <w:color w:val="222222"/>
          <w:shd w:val="clear" w:color="auto" w:fill="FFFFFF"/>
        </w:rPr>
      </w:pPr>
      <w:r>
        <w:t xml:space="preserve">La ley de Massachusetts ha </w:t>
      </w:r>
      <w:r w:rsidR="0E560791">
        <w:t xml:space="preserve">hecho un llamado a los </w:t>
      </w:r>
      <w:r w:rsidR="23BDEB09">
        <w:t xml:space="preserve"> </w:t>
      </w:r>
      <w:r>
        <w:t xml:space="preserve"> funcionarios escolares a actuar con</w:t>
      </w:r>
      <w:r w:rsidR="005E565D">
        <w:t xml:space="preserve"> </w:t>
      </w:r>
      <w:r w:rsidR="00A46E76">
        <w:t xml:space="preserve">prudencia </w:t>
      </w:r>
      <w:r>
        <w:t xml:space="preserve">al determinar si la suspensión es </w:t>
      </w:r>
      <w:r w:rsidR="1B1D697F">
        <w:t xml:space="preserve">la decisión </w:t>
      </w:r>
      <w:r>
        <w:t>apropiada para la mala conducta estudiantil</w:t>
      </w:r>
      <w:r w:rsidR="4BA78A08">
        <w:t xml:space="preserve">.  Al igual que hace un llamado a </w:t>
      </w:r>
      <w:r>
        <w:rPr>
          <w:color w:val="222222"/>
          <w:shd w:val="clear" w:color="auto" w:fill="FFFFFF"/>
        </w:rPr>
        <w:t xml:space="preserve">adoptar estrategias y programas basados </w:t>
      </w:r>
      <w:proofErr w:type="gramStart"/>
      <w:r>
        <w:rPr>
          <w:color w:val="222222"/>
          <w:shd w:val="clear" w:color="auto" w:fill="FFFFFF"/>
        </w:rPr>
        <w:t xml:space="preserve">en </w:t>
      </w:r>
      <w:r w:rsidR="00B9AA31">
        <w:rPr>
          <w:color w:val="222222"/>
          <w:shd w:val="clear" w:color="auto" w:fill="FFFFFF"/>
        </w:rPr>
        <w:t xml:space="preserve"> resultados</w:t>
      </w:r>
      <w:proofErr w:type="gramEnd"/>
      <w:r w:rsidR="00B9AA31">
        <w:rPr>
          <w:color w:val="222222"/>
          <w:shd w:val="clear" w:color="auto" w:fill="FFFFFF"/>
        </w:rPr>
        <w:t xml:space="preserve"> </w:t>
      </w:r>
      <w:r w:rsidR="3742F747">
        <w:rPr>
          <w:color w:val="222222"/>
          <w:shd w:val="clear" w:color="auto" w:fill="FFFFFF"/>
        </w:rPr>
        <w:t xml:space="preserve">que fortalezcan </w:t>
      </w:r>
      <w:r>
        <w:rPr>
          <w:color w:val="222222"/>
          <w:shd w:val="clear" w:color="auto" w:fill="FFFFFF"/>
        </w:rPr>
        <w:t>la cultura</w:t>
      </w:r>
      <w:r w:rsidR="24301199">
        <w:rPr>
          <w:color w:val="222222"/>
          <w:shd w:val="clear" w:color="auto" w:fill="FFFFFF"/>
        </w:rPr>
        <w:t>,</w:t>
      </w:r>
      <w:r>
        <w:rPr>
          <w:color w:val="222222"/>
          <w:shd w:val="clear" w:color="auto" w:fill="FFFFFF"/>
        </w:rPr>
        <w:t xml:space="preserve"> el ambiente </w:t>
      </w:r>
      <w:r w:rsidR="23BDEB09">
        <w:rPr>
          <w:color w:val="222222"/>
          <w:shd w:val="clear" w:color="auto" w:fill="FFFFFF"/>
        </w:rPr>
        <w:t>escolare</w:t>
      </w:r>
      <w:r w:rsidR="6C55176F">
        <w:rPr>
          <w:color w:val="222222"/>
          <w:shd w:val="clear" w:color="auto" w:fill="FFFFFF"/>
        </w:rPr>
        <w:t xml:space="preserve"> </w:t>
      </w:r>
      <w:r w:rsidR="23BDEB09">
        <w:rPr>
          <w:color w:val="222222"/>
          <w:shd w:val="clear" w:color="auto" w:fill="FFFFFF"/>
        </w:rPr>
        <w:t xml:space="preserve"> </w:t>
      </w:r>
      <w:r w:rsidR="7BDD8B58">
        <w:rPr>
          <w:color w:val="222222"/>
          <w:shd w:val="clear" w:color="auto" w:fill="FFFFFF"/>
        </w:rPr>
        <w:t xml:space="preserve">he </w:t>
      </w:r>
      <w:r w:rsidR="1AE1CB60">
        <w:rPr>
          <w:color w:val="222222"/>
          <w:shd w:val="clear" w:color="auto" w:fill="FFFFFF"/>
        </w:rPr>
        <w:t>incluya estrategias como</w:t>
      </w:r>
      <w:r>
        <w:rPr>
          <w:color w:val="222222"/>
          <w:shd w:val="clear" w:color="auto" w:fill="FFFFFF"/>
        </w:rPr>
        <w:t xml:space="preserve">  abordar los problemas conductuales y socioemocionales que pueden dar lugar a la mala conducta del estudiante. Específicamente, </w:t>
      </w:r>
      <w:r>
        <w:t xml:space="preserve">la G.L. c. 71, §37H¾, que se refiere a la suspensión de estudiantes de escuelas públicas que </w:t>
      </w:r>
      <w:r>
        <w:rPr>
          <w:i/>
          <w:iCs/>
        </w:rPr>
        <w:t>no</w:t>
      </w:r>
      <w:r>
        <w:t xml:space="preserve"> están acusados de una violación de la </w:t>
      </w:r>
      <w:r>
        <w:rPr>
          <w:rFonts w:ascii="Calibri" w:hAnsi="Calibri"/>
        </w:rPr>
        <w:t>G.L. c. 71, §37H (a) o (b)</w:t>
      </w:r>
      <w:r>
        <w:t xml:space="preserve"> o de un delito grave según la G.L. c. 71</w:t>
      </w:r>
      <w:r>
        <w:rPr>
          <w:rFonts w:ascii="Calibri" w:hAnsi="Calibri"/>
        </w:rPr>
        <w:t>, §37H½,</w:t>
      </w:r>
      <w:r w:rsidR="00AF374D">
        <w:rPr>
          <w:rStyle w:val="FootnoteReference"/>
          <w:rFonts w:ascii="Calibri" w:eastAsia="Calibri" w:hAnsi="Calibri" w:cs="Calibri"/>
        </w:rPr>
        <w:footnoteReference w:id="2"/>
      </w:r>
      <w:r>
        <w:rPr>
          <w:rFonts w:ascii="Calibri" w:hAnsi="Calibri"/>
        </w:rPr>
        <w:t xml:space="preserve"> desde 2014, ha exigido a los funcionarios escolares </w:t>
      </w:r>
      <w:r>
        <w:rPr>
          <w:rFonts w:ascii="Calibri" w:hAnsi="Calibri"/>
        </w:rPr>
        <w:lastRenderedPageBreak/>
        <w:t xml:space="preserve">que ejerzan discreción al decidir las consecuencias de la mala conducta de los estudiantes, que consideren formas de reintegrar al estudiante en el proceso de aprendizaje y eviten usar la suspensión a largo plazo como consecuencia hasta que se hayan </w:t>
      </w:r>
      <w:r w:rsidR="70DA4240">
        <w:rPr>
          <w:rFonts w:ascii="Calibri" w:hAnsi="Calibri"/>
        </w:rPr>
        <w:t xml:space="preserve">intentado </w:t>
      </w:r>
      <w:r w:rsidR="4B5241E4">
        <w:rPr>
          <w:rFonts w:ascii="Calibri" w:hAnsi="Calibri"/>
        </w:rPr>
        <w:t xml:space="preserve">varias </w:t>
      </w:r>
      <w:r>
        <w:rPr>
          <w:rFonts w:ascii="Calibri" w:hAnsi="Calibri"/>
        </w:rPr>
        <w:t xml:space="preserve">alternativas.  </w:t>
      </w:r>
      <w:r>
        <w:rPr>
          <w:color w:val="222222"/>
          <w:shd w:val="clear" w:color="auto" w:fill="FFFFFF"/>
        </w:rPr>
        <w:t xml:space="preserve"> </w:t>
      </w:r>
      <w:r>
        <w:rPr>
          <w:rStyle w:val="apple-converted-space"/>
          <w:rFonts w:ascii="Segoe UI" w:hAnsi="Segoe UI"/>
          <w:color w:val="222222"/>
          <w:shd w:val="clear" w:color="auto" w:fill="FFFFFF"/>
        </w:rPr>
        <w:t xml:space="preserve">  </w:t>
      </w:r>
    </w:p>
    <w:p w14:paraId="5A5A0522" w14:textId="3824F4E5" w:rsidR="00C768DD" w:rsidRDefault="00657F46" w:rsidP="00C768DD">
      <w:pPr>
        <w:ind w:left="720"/>
        <w:rPr>
          <w:rFonts w:ascii="Calibri" w:eastAsia="Calibri" w:hAnsi="Calibri" w:cs="Calibri"/>
        </w:rPr>
      </w:pPr>
      <w:r>
        <w:rPr>
          <w:rFonts w:ascii="Calibri" w:hAnsi="Calibri"/>
        </w:rPr>
        <w:t xml:space="preserve">En 2022, la legislatura modificó la G.L. c. 71, §37H¾, mediante la sección 29 de </w:t>
      </w:r>
      <w:r>
        <w:rPr>
          <w:rFonts w:ascii="Calibri" w:hAnsi="Calibri"/>
          <w:i/>
        </w:rPr>
        <w:t>Una ley sobre los obstáculos para la atención de la salud mental</w:t>
      </w:r>
      <w:r>
        <w:rPr>
          <w:rFonts w:ascii="Calibri" w:hAnsi="Calibri"/>
          <w:color w:val="000000" w:themeColor="text1"/>
        </w:rPr>
        <w:t xml:space="preserve">, </w:t>
      </w:r>
      <w:hyperlink r:id="rId11">
        <w:r>
          <w:rPr>
            <w:rStyle w:val="Hyperlink"/>
            <w:rFonts w:ascii="Calibri" w:hAnsi="Calibri"/>
          </w:rPr>
          <w:t>Capítulo 177 de las Leyes de 2022</w:t>
        </w:r>
      </w:hyperlink>
      <w:r>
        <w:rPr>
          <w:rFonts w:ascii="Calibri" w:hAnsi="Calibri"/>
          <w:color w:val="000000" w:themeColor="text1"/>
        </w:rPr>
        <w:t xml:space="preserve">. </w:t>
      </w:r>
      <w:r>
        <w:rPr>
          <w:rFonts w:ascii="Calibri" w:hAnsi="Calibri"/>
        </w:rPr>
        <w:t xml:space="preserve">La modificación, con efecto a partir del 8 de noviembre de 2022, amplía las disposiciones existentes relacionadas con las prácticas de disciplina escolar descritas en la G.L. c. 71, §37H¾ y ahora requiere que, antes de la suspensión, los funcionarios escolares consideren alternativas a la suspensión y </w:t>
      </w:r>
      <w:r w:rsidR="6764E810" w:rsidRPr="1710F4ED">
        <w:rPr>
          <w:rFonts w:ascii="Calibri" w:hAnsi="Calibri"/>
        </w:rPr>
        <w:t xml:space="preserve">justifiques </w:t>
      </w:r>
      <w:r>
        <w:rPr>
          <w:rFonts w:ascii="Calibri" w:hAnsi="Calibri"/>
        </w:rPr>
        <w:t xml:space="preserve">las decisiones disciplinarias con documentación escrita. Estas pautas están </w:t>
      </w:r>
      <w:r w:rsidR="08B13D4D" w:rsidRPr="1710F4ED">
        <w:rPr>
          <w:rFonts w:ascii="Calibri" w:hAnsi="Calibri"/>
        </w:rPr>
        <w:t xml:space="preserve">basadas </w:t>
      </w:r>
      <w:r w:rsidR="0E32A766" w:rsidRPr="1710F4ED">
        <w:rPr>
          <w:rFonts w:ascii="Calibri" w:hAnsi="Calibri"/>
        </w:rPr>
        <w:t xml:space="preserve">en </w:t>
      </w:r>
      <w:r>
        <w:rPr>
          <w:rFonts w:ascii="Calibri" w:hAnsi="Calibri"/>
        </w:rPr>
        <w:t>las prácticas que el Departamento ha fomentado mediante la Iniciativa Rep</w:t>
      </w:r>
      <w:r w:rsidR="00D976BF">
        <w:rPr>
          <w:rFonts w:ascii="Calibri" w:hAnsi="Calibri"/>
        </w:rPr>
        <w:t>lanteam</w:t>
      </w:r>
      <w:r w:rsidR="008552F8">
        <w:rPr>
          <w:rFonts w:ascii="Calibri" w:hAnsi="Calibri"/>
        </w:rPr>
        <w:t>iento</w:t>
      </w:r>
      <w:r>
        <w:rPr>
          <w:rFonts w:ascii="Calibri" w:hAnsi="Calibri"/>
        </w:rPr>
        <w:t xml:space="preserve"> </w:t>
      </w:r>
      <w:r w:rsidR="6D38D087" w:rsidRPr="1710F4ED">
        <w:rPr>
          <w:rFonts w:ascii="Calibri" w:hAnsi="Calibri"/>
        </w:rPr>
        <w:t xml:space="preserve">de las Practicas </w:t>
      </w:r>
      <w:r w:rsidR="08D58C0D" w:rsidRPr="1710F4ED">
        <w:rPr>
          <w:rFonts w:ascii="Calibri" w:hAnsi="Calibri"/>
        </w:rPr>
        <w:t>la Disciplin</w:t>
      </w:r>
      <w:r w:rsidR="7BFBDA96" w:rsidRPr="1710F4ED">
        <w:rPr>
          <w:rFonts w:ascii="Calibri" w:hAnsi="Calibri"/>
        </w:rPr>
        <w:t xml:space="preserve">arias. </w:t>
      </w:r>
      <w:r>
        <w:rPr>
          <w:rFonts w:ascii="Calibri" w:hAnsi="Calibri"/>
        </w:rPr>
        <w:t xml:space="preserve">  </w:t>
      </w:r>
    </w:p>
    <w:p w14:paraId="02D5DEE1" w14:textId="1B2B0FB5" w:rsidR="00421698" w:rsidRDefault="00421698" w:rsidP="00C768DD">
      <w:pPr>
        <w:ind w:left="720"/>
        <w:rPr>
          <w:rFonts w:ascii="Calibri" w:eastAsia="Calibri" w:hAnsi="Calibri" w:cs="Calibri"/>
        </w:rPr>
      </w:pPr>
      <w:r>
        <w:rPr>
          <w:rFonts w:ascii="Calibri" w:hAnsi="Calibri"/>
        </w:rPr>
        <w:t>Tras la modificación de 2022 a la subsección (b), la G.L. c. 71, §37H¾ dice lo siguiente:</w:t>
      </w:r>
    </w:p>
    <w:p w14:paraId="5CE98E96" w14:textId="7FE16600" w:rsidR="00421698" w:rsidRPr="00B14471" w:rsidRDefault="00421698" w:rsidP="79CE27E6">
      <w:pPr>
        <w:pStyle w:val="ListParagraph"/>
        <w:numPr>
          <w:ilvl w:val="0"/>
          <w:numId w:val="13"/>
        </w:numPr>
        <w:rPr>
          <w:color w:val="141414"/>
        </w:rPr>
      </w:pPr>
      <w:r>
        <w:rPr>
          <w:color w:val="141414"/>
        </w:rPr>
        <w:t xml:space="preserve">Esta sección regulará la suspensión y expulsión de estudiantes matriculados en una escuela pública del estado que no sean acusados de una violación de las subsecciones (a) o (b) de la sección 37H o de un delito grave bajo la sección 37H½. </w:t>
      </w:r>
      <w:r>
        <w:br/>
      </w:r>
    </w:p>
    <w:p w14:paraId="6EC2F3EA" w14:textId="2DA7623C" w:rsidR="00421698" w:rsidRPr="00B14471" w:rsidRDefault="00421698" w:rsidP="49EF0390">
      <w:pPr>
        <w:pStyle w:val="ListParagraph"/>
        <w:numPr>
          <w:ilvl w:val="0"/>
          <w:numId w:val="13"/>
        </w:numPr>
        <w:rPr>
          <w:color w:val="141414"/>
        </w:rPr>
      </w:pPr>
      <w:r>
        <w:rPr>
          <w:color w:val="141414"/>
        </w:rPr>
        <w:t>Cualquier directivo, superintendente o persona que actúe como responsable de la toma de decisiones en una reunión o audiencia del estudiante, al decidir las consecuencias para el estudiante, deberá considerar maneras de reintegrar al estudiante en el proceso de aprendizaje; y no debe suspender o expulsar a un estudiante hasta que se hayan empleado soluciones alternativas y su uso y resultados se hayan documentado, después y en respuesta directa a un incidente específico o incidentes, a menos que se documenten razones específicas de por qué tales soluciones alternativas no son adecuadas o son contraproducentes, y en los casos en que la presencia continua del estudiante en la escuela plantearía una preocupación específica, documentable sobre la provocación de lesiones corporales graves u otros daños graves a otra persona mientras se encuentra en la escuela. Las soluciones alternativas pueden incluir, entre otras: (i) mediación; (ii) resolución de conflictos; (iii) justicia restaurativa; y (iv) resolución de problemas colaborativa. Los directivos, superintendentes o personas que actúen como responsables de la toma de decisiones también implementarán modelos para toda la escuela o el distrito para reintegrar a los estudiantes en el proceso de aprendizaje que incluirán, entre otras cosas: (i) intervenciones conductuales positivas y modelos de ayuda y (ii) modelos de aprendizaje que consideran la sensibilidad al trauma; sin embargo, esos modelos en toda la escuela o el distrito no deben considerarse una respuesta directa a un incidente específico.</w:t>
      </w:r>
    </w:p>
    <w:p w14:paraId="2E09B4E4" w14:textId="49230CBC" w:rsidR="00421698" w:rsidRDefault="00421698" w:rsidP="00421698">
      <w:pPr>
        <w:pStyle w:val="ListParagraph"/>
        <w:ind w:left="1800"/>
        <w:rPr>
          <w:rFonts w:eastAsia="Calibri" w:cstheme="minorHAnsi"/>
        </w:rPr>
      </w:pPr>
    </w:p>
    <w:p w14:paraId="60AC6E7F" w14:textId="57223332" w:rsidR="00421698" w:rsidRPr="00B14471" w:rsidRDefault="00421698" w:rsidP="003134BA">
      <w:pPr>
        <w:pStyle w:val="ListParagraph"/>
        <w:ind w:left="1440"/>
        <w:rPr>
          <w:rFonts w:eastAsia="Calibri" w:cstheme="minorHAnsi"/>
        </w:rPr>
      </w:pPr>
      <w:r>
        <w:t xml:space="preserve">[Los párrafos (c) a (f) no han cambiado; encuéntrelos en el </w:t>
      </w:r>
      <w:hyperlink r:id="rId12" w:history="1">
        <w:r>
          <w:rPr>
            <w:rStyle w:val="Hyperlink"/>
          </w:rPr>
          <w:t>sitio web</w:t>
        </w:r>
      </w:hyperlink>
      <w:r>
        <w:t xml:space="preserve"> del estado.]  </w:t>
      </w:r>
    </w:p>
    <w:p w14:paraId="3612EBE3" w14:textId="491FDB1A" w:rsidR="00403715" w:rsidRPr="008239F7" w:rsidRDefault="00C768DD" w:rsidP="00C768DD">
      <w:pPr>
        <w:ind w:left="720"/>
        <w:rPr>
          <w:rFonts w:ascii="Calibri" w:eastAsia="Calibri" w:hAnsi="Calibri" w:cs="Calibri"/>
          <w:color w:val="000000" w:themeColor="text1"/>
        </w:rPr>
      </w:pPr>
      <w:r>
        <w:rPr>
          <w:rFonts w:ascii="Calibri" w:hAnsi="Calibri"/>
          <w:color w:val="000000" w:themeColor="text1"/>
        </w:rPr>
        <w:t xml:space="preserve">Esta guía proporciona información básica sobre la ley modificada y se actualizará más adelante en el año con información adicional sobre la asistencia técnica y las oportunidades de desarrollo profesional. </w:t>
      </w:r>
      <w:r>
        <w:t xml:space="preserve">Puede enviar sus </w:t>
      </w:r>
      <w:r>
        <w:rPr>
          <w:rFonts w:ascii="Calibri" w:hAnsi="Calibri"/>
          <w:color w:val="000000" w:themeColor="text1"/>
        </w:rPr>
        <w:t xml:space="preserve">preguntas a la Oficina de Apoyo Estudiantil y Familiar a través de </w:t>
      </w:r>
      <w:hyperlink r:id="rId13">
        <w:r>
          <w:rPr>
            <w:rStyle w:val="Hyperlink"/>
            <w:rFonts w:ascii="Calibri" w:hAnsi="Calibri"/>
          </w:rPr>
          <w:t>achievement@doe.mass.edu</w:t>
        </w:r>
      </w:hyperlink>
      <w:r>
        <w:rPr>
          <w:rFonts w:ascii="Calibri" w:hAnsi="Calibri"/>
          <w:color w:val="000000" w:themeColor="text1"/>
        </w:rPr>
        <w:t>.</w:t>
      </w:r>
    </w:p>
    <w:p w14:paraId="3DA21AD3" w14:textId="77777777" w:rsidR="00403715" w:rsidRDefault="00403715" w:rsidP="00A03F6D">
      <w:pPr>
        <w:pStyle w:val="Heading2"/>
        <w:ind w:left="720"/>
        <w:rPr>
          <w:b/>
          <w:bCs/>
          <w:color w:val="auto"/>
          <w:sz w:val="24"/>
          <w:szCs w:val="24"/>
        </w:rPr>
      </w:pPr>
    </w:p>
    <w:p w14:paraId="36BAC24E" w14:textId="69DD7D31" w:rsidR="00C768DD" w:rsidRPr="00422519" w:rsidRDefault="044A77A5" w:rsidP="00C768DD">
      <w:pPr>
        <w:pStyle w:val="Heading2"/>
        <w:numPr>
          <w:ilvl w:val="0"/>
          <w:numId w:val="4"/>
        </w:numPr>
        <w:rPr>
          <w:b/>
          <w:bCs/>
          <w:color w:val="auto"/>
          <w:sz w:val="24"/>
          <w:szCs w:val="24"/>
        </w:rPr>
      </w:pPr>
      <w:r w:rsidRPr="1710F4ED">
        <w:rPr>
          <w:b/>
          <w:bCs/>
          <w:color w:val="auto"/>
          <w:sz w:val="24"/>
          <w:szCs w:val="24"/>
        </w:rPr>
        <w:t>Apoyo</w:t>
      </w:r>
      <w:r w:rsidR="5A5932E9" w:rsidRPr="1710F4ED">
        <w:rPr>
          <w:b/>
          <w:bCs/>
          <w:color w:val="auto"/>
          <w:sz w:val="24"/>
          <w:szCs w:val="24"/>
        </w:rPr>
        <w:t xml:space="preserve"> basado</w:t>
      </w:r>
      <w:r w:rsidR="00C768DD" w:rsidRPr="6BC91FAA">
        <w:rPr>
          <w:b/>
          <w:color w:val="auto"/>
          <w:sz w:val="24"/>
          <w:szCs w:val="24"/>
        </w:rPr>
        <w:t xml:space="preserve"> en </w:t>
      </w:r>
      <w:r w:rsidR="5A5932E9" w:rsidRPr="1710F4ED">
        <w:rPr>
          <w:b/>
          <w:bCs/>
          <w:color w:val="auto"/>
          <w:sz w:val="24"/>
          <w:szCs w:val="24"/>
        </w:rPr>
        <w:t>investigaciones</w:t>
      </w:r>
      <w:r w:rsidR="00C768DD" w:rsidRPr="6BC91FAA">
        <w:rPr>
          <w:b/>
          <w:color w:val="auto"/>
          <w:sz w:val="24"/>
          <w:szCs w:val="24"/>
        </w:rPr>
        <w:t xml:space="preserve"> para </w:t>
      </w:r>
      <w:r w:rsidR="5A5932E9" w:rsidRPr="1710F4ED">
        <w:rPr>
          <w:b/>
          <w:bCs/>
          <w:color w:val="auto"/>
          <w:sz w:val="24"/>
          <w:szCs w:val="24"/>
        </w:rPr>
        <w:t>reconsiderar las practicas disciplinarias.</w:t>
      </w:r>
      <w:r w:rsidR="00C768DD">
        <w:br/>
      </w:r>
    </w:p>
    <w:p w14:paraId="35BCF80A" w14:textId="63FCD449" w:rsidR="00C768DD" w:rsidRDefault="00DE5340" w:rsidP="00C768DD">
      <w:pPr>
        <w:ind w:left="720"/>
        <w:rPr>
          <w:rFonts w:ascii="Calibri" w:eastAsia="Calibri" w:hAnsi="Calibri" w:cs="Calibri"/>
          <w:color w:val="000000" w:themeColor="text1"/>
        </w:rPr>
      </w:pPr>
      <w:r>
        <w:rPr>
          <w:rFonts w:ascii="Calibri" w:hAnsi="Calibri"/>
          <w:color w:val="000000" w:themeColor="text1"/>
        </w:rPr>
        <w:t xml:space="preserve">Las investigaciones demostraron consistentemente que los logros de los estudiantes se ven afectado negativamente por la disciplina excluyente. La suspensión se asocia con un menor rendimiento académico para los estudiantes, incluso cuando se controla la demografía de los estudiantes, como la raza y la etnia, los ingresos y el estado de discapacidad. Del mismo modo, la suspensión también se relaciona con tasas más altas de abandono escolar y arrestos, tasas más bajas de graduación de la universidad, y un aumento en los problemas de salud, como problemas de salud mental, suicidio, lesiones, embarazo en la adolescencia, consumo de tabaco y tabaquismo. </w:t>
      </w:r>
    </w:p>
    <w:p w14:paraId="2D8458F9" w14:textId="0458181F" w:rsidR="00C768DD" w:rsidRPr="000A41DB" w:rsidRDefault="39DEE811" w:rsidP="00C768DD">
      <w:pPr>
        <w:ind w:left="720"/>
        <w:rPr>
          <w:rFonts w:ascii="Calibri" w:eastAsia="Calibri" w:hAnsi="Calibri" w:cs="Calibri"/>
          <w:color w:val="000000" w:themeColor="text1"/>
        </w:rPr>
      </w:pPr>
      <w:r>
        <w:rPr>
          <w:rFonts w:ascii="Calibri" w:hAnsi="Calibri"/>
          <w:color w:val="000000" w:themeColor="text1"/>
        </w:rPr>
        <w:t xml:space="preserve">Los datos recopilados por la Oficina de Derechos Civiles del Departamento de Educación de los Estados Unidos indican que la disciplina excluyente se aplica de manera injusta. Por ejemplo, según </w:t>
      </w:r>
      <w:r w:rsidR="726DF7FC">
        <w:rPr>
          <w:rFonts w:ascii="Calibri" w:hAnsi="Calibri"/>
          <w:color w:val="000000" w:themeColor="text1"/>
        </w:rPr>
        <w:t>estadísticas</w:t>
      </w:r>
      <w:r w:rsidR="2549561F">
        <w:rPr>
          <w:rFonts w:ascii="Calibri" w:hAnsi="Calibri"/>
          <w:color w:val="000000" w:themeColor="text1"/>
        </w:rPr>
        <w:t xml:space="preserve"> </w:t>
      </w:r>
      <w:r>
        <w:rPr>
          <w:rFonts w:ascii="Calibri" w:hAnsi="Calibri"/>
          <w:color w:val="000000" w:themeColor="text1"/>
        </w:rPr>
        <w:t>nacionales,</w:t>
      </w:r>
      <w:r w:rsidR="00C768DD">
        <w:rPr>
          <w:rStyle w:val="FootnoteReference"/>
          <w:rFonts w:ascii="Calibri" w:eastAsia="Calibri" w:hAnsi="Calibri" w:cs="Calibri"/>
          <w:color w:val="000000" w:themeColor="text1"/>
        </w:rPr>
        <w:footnoteReference w:id="3"/>
      </w:r>
      <w:r>
        <w:rPr>
          <w:rFonts w:ascii="Calibri" w:hAnsi="Calibri"/>
          <w:color w:val="000000" w:themeColor="text1"/>
        </w:rPr>
        <w:t xml:space="preserve"> los alumnos de color experimentaron tasas de suspensión y expulsión que fueron tres veces más altas que sus tasas de inscripción escolar. </w:t>
      </w:r>
      <w:r w:rsidR="43110830" w:rsidRPr="1710F4ED">
        <w:rPr>
          <w:rFonts w:ascii="Calibri" w:hAnsi="Calibri"/>
          <w:color w:val="000000" w:themeColor="text1"/>
        </w:rPr>
        <w:t xml:space="preserve">En Massachusetts, se producen tasas de suspensión desproporcionadamente más altas para varios grupos de estudiantes en comparación con sus compañeros, por ejemplo, para estudiantes de color, estudiantes con discapacidades y estudiantes de bajos ingresos. En el año académico 2021-22, por ejemplo, los estudiantes afroamericanos/negros fueron suspendidos a tasas casi 2,5 veces más altas que </w:t>
      </w:r>
      <w:r w:rsidR="5E09653B" w:rsidRPr="1710F4ED">
        <w:rPr>
          <w:rFonts w:ascii="Calibri" w:hAnsi="Calibri"/>
          <w:color w:val="000000" w:themeColor="text1"/>
        </w:rPr>
        <w:t>los estudiantes blancos</w:t>
      </w:r>
      <w:r w:rsidR="43110830" w:rsidRPr="1710F4ED">
        <w:rPr>
          <w:rFonts w:ascii="Calibri" w:hAnsi="Calibri"/>
          <w:color w:val="000000" w:themeColor="text1"/>
        </w:rPr>
        <w:t>, y los estudiantes hispanos/latinos fueron suspendidos al doble de la tasa de los estudiantes blancos. La tasa de suspensión de estudiantes con discapacidades fue más de 1,8 veces mayor que la de todos los estudiantes, y los estudiantes de bajos ingresos fueron suspendidos casi 1,6 veces más que todos los estudiantes.</w:t>
      </w:r>
      <w:r w:rsidR="43110830">
        <w:rPr>
          <w:rFonts w:ascii="Calibri" w:hAnsi="Calibri"/>
          <w:color w:val="000000" w:themeColor="text1"/>
        </w:rPr>
        <w:t xml:space="preserve"> </w:t>
      </w:r>
      <w:r w:rsidR="00C768DD">
        <w:rPr>
          <w:rStyle w:val="FootnoteReference"/>
          <w:rFonts w:ascii="Calibri" w:eastAsia="Calibri" w:hAnsi="Calibri" w:cs="Calibri"/>
          <w:color w:val="000000" w:themeColor="text1"/>
        </w:rPr>
        <w:footnoteReference w:id="4"/>
      </w:r>
      <w:r w:rsidR="65FBEB65" w:rsidRPr="1710F4ED">
        <w:t>￼</w:t>
      </w:r>
      <w:r w:rsidR="3C9F6DCC" w:rsidRPr="1710F4ED">
        <w:rPr>
          <w:rFonts w:ascii="Calibri" w:hAnsi="Calibri"/>
          <w:color w:val="000000" w:themeColor="text1"/>
        </w:rPr>
        <w:t xml:space="preserve"> </w:t>
      </w:r>
    </w:p>
    <w:p w14:paraId="49560AEB" w14:textId="29B0E213" w:rsidR="00C768DD" w:rsidRDefault="39DEE811" w:rsidP="00C768DD">
      <w:pPr>
        <w:ind w:left="720"/>
        <w:rPr>
          <w:rFonts w:ascii="Calibri" w:eastAsia="Calibri" w:hAnsi="Calibri" w:cs="Calibri"/>
          <w:color w:val="000000" w:themeColor="text1"/>
        </w:rPr>
      </w:pPr>
      <w:r>
        <w:rPr>
          <w:rFonts w:ascii="Calibri" w:hAnsi="Calibri"/>
          <w:color w:val="000000" w:themeColor="text1"/>
        </w:rPr>
        <w:t xml:space="preserve">La investigación también muestra que la implementación consistente de estrategias de conducta positiva disminuye las derivaciones a disciplina sin asistencia a clase y mejora el éxito académico. Además, las investigaciones indican que brindar capacitación en prácticas eficaces y en la comprensión de prejuicios y traumas puede ayudar a los administradores y docentes de las escuelas a reducir las desigualdades en la disciplinaria. </w:t>
      </w:r>
      <w:r>
        <w:t>Involucrar significativamente a los estudiantes, el personal y las familias para establecer pautas de conducta compartidas, reforzar la conducta positiva y proporcionar ayuda donde sea necesario puede disminuir la disciplina excluyente y mejorar la participación de los estudiantes, el ambiente escolar y los logros de los estudiantes.</w:t>
      </w:r>
      <w:r>
        <w:br/>
      </w:r>
    </w:p>
    <w:p w14:paraId="6D818F3F" w14:textId="6FDCAC39" w:rsidR="009F0211" w:rsidRPr="009F0211" w:rsidRDefault="009F0211" w:rsidP="009F0211">
      <w:pPr>
        <w:pStyle w:val="Heading2"/>
        <w:numPr>
          <w:ilvl w:val="0"/>
          <w:numId w:val="4"/>
        </w:numPr>
        <w:rPr>
          <w:rFonts w:ascii="Calibri" w:eastAsia="Calibri" w:hAnsi="Calibri" w:cs="Calibri"/>
          <w:color w:val="000000" w:themeColor="text1"/>
        </w:rPr>
      </w:pPr>
      <w:r>
        <w:rPr>
          <w:b/>
          <w:color w:val="auto"/>
          <w:sz w:val="24"/>
        </w:rPr>
        <w:lastRenderedPageBreak/>
        <w:t>Requisitos de la G.L. c. 71, §37H¾(b), en su versión modificada</w:t>
      </w:r>
    </w:p>
    <w:p w14:paraId="29400739" w14:textId="66253FAC" w:rsidR="00357823" w:rsidRDefault="00431DB6" w:rsidP="00651FB9">
      <w:pPr>
        <w:pStyle w:val="ListParagraph"/>
        <w:spacing w:before="240"/>
        <w:rPr>
          <w:rFonts w:ascii="Calibri" w:eastAsia="Calibri" w:hAnsi="Calibri" w:cs="Calibri"/>
        </w:rPr>
      </w:pPr>
      <w:bookmarkStart w:id="2" w:name="_Rethinking_Discipline_Related"/>
      <w:bookmarkStart w:id="3" w:name="_III._Requirements_of"/>
      <w:bookmarkEnd w:id="2"/>
      <w:bookmarkEnd w:id="3"/>
      <w:r>
        <w:rPr>
          <w:rFonts w:ascii="Calibri" w:hAnsi="Calibri"/>
        </w:rPr>
        <w:t>En su versión modificada, la G.L. c. 71, §37H¾(b) ahora especifica los procedimientos y la documentación que se requieren en los asuntos disciplinarios contemplados por este estatuto.</w:t>
      </w:r>
      <w:r w:rsidR="00601E49">
        <w:rPr>
          <w:rStyle w:val="FootnoteReference"/>
          <w:rFonts w:ascii="Calibri" w:eastAsia="Calibri" w:hAnsi="Calibri" w:cs="Calibri"/>
        </w:rPr>
        <w:footnoteReference w:id="5"/>
      </w:r>
      <w:r>
        <w:rPr>
          <w:rFonts w:ascii="Calibri" w:hAnsi="Calibri"/>
        </w:rPr>
        <w:t xml:space="preserve"> Los directivos, superintendentes o personas que actúen como responsables de la toma de decisiones en una reunión o audiencia del estudiante, al decidir las consecuencias para el estudiante:</w:t>
      </w:r>
    </w:p>
    <w:p w14:paraId="14C13AD2" w14:textId="19497B73" w:rsidR="007F3987" w:rsidRDefault="00003998" w:rsidP="00FE236A">
      <w:pPr>
        <w:pStyle w:val="ListParagraph"/>
        <w:numPr>
          <w:ilvl w:val="0"/>
          <w:numId w:val="14"/>
        </w:numPr>
        <w:rPr>
          <w:rFonts w:ascii="Calibri" w:eastAsia="Calibri" w:hAnsi="Calibri" w:cs="Calibri"/>
        </w:rPr>
      </w:pPr>
      <w:r>
        <w:rPr>
          <w:rFonts w:ascii="Calibri" w:hAnsi="Calibri"/>
        </w:rPr>
        <w:t>deberán considerar maneras de reintegrar al estudiante en el proceso de aprendizaje; y</w:t>
      </w:r>
    </w:p>
    <w:p w14:paraId="4FF1B467" w14:textId="1D12274A" w:rsidR="0053434A" w:rsidRPr="00651FB9" w:rsidRDefault="00003998" w:rsidP="00FE236A">
      <w:pPr>
        <w:pStyle w:val="ListParagraph"/>
        <w:numPr>
          <w:ilvl w:val="0"/>
          <w:numId w:val="14"/>
        </w:numPr>
        <w:rPr>
          <w:rFonts w:ascii="Calibri" w:eastAsia="Calibri" w:hAnsi="Calibri" w:cs="Calibri"/>
        </w:rPr>
      </w:pPr>
      <w:r>
        <w:t>no deben suspender a un estudiante hasta que se hayan empleado soluciones alternativas y su uso y resultados se hayan documentado, después y en respuesta directa a un incidente específico o incidentes, a menos</w:t>
      </w:r>
    </w:p>
    <w:p w14:paraId="28DABD32" w14:textId="5F44457F" w:rsidR="008B2468" w:rsidRPr="00651FB9" w:rsidRDefault="00617830" w:rsidP="004002F1">
      <w:pPr>
        <w:pStyle w:val="ListParagraph"/>
        <w:numPr>
          <w:ilvl w:val="1"/>
          <w:numId w:val="14"/>
        </w:numPr>
        <w:rPr>
          <w:rFonts w:ascii="Calibri" w:eastAsia="Calibri" w:hAnsi="Calibri" w:cs="Calibri"/>
        </w:rPr>
      </w:pPr>
      <w:r>
        <w:rPr>
          <w:color w:val="141414"/>
        </w:rPr>
        <w:t>que se documenten razones específicas de por qué tales soluciones alternativas no son adecuadas o son contraproducentes, o</w:t>
      </w:r>
    </w:p>
    <w:p w14:paraId="0C64454F" w14:textId="3B5410D4" w:rsidR="00D20869" w:rsidRDefault="00D20869" w:rsidP="00651FB9">
      <w:pPr>
        <w:pStyle w:val="ListParagraph"/>
        <w:numPr>
          <w:ilvl w:val="1"/>
          <w:numId w:val="14"/>
        </w:numPr>
        <w:rPr>
          <w:rFonts w:ascii="Calibri" w:eastAsia="Calibri" w:hAnsi="Calibri" w:cs="Calibri"/>
        </w:rPr>
      </w:pPr>
      <w:r>
        <w:rPr>
          <w:color w:val="141414"/>
        </w:rPr>
        <w:t>en los casos en que la presencia continua del estudiante en la escuela plantearía una preocupación específica, documentable sobre la provocación de lesiones corporales graves u otros daños graves a otra persona mientras se encuentra en la escuela.</w:t>
      </w:r>
    </w:p>
    <w:p w14:paraId="29EECDE0" w14:textId="57F9C692" w:rsidR="0053434A" w:rsidRPr="00651FB9" w:rsidRDefault="00E66F54" w:rsidP="00651FB9">
      <w:pPr>
        <w:ind w:left="720"/>
        <w:rPr>
          <w:rFonts w:ascii="Calibri" w:eastAsia="Calibri" w:hAnsi="Calibri" w:cs="Calibri"/>
        </w:rPr>
      </w:pPr>
      <w:r>
        <w:rPr>
          <w:rFonts w:ascii="Calibri" w:hAnsi="Calibri"/>
        </w:rPr>
        <w:t xml:space="preserve">Las "soluciones alternativas" pueden incluir, entre otras: </w:t>
      </w:r>
      <w:r>
        <w:rPr>
          <w:color w:val="141414"/>
        </w:rPr>
        <w:t>(i) mediación; (ii) resolución de conflictos; (iii) justicia restaurativa; y (iv) resolución de problemas colaborativa.</w:t>
      </w:r>
    </w:p>
    <w:p w14:paraId="16DF64E4" w14:textId="3E089169" w:rsidR="001C3700" w:rsidRPr="005320B3" w:rsidRDefault="001C3700" w:rsidP="005320B3">
      <w:pPr>
        <w:ind w:left="720"/>
        <w:rPr>
          <w:rFonts w:cstheme="minorHAnsi"/>
          <w:color w:val="141414"/>
        </w:rPr>
      </w:pPr>
      <w:r>
        <w:t>Los directivos, superintendentes o personas que actúen como responsables de la toma de decisiones también implementarán modelos para toda la escuela o el distrito para re integrar a los estudiantes en el proceso de aprendizaje que incluirán, entre otras cosas:</w:t>
      </w:r>
      <w:r>
        <w:rPr>
          <w:color w:val="141414"/>
        </w:rPr>
        <w:t xml:space="preserve"> (i) intervenciones conductuales positivas y modelos de ayuda y (ii) modelos de aprendizaje que consideran la sensibilidad al trauma; sin embargo, esos modelos en toda la escuela o el distrito no deben considerarse una respuesta directa a un incidente específico.</w:t>
      </w:r>
    </w:p>
    <w:p w14:paraId="6A97B1E9" w14:textId="0075591E" w:rsidR="000B15F6" w:rsidRDefault="00661356" w:rsidP="00597C07">
      <w:pPr>
        <w:ind w:left="720" w:right="-90"/>
        <w:rPr>
          <w:rFonts w:ascii="Calibri" w:eastAsia="Calibri" w:hAnsi="Calibri" w:cs="Calibri"/>
        </w:rPr>
      </w:pPr>
      <w:r>
        <w:rPr>
          <w:rFonts w:ascii="Calibri" w:hAnsi="Calibri"/>
        </w:rPr>
        <w:t xml:space="preserve">Consultar el </w:t>
      </w:r>
      <w:hyperlink w:anchor="_APPENDIX:__Comparison" w:history="1">
        <w:r>
          <w:rPr>
            <w:rStyle w:val="Hyperlink"/>
            <w:rFonts w:ascii="Calibri" w:hAnsi="Calibri"/>
          </w:rPr>
          <w:t>Apéndice</w:t>
        </w:r>
      </w:hyperlink>
      <w:r>
        <w:rPr>
          <w:rFonts w:ascii="Calibri" w:hAnsi="Calibri"/>
        </w:rPr>
        <w:t xml:space="preserve"> para revisar los cambios en el lenguaje del estatuto resultantes de las modificaciones de 2022 a la G.L. c. 71, §37H¾(b).  En las secciones V y VI, infra, figuran enlaces a diversos recursos que pueden ayudar a la aplicación de nuevos requisitos jurídicos. Las comunidades con prácticas prometedoras o sugerencias para mejorar el ambiente escolar y los logros de los estudiantes deben ponerse en contacto con </w:t>
      </w:r>
      <w:hyperlink r:id="rId14">
        <w:r>
          <w:rPr>
            <w:rStyle w:val="Hyperlink"/>
            <w:rFonts w:ascii="Calibri" w:hAnsi="Calibri"/>
          </w:rPr>
          <w:t>achievement@doe.mass.edu</w:t>
        </w:r>
      </w:hyperlink>
      <w:r>
        <w:rPr>
          <w:rFonts w:ascii="Calibri" w:hAnsi="Calibri"/>
        </w:rPr>
        <w:t xml:space="preserve">.   </w:t>
      </w:r>
    </w:p>
    <w:p w14:paraId="5374CFE5" w14:textId="77777777" w:rsidR="000B15F6" w:rsidRDefault="000B15F6" w:rsidP="00DF4A11">
      <w:pPr>
        <w:ind w:left="720"/>
        <w:rPr>
          <w:rFonts w:ascii="Calibri" w:eastAsia="Calibri" w:hAnsi="Calibri" w:cs="Calibri"/>
        </w:rPr>
      </w:pPr>
    </w:p>
    <w:p w14:paraId="1E110618" w14:textId="7D73C004" w:rsidR="00C768DD" w:rsidRPr="00422519" w:rsidRDefault="00750649" w:rsidP="009F0211">
      <w:pPr>
        <w:pStyle w:val="Heading2"/>
        <w:numPr>
          <w:ilvl w:val="0"/>
          <w:numId w:val="4"/>
        </w:numPr>
        <w:rPr>
          <w:b/>
          <w:bCs/>
          <w:color w:val="auto"/>
          <w:sz w:val="24"/>
          <w:szCs w:val="24"/>
        </w:rPr>
      </w:pPr>
      <w:bookmarkStart w:id="4" w:name="_Frequently_Asked_Questions"/>
      <w:bookmarkEnd w:id="4"/>
      <w:r>
        <w:rPr>
          <w:b/>
          <w:color w:val="auto"/>
          <w:sz w:val="24"/>
        </w:rPr>
        <w:lastRenderedPageBreak/>
        <w:t xml:space="preserve">Preguntas Frecuentes (FAQ) sobre la disciplina estudiantil según la </w:t>
      </w:r>
      <w:bookmarkStart w:id="5" w:name="_Hlk126069236"/>
      <w:r>
        <w:rPr>
          <w:b/>
          <w:color w:val="auto"/>
          <w:sz w:val="24"/>
        </w:rPr>
        <w:t>G.L. c. 71, §37H¾(b)</w:t>
      </w:r>
      <w:bookmarkEnd w:id="5"/>
      <w:r>
        <w:rPr>
          <w:b/>
          <w:color w:val="auto"/>
          <w:sz w:val="24"/>
        </w:rPr>
        <w:t>, en su versión modificada</w:t>
      </w:r>
      <w:r>
        <w:br/>
      </w:r>
    </w:p>
    <w:p w14:paraId="1E18D5DD" w14:textId="4966D587" w:rsidR="009A56B4" w:rsidRPr="00F246DC" w:rsidRDefault="006435CB" w:rsidP="00C768DD">
      <w:pPr>
        <w:pStyle w:val="ListParagraph"/>
        <w:numPr>
          <w:ilvl w:val="0"/>
          <w:numId w:val="10"/>
        </w:numPr>
        <w:ind w:left="1080"/>
      </w:pPr>
      <w:r>
        <w:rPr>
          <w:b/>
        </w:rPr>
        <w:t>¿A qué tipos de ofensas disciplinarias se aplica la sección 37H¾?</w:t>
      </w:r>
    </w:p>
    <w:p w14:paraId="74152E41" w14:textId="48D58895" w:rsidR="009A56B4" w:rsidRPr="00F246DC" w:rsidRDefault="00D14FDD" w:rsidP="4B80EA3D">
      <w:pPr>
        <w:spacing w:after="0"/>
        <w:ind w:left="1080"/>
        <w:rPr>
          <w:i/>
          <w:iCs/>
        </w:rPr>
      </w:pPr>
      <w:r>
        <w:rPr>
          <w:i/>
        </w:rPr>
        <w:t xml:space="preserve">La G.L. c. 71, §37H¾ se aplica a las suspensiones de estudiantes de escuelas públicas que no son acusados de una violación de la G.L. c. 71, §37H (a) o (b) (posesión de un arma peligrosa o sustancia controlada, o agresión a un miembro del personal educativo) o de un delito grave o un delito criminal según la G.L. c. 71, §37H. La Sección 37H¾ se aplica a otras actividades que podrían llevar a la suspensión, como el </w:t>
      </w:r>
      <w:proofErr w:type="gramStart"/>
      <w:r>
        <w:rPr>
          <w:i/>
        </w:rPr>
        <w:t>bullying</w:t>
      </w:r>
      <w:proofErr w:type="gramEnd"/>
      <w:r>
        <w:rPr>
          <w:i/>
        </w:rPr>
        <w:t xml:space="preserve">, el acoso, o no seguir el código de conducta de la escuela. </w:t>
      </w:r>
    </w:p>
    <w:p w14:paraId="39D14C3D" w14:textId="77777777" w:rsidR="009A56B4" w:rsidRPr="00F246DC" w:rsidRDefault="009A56B4" w:rsidP="00F246DC">
      <w:pPr>
        <w:pStyle w:val="ListParagraph"/>
        <w:rPr>
          <w:b/>
        </w:rPr>
      </w:pPr>
    </w:p>
    <w:p w14:paraId="41A7E10C" w14:textId="50C80B62" w:rsidR="00E72A93" w:rsidRPr="003C1F75" w:rsidRDefault="00E72A93" w:rsidP="00C768DD">
      <w:pPr>
        <w:pStyle w:val="ListParagraph"/>
        <w:numPr>
          <w:ilvl w:val="0"/>
          <w:numId w:val="10"/>
        </w:numPr>
        <w:ind w:left="1080"/>
      </w:pPr>
      <w:r>
        <w:rPr>
          <w:b/>
        </w:rPr>
        <w:t>¿Qué tipo de suspensiones se contemplan en la sección 37H¾?</w:t>
      </w:r>
    </w:p>
    <w:p w14:paraId="212B2C23" w14:textId="77777777" w:rsidR="00E72A93" w:rsidRDefault="00E72A93" w:rsidP="00E72A93">
      <w:pPr>
        <w:pStyle w:val="ListParagraph"/>
        <w:ind w:left="1080"/>
        <w:rPr>
          <w:i/>
          <w:iCs/>
        </w:rPr>
      </w:pPr>
    </w:p>
    <w:p w14:paraId="19B5E5EE" w14:textId="00BBFCC6" w:rsidR="00E72A93" w:rsidRDefault="00E72A93" w:rsidP="00E72A93">
      <w:pPr>
        <w:pStyle w:val="ListParagraph"/>
        <w:ind w:left="1080"/>
        <w:rPr>
          <w:i/>
          <w:iCs/>
        </w:rPr>
      </w:pPr>
      <w:r>
        <w:rPr>
          <w:i/>
        </w:rPr>
        <w:t xml:space="preserve">De acuerdo con el lenguaje claro del estatuto en su versión modificada, los requisitos se aplican a todas las suspensiones sin asistencia a clase, a corto o largo plazo, según el § 37H ¾. Antes de cualquier suspensión, se requiere que la persona responsable de la toma de decisiones en la reunión o audiencia disciplinaria del estudiante use alternativas a la suspensión, a menos que (1) se documenten razones específicas de que las alternativas a la suspensión no son adecuadas o son contraproducentes, o (2) en los casos en que la presencia continua del estudiante en la escuela plantearía una preocupación específica, documentable sobre la provocación de lesiones corporales graves u otros daños graves a otra persona mientras se encuentra en la escuela. Consulte las preguntas adicionales en estas FAQ para más detalles.     </w:t>
      </w:r>
    </w:p>
    <w:p w14:paraId="72429813" w14:textId="77777777" w:rsidR="00E72A93" w:rsidRDefault="00E72A93" w:rsidP="00E72A93">
      <w:pPr>
        <w:pStyle w:val="ListParagraph"/>
        <w:ind w:left="1080"/>
        <w:rPr>
          <w:i/>
          <w:iCs/>
        </w:rPr>
      </w:pPr>
    </w:p>
    <w:p w14:paraId="5D85DFDF" w14:textId="4C03CD4B" w:rsidR="00D70CBF" w:rsidRPr="00A03F6D" w:rsidRDefault="003F7C38" w:rsidP="00C768DD">
      <w:pPr>
        <w:pStyle w:val="ListParagraph"/>
        <w:numPr>
          <w:ilvl w:val="0"/>
          <w:numId w:val="10"/>
        </w:numPr>
        <w:ind w:left="1080"/>
      </w:pPr>
      <w:r>
        <w:rPr>
          <w:b/>
        </w:rPr>
        <w:t>¿Qué exige la sección 37H¾ a las escuelas antes de suspender a un estudiante por mala conducta?</w:t>
      </w:r>
      <w:r>
        <w:rPr>
          <w:rFonts w:ascii="Calibri" w:hAnsi="Calibri"/>
          <w:color w:val="000000" w:themeColor="text1"/>
        </w:rPr>
        <w:t xml:space="preserve"> </w:t>
      </w:r>
    </w:p>
    <w:p w14:paraId="288B5D07" w14:textId="4BF7BAD7" w:rsidR="00844E00" w:rsidRDefault="39DEE811" w:rsidP="00A03F6D">
      <w:pPr>
        <w:pStyle w:val="ListParagraph"/>
        <w:ind w:left="1080"/>
        <w:rPr>
          <w:rFonts w:ascii="Calibri" w:eastAsia="Calibri" w:hAnsi="Calibri" w:cs="Calibri"/>
          <w:i/>
          <w:iCs/>
          <w:color w:val="000000" w:themeColor="text1"/>
        </w:rPr>
      </w:pPr>
      <w:r>
        <w:br/>
      </w:r>
      <w:r>
        <w:rPr>
          <w:i/>
        </w:rPr>
        <w:t>La persona responsable de la toma de decisiones en la reunión o audiencia disciplinaria del estudiante según la sección 37H¾</w:t>
      </w:r>
      <w:r>
        <w:rPr>
          <w:rFonts w:ascii="Calibri" w:hAnsi="Calibri"/>
          <w:i/>
          <w:color w:val="000000" w:themeColor="text1"/>
        </w:rPr>
        <w:t>:</w:t>
      </w:r>
    </w:p>
    <w:p w14:paraId="18D13B54" w14:textId="3459A411" w:rsidR="009A5809" w:rsidRPr="001857A1" w:rsidRDefault="00907B53" w:rsidP="001857B5">
      <w:pPr>
        <w:pStyle w:val="ListParagraph"/>
        <w:numPr>
          <w:ilvl w:val="0"/>
          <w:numId w:val="30"/>
        </w:numPr>
      </w:pPr>
      <w:r>
        <w:rPr>
          <w:rFonts w:ascii="Calibri" w:hAnsi="Calibri"/>
          <w:i/>
          <w:color w:val="000000" w:themeColor="text1"/>
        </w:rPr>
        <w:t>deberá considerar maneras de reintegrar al estudiante en el proceso de aprendizaje, y</w:t>
      </w:r>
    </w:p>
    <w:p w14:paraId="58E549F9" w14:textId="6FDD269A" w:rsidR="002F392C" w:rsidRPr="00307A1B" w:rsidRDefault="0009474D" w:rsidP="001857B5">
      <w:pPr>
        <w:pStyle w:val="ListParagraph"/>
        <w:numPr>
          <w:ilvl w:val="0"/>
          <w:numId w:val="30"/>
        </w:numPr>
      </w:pPr>
      <w:r>
        <w:rPr>
          <w:rFonts w:ascii="Calibri" w:hAnsi="Calibri"/>
          <w:i/>
          <w:iCs/>
          <w:color w:val="000000" w:themeColor="text1"/>
        </w:rPr>
        <w:t xml:space="preserve">no debe suspender o expulsar a un estudiante hasta que se hayan empleado soluciones alternativas, tales como </w:t>
      </w:r>
      <w:r>
        <w:rPr>
          <w:rFonts w:ascii="Calibri" w:hAnsi="Calibri"/>
          <w:b/>
          <w:bCs/>
          <w:i/>
          <w:iCs/>
          <w:color w:val="000000" w:themeColor="text1"/>
        </w:rPr>
        <w:t>mediación, resolución de conflictos, justicia restaurativa, o estrategias de resolución de problemas colaborativa</w:t>
      </w:r>
      <w:r>
        <w:rPr>
          <w:rFonts w:ascii="Calibri" w:hAnsi="Calibri"/>
          <w:i/>
          <w:iCs/>
          <w:color w:val="000000" w:themeColor="text1"/>
        </w:rPr>
        <w:t>, y su uso y resultados se hayan documentado, después y en respuesta directa a un incidente específico o incidentes, a menos que se aplique una de las dos excepciones descritas en la pregunta 2.</w:t>
      </w:r>
    </w:p>
    <w:p w14:paraId="796E765E" w14:textId="4D8A9790" w:rsidR="00224A11" w:rsidRPr="001857A1" w:rsidRDefault="39DEE811" w:rsidP="00307A1B">
      <w:pPr>
        <w:pStyle w:val="ListParagraph"/>
        <w:ind w:left="1440"/>
      </w:pPr>
      <w:r>
        <w:rPr>
          <w:rFonts w:ascii="Calibri" w:hAnsi="Calibri"/>
          <w:i/>
          <w:color w:val="000000" w:themeColor="text1"/>
        </w:rPr>
        <w:t xml:space="preserve"> </w:t>
      </w:r>
    </w:p>
    <w:p w14:paraId="61323858" w14:textId="218B55FC" w:rsidR="00C768DD" w:rsidRDefault="00FF4CC6" w:rsidP="00662912">
      <w:pPr>
        <w:pStyle w:val="ListParagraph"/>
        <w:ind w:left="1080"/>
      </w:pPr>
      <w:r>
        <w:rPr>
          <w:rFonts w:ascii="Calibri" w:hAnsi="Calibri"/>
          <w:i/>
          <w:color w:val="000000" w:themeColor="text1"/>
        </w:rPr>
        <w:t>Las escuelas y los distritos pueden usar soluciones alternativas más allá de los cuatro modelos que se enumeran en el estatuto, y se les anima a involucrar a las partes interesadas, incluyendo a los estudiantes, personal, familias y socios comunitarios al decidir qué modelo(s) implementar en toda la escuela o distrito. Las escuelas y los distritos deben proporcionar capacitación a los miembros del personal para promover el uso efectivo de soluciones alternativas y deben supervisar su aplicación para determinar y realizar las mejoras necesarias.</w:t>
      </w:r>
    </w:p>
    <w:p w14:paraId="5EA87D3B" w14:textId="77777777" w:rsidR="00C768DD" w:rsidRDefault="00C768DD" w:rsidP="00C768DD">
      <w:pPr>
        <w:pStyle w:val="ListParagraph"/>
      </w:pPr>
    </w:p>
    <w:p w14:paraId="5EF28A94" w14:textId="1D3AC1C4" w:rsidR="00430F13" w:rsidRPr="00A03F6D" w:rsidRDefault="00611696" w:rsidP="00611696">
      <w:pPr>
        <w:pStyle w:val="ListParagraph"/>
        <w:numPr>
          <w:ilvl w:val="0"/>
          <w:numId w:val="10"/>
        </w:numPr>
        <w:ind w:left="1080"/>
      </w:pPr>
      <w:r>
        <w:rPr>
          <w:b/>
        </w:rPr>
        <w:t>¿En qué circunstancias pueden las escuelas expulsar a los estudiantes sin emplear soluciones alternativas?</w:t>
      </w:r>
    </w:p>
    <w:p w14:paraId="11810E4F" w14:textId="2014C24D" w:rsidR="005578C7" w:rsidRPr="001441E7" w:rsidRDefault="00611696" w:rsidP="00A03F6D">
      <w:pPr>
        <w:pStyle w:val="ListParagraph"/>
        <w:ind w:left="1080"/>
      </w:pPr>
      <w:r>
        <w:br/>
      </w:r>
      <w:r>
        <w:rPr>
          <w:i/>
        </w:rPr>
        <w:t>Una escuela o distrito puede decidir expulsar un estudiante, sin emplear soluciones alternativas, por mala conducta descrita en la G.L. c. 71, §§ 37H y 37H½.  (Ver N.</w:t>
      </w:r>
      <w:r>
        <w:rPr>
          <w:i/>
          <w:vertAlign w:val="superscript"/>
        </w:rPr>
        <w:t>o</w:t>
      </w:r>
      <w:r>
        <w:rPr>
          <w:i/>
        </w:rPr>
        <w:t xml:space="preserve"> 1, a continuación.) En el caso de asuntos disciplinarios según la G.L. c. 71, §37H¾, el responsable de la toma de decisiones en la reunión o audiencia del estudiante puede suspender al estudiante sin emplear soluciones alternativas en estas circunstancias:</w:t>
      </w:r>
    </w:p>
    <w:p w14:paraId="1F0EAE0A" w14:textId="77777777" w:rsidR="005578C7" w:rsidRPr="001441E7" w:rsidRDefault="005578C7" w:rsidP="001441E7">
      <w:pPr>
        <w:pStyle w:val="ListParagraph"/>
        <w:rPr>
          <w:i/>
          <w:iCs/>
        </w:rPr>
      </w:pPr>
    </w:p>
    <w:p w14:paraId="44BA433A" w14:textId="607F8BE0" w:rsidR="00032518" w:rsidRPr="001441E7" w:rsidRDefault="009857F1" w:rsidP="007E1BEA">
      <w:pPr>
        <w:pStyle w:val="ListParagraph"/>
        <w:numPr>
          <w:ilvl w:val="1"/>
          <w:numId w:val="10"/>
        </w:numPr>
      </w:pPr>
      <w:r>
        <w:rPr>
          <w:i/>
        </w:rPr>
        <w:t>Que se documenten razones específicas de por qué tales soluciones alternativas no son adecuadas o son contraproducentes, o</w:t>
      </w:r>
    </w:p>
    <w:p w14:paraId="7F1940FD" w14:textId="77777777" w:rsidR="00AB75AF" w:rsidRDefault="003B2EDD" w:rsidP="00AB75AF">
      <w:pPr>
        <w:pStyle w:val="ListParagraph"/>
        <w:numPr>
          <w:ilvl w:val="1"/>
          <w:numId w:val="10"/>
        </w:numPr>
        <w:rPr>
          <w:i/>
          <w:iCs/>
        </w:rPr>
      </w:pPr>
      <w:r>
        <w:rPr>
          <w:i/>
        </w:rPr>
        <w:t>En los casos en que la presencia continua del estudiante en la escuela plantearía una preocupación específica documentable sobre lesiones corporales graves u otros daños graves a otra persona mientras se encuentra en la escuela.</w:t>
      </w:r>
    </w:p>
    <w:p w14:paraId="48A7DB00" w14:textId="77777777" w:rsidR="00A52768" w:rsidRDefault="00A52768" w:rsidP="00A52768">
      <w:pPr>
        <w:pStyle w:val="ListParagraph"/>
        <w:ind w:left="1080"/>
        <w:rPr>
          <w:i/>
          <w:iCs/>
        </w:rPr>
      </w:pPr>
    </w:p>
    <w:p w14:paraId="6837FAD6" w14:textId="1B909467" w:rsidR="00963A07" w:rsidRDefault="00AB75AF" w:rsidP="00A718F1">
      <w:pPr>
        <w:pStyle w:val="ListParagraph"/>
        <w:ind w:left="1080"/>
      </w:pPr>
      <w:r>
        <w:rPr>
          <w:i/>
          <w:iCs/>
        </w:rPr>
        <w:t xml:space="preserve">Las escuelas también pueden expulsar a un estudiante en una situación de emergencia, sin emplear soluciones alternativas, de acuerdo con los criterios establecidos en el reglamento de Disciplina estudiantil en </w:t>
      </w:r>
      <w:hyperlink r:id="rId15" w:history="1">
        <w:r>
          <w:rPr>
            <w:rStyle w:val="Hyperlink"/>
            <w:i/>
          </w:rPr>
          <w:t>603 CMR 53.07</w:t>
        </w:r>
      </w:hyperlink>
      <w:r>
        <w:rPr>
          <w:i/>
          <w:iCs/>
        </w:rPr>
        <w:t>.</w:t>
      </w:r>
      <w:r>
        <w:rPr>
          <w:i/>
        </w:rPr>
        <w:t xml:space="preserve">  </w:t>
      </w:r>
      <w:r>
        <w:rPr>
          <w:i/>
          <w:iCs/>
        </w:rPr>
        <w:t xml:space="preserve">Según G.L. c. 71, §37H ¾ y </w:t>
      </w:r>
      <w:hyperlink r:id="rId16" w:history="1">
        <w:r>
          <w:rPr>
            <w:rStyle w:val="Hyperlink"/>
            <w:i/>
          </w:rPr>
          <w:t>603 CMR 53.07</w:t>
        </w:r>
      </w:hyperlink>
      <w:r>
        <w:rPr>
          <w:i/>
          <w:iCs/>
        </w:rPr>
        <w:t>, una "expulsión de emergencia" por tiempo limitado puede tener lugar en situaciones donde la presencia continua del estudiante plantea un peligro para las personas o la propiedad, o perturba material y sustancialmente el orden de la escuela, y, a juicio del director, no hay alternativa disponible para aliviar el peligro o la alteración.</w:t>
      </w:r>
      <w:r>
        <w:rPr>
          <w:i/>
        </w:rPr>
        <w:t xml:space="preserve">  Como se establece en el reglamento, las escuelas deben seguir los procedimientos para garantizar la seguridad del estudiante, comunicarse con el estudiante y su familia, y proporcionar la oportunidad para una audiencia.  </w:t>
      </w:r>
    </w:p>
    <w:p w14:paraId="0C566DA5" w14:textId="6AB9072A" w:rsidR="00080FC4" w:rsidRDefault="00080FC4" w:rsidP="00A718F1">
      <w:pPr>
        <w:pStyle w:val="ListParagraph"/>
        <w:ind w:left="1080"/>
      </w:pPr>
    </w:p>
    <w:p w14:paraId="73AB3826" w14:textId="77777777" w:rsidR="007D1C20" w:rsidRDefault="007D1C20" w:rsidP="00A718F1">
      <w:pPr>
        <w:pStyle w:val="ListParagraph"/>
        <w:ind w:left="1080"/>
      </w:pPr>
    </w:p>
    <w:p w14:paraId="58A289D0" w14:textId="77777777" w:rsidR="002269E0" w:rsidRPr="00A03F6D" w:rsidRDefault="39DEE811" w:rsidP="00C768DD">
      <w:pPr>
        <w:pStyle w:val="ListParagraph"/>
        <w:numPr>
          <w:ilvl w:val="0"/>
          <w:numId w:val="10"/>
        </w:numPr>
        <w:ind w:left="1080"/>
      </w:pPr>
      <w:r>
        <w:rPr>
          <w:b/>
        </w:rPr>
        <w:t>¿La sección 37H¾ requiere que las escuelas y distritos implementen modelos para que los estudiantes se reintegren en el proceso de aprendizaje?</w:t>
      </w:r>
    </w:p>
    <w:p w14:paraId="6E8DC3F5" w14:textId="77777777" w:rsidR="002269E0" w:rsidRDefault="002269E0" w:rsidP="00A03F6D">
      <w:pPr>
        <w:pStyle w:val="ListParagraph"/>
      </w:pPr>
    </w:p>
    <w:p w14:paraId="436D8991" w14:textId="44086061" w:rsidR="00663633" w:rsidRDefault="39DEE811" w:rsidP="00663633">
      <w:pPr>
        <w:pStyle w:val="ListParagraph"/>
        <w:ind w:left="1080"/>
        <w:rPr>
          <w:i/>
          <w:iCs/>
        </w:rPr>
      </w:pPr>
      <w:r>
        <w:rPr>
          <w:i/>
        </w:rPr>
        <w:t xml:space="preserve">Sí. </w:t>
      </w:r>
      <w:r>
        <w:rPr>
          <w:i/>
          <w:iCs/>
        </w:rPr>
        <w:t>La sección 37H¾ requiere que los directivos, superintendentes o personas que actúen como responsables de la toma de decisiones implementen modelos para toda la escuela o el distrito para reintegrar a los estudiantes en el proceso de aprendizaje, lo que incluirá, entre otras cosas:</w:t>
      </w:r>
      <w:r>
        <w:rPr>
          <w:i/>
        </w:rPr>
        <w:t xml:space="preserve"> (i) intervenciones conductuales positivas y modelos de ayuda y (ii) modelos de aprendizaje que consideran la sensibilidad al trauma; sin embargo, esos modelos en toda la escuela o el distrito no deben considerarse una respuesta directa a un incidente específico. </w:t>
      </w:r>
    </w:p>
    <w:p w14:paraId="6D871EFB" w14:textId="77777777" w:rsidR="00AA365D" w:rsidRPr="00A03F6D" w:rsidRDefault="00AA365D" w:rsidP="00A03F6D">
      <w:pPr>
        <w:pStyle w:val="ListParagraph"/>
        <w:ind w:left="1080"/>
        <w:rPr>
          <w:i/>
          <w:iCs/>
        </w:rPr>
      </w:pPr>
    </w:p>
    <w:p w14:paraId="00D9248B" w14:textId="3E9433A6" w:rsidR="00C768DD" w:rsidRPr="00FB2D8E" w:rsidRDefault="004A08D4" w:rsidP="00A03F6D">
      <w:pPr>
        <w:pStyle w:val="ListParagraph"/>
        <w:ind w:left="1080"/>
      </w:pPr>
      <w:r>
        <w:rPr>
          <w:i/>
        </w:rPr>
        <w:t>Los directivos del distrito pueden elegir entre una variedad de modelos para integrar y reintegrar a los estudiantes en el proceso de aprendizaje, y puede determinar el modelo específico que mejor se adapte a las características únicas de la comunidad escolar. Al seleccionar un modelo, se anima a los distritos a involucrar a las partes interesadas con diversas perspectivas, incluyendo a los estudiantes, personal, familias y socios comunitarios.</w:t>
      </w:r>
      <w:r>
        <w:rPr>
          <w:rFonts w:ascii="Calibri" w:hAnsi="Calibri"/>
          <w:i/>
          <w:color w:val="000000" w:themeColor="text1"/>
        </w:rPr>
        <w:t xml:space="preserve">  </w:t>
      </w:r>
      <w:r>
        <w:rPr>
          <w:rFonts w:ascii="Calibri" w:hAnsi="Calibri"/>
          <w:i/>
          <w:color w:val="000000" w:themeColor="text1"/>
        </w:rPr>
        <w:lastRenderedPageBreak/>
        <w:t xml:space="preserve">Los distritos deben capacitar adecuadamente al personal y supervisar su aplicación para garantizar que los modelos y las estrategias produzcan los resultados deseados. </w:t>
      </w:r>
    </w:p>
    <w:p w14:paraId="255B8F63" w14:textId="77777777" w:rsidR="00C768DD" w:rsidRPr="00FB2D8E" w:rsidRDefault="00C768DD" w:rsidP="00C768DD">
      <w:pPr>
        <w:pStyle w:val="ListParagraph"/>
        <w:rPr>
          <w:i/>
          <w:iCs/>
        </w:rPr>
      </w:pPr>
    </w:p>
    <w:p w14:paraId="16707584" w14:textId="77777777" w:rsidR="00C80B97" w:rsidRPr="00A03F6D" w:rsidRDefault="00520DB4" w:rsidP="4B80EA3D">
      <w:pPr>
        <w:pStyle w:val="ListParagraph"/>
        <w:numPr>
          <w:ilvl w:val="0"/>
          <w:numId w:val="10"/>
        </w:numPr>
        <w:ind w:left="1080"/>
        <w:rPr>
          <w:b/>
          <w:bCs/>
          <w:i/>
          <w:iCs/>
        </w:rPr>
      </w:pPr>
      <w:r>
        <w:rPr>
          <w:b/>
        </w:rPr>
        <w:t>¿Deben las escuelas documentar la consideración y el uso de soluciones alternativas en asuntos disciplinarios bajo la sección 37H¾?</w:t>
      </w:r>
      <w:r>
        <w:t xml:space="preserve"> </w:t>
      </w:r>
    </w:p>
    <w:p w14:paraId="50BB66B5" w14:textId="6A464010" w:rsidR="00663633" w:rsidRDefault="00520DB4">
      <w:pPr>
        <w:pStyle w:val="ListParagraph"/>
        <w:ind w:left="1080"/>
        <w:rPr>
          <w:i/>
          <w:iCs/>
        </w:rPr>
      </w:pPr>
      <w:r>
        <w:br/>
      </w:r>
      <w:r>
        <w:rPr>
          <w:i/>
        </w:rPr>
        <w:t>Sí. A excepción de las situaciones descritas en las respuestas a las preguntas 2 y 4, la sección 37H¾ requiere que los directivos, el superintendente u otro responsable de la toma de decisiones en la reunión o audiencia disciplinaria del estudiante documente la consideración, el uso y los resultados de las soluciones alternativas.</w:t>
      </w:r>
    </w:p>
    <w:p w14:paraId="41A54625" w14:textId="656068ED" w:rsidR="00663633" w:rsidRDefault="00663633">
      <w:pPr>
        <w:pStyle w:val="ListParagraph"/>
        <w:ind w:left="1080"/>
        <w:rPr>
          <w:i/>
          <w:iCs/>
        </w:rPr>
      </w:pPr>
    </w:p>
    <w:p w14:paraId="09AADB9A" w14:textId="274F544B" w:rsidR="00663633" w:rsidRDefault="00663633" w:rsidP="00663633">
      <w:pPr>
        <w:pStyle w:val="ListParagraph"/>
        <w:ind w:left="1080"/>
        <w:rPr>
          <w:i/>
          <w:iCs/>
        </w:rPr>
      </w:pPr>
      <w:r>
        <w:rPr>
          <w:b/>
          <w:i/>
        </w:rPr>
        <w:t>La documentación debe describir:</w:t>
      </w:r>
      <w:r>
        <w:rPr>
          <w:i/>
        </w:rPr>
        <w:t xml:space="preserve"> </w:t>
      </w:r>
    </w:p>
    <w:p w14:paraId="439E32B2" w14:textId="6BCB866B" w:rsidR="00663633" w:rsidRPr="00A03F6D" w:rsidRDefault="00663633" w:rsidP="00A03F6D">
      <w:pPr>
        <w:pStyle w:val="ListParagraph"/>
        <w:numPr>
          <w:ilvl w:val="0"/>
          <w:numId w:val="26"/>
        </w:numPr>
        <w:rPr>
          <w:i/>
          <w:iCs/>
        </w:rPr>
      </w:pPr>
      <w:r>
        <w:rPr>
          <w:i/>
        </w:rPr>
        <w:t xml:space="preserve">todas las soluciones alternativas utilizadas en respuesta a un incidente específico o incidentes, </w:t>
      </w:r>
    </w:p>
    <w:p w14:paraId="65A0C8BC" w14:textId="77777777" w:rsidR="00663633" w:rsidRPr="00A03F6D" w:rsidRDefault="00663633" w:rsidP="00A03F6D">
      <w:pPr>
        <w:pStyle w:val="ListParagraph"/>
        <w:numPr>
          <w:ilvl w:val="0"/>
          <w:numId w:val="26"/>
        </w:numPr>
        <w:rPr>
          <w:i/>
          <w:iCs/>
        </w:rPr>
      </w:pPr>
      <w:r>
        <w:rPr>
          <w:i/>
        </w:rPr>
        <w:t xml:space="preserve">el resultado de esos esfuerzos, y </w:t>
      </w:r>
    </w:p>
    <w:p w14:paraId="3EA63778" w14:textId="6441B421" w:rsidR="00663633" w:rsidRDefault="00663633" w:rsidP="00D05781">
      <w:pPr>
        <w:pStyle w:val="ListParagraph"/>
        <w:numPr>
          <w:ilvl w:val="0"/>
          <w:numId w:val="26"/>
        </w:numPr>
        <w:rPr>
          <w:i/>
          <w:iCs/>
        </w:rPr>
      </w:pPr>
      <w:r>
        <w:rPr>
          <w:i/>
        </w:rPr>
        <w:t>para los casos en que se aplica la suspensión, las razones por las que las soluciones alternativas no serían adecuadas o serían contraproducentes, o la preocupación específica sobre lesiones corporales graves u otros daños graves que se infligen a otra persona mientras el estudiante está en la escuela.</w:t>
      </w:r>
    </w:p>
    <w:p w14:paraId="4605BE40" w14:textId="77777777" w:rsidR="00663633" w:rsidRDefault="00663633">
      <w:pPr>
        <w:pStyle w:val="ListParagraph"/>
        <w:ind w:left="1080"/>
        <w:rPr>
          <w:i/>
          <w:iCs/>
        </w:rPr>
      </w:pPr>
    </w:p>
    <w:p w14:paraId="5928F428" w14:textId="32840B68" w:rsidR="002E0349" w:rsidRPr="002E0349" w:rsidRDefault="004C212D" w:rsidP="00542EE5">
      <w:pPr>
        <w:pStyle w:val="ListParagraph"/>
        <w:spacing w:after="0"/>
        <w:ind w:left="1080"/>
      </w:pPr>
      <w:r>
        <w:rPr>
          <w:b/>
          <w:i/>
        </w:rPr>
        <w:t xml:space="preserve">Se anima a las escuelas y distritos a consultar con su asesor jurídico para obtener orientación sobre los requisitos de procedimiento del estatuto, la forma y el contenido de la documentación requerida, y para una capacitación que dé lugar a una implementación clara y coherente de los requisitos de documentación. </w:t>
      </w:r>
    </w:p>
    <w:p w14:paraId="2E2E829E" w14:textId="0DF9202E" w:rsidR="005E33A3" w:rsidRPr="00597C07" w:rsidRDefault="005E33A3" w:rsidP="00597C07">
      <w:pPr>
        <w:rPr>
          <w:i/>
          <w:iCs/>
        </w:rPr>
      </w:pPr>
    </w:p>
    <w:p w14:paraId="7F11CE76" w14:textId="77777777" w:rsidR="00C768DD" w:rsidRPr="00422519" w:rsidRDefault="00C768DD" w:rsidP="003872B3">
      <w:pPr>
        <w:pStyle w:val="Heading2"/>
        <w:numPr>
          <w:ilvl w:val="0"/>
          <w:numId w:val="4"/>
        </w:numPr>
        <w:rPr>
          <w:b/>
          <w:bCs/>
          <w:color w:val="auto"/>
          <w:sz w:val="24"/>
          <w:szCs w:val="24"/>
        </w:rPr>
      </w:pPr>
      <w:bookmarkStart w:id="6" w:name="_Professional_Development"/>
      <w:bookmarkStart w:id="7" w:name="_Hlk128756870"/>
      <w:bookmarkEnd w:id="6"/>
      <w:r>
        <w:rPr>
          <w:b/>
          <w:color w:val="auto"/>
          <w:sz w:val="24"/>
        </w:rPr>
        <w:t xml:space="preserve">Desarrollo profesional </w:t>
      </w:r>
    </w:p>
    <w:p w14:paraId="235236C8" w14:textId="41B42779" w:rsidR="00BC3DB6" w:rsidRDefault="00BC3DB6" w:rsidP="1F1A8814">
      <w:pPr>
        <w:pStyle w:val="ListParagraph"/>
      </w:pPr>
    </w:p>
    <w:p w14:paraId="13E332F1" w14:textId="77777777" w:rsidR="003B2B05" w:rsidRDefault="00BC3DB6" w:rsidP="1F1A8814">
      <w:pPr>
        <w:pStyle w:val="ListParagraph"/>
      </w:pPr>
      <w:r>
        <w:t xml:space="preserve">Para respaldar la implementación de los nuevos requisitos introducidos por la modificación de 2022 a la G.L. c. 71, §37H¾, el Departamento ofrecerá asistencia técnica, desarrollo profesional y orientación adicional. </w:t>
      </w:r>
    </w:p>
    <w:p w14:paraId="62330C2E" w14:textId="77777777" w:rsidR="003B2B05" w:rsidRDefault="003B2B05" w:rsidP="1F1A8814">
      <w:pPr>
        <w:pStyle w:val="ListParagraph"/>
      </w:pPr>
    </w:p>
    <w:p w14:paraId="4C87CA5E" w14:textId="77777777" w:rsidR="00822A78" w:rsidRDefault="009E2D31" w:rsidP="1F1A8814">
      <w:pPr>
        <w:pStyle w:val="ListParagraph"/>
      </w:pPr>
      <w:r>
        <w:t xml:space="preserve">Consulte este </w:t>
      </w:r>
      <w:hyperlink r:id="rId17" w:history="1">
        <w:r>
          <w:rPr>
            <w:rStyle w:val="Hyperlink"/>
          </w:rPr>
          <w:t>folleto</w:t>
        </w:r>
      </w:hyperlink>
      <w:r>
        <w:t xml:space="preserve"> para obtener detalles sobre una nueva serie de desarrollo profesional disponible esta primavera de 2023 para los directivos escolares y del distrito y el personal. Esta serie de aprendizaje proporciona información introductoria sobre alternativas a las prácticas excluyentes a través de cuatro mini-módulos asíncronos y dos sesiones de trabajo en red sincrónicas (todas de una hora cada una aproximadamente). </w:t>
      </w:r>
    </w:p>
    <w:p w14:paraId="7E46CA49" w14:textId="77777777" w:rsidR="00822A78" w:rsidRDefault="00822A78" w:rsidP="1F1A8814">
      <w:pPr>
        <w:pStyle w:val="ListParagraph"/>
      </w:pPr>
    </w:p>
    <w:p w14:paraId="29C4944A" w14:textId="3AAE3A82" w:rsidR="00822A78" w:rsidRDefault="00822A78" w:rsidP="00822A78">
      <w:pPr>
        <w:pStyle w:val="ListParagraph"/>
      </w:pPr>
      <w:r>
        <w:t xml:space="preserve">El Departamento actualizará el sitio web </w:t>
      </w:r>
      <w:r w:rsidR="07E043F2">
        <w:t>de</w:t>
      </w:r>
      <w:r w:rsidR="34A92D89">
        <w:t xml:space="preserve">l </w:t>
      </w:r>
      <w:hyperlink r:id="rId18" w:history="1">
        <w:r w:rsidR="008552F8">
          <w:rPr>
            <w:rStyle w:val="Hyperlink"/>
          </w:rPr>
          <w:t>Replanteam</w:t>
        </w:r>
        <w:r w:rsidR="004E471A">
          <w:rPr>
            <w:rStyle w:val="Hyperlink"/>
          </w:rPr>
          <w:t xml:space="preserve">iento </w:t>
        </w:r>
        <w:r w:rsidR="00335464">
          <w:rPr>
            <w:rStyle w:val="Hyperlink"/>
          </w:rPr>
          <w:t xml:space="preserve">de </w:t>
        </w:r>
        <w:r>
          <w:rPr>
            <w:rStyle w:val="Hyperlink"/>
          </w:rPr>
          <w:t>la disciplina</w:t>
        </w:r>
      </w:hyperlink>
      <w:r w:rsidR="00191EC9">
        <w:rPr>
          <w:rStyle w:val="Hyperlink"/>
        </w:rPr>
        <w:t xml:space="preserve"> </w:t>
      </w:r>
      <w:r>
        <w:t>cuando se disponga de detalles sobre oportunidades de capacitación y desarrollo profesional, y publicará información en la Actualización semanal del Comisionado.</w:t>
      </w:r>
    </w:p>
    <w:p w14:paraId="6E40C3E2" w14:textId="45A79EFA" w:rsidR="00BC3DB6" w:rsidRDefault="00BC3DB6" w:rsidP="1F1A8814">
      <w:pPr>
        <w:pStyle w:val="ListParagraph"/>
      </w:pPr>
    </w:p>
    <w:p w14:paraId="7EEC2D42" w14:textId="6779F5AF" w:rsidR="00C768DD" w:rsidRPr="001A4299" w:rsidRDefault="007372A6" w:rsidP="002E7A93">
      <w:pPr>
        <w:pStyle w:val="ListParagraph"/>
      </w:pPr>
      <w:r>
        <w:t xml:space="preserve">Para respaldar aún más la participación de los estudiantes y las iniciativas de bienestar, el Departamento también ofrece capacitación y desarrollo profesional relacionados con </w:t>
      </w:r>
      <w:hyperlink r:id="rId19" w:history="1">
        <w:r>
          <w:rPr>
            <w:rStyle w:val="Hyperlink"/>
          </w:rPr>
          <w:t>Rep</w:t>
        </w:r>
        <w:r w:rsidR="00335464">
          <w:rPr>
            <w:rStyle w:val="Hyperlink"/>
          </w:rPr>
          <w:t>lanteami</w:t>
        </w:r>
        <w:r w:rsidR="0078465E">
          <w:rPr>
            <w:rStyle w:val="Hyperlink"/>
          </w:rPr>
          <w:t>e</w:t>
        </w:r>
        <w:r w:rsidR="00335464">
          <w:rPr>
            <w:rStyle w:val="Hyperlink"/>
          </w:rPr>
          <w:t>nto de</w:t>
        </w:r>
        <w:r>
          <w:rPr>
            <w:rStyle w:val="Hyperlink"/>
          </w:rPr>
          <w:t xml:space="preserve"> la Disciplina y Escuelas Seguras y de Apoyo </w:t>
        </w:r>
      </w:hyperlink>
      <w:bookmarkEnd w:id="7"/>
      <w:r>
        <w:t xml:space="preserve"> , </w:t>
      </w:r>
      <w:hyperlink r:id="rId20" w:history="1">
        <w:r>
          <w:rPr>
            <w:rStyle w:val="Hyperlink"/>
          </w:rPr>
          <w:t xml:space="preserve">Sistemas de Apoyo de </w:t>
        </w:r>
        <w:r>
          <w:rPr>
            <w:rStyle w:val="Hyperlink"/>
          </w:rPr>
          <w:lastRenderedPageBreak/>
          <w:t>Múltiples Niveles</w:t>
        </w:r>
      </w:hyperlink>
      <w:r>
        <w:t xml:space="preserve"> (MTSS), </w:t>
      </w:r>
      <w:hyperlink r:id="rId21" w:history="1">
        <w:r>
          <w:rPr>
            <w:rStyle w:val="Hyperlink"/>
          </w:rPr>
          <w:t>Sentido de Pertenencia de los Estudiantes</w:t>
        </w:r>
      </w:hyperlink>
      <w:r>
        <w:t xml:space="preserve">, y </w:t>
      </w:r>
      <w:hyperlink r:id="rId22" w:history="1">
        <w:r>
          <w:rPr>
            <w:rStyle w:val="Hyperlink"/>
          </w:rPr>
          <w:t>Aprendizaje Socioemocional y Salud Mental y Bienestar del Estudiante</w:t>
        </w:r>
      </w:hyperlink>
      <w:r>
        <w:t xml:space="preserve">. </w:t>
      </w:r>
      <w:r>
        <w:rPr>
          <w:rStyle w:val="Hyperlink"/>
        </w:rPr>
        <w:br/>
      </w:r>
    </w:p>
    <w:p w14:paraId="4591353D" w14:textId="77777777" w:rsidR="00C768DD" w:rsidRPr="00422519" w:rsidRDefault="00C768DD" w:rsidP="003872B3">
      <w:pPr>
        <w:pStyle w:val="Heading2"/>
        <w:numPr>
          <w:ilvl w:val="0"/>
          <w:numId w:val="4"/>
        </w:numPr>
        <w:rPr>
          <w:b/>
          <w:bCs/>
          <w:color w:val="auto"/>
          <w:sz w:val="24"/>
          <w:szCs w:val="24"/>
        </w:rPr>
      </w:pPr>
      <w:bookmarkStart w:id="8" w:name="_Links_to_Examples"/>
      <w:bookmarkStart w:id="9" w:name="_Links_to_Additional"/>
      <w:bookmarkEnd w:id="8"/>
      <w:bookmarkEnd w:id="9"/>
      <w:r>
        <w:rPr>
          <w:b/>
          <w:color w:val="auto"/>
          <w:sz w:val="24"/>
        </w:rPr>
        <w:t>Enlaces a información adicional</w:t>
      </w:r>
    </w:p>
    <w:p w14:paraId="7A54CEE8" w14:textId="475F3049" w:rsidR="00EB6A34" w:rsidRDefault="00C768DD" w:rsidP="009F4FDC">
      <w:pPr>
        <w:ind w:left="720"/>
      </w:pPr>
      <w:r>
        <w:rPr>
          <w:rFonts w:ascii="Calibri" w:hAnsi="Calibri"/>
          <w:color w:val="000000" w:themeColor="text1"/>
        </w:rPr>
        <w:br/>
      </w:r>
      <w:r>
        <w:t xml:space="preserve">La información sobre las iniciativas más amplias relacionadas con las prácticas positivas de disciplina se puede encontrar en la página web de </w:t>
      </w:r>
      <w:hyperlink r:id="rId23" w:history="1">
        <w:r>
          <w:rPr>
            <w:rStyle w:val="Hyperlink"/>
          </w:rPr>
          <w:t>Rep</w:t>
        </w:r>
        <w:r w:rsidR="004E471A">
          <w:rPr>
            <w:rStyle w:val="Hyperlink"/>
          </w:rPr>
          <w:t>lanteamiento</w:t>
        </w:r>
        <w:r>
          <w:rPr>
            <w:rStyle w:val="Hyperlink"/>
          </w:rPr>
          <w:t xml:space="preserve"> la disciplina</w:t>
        </w:r>
      </w:hyperlink>
      <w:r>
        <w:rPr>
          <w:color w:val="000000" w:themeColor="text1"/>
        </w:rPr>
        <w:t xml:space="preserve"> del DESE. Esta información incluye el </w:t>
      </w:r>
      <w:hyperlink r:id="rId24" w:history="1">
        <w:r>
          <w:rPr>
            <w:rStyle w:val="Hyperlink"/>
          </w:rPr>
          <w:t>reglamento</w:t>
        </w:r>
      </w:hyperlink>
      <w:r>
        <w:rPr>
          <w:color w:val="000000" w:themeColor="text1"/>
        </w:rPr>
        <w:t xml:space="preserve"> de disciplina estudiantil (2014), una </w:t>
      </w:r>
      <w:hyperlink r:id="rId25" w:history="1">
        <w:r>
          <w:rPr>
            <w:rStyle w:val="Hyperlink"/>
          </w:rPr>
          <w:t>actualización sobre la iniciativa Rep</w:t>
        </w:r>
        <w:r w:rsidR="004E471A">
          <w:rPr>
            <w:rStyle w:val="Hyperlink"/>
          </w:rPr>
          <w:t>lanteamie</w:t>
        </w:r>
        <w:r w:rsidR="0078465E">
          <w:rPr>
            <w:rStyle w:val="Hyperlink"/>
          </w:rPr>
          <w:t>n</w:t>
        </w:r>
        <w:r w:rsidR="004E471A">
          <w:rPr>
            <w:rStyle w:val="Hyperlink"/>
          </w:rPr>
          <w:t>to</w:t>
        </w:r>
        <w:r>
          <w:rPr>
            <w:rStyle w:val="Hyperlink"/>
          </w:rPr>
          <w:t xml:space="preserve"> la disciplina</w:t>
        </w:r>
      </w:hyperlink>
      <w:r>
        <w:rPr>
          <w:rStyle w:val="Hyperlink"/>
        </w:rPr>
        <w:t xml:space="preserve"> </w:t>
      </w:r>
      <w:r>
        <w:rPr>
          <w:rStyle w:val="Hyperlink"/>
          <w:i/>
        </w:rPr>
        <w:t>(descargar</w:t>
      </w:r>
      <w:r>
        <w:rPr>
          <w:rStyle w:val="Hyperlink"/>
        </w:rPr>
        <w:t>)</w:t>
      </w:r>
      <w:r>
        <w:rPr>
          <w:color w:val="000000" w:themeColor="text1"/>
        </w:rPr>
        <w:t xml:space="preserve">, la </w:t>
      </w:r>
      <w:hyperlink r:id="rId26" w:history="1">
        <w:r>
          <w:rPr>
            <w:rStyle w:val="Hyperlink"/>
          </w:rPr>
          <w:t>metodología</w:t>
        </w:r>
      </w:hyperlink>
      <w:r>
        <w:t xml:space="preserve"> </w:t>
      </w:r>
      <w:r>
        <w:rPr>
          <w:i/>
        </w:rPr>
        <w:t xml:space="preserve">(descargar) </w:t>
      </w:r>
      <w:r>
        <w:t xml:space="preserve">que el DESE utiliza para calcular la disparidad o desproporción significativa en la suspensión o expulsión disciplinarias, </w:t>
      </w:r>
      <w:hyperlink r:id="rId27" w:history="1">
        <w:r>
          <w:rPr>
            <w:rStyle w:val="Hyperlink"/>
          </w:rPr>
          <w:t>una visión general</w:t>
        </w:r>
      </w:hyperlink>
      <w:r>
        <w:rPr>
          <w:color w:val="000000" w:themeColor="text1"/>
        </w:rPr>
        <w:t xml:space="preserve"> de Rep</w:t>
      </w:r>
      <w:r w:rsidR="00335464">
        <w:rPr>
          <w:color w:val="000000" w:themeColor="text1"/>
        </w:rPr>
        <w:t>lanteamiento de</w:t>
      </w:r>
      <w:r>
        <w:rPr>
          <w:color w:val="000000" w:themeColor="text1"/>
        </w:rPr>
        <w:t xml:space="preserve"> la disciplina, Desproporción significativa, e Indicadores 4, 9 y 10 de educación especial, y una muestra de </w:t>
      </w:r>
      <w:hyperlink r:id="rId28" w:history="1">
        <w:r>
          <w:rPr>
            <w:rStyle w:val="Hyperlink"/>
          </w:rPr>
          <w:t>recursos adicionales</w:t>
        </w:r>
      </w:hyperlink>
      <w:r>
        <w:rPr>
          <w:color w:val="000000" w:themeColor="text1"/>
        </w:rPr>
        <w:t>.</w:t>
      </w:r>
      <w:r>
        <w:br w:type="page"/>
      </w:r>
    </w:p>
    <w:p w14:paraId="4181A6E4" w14:textId="0DA0F412" w:rsidR="005D12BF" w:rsidRPr="0051045D" w:rsidRDefault="00EB6A34" w:rsidP="00597C07">
      <w:pPr>
        <w:pStyle w:val="Heading2"/>
        <w:ind w:right="180"/>
        <w:rPr>
          <w:b/>
          <w:bCs/>
          <w:color w:val="auto"/>
          <w:sz w:val="24"/>
          <w:szCs w:val="24"/>
        </w:rPr>
      </w:pPr>
      <w:r>
        <w:rPr>
          <w:b/>
          <w:color w:val="auto"/>
          <w:sz w:val="24"/>
        </w:rPr>
        <w:lastRenderedPageBreak/>
        <w:t>APÉNDICE: Comparación del lenguaje actual con el anterior en la G.L. c. 71, §37H¾(b)</w:t>
      </w:r>
    </w:p>
    <w:p w14:paraId="5BDACA2D" w14:textId="77777777" w:rsidR="00EB6A34" w:rsidRDefault="00EB6A34" w:rsidP="000A3EE9">
      <w:pPr>
        <w:ind w:right="180"/>
      </w:pPr>
    </w:p>
    <w:p w14:paraId="38B7BE07" w14:textId="34BF648F" w:rsidR="00EB6A34" w:rsidRDefault="00EB6A34" w:rsidP="000A3EE9">
      <w:pPr>
        <w:spacing w:before="240"/>
        <w:ind w:right="180"/>
      </w:pPr>
      <w:r>
        <w:t xml:space="preserve">Para ilustrar cómo los cambios en la ley (debido a </w:t>
      </w:r>
      <w:hyperlink r:id="rId29">
        <w:r w:rsidR="0F4DC49D" w:rsidRPr="1710F4ED">
          <w:rPr>
            <w:rStyle w:val="Hyperlink"/>
            <w:rFonts w:ascii="Calibri" w:hAnsi="Calibri"/>
            <w:i/>
            <w:iCs/>
          </w:rPr>
          <w:t>Una ley sobre los obstáculos para la atención de la salud mental</w:t>
        </w:r>
      </w:hyperlink>
      <w:r w:rsidR="0F4DC49D">
        <w:t>)</w:t>
      </w:r>
      <w:r>
        <w:t xml:space="preserve"> difieren de las pautas anteriores (en el </w:t>
      </w:r>
      <w:hyperlink r:id="rId30">
        <w:r w:rsidR="0F4DC49D" w:rsidRPr="1710F4ED">
          <w:rPr>
            <w:rStyle w:val="Hyperlink"/>
          </w:rPr>
          <w:t>Capítulo 222 de las Leyes de 2012</w:t>
        </w:r>
      </w:hyperlink>
      <w:r>
        <w:t xml:space="preserve">), el párrafo siguiente muestra el texto que permanece sin cambios (se muestra en </w:t>
      </w:r>
      <w:r w:rsidRPr="00FF78D9">
        <w:rPr>
          <w:i/>
          <w:iCs/>
        </w:rPr>
        <w:t>cursiva</w:t>
      </w:r>
      <w:r>
        <w:t>), el texto eliminado (</w:t>
      </w:r>
      <w:r w:rsidRPr="00FF78D9">
        <w:t>se</w:t>
      </w:r>
      <w:r>
        <w:rPr>
          <w:strike/>
        </w:rPr>
        <w:t xml:space="preserve"> </w:t>
      </w:r>
      <w:r w:rsidRPr="00FF78D9">
        <w:t>muestra</w:t>
      </w:r>
      <w:r>
        <w:rPr>
          <w:strike/>
        </w:rPr>
        <w:t xml:space="preserve"> tachado</w:t>
      </w:r>
      <w:r>
        <w:t>), y texto añadido (</w:t>
      </w:r>
      <w:r>
        <w:rPr>
          <w:b/>
          <w:highlight w:val="yellow"/>
        </w:rPr>
        <w:t>resaltado y en negrita</w:t>
      </w:r>
      <w:r>
        <w:t>).</w:t>
      </w:r>
    </w:p>
    <w:p w14:paraId="75645BE2" w14:textId="77777777" w:rsidR="003E3698" w:rsidRPr="00EE316D" w:rsidRDefault="003E3698" w:rsidP="003E3698">
      <w:pPr>
        <w:ind w:right="180"/>
        <w:rPr>
          <w:lang w:val="en-US"/>
        </w:rPr>
      </w:pPr>
      <w:r w:rsidRPr="00EE316D">
        <w:rPr>
          <w:rFonts w:ascii="Calibri" w:eastAsia="Calibri" w:hAnsi="Calibri" w:cs="Calibri"/>
          <w:i/>
          <w:iCs/>
          <w:color w:val="333333"/>
          <w:sz w:val="21"/>
          <w:szCs w:val="21"/>
          <w:lang w:val="en-US"/>
        </w:rPr>
        <w:t>(b) Any principal, headmaster, superintendent or person acting as a decision-maker at a student meeting or hearing, when deciding the consequences for the student, shall</w:t>
      </w:r>
      <w:r w:rsidRPr="00EE316D">
        <w:rPr>
          <w:rFonts w:ascii="Calibri" w:eastAsia="Calibri" w:hAnsi="Calibri" w:cs="Calibri"/>
          <w:color w:val="333333"/>
          <w:sz w:val="21"/>
          <w:szCs w:val="21"/>
          <w:lang w:val="en-US"/>
        </w:rPr>
        <w:t xml:space="preserve"> </w:t>
      </w:r>
      <w:r w:rsidRPr="00EE316D">
        <w:rPr>
          <w:strike/>
          <w:color w:val="333333"/>
          <w:shd w:val="clear" w:color="auto" w:fill="FFFFFF"/>
          <w:lang w:val="en-US"/>
        </w:rPr>
        <w:t>exercise discretion;</w:t>
      </w:r>
      <w:r w:rsidRPr="00EE316D">
        <w:rPr>
          <w:color w:val="333333"/>
          <w:shd w:val="clear" w:color="auto" w:fill="FFFFFF"/>
          <w:lang w:val="en-US"/>
        </w:rPr>
        <w:t xml:space="preserve"> </w:t>
      </w:r>
      <w:r w:rsidRPr="00EE316D">
        <w:rPr>
          <w:rFonts w:ascii="Calibri" w:eastAsia="Calibri" w:hAnsi="Calibri" w:cs="Calibri"/>
          <w:i/>
          <w:iCs/>
          <w:color w:val="333333"/>
          <w:sz w:val="21"/>
          <w:szCs w:val="21"/>
          <w:lang w:val="en-US"/>
        </w:rPr>
        <w:t>consider ways to re-engage the student in the learning process; and</w:t>
      </w:r>
      <w:r w:rsidRPr="00EE316D">
        <w:rPr>
          <w:color w:val="333333"/>
          <w:shd w:val="clear" w:color="auto" w:fill="FFFFFF"/>
          <w:lang w:val="en-US"/>
        </w:rPr>
        <w:t xml:space="preserve"> </w:t>
      </w:r>
      <w:r w:rsidRPr="00EE316D">
        <w:rPr>
          <w:strike/>
          <w:color w:val="333333"/>
          <w:shd w:val="clear" w:color="auto" w:fill="FFFFFF"/>
          <w:lang w:val="en-US"/>
        </w:rPr>
        <w:t>avoid using expulsion as a consequence until other remedies and consequences</w:t>
      </w:r>
      <w:r w:rsidRPr="00EE316D">
        <w:rPr>
          <w:rFonts w:ascii="Calibri" w:eastAsia="Calibri" w:hAnsi="Calibri" w:cs="Calibri"/>
          <w:b/>
          <w:bCs/>
          <w:color w:val="333333"/>
          <w:sz w:val="21"/>
          <w:szCs w:val="21"/>
          <w:lang w:val="en-US"/>
        </w:rPr>
        <w:t xml:space="preserve"> </w:t>
      </w:r>
      <w:r w:rsidRPr="00EE316D">
        <w:rPr>
          <w:rFonts w:ascii="Calibri" w:eastAsia="Calibri" w:hAnsi="Calibri" w:cs="Calibri"/>
          <w:b/>
          <w:bCs/>
          <w:color w:val="333333"/>
          <w:sz w:val="21"/>
          <w:szCs w:val="21"/>
          <w:highlight w:val="yellow"/>
          <w:lang w:val="en-US"/>
        </w:rPr>
        <w:t>shall not suspend or expel a student until alternative remedies</w:t>
      </w:r>
      <w:r w:rsidRPr="00EE316D">
        <w:rPr>
          <w:rFonts w:ascii="Calibri" w:eastAsia="Calibri" w:hAnsi="Calibri" w:cs="Calibri"/>
          <w:color w:val="333333"/>
          <w:sz w:val="21"/>
          <w:szCs w:val="21"/>
          <w:lang w:val="en-US"/>
        </w:rPr>
        <w:t xml:space="preserve"> </w:t>
      </w:r>
      <w:r w:rsidRPr="00EE316D">
        <w:rPr>
          <w:rFonts w:ascii="Calibri" w:eastAsia="Calibri" w:hAnsi="Calibri" w:cs="Calibri"/>
          <w:i/>
          <w:iCs/>
          <w:color w:val="333333"/>
          <w:sz w:val="21"/>
          <w:szCs w:val="21"/>
          <w:lang w:val="en-US"/>
        </w:rPr>
        <w:t>have been employed</w:t>
      </w:r>
      <w:r w:rsidRPr="00EE316D">
        <w:rPr>
          <w:rFonts w:ascii="Calibri" w:eastAsia="Calibri" w:hAnsi="Calibri" w:cs="Calibri"/>
          <w:color w:val="333333"/>
          <w:sz w:val="21"/>
          <w:szCs w:val="21"/>
          <w:lang w:val="en-US"/>
        </w:rPr>
        <w:t xml:space="preserve"> </w:t>
      </w:r>
      <w:r w:rsidRPr="00EE316D">
        <w:rPr>
          <w:rFonts w:ascii="Calibri" w:eastAsia="Calibri" w:hAnsi="Calibri" w:cs="Calibri"/>
          <w:b/>
          <w:bCs/>
          <w:color w:val="333333"/>
          <w:sz w:val="21"/>
          <w:szCs w:val="21"/>
          <w:highlight w:val="yellow"/>
          <w:lang w:val="en-US"/>
        </w:rPr>
        <w:t>and their use and results documented, following and in direct response to a specific incident or incidents, unless specific reasons are documented as to why such alternative remedies are unsuitable or counter-productive, and in cases where the student’s continued presence in school would pose a specific, documentable concern about the infliction of serious bodily injury or other serious harm upon another person while in school. Alternative remedies may include, but shall not be limited to: (i) mediation; (ii) conflict resolution; (iii) restorative justice; and (iv) collaborative problem solving. The principal, headmaster, superintendent or person acting as a decision-maker shall also implement school- or district-wide models to re-engage students in the learning process which shall include but not be limited to: (i) positive behavioral interventions and supports models and (ii) trauma sensitive learning models; provided, however, that school- or district-wide models shall not be considered a direct response to a specific incident.</w:t>
      </w:r>
    </w:p>
    <w:p w14:paraId="14BBC29D" w14:textId="77777777" w:rsidR="00121EB0" w:rsidRPr="00EE316D" w:rsidRDefault="00121EB0" w:rsidP="000A3EE9">
      <w:pPr>
        <w:spacing w:before="240"/>
        <w:ind w:right="180"/>
        <w:rPr>
          <w:rFonts w:ascii="Calibri" w:eastAsia="Calibri" w:hAnsi="Calibri" w:cs="Calibri"/>
          <w:i/>
          <w:iCs/>
          <w:color w:val="333333"/>
          <w:sz w:val="21"/>
          <w:szCs w:val="21"/>
          <w:lang w:val="en-US"/>
        </w:rPr>
      </w:pPr>
    </w:p>
    <w:p w14:paraId="713C7BFD" w14:textId="20089796" w:rsidR="00121EB0" w:rsidRPr="00EE316D" w:rsidRDefault="00121EB0" w:rsidP="000A3EE9">
      <w:pPr>
        <w:ind w:right="180"/>
        <w:rPr>
          <w:lang w:val="en-US"/>
        </w:rPr>
      </w:pPr>
    </w:p>
    <w:sectPr w:rsidR="00121EB0" w:rsidRPr="00EE316D" w:rsidSect="00D4507F">
      <w:footerReference w:type="default" r:id="rId3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E4B4C" w14:textId="77777777" w:rsidR="00615CEF" w:rsidRDefault="00615CEF" w:rsidP="00C768DD">
      <w:pPr>
        <w:spacing w:after="0" w:line="240" w:lineRule="auto"/>
      </w:pPr>
      <w:r>
        <w:separator/>
      </w:r>
    </w:p>
  </w:endnote>
  <w:endnote w:type="continuationSeparator" w:id="0">
    <w:p w14:paraId="521B147B" w14:textId="77777777" w:rsidR="00615CEF" w:rsidRDefault="00615CEF" w:rsidP="00C768DD">
      <w:pPr>
        <w:spacing w:after="0" w:line="240" w:lineRule="auto"/>
      </w:pPr>
      <w:r>
        <w:continuationSeparator/>
      </w:r>
    </w:p>
  </w:endnote>
  <w:endnote w:type="continuationNotice" w:id="1">
    <w:p w14:paraId="7E343FD1" w14:textId="77777777" w:rsidR="00615CEF" w:rsidRDefault="00615C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056028"/>
      <w:docPartObj>
        <w:docPartGallery w:val="Page Numbers (Bottom of Page)"/>
        <w:docPartUnique/>
      </w:docPartObj>
    </w:sdtPr>
    <w:sdtEndPr>
      <w:rPr>
        <w:noProof/>
      </w:rPr>
    </w:sdtEndPr>
    <w:sdtContent>
      <w:p w14:paraId="5C437356" w14:textId="4F01DB15" w:rsidR="009E5919" w:rsidRDefault="009E5919">
        <w:pPr>
          <w:pStyle w:val="Footer"/>
          <w:jc w:val="center"/>
        </w:pPr>
        <w:r>
          <w:fldChar w:fldCharType="begin"/>
        </w:r>
        <w:r>
          <w:instrText xml:space="preserve"> PAGE   \* MERGEFORMAT </w:instrText>
        </w:r>
        <w:r>
          <w:fldChar w:fldCharType="separate"/>
        </w:r>
        <w:r w:rsidR="008911D2">
          <w:rPr>
            <w:noProof/>
          </w:rPr>
          <w:t>9</w:t>
        </w:r>
        <w:r>
          <w:fldChar w:fldCharType="end"/>
        </w:r>
      </w:p>
    </w:sdtContent>
  </w:sdt>
  <w:p w14:paraId="42B4F71A" w14:textId="77777777" w:rsidR="009E5919" w:rsidRDefault="009E5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B89FD" w14:textId="77777777" w:rsidR="00615CEF" w:rsidRDefault="00615CEF" w:rsidP="00C768DD">
      <w:pPr>
        <w:spacing w:after="0" w:line="240" w:lineRule="auto"/>
      </w:pPr>
      <w:r>
        <w:separator/>
      </w:r>
    </w:p>
  </w:footnote>
  <w:footnote w:type="continuationSeparator" w:id="0">
    <w:p w14:paraId="7ABE22C8" w14:textId="77777777" w:rsidR="00615CEF" w:rsidRDefault="00615CEF" w:rsidP="00C768DD">
      <w:pPr>
        <w:spacing w:after="0" w:line="240" w:lineRule="auto"/>
      </w:pPr>
      <w:r>
        <w:continuationSeparator/>
      </w:r>
    </w:p>
  </w:footnote>
  <w:footnote w:type="continuationNotice" w:id="1">
    <w:p w14:paraId="78D6DE40" w14:textId="77777777" w:rsidR="00615CEF" w:rsidRDefault="00615CEF">
      <w:pPr>
        <w:spacing w:after="0" w:line="240" w:lineRule="auto"/>
      </w:pPr>
    </w:p>
  </w:footnote>
  <w:footnote w:id="2">
    <w:p w14:paraId="7EDCBA65" w14:textId="5E8E653E" w:rsidR="00AF374D" w:rsidRPr="003B5172" w:rsidRDefault="00AF374D" w:rsidP="00AF374D">
      <w:pPr>
        <w:pStyle w:val="NormalWeb"/>
        <w:shd w:val="clear" w:color="auto" w:fill="FFFFFF"/>
        <w:spacing w:before="0" w:beforeAutospacing="0" w:after="0" w:afterAutospacing="0"/>
        <w:rPr>
          <w:sz w:val="18"/>
          <w:szCs w:val="18"/>
        </w:rPr>
      </w:pPr>
      <w:r>
        <w:rPr>
          <w:rStyle w:val="FootnoteReference"/>
        </w:rPr>
        <w:footnoteRef/>
      </w:r>
      <w:r>
        <w:t xml:space="preserve"> </w:t>
      </w:r>
      <w:r>
        <w:rPr>
          <w:rFonts w:asciiTheme="minorHAnsi" w:hAnsiTheme="minorHAnsi"/>
          <w:sz w:val="18"/>
        </w:rPr>
        <w:t>Hay distinciones importantes entre la G.L. c. 71, §37H, §37H½, y §37H¾.</w:t>
      </w:r>
      <w:r>
        <w:rPr>
          <w:rFonts w:asciiTheme="minorHAnsi" w:hAnsiTheme="minorHAnsi"/>
          <w:b/>
          <w:i/>
          <w:sz w:val="18"/>
        </w:rPr>
        <w:t xml:space="preserve"> </w:t>
      </w:r>
      <w:r>
        <w:rPr>
          <w:rFonts w:asciiTheme="minorHAnsi" w:hAnsiTheme="minorHAnsi"/>
          <w:sz w:val="18"/>
        </w:rPr>
        <w:t xml:space="preserve">Una ofensa disciplinaria según la </w:t>
      </w:r>
      <w:r>
        <w:rPr>
          <w:rFonts w:asciiTheme="minorHAnsi" w:hAnsiTheme="minorHAnsi"/>
          <w:b/>
          <w:sz w:val="18"/>
        </w:rPr>
        <w:t>G.L. c. 71, § 37H o 37H½</w:t>
      </w:r>
      <w:r>
        <w:rPr>
          <w:rFonts w:asciiTheme="minorHAnsi" w:hAnsiTheme="minorHAnsi"/>
          <w:sz w:val="18"/>
        </w:rPr>
        <w:t xml:space="preserve"> significa una o más de las siguientes infracciones disciplinarias presuntas o comprobadas: 1) posesión de un arma peligrosa; 2) posesión de una sustancia controlada; 3) agresión a un miembro del personal educativo; y 4) un cargo por delito grave o una denuncia o condena por delito criminal, o un fallo o admisión de culpabilidad con respecto a dicho delito, si el director determina que la presencia continua del estudiante en la escuela tendría un efecto perjudicial importante en el bienestar general de la escuela, como se estipula en la G.L. c. 71, § 37H o 37H½. </w:t>
      </w:r>
      <w:r>
        <w:rPr>
          <w:rFonts w:asciiTheme="minorHAnsi" w:hAnsiTheme="minorHAnsi"/>
          <w:b/>
          <w:bCs/>
          <w:sz w:val="18"/>
        </w:rPr>
        <w:t>La G.L. c. 71, §37H¾ se aplica a otros tipos de problemas relacionados con la disciplina</w:t>
      </w:r>
      <w:r>
        <w:rPr>
          <w:rFonts w:asciiTheme="minorHAnsi" w:hAnsiTheme="minorHAnsi"/>
          <w:sz w:val="18"/>
        </w:rPr>
        <w:t xml:space="preserve"> que podrían llevar a la suspensión, como el </w:t>
      </w:r>
      <w:proofErr w:type="gramStart"/>
      <w:r>
        <w:rPr>
          <w:rFonts w:asciiTheme="minorHAnsi" w:hAnsiTheme="minorHAnsi"/>
          <w:sz w:val="18"/>
        </w:rPr>
        <w:t>bullying</w:t>
      </w:r>
      <w:proofErr w:type="gramEnd"/>
      <w:r>
        <w:rPr>
          <w:rFonts w:asciiTheme="minorHAnsi" w:hAnsiTheme="minorHAnsi"/>
          <w:sz w:val="18"/>
        </w:rPr>
        <w:t xml:space="preserve">, el acoso o no seguir el código de conducta de la escuela. </w:t>
      </w:r>
      <w:r>
        <w:rPr>
          <w:rFonts w:asciiTheme="minorHAnsi" w:hAnsiTheme="minorHAnsi"/>
          <w:b/>
          <w:sz w:val="18"/>
        </w:rPr>
        <w:t xml:space="preserve">Las regulaciones </w:t>
      </w:r>
      <w:hyperlink r:id="rId1" w:history="1">
        <w:r>
          <w:rPr>
            <w:rStyle w:val="Hyperlink"/>
            <w:rFonts w:asciiTheme="minorHAnsi" w:hAnsiTheme="minorHAnsi"/>
            <w:b/>
            <w:sz w:val="18"/>
          </w:rPr>
          <w:t>603 CMR 53.00</w:t>
        </w:r>
      </w:hyperlink>
      <w:r>
        <w:rPr>
          <w:rFonts w:asciiTheme="minorHAnsi" w:hAnsiTheme="minorHAnsi"/>
          <w:b/>
          <w:sz w:val="18"/>
        </w:rPr>
        <w:t xml:space="preserve"> del estado y la modificación del 2022 descritas en este documento se centran en el §37H¾.</w:t>
      </w:r>
    </w:p>
  </w:footnote>
  <w:footnote w:id="3">
    <w:p w14:paraId="4D38C05E" w14:textId="77777777" w:rsidR="00C768DD" w:rsidRDefault="00C768DD" w:rsidP="00C768DD">
      <w:pPr>
        <w:pStyle w:val="FootnoteText"/>
      </w:pPr>
      <w:r>
        <w:rPr>
          <w:rStyle w:val="FootnoteReference"/>
        </w:rPr>
        <w:footnoteRef/>
      </w:r>
      <w:r>
        <w:t xml:space="preserve"> Según </w:t>
      </w:r>
      <w:hyperlink r:id="rId2" w:history="1">
        <w:r>
          <w:rPr>
            <w:rStyle w:val="Hyperlink"/>
          </w:rPr>
          <w:t>Suspensión y expulsión en Escuelas Públicas (PDF) (ed.gov)</w:t>
        </w:r>
      </w:hyperlink>
      <w:r>
        <w:t xml:space="preserve"> de 2017-2018</w:t>
      </w:r>
      <w:r>
        <w:rPr>
          <w:rStyle w:val="Hyperlink"/>
        </w:rPr>
        <w:t>.</w:t>
      </w:r>
    </w:p>
  </w:footnote>
  <w:footnote w:id="4">
    <w:p w14:paraId="1538B3F6" w14:textId="2908CACB" w:rsidR="00C768DD" w:rsidRDefault="00C768DD" w:rsidP="00C768DD">
      <w:pPr>
        <w:pStyle w:val="FootnoteText"/>
      </w:pPr>
      <w:r>
        <w:rPr>
          <w:rStyle w:val="FootnoteReference"/>
        </w:rPr>
        <w:footnoteRef/>
      </w:r>
      <w:r>
        <w:t xml:space="preserve"> Según el </w:t>
      </w:r>
      <w:hyperlink r:id="rId3" w:history="1">
        <w:r>
          <w:rPr>
            <w:rStyle w:val="Hyperlink"/>
          </w:rPr>
          <w:t>Informe estatal de datos de disciplina estudiantil 2021-22</w:t>
        </w:r>
      </w:hyperlink>
      <w:r>
        <w:t xml:space="preserve">. La tasa de expulsión de estudiantes para la totalidad de estudiantes fue de 4.2 por ciento. Para los estudiantes afroamericanos/negros, fue de 7.6 por ciento; para los estudiantes hispanos/latinos, fue de 6.2 por ciento; y para los estudiantes blancos, fue de 3.1 por ciento. Para estudiantes con discapacidades, fue de 7.6 por ciento, y para los estudiantes de bajos ingresos, fue de 6.7 por ciento. </w:t>
      </w:r>
      <w:r>
        <w:rPr>
          <w:i/>
        </w:rPr>
        <w:t>AVISO: Cuando se hace referencia a las tasas de comparación de la suspensión mencionadas anteriormente, el término "suspendido" abarca tanto la suspensión como la expulsión.</w:t>
      </w:r>
    </w:p>
  </w:footnote>
  <w:footnote w:id="5">
    <w:p w14:paraId="47284B3E" w14:textId="58134A17" w:rsidR="007860CB" w:rsidRPr="00FE464B" w:rsidRDefault="00601E49">
      <w:pPr>
        <w:pStyle w:val="FootnoteText"/>
      </w:pPr>
      <w:r>
        <w:rPr>
          <w:rStyle w:val="FootnoteReference"/>
        </w:rPr>
        <w:footnoteRef/>
      </w:r>
      <w:r>
        <w:t xml:space="preserve"> Esta modificación afecta la G.L. c. 71, </w:t>
      </w:r>
      <w:r>
        <w:rPr>
          <w:rFonts w:ascii="Calibri" w:hAnsi="Calibri"/>
        </w:rPr>
        <w:t>§37H</w:t>
      </w:r>
      <w:r>
        <w:t xml:space="preserve">¾, no las suspensiones o expulsiones según la G.L. c. 71, </w:t>
      </w:r>
      <w:r>
        <w:rPr>
          <w:rFonts w:ascii="Calibri" w:hAnsi="Calibri"/>
        </w:rPr>
        <w:t>§37H</w:t>
      </w:r>
      <w:r>
        <w:t xml:space="preserve"> o </w:t>
      </w:r>
      <w:r>
        <w:rPr>
          <w:rFonts w:ascii="Calibri" w:hAnsi="Calibri"/>
        </w:rPr>
        <w:t>§37H</w:t>
      </w:r>
      <w:r>
        <w:t>½</w:t>
      </w:r>
      <w:r>
        <w:rPr>
          <w:rFonts w:ascii="Calibri" w:hAnsi="Calibri"/>
        </w:rPr>
        <w:t>.</w:t>
      </w:r>
    </w:p>
    <w:p w14:paraId="7F8AA7CB" w14:textId="4AE3FDE8" w:rsidR="00601E49" w:rsidRPr="00B30A17" w:rsidRDefault="00601E49" w:rsidP="003B5172">
      <w:pPr>
        <w:pStyle w:val="NormalWeb"/>
        <w:shd w:val="clear" w:color="auto" w:fill="FFFFFF"/>
        <w:spacing w:before="0" w:beforeAutospacing="0"/>
        <w:rPr>
          <w:sz w:val="18"/>
          <w:szCs w:val="18"/>
        </w:rPr>
      </w:pPr>
    </w:p>
    <w:p w14:paraId="3A563B82" w14:textId="3F39AC59" w:rsidR="00601E49" w:rsidRPr="00BF7ED1" w:rsidRDefault="00601E49" w:rsidP="00BF7ED1">
      <w:pPr>
        <w:pStyle w:val="NormalWeb"/>
        <w:shd w:val="clear" w:color="auto" w:fill="FFFFFF"/>
        <w:spacing w:before="0" w:beforeAutospacing="0"/>
        <w:rPr>
          <w:rFonts w:asciiTheme="minorHAnsi" w:eastAsiaTheme="minorHAnsi" w:hAnsiTheme="minorHAnsi" w:cstheme="minorBidi"/>
          <w:sz w:val="18"/>
          <w:szCs w:val="18"/>
        </w:rPr>
      </w:pPr>
      <w:r>
        <w:rPr>
          <w:rFonts w:asciiTheme="minorHAnsi" w:hAnsiTheme="minorHAnsi"/>
          <w:sz w:val="18"/>
        </w:rPr>
        <w:t xml:space="preserve"> </w:t>
      </w:r>
    </w:p>
    <w:p w14:paraId="1BF3DCDC" w14:textId="76C5509A" w:rsidR="00601E49" w:rsidRPr="00BF7ED1" w:rsidRDefault="00601E49" w:rsidP="00BF7ED1">
      <w:pPr>
        <w:pStyle w:val="NormalWeb"/>
        <w:shd w:val="clear" w:color="auto" w:fill="FFFFFF"/>
        <w:spacing w:before="0" w:beforeAutospacing="0"/>
        <w:rPr>
          <w:rFonts w:asciiTheme="minorHAnsi" w:eastAsiaTheme="minorHAnsi" w:hAnsiTheme="minorHAnsi" w:cstheme="minorBidi"/>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01D"/>
    <w:multiLevelType w:val="hybridMultilevel"/>
    <w:tmpl w:val="98D6B7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390BD4"/>
    <w:multiLevelType w:val="hybridMultilevel"/>
    <w:tmpl w:val="EDE61E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CBE0BF9"/>
    <w:multiLevelType w:val="multilevel"/>
    <w:tmpl w:val="F2CE691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19B1F31"/>
    <w:multiLevelType w:val="hybridMultilevel"/>
    <w:tmpl w:val="04BAC6E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50C2137"/>
    <w:multiLevelType w:val="hybridMultilevel"/>
    <w:tmpl w:val="98AC7E0C"/>
    <w:lvl w:ilvl="0" w:tplc="04090001">
      <w:start w:val="1"/>
      <w:numFmt w:val="bullet"/>
      <w:lvlText w:val=""/>
      <w:lvlJc w:val="left"/>
      <w:pPr>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1DA85E41"/>
    <w:multiLevelType w:val="multilevel"/>
    <w:tmpl w:val="722C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860835"/>
    <w:multiLevelType w:val="hybridMultilevel"/>
    <w:tmpl w:val="2C54E1DE"/>
    <w:lvl w:ilvl="0" w:tplc="B948846E">
      <w:start w:val="4"/>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A411B1"/>
    <w:multiLevelType w:val="multilevel"/>
    <w:tmpl w:val="DF3C9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A4291F"/>
    <w:multiLevelType w:val="multilevel"/>
    <w:tmpl w:val="80B65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D128A0"/>
    <w:multiLevelType w:val="hybridMultilevel"/>
    <w:tmpl w:val="7CEA9A58"/>
    <w:lvl w:ilvl="0" w:tplc="89AE81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7D34887"/>
    <w:multiLevelType w:val="hybridMultilevel"/>
    <w:tmpl w:val="2E5AA37A"/>
    <w:lvl w:ilvl="0" w:tplc="2FEE25E6">
      <w:start w:val="1"/>
      <w:numFmt w:val="decimal"/>
      <w:lvlText w:val="%1."/>
      <w:lvlJc w:val="left"/>
      <w:pPr>
        <w:ind w:left="1350" w:hanging="360"/>
      </w:pPr>
      <w:rPr>
        <w:b/>
        <w:bCs/>
      </w:rPr>
    </w:lvl>
    <w:lvl w:ilvl="1" w:tplc="04090019">
      <w:start w:val="1"/>
      <w:numFmt w:val="lowerLetter"/>
      <w:lvlText w:val="%2."/>
      <w:lvlJc w:val="left"/>
      <w:pPr>
        <w:ind w:left="1890" w:hanging="360"/>
      </w:pPr>
    </w:lvl>
    <w:lvl w:ilvl="2" w:tplc="04090001">
      <w:start w:val="1"/>
      <w:numFmt w:val="bullet"/>
      <w:lvlText w:val=""/>
      <w:lvlJc w:val="left"/>
      <w:pPr>
        <w:ind w:left="2610" w:hanging="180"/>
      </w:pPr>
      <w:rPr>
        <w:rFonts w:ascii="Symbol" w:hAnsi="Symbol"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3A800E1B"/>
    <w:multiLevelType w:val="hybridMultilevel"/>
    <w:tmpl w:val="C3C0287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3D398057"/>
    <w:multiLevelType w:val="hybridMultilevel"/>
    <w:tmpl w:val="E6CCE3AE"/>
    <w:lvl w:ilvl="0" w:tplc="1DF22448">
      <w:start w:val="1"/>
      <w:numFmt w:val="lowerLetter"/>
      <w:lvlText w:val="%1."/>
      <w:lvlJc w:val="left"/>
      <w:pPr>
        <w:ind w:left="720" w:hanging="360"/>
      </w:pPr>
    </w:lvl>
    <w:lvl w:ilvl="1" w:tplc="3F4A5E88">
      <w:start w:val="1"/>
      <w:numFmt w:val="lowerLetter"/>
      <w:lvlText w:val="%2."/>
      <w:lvlJc w:val="left"/>
      <w:pPr>
        <w:ind w:left="1440" w:hanging="360"/>
      </w:pPr>
    </w:lvl>
    <w:lvl w:ilvl="2" w:tplc="F00698B6">
      <w:start w:val="1"/>
      <w:numFmt w:val="lowerRoman"/>
      <w:lvlText w:val="%3."/>
      <w:lvlJc w:val="right"/>
      <w:pPr>
        <w:ind w:left="2160" w:hanging="180"/>
      </w:pPr>
    </w:lvl>
    <w:lvl w:ilvl="3" w:tplc="12CA44AA">
      <w:start w:val="1"/>
      <w:numFmt w:val="decimal"/>
      <w:lvlText w:val="%4."/>
      <w:lvlJc w:val="left"/>
      <w:pPr>
        <w:ind w:left="2880" w:hanging="360"/>
      </w:pPr>
    </w:lvl>
    <w:lvl w:ilvl="4" w:tplc="7870DBE2">
      <w:start w:val="1"/>
      <w:numFmt w:val="lowerLetter"/>
      <w:lvlText w:val="%5."/>
      <w:lvlJc w:val="left"/>
      <w:pPr>
        <w:ind w:left="3600" w:hanging="360"/>
      </w:pPr>
    </w:lvl>
    <w:lvl w:ilvl="5" w:tplc="2C481EE8">
      <w:start w:val="1"/>
      <w:numFmt w:val="lowerRoman"/>
      <w:lvlText w:val="%6."/>
      <w:lvlJc w:val="right"/>
      <w:pPr>
        <w:ind w:left="4320" w:hanging="180"/>
      </w:pPr>
    </w:lvl>
    <w:lvl w:ilvl="6" w:tplc="F514B1B8">
      <w:start w:val="1"/>
      <w:numFmt w:val="decimal"/>
      <w:lvlText w:val="%7."/>
      <w:lvlJc w:val="left"/>
      <w:pPr>
        <w:ind w:left="5040" w:hanging="360"/>
      </w:pPr>
    </w:lvl>
    <w:lvl w:ilvl="7" w:tplc="8CF4FE7A">
      <w:start w:val="1"/>
      <w:numFmt w:val="lowerLetter"/>
      <w:lvlText w:val="%8."/>
      <w:lvlJc w:val="left"/>
      <w:pPr>
        <w:ind w:left="5760" w:hanging="360"/>
      </w:pPr>
    </w:lvl>
    <w:lvl w:ilvl="8" w:tplc="5AFA95B2">
      <w:start w:val="1"/>
      <w:numFmt w:val="lowerRoman"/>
      <w:lvlText w:val="%9."/>
      <w:lvlJc w:val="right"/>
      <w:pPr>
        <w:ind w:left="6480" w:hanging="180"/>
      </w:pPr>
    </w:lvl>
  </w:abstractNum>
  <w:abstractNum w:abstractNumId="13" w15:restartNumberingAfterBreak="0">
    <w:nsid w:val="3EB327FE"/>
    <w:multiLevelType w:val="hybridMultilevel"/>
    <w:tmpl w:val="7CEA9A58"/>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400B2DC1"/>
    <w:multiLevelType w:val="hybridMultilevel"/>
    <w:tmpl w:val="44500758"/>
    <w:lvl w:ilvl="0" w:tplc="58F29B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D50114"/>
    <w:multiLevelType w:val="hybridMultilevel"/>
    <w:tmpl w:val="C5201756"/>
    <w:lvl w:ilvl="0" w:tplc="7CDC6084">
      <w:start w:val="1"/>
      <w:numFmt w:val="upp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F04234"/>
    <w:multiLevelType w:val="multilevel"/>
    <w:tmpl w:val="264E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2707CF"/>
    <w:multiLevelType w:val="hybridMultilevel"/>
    <w:tmpl w:val="7CFC5F5C"/>
    <w:lvl w:ilvl="0" w:tplc="A1526B6C">
      <w:start w:val="1"/>
      <w:numFmt w:val="upperRoman"/>
      <w:lvlText w:val="%1."/>
      <w:lvlJc w:val="left"/>
      <w:pPr>
        <w:ind w:left="1800" w:hanging="720"/>
      </w:pPr>
      <w:rPr>
        <w:rFonts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C167220"/>
    <w:multiLevelType w:val="hybridMultilevel"/>
    <w:tmpl w:val="9724B448"/>
    <w:lvl w:ilvl="0" w:tplc="EF784ED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9202F9"/>
    <w:multiLevelType w:val="hybridMultilevel"/>
    <w:tmpl w:val="63D2DE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5041675"/>
    <w:multiLevelType w:val="hybridMultilevel"/>
    <w:tmpl w:val="5308A96C"/>
    <w:lvl w:ilvl="0" w:tplc="DC60E6EE">
      <w:start w:val="5"/>
      <w:numFmt w:val="upperRoman"/>
      <w:lvlText w:val="%1."/>
      <w:lvlJc w:val="left"/>
      <w:pPr>
        <w:ind w:left="126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1D390C"/>
    <w:multiLevelType w:val="multilevel"/>
    <w:tmpl w:val="90B01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2D6147"/>
    <w:multiLevelType w:val="hybridMultilevel"/>
    <w:tmpl w:val="7C7E87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A41090F"/>
    <w:multiLevelType w:val="hybridMultilevel"/>
    <w:tmpl w:val="5FE07914"/>
    <w:lvl w:ilvl="0" w:tplc="11428EA8">
      <w:start w:val="1"/>
      <w:numFmt w:val="lowerLetter"/>
      <w:lvlText w:val="(%1)"/>
      <w:lvlJc w:val="left"/>
      <w:pPr>
        <w:ind w:left="1800" w:hanging="360"/>
      </w:pPr>
      <w:rPr>
        <w:rFonts w:ascii="Noto Sans" w:hAnsi="Noto Sans" w:cs="Noto Sans" w:hint="default"/>
        <w:sz w:val="27"/>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E714408"/>
    <w:multiLevelType w:val="hybridMultilevel"/>
    <w:tmpl w:val="83B05D7C"/>
    <w:lvl w:ilvl="0" w:tplc="F1028714">
      <w:start w:val="5"/>
      <w:numFmt w:val="bullet"/>
      <w:lvlText w:val="-"/>
      <w:lvlJc w:val="left"/>
      <w:pPr>
        <w:ind w:left="1440" w:hanging="360"/>
      </w:pPr>
      <w:rPr>
        <w:rFonts w:ascii="Calibri" w:eastAsia="Calibri" w:hAnsi="Calibri" w:cs="Calibri" w:hint="default"/>
        <w:i/>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131C37A"/>
    <w:multiLevelType w:val="hybridMultilevel"/>
    <w:tmpl w:val="4E94F19C"/>
    <w:lvl w:ilvl="0" w:tplc="9EB89814">
      <w:start w:val="1"/>
      <w:numFmt w:val="decimal"/>
      <w:lvlText w:val="%1."/>
      <w:lvlJc w:val="left"/>
      <w:pPr>
        <w:ind w:left="720" w:hanging="360"/>
      </w:pPr>
    </w:lvl>
    <w:lvl w:ilvl="1" w:tplc="D79E71DA">
      <w:start w:val="1"/>
      <w:numFmt w:val="lowerLetter"/>
      <w:lvlText w:val="%2."/>
      <w:lvlJc w:val="left"/>
      <w:pPr>
        <w:ind w:left="1440" w:hanging="360"/>
      </w:pPr>
    </w:lvl>
    <w:lvl w:ilvl="2" w:tplc="4330156E">
      <w:start w:val="1"/>
      <w:numFmt w:val="lowerRoman"/>
      <w:lvlText w:val="%3."/>
      <w:lvlJc w:val="right"/>
      <w:pPr>
        <w:ind w:left="2160" w:hanging="180"/>
      </w:pPr>
    </w:lvl>
    <w:lvl w:ilvl="3" w:tplc="65B6574A">
      <w:start w:val="1"/>
      <w:numFmt w:val="decimal"/>
      <w:lvlText w:val="%4."/>
      <w:lvlJc w:val="left"/>
      <w:pPr>
        <w:ind w:left="2880" w:hanging="360"/>
      </w:pPr>
    </w:lvl>
    <w:lvl w:ilvl="4" w:tplc="1EE221F2">
      <w:start w:val="1"/>
      <w:numFmt w:val="lowerLetter"/>
      <w:lvlText w:val="%5."/>
      <w:lvlJc w:val="left"/>
      <w:pPr>
        <w:ind w:left="3600" w:hanging="360"/>
      </w:pPr>
    </w:lvl>
    <w:lvl w:ilvl="5" w:tplc="BC081884">
      <w:start w:val="1"/>
      <w:numFmt w:val="lowerRoman"/>
      <w:lvlText w:val="%6."/>
      <w:lvlJc w:val="right"/>
      <w:pPr>
        <w:ind w:left="4320" w:hanging="180"/>
      </w:pPr>
    </w:lvl>
    <w:lvl w:ilvl="6" w:tplc="D72C3512">
      <w:start w:val="1"/>
      <w:numFmt w:val="decimal"/>
      <w:lvlText w:val="%7."/>
      <w:lvlJc w:val="left"/>
      <w:pPr>
        <w:ind w:left="5040" w:hanging="360"/>
      </w:pPr>
    </w:lvl>
    <w:lvl w:ilvl="7" w:tplc="5C386BAC">
      <w:start w:val="1"/>
      <w:numFmt w:val="lowerLetter"/>
      <w:lvlText w:val="%8."/>
      <w:lvlJc w:val="left"/>
      <w:pPr>
        <w:ind w:left="5760" w:hanging="360"/>
      </w:pPr>
    </w:lvl>
    <w:lvl w:ilvl="8" w:tplc="3ADEA95E">
      <w:start w:val="1"/>
      <w:numFmt w:val="lowerRoman"/>
      <w:lvlText w:val="%9."/>
      <w:lvlJc w:val="right"/>
      <w:pPr>
        <w:ind w:left="6480" w:hanging="180"/>
      </w:pPr>
    </w:lvl>
  </w:abstractNum>
  <w:abstractNum w:abstractNumId="26" w15:restartNumberingAfterBreak="0">
    <w:nsid w:val="77375D2C"/>
    <w:multiLevelType w:val="hybridMultilevel"/>
    <w:tmpl w:val="69FC4F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513E51"/>
    <w:multiLevelType w:val="multilevel"/>
    <w:tmpl w:val="DA5CB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5838DE"/>
    <w:multiLevelType w:val="hybridMultilevel"/>
    <w:tmpl w:val="9D320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E722258"/>
    <w:multiLevelType w:val="multilevel"/>
    <w:tmpl w:val="81BEF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0302869">
    <w:abstractNumId w:val="12"/>
  </w:num>
  <w:num w:numId="2" w16cid:durableId="105659072">
    <w:abstractNumId w:val="25"/>
  </w:num>
  <w:num w:numId="3" w16cid:durableId="352878242">
    <w:abstractNumId w:val="17"/>
  </w:num>
  <w:num w:numId="4" w16cid:durableId="722488351">
    <w:abstractNumId w:val="15"/>
  </w:num>
  <w:num w:numId="5" w16cid:durableId="2144735053">
    <w:abstractNumId w:val="18"/>
  </w:num>
  <w:num w:numId="6" w16cid:durableId="1099640999">
    <w:abstractNumId w:val="26"/>
  </w:num>
  <w:num w:numId="7" w16cid:durableId="203636180">
    <w:abstractNumId w:val="2"/>
  </w:num>
  <w:num w:numId="8" w16cid:durableId="1133212308">
    <w:abstractNumId w:val="16"/>
  </w:num>
  <w:num w:numId="9" w16cid:durableId="107160927">
    <w:abstractNumId w:val="5"/>
  </w:num>
  <w:num w:numId="10" w16cid:durableId="1308626181">
    <w:abstractNumId w:val="10"/>
  </w:num>
  <w:num w:numId="11" w16cid:durableId="1532962185">
    <w:abstractNumId w:val="23"/>
  </w:num>
  <w:num w:numId="12" w16cid:durableId="1169903888">
    <w:abstractNumId w:val="14"/>
  </w:num>
  <w:num w:numId="13" w16cid:durableId="1200431740">
    <w:abstractNumId w:val="9"/>
  </w:num>
  <w:num w:numId="14" w16cid:durableId="532503375">
    <w:abstractNumId w:val="19"/>
  </w:num>
  <w:num w:numId="15" w16cid:durableId="1346321147">
    <w:abstractNumId w:val="13"/>
  </w:num>
  <w:num w:numId="16" w16cid:durableId="1518040161">
    <w:abstractNumId w:val="8"/>
  </w:num>
  <w:num w:numId="17" w16cid:durableId="941255699">
    <w:abstractNumId w:val="7"/>
  </w:num>
  <w:num w:numId="18" w16cid:durableId="1830637732">
    <w:abstractNumId w:val="6"/>
  </w:num>
  <w:num w:numId="19" w16cid:durableId="543837588">
    <w:abstractNumId w:val="29"/>
  </w:num>
  <w:num w:numId="20" w16cid:durableId="1748261358">
    <w:abstractNumId w:val="20"/>
  </w:num>
  <w:num w:numId="21" w16cid:durableId="1618559599">
    <w:abstractNumId w:val="1"/>
  </w:num>
  <w:num w:numId="22" w16cid:durableId="1619222340">
    <w:abstractNumId w:val="21"/>
  </w:num>
  <w:num w:numId="23" w16cid:durableId="2141146706">
    <w:abstractNumId w:val="28"/>
  </w:num>
  <w:num w:numId="24" w16cid:durableId="1780489555">
    <w:abstractNumId w:val="11"/>
  </w:num>
  <w:num w:numId="25" w16cid:durableId="1524127873">
    <w:abstractNumId w:val="22"/>
  </w:num>
  <w:num w:numId="26" w16cid:durableId="1761172543">
    <w:abstractNumId w:val="4"/>
  </w:num>
  <w:num w:numId="27" w16cid:durableId="980038507">
    <w:abstractNumId w:val="0"/>
  </w:num>
  <w:num w:numId="28" w16cid:durableId="553125499">
    <w:abstractNumId w:val="3"/>
  </w:num>
  <w:num w:numId="29" w16cid:durableId="257370988">
    <w:abstractNumId w:val="27"/>
  </w:num>
  <w:num w:numId="30" w16cid:durableId="103114601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8DD"/>
    <w:rsid w:val="000016CB"/>
    <w:rsid w:val="00003998"/>
    <w:rsid w:val="00006277"/>
    <w:rsid w:val="00010B5B"/>
    <w:rsid w:val="00010F6A"/>
    <w:rsid w:val="000129F0"/>
    <w:rsid w:val="00012F87"/>
    <w:rsid w:val="00014BD2"/>
    <w:rsid w:val="00020DF4"/>
    <w:rsid w:val="00023E36"/>
    <w:rsid w:val="00026CD5"/>
    <w:rsid w:val="000306EA"/>
    <w:rsid w:val="000309F5"/>
    <w:rsid w:val="00031F9F"/>
    <w:rsid w:val="00032518"/>
    <w:rsid w:val="00033469"/>
    <w:rsid w:val="0003598F"/>
    <w:rsid w:val="00035D67"/>
    <w:rsid w:val="00036F12"/>
    <w:rsid w:val="00037CD2"/>
    <w:rsid w:val="0004021E"/>
    <w:rsid w:val="000417F9"/>
    <w:rsid w:val="00042648"/>
    <w:rsid w:val="0004327D"/>
    <w:rsid w:val="00045AC9"/>
    <w:rsid w:val="00046F61"/>
    <w:rsid w:val="000523A1"/>
    <w:rsid w:val="000544AA"/>
    <w:rsid w:val="00054E26"/>
    <w:rsid w:val="00054FFF"/>
    <w:rsid w:val="000557BE"/>
    <w:rsid w:val="00060273"/>
    <w:rsid w:val="00061220"/>
    <w:rsid w:val="0006142E"/>
    <w:rsid w:val="00062BB6"/>
    <w:rsid w:val="00063C9C"/>
    <w:rsid w:val="00064316"/>
    <w:rsid w:val="0006689F"/>
    <w:rsid w:val="00066D55"/>
    <w:rsid w:val="00071BE1"/>
    <w:rsid w:val="000720D6"/>
    <w:rsid w:val="0007244B"/>
    <w:rsid w:val="00072F96"/>
    <w:rsid w:val="00073BBA"/>
    <w:rsid w:val="00075E17"/>
    <w:rsid w:val="00076B1A"/>
    <w:rsid w:val="00077347"/>
    <w:rsid w:val="00077FAB"/>
    <w:rsid w:val="000808D6"/>
    <w:rsid w:val="00080FC4"/>
    <w:rsid w:val="0008197D"/>
    <w:rsid w:val="00082033"/>
    <w:rsid w:val="000837B2"/>
    <w:rsid w:val="00083B46"/>
    <w:rsid w:val="00086FB0"/>
    <w:rsid w:val="00087678"/>
    <w:rsid w:val="000904F7"/>
    <w:rsid w:val="000909BE"/>
    <w:rsid w:val="00091D22"/>
    <w:rsid w:val="00092E19"/>
    <w:rsid w:val="00092FD7"/>
    <w:rsid w:val="00093FE1"/>
    <w:rsid w:val="0009445F"/>
    <w:rsid w:val="0009474D"/>
    <w:rsid w:val="00096042"/>
    <w:rsid w:val="000961C8"/>
    <w:rsid w:val="00096487"/>
    <w:rsid w:val="00096795"/>
    <w:rsid w:val="00096925"/>
    <w:rsid w:val="00097AAB"/>
    <w:rsid w:val="000A0000"/>
    <w:rsid w:val="000A0CA3"/>
    <w:rsid w:val="000A2FAA"/>
    <w:rsid w:val="000A3EE9"/>
    <w:rsid w:val="000A4155"/>
    <w:rsid w:val="000A7147"/>
    <w:rsid w:val="000B0F81"/>
    <w:rsid w:val="000B15F6"/>
    <w:rsid w:val="000B236B"/>
    <w:rsid w:val="000B2D49"/>
    <w:rsid w:val="000B3F8F"/>
    <w:rsid w:val="000B5071"/>
    <w:rsid w:val="000B56B8"/>
    <w:rsid w:val="000B5FC4"/>
    <w:rsid w:val="000B7D00"/>
    <w:rsid w:val="000C097D"/>
    <w:rsid w:val="000C138B"/>
    <w:rsid w:val="000C1FCA"/>
    <w:rsid w:val="000C3B46"/>
    <w:rsid w:val="000C40B7"/>
    <w:rsid w:val="000C4D3B"/>
    <w:rsid w:val="000C4E94"/>
    <w:rsid w:val="000C50DA"/>
    <w:rsid w:val="000C5ABD"/>
    <w:rsid w:val="000C6921"/>
    <w:rsid w:val="000C7F05"/>
    <w:rsid w:val="000D01AC"/>
    <w:rsid w:val="000D1243"/>
    <w:rsid w:val="000D2DBB"/>
    <w:rsid w:val="000D3BF7"/>
    <w:rsid w:val="000D51D3"/>
    <w:rsid w:val="000D615C"/>
    <w:rsid w:val="000D77B6"/>
    <w:rsid w:val="000E1228"/>
    <w:rsid w:val="000E1A04"/>
    <w:rsid w:val="000E3168"/>
    <w:rsid w:val="000E400F"/>
    <w:rsid w:val="000E43DA"/>
    <w:rsid w:val="000E648A"/>
    <w:rsid w:val="000E6B45"/>
    <w:rsid w:val="000E7016"/>
    <w:rsid w:val="000E7A1B"/>
    <w:rsid w:val="000E7E89"/>
    <w:rsid w:val="000F19F5"/>
    <w:rsid w:val="000F20AD"/>
    <w:rsid w:val="000F3738"/>
    <w:rsid w:val="000F40A8"/>
    <w:rsid w:val="000F419D"/>
    <w:rsid w:val="00100DAB"/>
    <w:rsid w:val="00100E9B"/>
    <w:rsid w:val="001012F9"/>
    <w:rsid w:val="00101A3C"/>
    <w:rsid w:val="001024CA"/>
    <w:rsid w:val="00103D66"/>
    <w:rsid w:val="001048BA"/>
    <w:rsid w:val="0011148C"/>
    <w:rsid w:val="00111F78"/>
    <w:rsid w:val="00112BB2"/>
    <w:rsid w:val="00112C9F"/>
    <w:rsid w:val="00112E21"/>
    <w:rsid w:val="00115A3A"/>
    <w:rsid w:val="00115E83"/>
    <w:rsid w:val="001173F0"/>
    <w:rsid w:val="00117991"/>
    <w:rsid w:val="00120596"/>
    <w:rsid w:val="00120C6C"/>
    <w:rsid w:val="00121EB0"/>
    <w:rsid w:val="00124236"/>
    <w:rsid w:val="00124876"/>
    <w:rsid w:val="00124B13"/>
    <w:rsid w:val="00125AA2"/>
    <w:rsid w:val="00125B18"/>
    <w:rsid w:val="00125BEE"/>
    <w:rsid w:val="001264E0"/>
    <w:rsid w:val="0013189A"/>
    <w:rsid w:val="00132137"/>
    <w:rsid w:val="001322C5"/>
    <w:rsid w:val="001335E0"/>
    <w:rsid w:val="00133C90"/>
    <w:rsid w:val="001347FA"/>
    <w:rsid w:val="00135367"/>
    <w:rsid w:val="001358C0"/>
    <w:rsid w:val="001418D2"/>
    <w:rsid w:val="0014325E"/>
    <w:rsid w:val="00143F9F"/>
    <w:rsid w:val="001441E7"/>
    <w:rsid w:val="0014768B"/>
    <w:rsid w:val="00150425"/>
    <w:rsid w:val="001506A4"/>
    <w:rsid w:val="001523A9"/>
    <w:rsid w:val="00153381"/>
    <w:rsid w:val="001536CF"/>
    <w:rsid w:val="001538D8"/>
    <w:rsid w:val="00153C4D"/>
    <w:rsid w:val="00154929"/>
    <w:rsid w:val="00156933"/>
    <w:rsid w:val="00156D62"/>
    <w:rsid w:val="00157705"/>
    <w:rsid w:val="00157C66"/>
    <w:rsid w:val="00157CD0"/>
    <w:rsid w:val="00161A89"/>
    <w:rsid w:val="00166D09"/>
    <w:rsid w:val="001670F5"/>
    <w:rsid w:val="001671E6"/>
    <w:rsid w:val="00170808"/>
    <w:rsid w:val="001744A8"/>
    <w:rsid w:val="00174C55"/>
    <w:rsid w:val="001801CA"/>
    <w:rsid w:val="00181971"/>
    <w:rsid w:val="00183AA5"/>
    <w:rsid w:val="001842A5"/>
    <w:rsid w:val="001857A1"/>
    <w:rsid w:val="001857B5"/>
    <w:rsid w:val="0018771F"/>
    <w:rsid w:val="00190C28"/>
    <w:rsid w:val="00191353"/>
    <w:rsid w:val="00191B03"/>
    <w:rsid w:val="00191EC9"/>
    <w:rsid w:val="0019296D"/>
    <w:rsid w:val="00193809"/>
    <w:rsid w:val="001938F2"/>
    <w:rsid w:val="00195F80"/>
    <w:rsid w:val="00196EA4"/>
    <w:rsid w:val="001A28FF"/>
    <w:rsid w:val="001A37A2"/>
    <w:rsid w:val="001A4299"/>
    <w:rsid w:val="001A48BB"/>
    <w:rsid w:val="001A7799"/>
    <w:rsid w:val="001A7D18"/>
    <w:rsid w:val="001B0551"/>
    <w:rsid w:val="001B0C6D"/>
    <w:rsid w:val="001B1E35"/>
    <w:rsid w:val="001B3503"/>
    <w:rsid w:val="001B51AF"/>
    <w:rsid w:val="001B6BE0"/>
    <w:rsid w:val="001B6CA0"/>
    <w:rsid w:val="001B771B"/>
    <w:rsid w:val="001C11A8"/>
    <w:rsid w:val="001C1B9B"/>
    <w:rsid w:val="001C28EB"/>
    <w:rsid w:val="001C3700"/>
    <w:rsid w:val="001C4003"/>
    <w:rsid w:val="001C725A"/>
    <w:rsid w:val="001D08B0"/>
    <w:rsid w:val="001D1272"/>
    <w:rsid w:val="001D17F8"/>
    <w:rsid w:val="001D28D1"/>
    <w:rsid w:val="001D3ABC"/>
    <w:rsid w:val="001D62BB"/>
    <w:rsid w:val="001D753E"/>
    <w:rsid w:val="001E2BCE"/>
    <w:rsid w:val="001E377E"/>
    <w:rsid w:val="001E41A3"/>
    <w:rsid w:val="001E5882"/>
    <w:rsid w:val="001F1D8A"/>
    <w:rsid w:val="001F257A"/>
    <w:rsid w:val="001F324F"/>
    <w:rsid w:val="001F50D5"/>
    <w:rsid w:val="001F56FF"/>
    <w:rsid w:val="001F5BDD"/>
    <w:rsid w:val="001F62C4"/>
    <w:rsid w:val="001F6EAA"/>
    <w:rsid w:val="00202B2D"/>
    <w:rsid w:val="00203AED"/>
    <w:rsid w:val="0020622C"/>
    <w:rsid w:val="00211784"/>
    <w:rsid w:val="00214FBD"/>
    <w:rsid w:val="002160CC"/>
    <w:rsid w:val="00217C3E"/>
    <w:rsid w:val="00220EA5"/>
    <w:rsid w:val="00221D1C"/>
    <w:rsid w:val="00222DDB"/>
    <w:rsid w:val="002230B2"/>
    <w:rsid w:val="00224A11"/>
    <w:rsid w:val="00225535"/>
    <w:rsid w:val="002269E0"/>
    <w:rsid w:val="00227A18"/>
    <w:rsid w:val="002331A0"/>
    <w:rsid w:val="002341DE"/>
    <w:rsid w:val="00234BD7"/>
    <w:rsid w:val="00234D1D"/>
    <w:rsid w:val="002360D9"/>
    <w:rsid w:val="00236346"/>
    <w:rsid w:val="00236924"/>
    <w:rsid w:val="0024030B"/>
    <w:rsid w:val="00240558"/>
    <w:rsid w:val="002422C0"/>
    <w:rsid w:val="00245055"/>
    <w:rsid w:val="00245792"/>
    <w:rsid w:val="00245DBB"/>
    <w:rsid w:val="00246BF5"/>
    <w:rsid w:val="002536DB"/>
    <w:rsid w:val="00253EC1"/>
    <w:rsid w:val="00254AA2"/>
    <w:rsid w:val="00255151"/>
    <w:rsid w:val="002553A8"/>
    <w:rsid w:val="00256F0D"/>
    <w:rsid w:val="002602E6"/>
    <w:rsid w:val="0026033E"/>
    <w:rsid w:val="002606F2"/>
    <w:rsid w:val="00260DFB"/>
    <w:rsid w:val="002613CB"/>
    <w:rsid w:val="00263B02"/>
    <w:rsid w:val="00265D2A"/>
    <w:rsid w:val="002667B1"/>
    <w:rsid w:val="00270437"/>
    <w:rsid w:val="00270ED4"/>
    <w:rsid w:val="002725A2"/>
    <w:rsid w:val="00275205"/>
    <w:rsid w:val="0028104D"/>
    <w:rsid w:val="002824B1"/>
    <w:rsid w:val="002831A7"/>
    <w:rsid w:val="00285FA5"/>
    <w:rsid w:val="0028662D"/>
    <w:rsid w:val="00290203"/>
    <w:rsid w:val="00291D21"/>
    <w:rsid w:val="00293411"/>
    <w:rsid w:val="00294E6A"/>
    <w:rsid w:val="002965B0"/>
    <w:rsid w:val="002970CD"/>
    <w:rsid w:val="002970EA"/>
    <w:rsid w:val="00297FA5"/>
    <w:rsid w:val="002A0E4B"/>
    <w:rsid w:val="002A1A1C"/>
    <w:rsid w:val="002A3EE4"/>
    <w:rsid w:val="002A4401"/>
    <w:rsid w:val="002A4BBD"/>
    <w:rsid w:val="002A4D9C"/>
    <w:rsid w:val="002A5DBF"/>
    <w:rsid w:val="002A6A06"/>
    <w:rsid w:val="002B0B8A"/>
    <w:rsid w:val="002B225A"/>
    <w:rsid w:val="002B4C2A"/>
    <w:rsid w:val="002B6065"/>
    <w:rsid w:val="002B67CD"/>
    <w:rsid w:val="002B6B17"/>
    <w:rsid w:val="002B73A7"/>
    <w:rsid w:val="002C16D6"/>
    <w:rsid w:val="002C2560"/>
    <w:rsid w:val="002C3721"/>
    <w:rsid w:val="002C549B"/>
    <w:rsid w:val="002C5CF9"/>
    <w:rsid w:val="002C63E6"/>
    <w:rsid w:val="002D0CD4"/>
    <w:rsid w:val="002D0E1D"/>
    <w:rsid w:val="002D2139"/>
    <w:rsid w:val="002D3028"/>
    <w:rsid w:val="002D5158"/>
    <w:rsid w:val="002D52DF"/>
    <w:rsid w:val="002E0349"/>
    <w:rsid w:val="002E295D"/>
    <w:rsid w:val="002E4F31"/>
    <w:rsid w:val="002E5CBA"/>
    <w:rsid w:val="002E6981"/>
    <w:rsid w:val="002E6CDD"/>
    <w:rsid w:val="002E7A93"/>
    <w:rsid w:val="002F020E"/>
    <w:rsid w:val="002F059B"/>
    <w:rsid w:val="002F0A22"/>
    <w:rsid w:val="002F123E"/>
    <w:rsid w:val="002F392C"/>
    <w:rsid w:val="002F6415"/>
    <w:rsid w:val="002F7840"/>
    <w:rsid w:val="0030138D"/>
    <w:rsid w:val="0030171B"/>
    <w:rsid w:val="003021F6"/>
    <w:rsid w:val="0030228F"/>
    <w:rsid w:val="003022CC"/>
    <w:rsid w:val="0030441F"/>
    <w:rsid w:val="003049F6"/>
    <w:rsid w:val="00305CE6"/>
    <w:rsid w:val="0030633D"/>
    <w:rsid w:val="00306FAE"/>
    <w:rsid w:val="00307A1B"/>
    <w:rsid w:val="003134BA"/>
    <w:rsid w:val="0031460C"/>
    <w:rsid w:val="00315826"/>
    <w:rsid w:val="00315A19"/>
    <w:rsid w:val="0031720B"/>
    <w:rsid w:val="003201EE"/>
    <w:rsid w:val="00321912"/>
    <w:rsid w:val="00321BE6"/>
    <w:rsid w:val="00322434"/>
    <w:rsid w:val="00322BD7"/>
    <w:rsid w:val="0032587C"/>
    <w:rsid w:val="003265D5"/>
    <w:rsid w:val="00326AB6"/>
    <w:rsid w:val="003270E8"/>
    <w:rsid w:val="0032768E"/>
    <w:rsid w:val="00330388"/>
    <w:rsid w:val="0033183F"/>
    <w:rsid w:val="00333BE6"/>
    <w:rsid w:val="00334D73"/>
    <w:rsid w:val="0033523B"/>
    <w:rsid w:val="003352B0"/>
    <w:rsid w:val="00335464"/>
    <w:rsid w:val="00336DA6"/>
    <w:rsid w:val="003421F9"/>
    <w:rsid w:val="003422B8"/>
    <w:rsid w:val="00343616"/>
    <w:rsid w:val="003444BF"/>
    <w:rsid w:val="00344BB8"/>
    <w:rsid w:val="00346C05"/>
    <w:rsid w:val="00347238"/>
    <w:rsid w:val="003506B5"/>
    <w:rsid w:val="0035337C"/>
    <w:rsid w:val="00356CD7"/>
    <w:rsid w:val="00356D66"/>
    <w:rsid w:val="003573C1"/>
    <w:rsid w:val="00357823"/>
    <w:rsid w:val="00361230"/>
    <w:rsid w:val="00362A02"/>
    <w:rsid w:val="00362B74"/>
    <w:rsid w:val="00366BB8"/>
    <w:rsid w:val="00374629"/>
    <w:rsid w:val="0037650F"/>
    <w:rsid w:val="00377240"/>
    <w:rsid w:val="00381DCD"/>
    <w:rsid w:val="0038362D"/>
    <w:rsid w:val="00387082"/>
    <w:rsid w:val="003872B3"/>
    <w:rsid w:val="00391554"/>
    <w:rsid w:val="00391AD7"/>
    <w:rsid w:val="003922A2"/>
    <w:rsid w:val="00392D6C"/>
    <w:rsid w:val="0039359F"/>
    <w:rsid w:val="00393BE3"/>
    <w:rsid w:val="00395D9C"/>
    <w:rsid w:val="00396F4A"/>
    <w:rsid w:val="003A0277"/>
    <w:rsid w:val="003A354B"/>
    <w:rsid w:val="003A3813"/>
    <w:rsid w:val="003A3F87"/>
    <w:rsid w:val="003A4550"/>
    <w:rsid w:val="003A457B"/>
    <w:rsid w:val="003A52CB"/>
    <w:rsid w:val="003A56C4"/>
    <w:rsid w:val="003A6917"/>
    <w:rsid w:val="003A7916"/>
    <w:rsid w:val="003A7A18"/>
    <w:rsid w:val="003B0ECB"/>
    <w:rsid w:val="003B2227"/>
    <w:rsid w:val="003B2232"/>
    <w:rsid w:val="003B2819"/>
    <w:rsid w:val="003B2B05"/>
    <w:rsid w:val="003B2EDD"/>
    <w:rsid w:val="003B420C"/>
    <w:rsid w:val="003B5172"/>
    <w:rsid w:val="003B6CEE"/>
    <w:rsid w:val="003C1721"/>
    <w:rsid w:val="003C1F75"/>
    <w:rsid w:val="003C38C7"/>
    <w:rsid w:val="003C4151"/>
    <w:rsid w:val="003C6AF3"/>
    <w:rsid w:val="003C74F8"/>
    <w:rsid w:val="003D2E2C"/>
    <w:rsid w:val="003D4CF7"/>
    <w:rsid w:val="003D5012"/>
    <w:rsid w:val="003D566E"/>
    <w:rsid w:val="003D625B"/>
    <w:rsid w:val="003D7344"/>
    <w:rsid w:val="003E0F6D"/>
    <w:rsid w:val="003E11F9"/>
    <w:rsid w:val="003E13D9"/>
    <w:rsid w:val="003E2B64"/>
    <w:rsid w:val="003E32F7"/>
    <w:rsid w:val="003E3698"/>
    <w:rsid w:val="003E5F27"/>
    <w:rsid w:val="003F142C"/>
    <w:rsid w:val="003F1E3A"/>
    <w:rsid w:val="003F3815"/>
    <w:rsid w:val="003F495E"/>
    <w:rsid w:val="003F522C"/>
    <w:rsid w:val="003F6813"/>
    <w:rsid w:val="003F7C38"/>
    <w:rsid w:val="004002F1"/>
    <w:rsid w:val="00400E30"/>
    <w:rsid w:val="00402B2E"/>
    <w:rsid w:val="00403715"/>
    <w:rsid w:val="004050A4"/>
    <w:rsid w:val="00411CAC"/>
    <w:rsid w:val="00412B71"/>
    <w:rsid w:val="004135D4"/>
    <w:rsid w:val="00414A4D"/>
    <w:rsid w:val="004156A9"/>
    <w:rsid w:val="00416551"/>
    <w:rsid w:val="00417929"/>
    <w:rsid w:val="00417D82"/>
    <w:rsid w:val="00421698"/>
    <w:rsid w:val="004228F1"/>
    <w:rsid w:val="00423BCA"/>
    <w:rsid w:val="00424861"/>
    <w:rsid w:val="00426173"/>
    <w:rsid w:val="0042787A"/>
    <w:rsid w:val="00430136"/>
    <w:rsid w:val="00430F13"/>
    <w:rsid w:val="0043107A"/>
    <w:rsid w:val="00431255"/>
    <w:rsid w:val="00431DB6"/>
    <w:rsid w:val="00433D78"/>
    <w:rsid w:val="00435CD3"/>
    <w:rsid w:val="00435DBD"/>
    <w:rsid w:val="004362F7"/>
    <w:rsid w:val="00436475"/>
    <w:rsid w:val="00436D3B"/>
    <w:rsid w:val="00437642"/>
    <w:rsid w:val="00442875"/>
    <w:rsid w:val="00442B14"/>
    <w:rsid w:val="00442DCC"/>
    <w:rsid w:val="0044343B"/>
    <w:rsid w:val="00444351"/>
    <w:rsid w:val="00444377"/>
    <w:rsid w:val="00444802"/>
    <w:rsid w:val="004455ED"/>
    <w:rsid w:val="004469D3"/>
    <w:rsid w:val="00447259"/>
    <w:rsid w:val="00447C92"/>
    <w:rsid w:val="0045170D"/>
    <w:rsid w:val="00452E0B"/>
    <w:rsid w:val="00453CC8"/>
    <w:rsid w:val="0045454A"/>
    <w:rsid w:val="0045718D"/>
    <w:rsid w:val="004573A1"/>
    <w:rsid w:val="00460D78"/>
    <w:rsid w:val="00461583"/>
    <w:rsid w:val="004618CD"/>
    <w:rsid w:val="00461E1C"/>
    <w:rsid w:val="004639F3"/>
    <w:rsid w:val="004650AE"/>
    <w:rsid w:val="00466085"/>
    <w:rsid w:val="0046608A"/>
    <w:rsid w:val="00466C0C"/>
    <w:rsid w:val="00466FFE"/>
    <w:rsid w:val="004677D6"/>
    <w:rsid w:val="00473334"/>
    <w:rsid w:val="00473D4C"/>
    <w:rsid w:val="00473F05"/>
    <w:rsid w:val="0047797C"/>
    <w:rsid w:val="0048135A"/>
    <w:rsid w:val="004813C5"/>
    <w:rsid w:val="00481BAA"/>
    <w:rsid w:val="004823C2"/>
    <w:rsid w:val="00483547"/>
    <w:rsid w:val="00483C6A"/>
    <w:rsid w:val="00485838"/>
    <w:rsid w:val="00486552"/>
    <w:rsid w:val="00486C11"/>
    <w:rsid w:val="00487D8E"/>
    <w:rsid w:val="00492708"/>
    <w:rsid w:val="004927C2"/>
    <w:rsid w:val="00492C13"/>
    <w:rsid w:val="00494990"/>
    <w:rsid w:val="00496594"/>
    <w:rsid w:val="00497037"/>
    <w:rsid w:val="00497153"/>
    <w:rsid w:val="004A08D4"/>
    <w:rsid w:val="004A11CE"/>
    <w:rsid w:val="004A1983"/>
    <w:rsid w:val="004A1C0A"/>
    <w:rsid w:val="004A227F"/>
    <w:rsid w:val="004A4541"/>
    <w:rsid w:val="004B00F9"/>
    <w:rsid w:val="004B02DD"/>
    <w:rsid w:val="004B0B56"/>
    <w:rsid w:val="004B2E57"/>
    <w:rsid w:val="004B3B3F"/>
    <w:rsid w:val="004B42B9"/>
    <w:rsid w:val="004B501F"/>
    <w:rsid w:val="004B5196"/>
    <w:rsid w:val="004B5E55"/>
    <w:rsid w:val="004B618D"/>
    <w:rsid w:val="004B6606"/>
    <w:rsid w:val="004C1D5E"/>
    <w:rsid w:val="004C212D"/>
    <w:rsid w:val="004C2BE4"/>
    <w:rsid w:val="004C3028"/>
    <w:rsid w:val="004C3B33"/>
    <w:rsid w:val="004C4824"/>
    <w:rsid w:val="004C5112"/>
    <w:rsid w:val="004C666B"/>
    <w:rsid w:val="004D21C9"/>
    <w:rsid w:val="004D23DC"/>
    <w:rsid w:val="004D5864"/>
    <w:rsid w:val="004D619E"/>
    <w:rsid w:val="004D6735"/>
    <w:rsid w:val="004D7CF6"/>
    <w:rsid w:val="004E00C2"/>
    <w:rsid w:val="004E04A0"/>
    <w:rsid w:val="004E08BA"/>
    <w:rsid w:val="004E4131"/>
    <w:rsid w:val="004E471A"/>
    <w:rsid w:val="004E5944"/>
    <w:rsid w:val="004E60A9"/>
    <w:rsid w:val="004E73D7"/>
    <w:rsid w:val="004F1A7C"/>
    <w:rsid w:val="004F1A92"/>
    <w:rsid w:val="004F3CD5"/>
    <w:rsid w:val="004F45B2"/>
    <w:rsid w:val="004F5449"/>
    <w:rsid w:val="004F5AA1"/>
    <w:rsid w:val="004F63D4"/>
    <w:rsid w:val="0050066C"/>
    <w:rsid w:val="0050093C"/>
    <w:rsid w:val="00500B1F"/>
    <w:rsid w:val="00500E17"/>
    <w:rsid w:val="0050170D"/>
    <w:rsid w:val="00501D40"/>
    <w:rsid w:val="00501E36"/>
    <w:rsid w:val="0050559A"/>
    <w:rsid w:val="0050676F"/>
    <w:rsid w:val="0051045D"/>
    <w:rsid w:val="005106D3"/>
    <w:rsid w:val="00511D3C"/>
    <w:rsid w:val="00513E93"/>
    <w:rsid w:val="005157D3"/>
    <w:rsid w:val="005179D8"/>
    <w:rsid w:val="00517C0D"/>
    <w:rsid w:val="00520DB4"/>
    <w:rsid w:val="00520FFC"/>
    <w:rsid w:val="00521001"/>
    <w:rsid w:val="005225DF"/>
    <w:rsid w:val="00524AFB"/>
    <w:rsid w:val="00524B09"/>
    <w:rsid w:val="005320B3"/>
    <w:rsid w:val="00532637"/>
    <w:rsid w:val="005331C2"/>
    <w:rsid w:val="00533604"/>
    <w:rsid w:val="0053434A"/>
    <w:rsid w:val="00534E09"/>
    <w:rsid w:val="00536C50"/>
    <w:rsid w:val="00537228"/>
    <w:rsid w:val="0053783E"/>
    <w:rsid w:val="005410F1"/>
    <w:rsid w:val="00542BB9"/>
    <w:rsid w:val="00542EE5"/>
    <w:rsid w:val="00544F9E"/>
    <w:rsid w:val="00545D51"/>
    <w:rsid w:val="00551B9D"/>
    <w:rsid w:val="00554218"/>
    <w:rsid w:val="00554E26"/>
    <w:rsid w:val="0055630F"/>
    <w:rsid w:val="00556A8D"/>
    <w:rsid w:val="005578C7"/>
    <w:rsid w:val="00561B2D"/>
    <w:rsid w:val="005631C4"/>
    <w:rsid w:val="00564561"/>
    <w:rsid w:val="00565ED9"/>
    <w:rsid w:val="00566A41"/>
    <w:rsid w:val="00567A9F"/>
    <w:rsid w:val="00567F26"/>
    <w:rsid w:val="0057123D"/>
    <w:rsid w:val="00572912"/>
    <w:rsid w:val="0057570F"/>
    <w:rsid w:val="00576018"/>
    <w:rsid w:val="00576A8B"/>
    <w:rsid w:val="0057709B"/>
    <w:rsid w:val="00580581"/>
    <w:rsid w:val="00581271"/>
    <w:rsid w:val="00583852"/>
    <w:rsid w:val="005840C8"/>
    <w:rsid w:val="00584CDF"/>
    <w:rsid w:val="00587E2C"/>
    <w:rsid w:val="00591A01"/>
    <w:rsid w:val="00595E76"/>
    <w:rsid w:val="00596CA5"/>
    <w:rsid w:val="00596FFB"/>
    <w:rsid w:val="00597C07"/>
    <w:rsid w:val="005A03D9"/>
    <w:rsid w:val="005A0C53"/>
    <w:rsid w:val="005A22A2"/>
    <w:rsid w:val="005A28EB"/>
    <w:rsid w:val="005A3D28"/>
    <w:rsid w:val="005A507A"/>
    <w:rsid w:val="005A585C"/>
    <w:rsid w:val="005B080F"/>
    <w:rsid w:val="005B1C81"/>
    <w:rsid w:val="005B1E83"/>
    <w:rsid w:val="005B4FAE"/>
    <w:rsid w:val="005B624E"/>
    <w:rsid w:val="005B6B3E"/>
    <w:rsid w:val="005B7FAC"/>
    <w:rsid w:val="005C20C9"/>
    <w:rsid w:val="005C2BD5"/>
    <w:rsid w:val="005C43EF"/>
    <w:rsid w:val="005C6BE3"/>
    <w:rsid w:val="005C6C56"/>
    <w:rsid w:val="005D002C"/>
    <w:rsid w:val="005D090B"/>
    <w:rsid w:val="005D12BF"/>
    <w:rsid w:val="005D1889"/>
    <w:rsid w:val="005D2A30"/>
    <w:rsid w:val="005D2A6B"/>
    <w:rsid w:val="005D5A3A"/>
    <w:rsid w:val="005D61B8"/>
    <w:rsid w:val="005D7A3D"/>
    <w:rsid w:val="005E07A0"/>
    <w:rsid w:val="005E0CAA"/>
    <w:rsid w:val="005E24C5"/>
    <w:rsid w:val="005E2864"/>
    <w:rsid w:val="005E31BE"/>
    <w:rsid w:val="005E33A3"/>
    <w:rsid w:val="005E33FC"/>
    <w:rsid w:val="005E565D"/>
    <w:rsid w:val="005E5CEF"/>
    <w:rsid w:val="005E6FF5"/>
    <w:rsid w:val="005E77FF"/>
    <w:rsid w:val="005F0533"/>
    <w:rsid w:val="005F0A47"/>
    <w:rsid w:val="005F1F74"/>
    <w:rsid w:val="005F227F"/>
    <w:rsid w:val="005F34E1"/>
    <w:rsid w:val="005F534F"/>
    <w:rsid w:val="005F734D"/>
    <w:rsid w:val="00601E49"/>
    <w:rsid w:val="00603E38"/>
    <w:rsid w:val="006043F0"/>
    <w:rsid w:val="00604870"/>
    <w:rsid w:val="00606EA7"/>
    <w:rsid w:val="00610EFF"/>
    <w:rsid w:val="00611696"/>
    <w:rsid w:val="00613CF1"/>
    <w:rsid w:val="006147D3"/>
    <w:rsid w:val="00614C06"/>
    <w:rsid w:val="00615984"/>
    <w:rsid w:val="00615CEF"/>
    <w:rsid w:val="0061607A"/>
    <w:rsid w:val="00616C22"/>
    <w:rsid w:val="00617830"/>
    <w:rsid w:val="0062071C"/>
    <w:rsid w:val="00621E47"/>
    <w:rsid w:val="00624F32"/>
    <w:rsid w:val="006253DB"/>
    <w:rsid w:val="00626051"/>
    <w:rsid w:val="00630291"/>
    <w:rsid w:val="0063275A"/>
    <w:rsid w:val="00632C18"/>
    <w:rsid w:val="0063315F"/>
    <w:rsid w:val="0064121B"/>
    <w:rsid w:val="00641AB1"/>
    <w:rsid w:val="006423BE"/>
    <w:rsid w:val="00642705"/>
    <w:rsid w:val="006435CB"/>
    <w:rsid w:val="00643929"/>
    <w:rsid w:val="006439B8"/>
    <w:rsid w:val="006444F8"/>
    <w:rsid w:val="006474D3"/>
    <w:rsid w:val="00651FB9"/>
    <w:rsid w:val="006546E0"/>
    <w:rsid w:val="00656C27"/>
    <w:rsid w:val="00657825"/>
    <w:rsid w:val="00657F46"/>
    <w:rsid w:val="00661134"/>
    <w:rsid w:val="00661356"/>
    <w:rsid w:val="00662912"/>
    <w:rsid w:val="00662F23"/>
    <w:rsid w:val="006630C5"/>
    <w:rsid w:val="00663601"/>
    <w:rsid w:val="00663633"/>
    <w:rsid w:val="00663E7A"/>
    <w:rsid w:val="0066545F"/>
    <w:rsid w:val="006658E6"/>
    <w:rsid w:val="00667AD3"/>
    <w:rsid w:val="00671E46"/>
    <w:rsid w:val="00680813"/>
    <w:rsid w:val="00681DAA"/>
    <w:rsid w:val="0068383E"/>
    <w:rsid w:val="00683A1D"/>
    <w:rsid w:val="00686D5A"/>
    <w:rsid w:val="00690DCD"/>
    <w:rsid w:val="00692858"/>
    <w:rsid w:val="0069336B"/>
    <w:rsid w:val="006964D6"/>
    <w:rsid w:val="00696E9E"/>
    <w:rsid w:val="006A23E7"/>
    <w:rsid w:val="006A279A"/>
    <w:rsid w:val="006A38C3"/>
    <w:rsid w:val="006A4C46"/>
    <w:rsid w:val="006A6284"/>
    <w:rsid w:val="006A791E"/>
    <w:rsid w:val="006A7ABA"/>
    <w:rsid w:val="006B142D"/>
    <w:rsid w:val="006B1820"/>
    <w:rsid w:val="006B18B9"/>
    <w:rsid w:val="006B26D5"/>
    <w:rsid w:val="006B5660"/>
    <w:rsid w:val="006B6E89"/>
    <w:rsid w:val="006C31FB"/>
    <w:rsid w:val="006C3719"/>
    <w:rsid w:val="006C40C9"/>
    <w:rsid w:val="006C4828"/>
    <w:rsid w:val="006C4DF0"/>
    <w:rsid w:val="006C657F"/>
    <w:rsid w:val="006C7788"/>
    <w:rsid w:val="006D05FA"/>
    <w:rsid w:val="006D15AD"/>
    <w:rsid w:val="006D1E48"/>
    <w:rsid w:val="006D233D"/>
    <w:rsid w:val="006D23EF"/>
    <w:rsid w:val="006D4AA2"/>
    <w:rsid w:val="006D54BF"/>
    <w:rsid w:val="006D5CD3"/>
    <w:rsid w:val="006D62DB"/>
    <w:rsid w:val="006E0F68"/>
    <w:rsid w:val="006E0F9C"/>
    <w:rsid w:val="006E195B"/>
    <w:rsid w:val="006E239B"/>
    <w:rsid w:val="006E2AAC"/>
    <w:rsid w:val="006E2FC8"/>
    <w:rsid w:val="006E37E6"/>
    <w:rsid w:val="006E3AF6"/>
    <w:rsid w:val="006E7DF2"/>
    <w:rsid w:val="006F08EA"/>
    <w:rsid w:val="006F1095"/>
    <w:rsid w:val="006F21CE"/>
    <w:rsid w:val="006F27E8"/>
    <w:rsid w:val="006F2B70"/>
    <w:rsid w:val="006F6CBD"/>
    <w:rsid w:val="00700024"/>
    <w:rsid w:val="0070022F"/>
    <w:rsid w:val="007032E9"/>
    <w:rsid w:val="00704C59"/>
    <w:rsid w:val="00705F2D"/>
    <w:rsid w:val="00706188"/>
    <w:rsid w:val="007065F6"/>
    <w:rsid w:val="007111C7"/>
    <w:rsid w:val="00711B7A"/>
    <w:rsid w:val="00713C2C"/>
    <w:rsid w:val="007155A9"/>
    <w:rsid w:val="007155B0"/>
    <w:rsid w:val="007158B3"/>
    <w:rsid w:val="0071647C"/>
    <w:rsid w:val="00723220"/>
    <w:rsid w:val="00723D1E"/>
    <w:rsid w:val="00730602"/>
    <w:rsid w:val="007308C4"/>
    <w:rsid w:val="00730BDA"/>
    <w:rsid w:val="007342F8"/>
    <w:rsid w:val="007355B1"/>
    <w:rsid w:val="00735A69"/>
    <w:rsid w:val="007372A6"/>
    <w:rsid w:val="0074278E"/>
    <w:rsid w:val="00742D10"/>
    <w:rsid w:val="00744826"/>
    <w:rsid w:val="00744D55"/>
    <w:rsid w:val="00744EF6"/>
    <w:rsid w:val="00746AB2"/>
    <w:rsid w:val="00747B14"/>
    <w:rsid w:val="00750649"/>
    <w:rsid w:val="00752C1F"/>
    <w:rsid w:val="00752CF2"/>
    <w:rsid w:val="00752F9E"/>
    <w:rsid w:val="007535C4"/>
    <w:rsid w:val="007539EF"/>
    <w:rsid w:val="00753ADD"/>
    <w:rsid w:val="00760F65"/>
    <w:rsid w:val="007614AE"/>
    <w:rsid w:val="007626C8"/>
    <w:rsid w:val="007639EC"/>
    <w:rsid w:val="0076566C"/>
    <w:rsid w:val="0076577B"/>
    <w:rsid w:val="007672B2"/>
    <w:rsid w:val="00772265"/>
    <w:rsid w:val="00772498"/>
    <w:rsid w:val="0077553D"/>
    <w:rsid w:val="00775B68"/>
    <w:rsid w:val="00776486"/>
    <w:rsid w:val="00777400"/>
    <w:rsid w:val="00781A25"/>
    <w:rsid w:val="007826CE"/>
    <w:rsid w:val="00782DA3"/>
    <w:rsid w:val="00783089"/>
    <w:rsid w:val="00783780"/>
    <w:rsid w:val="0078465E"/>
    <w:rsid w:val="007848B2"/>
    <w:rsid w:val="0078559D"/>
    <w:rsid w:val="007860CB"/>
    <w:rsid w:val="00786B11"/>
    <w:rsid w:val="00790286"/>
    <w:rsid w:val="00791725"/>
    <w:rsid w:val="00792A56"/>
    <w:rsid w:val="00794131"/>
    <w:rsid w:val="00794AF5"/>
    <w:rsid w:val="007960A0"/>
    <w:rsid w:val="007963DB"/>
    <w:rsid w:val="0079641A"/>
    <w:rsid w:val="0079763B"/>
    <w:rsid w:val="007A02AC"/>
    <w:rsid w:val="007A052F"/>
    <w:rsid w:val="007A0CE9"/>
    <w:rsid w:val="007A10E1"/>
    <w:rsid w:val="007A1D0F"/>
    <w:rsid w:val="007A2C8C"/>
    <w:rsid w:val="007A59D9"/>
    <w:rsid w:val="007A6046"/>
    <w:rsid w:val="007A7A25"/>
    <w:rsid w:val="007A7DAE"/>
    <w:rsid w:val="007B02D1"/>
    <w:rsid w:val="007B0E6C"/>
    <w:rsid w:val="007B17D3"/>
    <w:rsid w:val="007B2441"/>
    <w:rsid w:val="007B2724"/>
    <w:rsid w:val="007B36AE"/>
    <w:rsid w:val="007B5119"/>
    <w:rsid w:val="007B5B0F"/>
    <w:rsid w:val="007B640E"/>
    <w:rsid w:val="007B64D3"/>
    <w:rsid w:val="007B6933"/>
    <w:rsid w:val="007B751B"/>
    <w:rsid w:val="007C4186"/>
    <w:rsid w:val="007C5321"/>
    <w:rsid w:val="007C5B6D"/>
    <w:rsid w:val="007C6797"/>
    <w:rsid w:val="007C7112"/>
    <w:rsid w:val="007C7B55"/>
    <w:rsid w:val="007D0381"/>
    <w:rsid w:val="007D0B65"/>
    <w:rsid w:val="007D1C20"/>
    <w:rsid w:val="007D6346"/>
    <w:rsid w:val="007D7951"/>
    <w:rsid w:val="007E0739"/>
    <w:rsid w:val="007E081A"/>
    <w:rsid w:val="007E0DE6"/>
    <w:rsid w:val="007E1BEA"/>
    <w:rsid w:val="007E257F"/>
    <w:rsid w:val="007E2F63"/>
    <w:rsid w:val="007E3419"/>
    <w:rsid w:val="007E3799"/>
    <w:rsid w:val="007E4501"/>
    <w:rsid w:val="007E50B9"/>
    <w:rsid w:val="007E62DF"/>
    <w:rsid w:val="007E7E3C"/>
    <w:rsid w:val="007F1868"/>
    <w:rsid w:val="007F3987"/>
    <w:rsid w:val="007F6053"/>
    <w:rsid w:val="0080041E"/>
    <w:rsid w:val="008118D8"/>
    <w:rsid w:val="008121D5"/>
    <w:rsid w:val="00814F8B"/>
    <w:rsid w:val="008172D3"/>
    <w:rsid w:val="008219E9"/>
    <w:rsid w:val="00822A78"/>
    <w:rsid w:val="00823144"/>
    <w:rsid w:val="0082344D"/>
    <w:rsid w:val="00824F71"/>
    <w:rsid w:val="0082519D"/>
    <w:rsid w:val="0082769C"/>
    <w:rsid w:val="00830A41"/>
    <w:rsid w:val="00830C72"/>
    <w:rsid w:val="0083391A"/>
    <w:rsid w:val="008351E6"/>
    <w:rsid w:val="008362D4"/>
    <w:rsid w:val="0084008F"/>
    <w:rsid w:val="008411F7"/>
    <w:rsid w:val="008415B1"/>
    <w:rsid w:val="00841A66"/>
    <w:rsid w:val="00842493"/>
    <w:rsid w:val="00842753"/>
    <w:rsid w:val="00843FDF"/>
    <w:rsid w:val="00844AD4"/>
    <w:rsid w:val="00844E00"/>
    <w:rsid w:val="00844E6C"/>
    <w:rsid w:val="00844FD5"/>
    <w:rsid w:val="00846D60"/>
    <w:rsid w:val="0084744A"/>
    <w:rsid w:val="008503DC"/>
    <w:rsid w:val="0085447A"/>
    <w:rsid w:val="008552F8"/>
    <w:rsid w:val="00856135"/>
    <w:rsid w:val="008562BF"/>
    <w:rsid w:val="00857499"/>
    <w:rsid w:val="00861B77"/>
    <w:rsid w:val="00861FAC"/>
    <w:rsid w:val="00862C4E"/>
    <w:rsid w:val="008650FF"/>
    <w:rsid w:val="00865651"/>
    <w:rsid w:val="008703C1"/>
    <w:rsid w:val="008726AF"/>
    <w:rsid w:val="00875036"/>
    <w:rsid w:val="00875910"/>
    <w:rsid w:val="00875A0F"/>
    <w:rsid w:val="00876C58"/>
    <w:rsid w:val="00880344"/>
    <w:rsid w:val="00880FC1"/>
    <w:rsid w:val="00881EFA"/>
    <w:rsid w:val="00882E72"/>
    <w:rsid w:val="00882F98"/>
    <w:rsid w:val="00884373"/>
    <w:rsid w:val="00886135"/>
    <w:rsid w:val="00886146"/>
    <w:rsid w:val="0089019E"/>
    <w:rsid w:val="008911D2"/>
    <w:rsid w:val="00892354"/>
    <w:rsid w:val="00892D10"/>
    <w:rsid w:val="00896FF5"/>
    <w:rsid w:val="008970EA"/>
    <w:rsid w:val="0089726B"/>
    <w:rsid w:val="008A07E7"/>
    <w:rsid w:val="008A201E"/>
    <w:rsid w:val="008A343F"/>
    <w:rsid w:val="008A37EF"/>
    <w:rsid w:val="008A4AE5"/>
    <w:rsid w:val="008A5A65"/>
    <w:rsid w:val="008A692A"/>
    <w:rsid w:val="008A7C2C"/>
    <w:rsid w:val="008B0CE3"/>
    <w:rsid w:val="008B2468"/>
    <w:rsid w:val="008B3285"/>
    <w:rsid w:val="008B58B8"/>
    <w:rsid w:val="008C23FF"/>
    <w:rsid w:val="008C6B4C"/>
    <w:rsid w:val="008C76ED"/>
    <w:rsid w:val="008C7EC4"/>
    <w:rsid w:val="008D2C80"/>
    <w:rsid w:val="008D2F12"/>
    <w:rsid w:val="008D33AC"/>
    <w:rsid w:val="008D341D"/>
    <w:rsid w:val="008D3A6C"/>
    <w:rsid w:val="008D4294"/>
    <w:rsid w:val="008D656B"/>
    <w:rsid w:val="008E2543"/>
    <w:rsid w:val="008E6D91"/>
    <w:rsid w:val="008E755F"/>
    <w:rsid w:val="008F0386"/>
    <w:rsid w:val="008F0410"/>
    <w:rsid w:val="008F1495"/>
    <w:rsid w:val="008F2941"/>
    <w:rsid w:val="008F2E50"/>
    <w:rsid w:val="008F3B9B"/>
    <w:rsid w:val="008F44D2"/>
    <w:rsid w:val="008F4FA2"/>
    <w:rsid w:val="008F52DE"/>
    <w:rsid w:val="008F59FF"/>
    <w:rsid w:val="008F641C"/>
    <w:rsid w:val="008F6491"/>
    <w:rsid w:val="008F7032"/>
    <w:rsid w:val="008F7317"/>
    <w:rsid w:val="00900C90"/>
    <w:rsid w:val="009010D3"/>
    <w:rsid w:val="00901724"/>
    <w:rsid w:val="00902451"/>
    <w:rsid w:val="009031FA"/>
    <w:rsid w:val="009038E4"/>
    <w:rsid w:val="00903F57"/>
    <w:rsid w:val="00904FDB"/>
    <w:rsid w:val="00907B53"/>
    <w:rsid w:val="00907E74"/>
    <w:rsid w:val="00911667"/>
    <w:rsid w:val="0091192B"/>
    <w:rsid w:val="00911C0F"/>
    <w:rsid w:val="00912322"/>
    <w:rsid w:val="00912617"/>
    <w:rsid w:val="00912AD3"/>
    <w:rsid w:val="009145C5"/>
    <w:rsid w:val="009167E1"/>
    <w:rsid w:val="00921DC3"/>
    <w:rsid w:val="00921F6B"/>
    <w:rsid w:val="00924BF0"/>
    <w:rsid w:val="00924C3E"/>
    <w:rsid w:val="009255A4"/>
    <w:rsid w:val="009279D9"/>
    <w:rsid w:val="00932020"/>
    <w:rsid w:val="009417B8"/>
    <w:rsid w:val="009420D4"/>
    <w:rsid w:val="00942199"/>
    <w:rsid w:val="009423E1"/>
    <w:rsid w:val="009428F3"/>
    <w:rsid w:val="00942C7C"/>
    <w:rsid w:val="00942EAC"/>
    <w:rsid w:val="009447C6"/>
    <w:rsid w:val="009460A1"/>
    <w:rsid w:val="009465A4"/>
    <w:rsid w:val="009473B0"/>
    <w:rsid w:val="0095006E"/>
    <w:rsid w:val="009520B4"/>
    <w:rsid w:val="009523C8"/>
    <w:rsid w:val="00952E56"/>
    <w:rsid w:val="009548B1"/>
    <w:rsid w:val="00955124"/>
    <w:rsid w:val="00955348"/>
    <w:rsid w:val="0095590D"/>
    <w:rsid w:val="009569C0"/>
    <w:rsid w:val="009574B1"/>
    <w:rsid w:val="00960086"/>
    <w:rsid w:val="00961B9A"/>
    <w:rsid w:val="00963A07"/>
    <w:rsid w:val="009654DE"/>
    <w:rsid w:val="00966176"/>
    <w:rsid w:val="00967367"/>
    <w:rsid w:val="00972BBB"/>
    <w:rsid w:val="00974652"/>
    <w:rsid w:val="009754C7"/>
    <w:rsid w:val="00975614"/>
    <w:rsid w:val="00975B9A"/>
    <w:rsid w:val="00975DFA"/>
    <w:rsid w:val="009768F8"/>
    <w:rsid w:val="0097731F"/>
    <w:rsid w:val="00977438"/>
    <w:rsid w:val="0098113D"/>
    <w:rsid w:val="0098121B"/>
    <w:rsid w:val="009828F4"/>
    <w:rsid w:val="0098318C"/>
    <w:rsid w:val="00984D02"/>
    <w:rsid w:val="00984F25"/>
    <w:rsid w:val="009857F1"/>
    <w:rsid w:val="00985B7F"/>
    <w:rsid w:val="00986EF5"/>
    <w:rsid w:val="009901FB"/>
    <w:rsid w:val="0099266B"/>
    <w:rsid w:val="0099268E"/>
    <w:rsid w:val="00992CF7"/>
    <w:rsid w:val="00996B64"/>
    <w:rsid w:val="009A1BC1"/>
    <w:rsid w:val="009A1F8E"/>
    <w:rsid w:val="009A24CE"/>
    <w:rsid w:val="009A2C86"/>
    <w:rsid w:val="009A3D22"/>
    <w:rsid w:val="009A452D"/>
    <w:rsid w:val="009A5597"/>
    <w:rsid w:val="009A56B4"/>
    <w:rsid w:val="009A577A"/>
    <w:rsid w:val="009A5809"/>
    <w:rsid w:val="009A66B5"/>
    <w:rsid w:val="009A7897"/>
    <w:rsid w:val="009B11B6"/>
    <w:rsid w:val="009B2609"/>
    <w:rsid w:val="009B330D"/>
    <w:rsid w:val="009B3C0F"/>
    <w:rsid w:val="009B3CA3"/>
    <w:rsid w:val="009B4D5C"/>
    <w:rsid w:val="009B5834"/>
    <w:rsid w:val="009B5CA8"/>
    <w:rsid w:val="009B6C59"/>
    <w:rsid w:val="009B7333"/>
    <w:rsid w:val="009B7657"/>
    <w:rsid w:val="009B7B16"/>
    <w:rsid w:val="009B7F0D"/>
    <w:rsid w:val="009C21EB"/>
    <w:rsid w:val="009C2DAB"/>
    <w:rsid w:val="009C5410"/>
    <w:rsid w:val="009C5FF3"/>
    <w:rsid w:val="009C6761"/>
    <w:rsid w:val="009C6ACB"/>
    <w:rsid w:val="009C7729"/>
    <w:rsid w:val="009C7854"/>
    <w:rsid w:val="009D1220"/>
    <w:rsid w:val="009D17AE"/>
    <w:rsid w:val="009D2651"/>
    <w:rsid w:val="009D2A56"/>
    <w:rsid w:val="009D3150"/>
    <w:rsid w:val="009D4CB2"/>
    <w:rsid w:val="009D53B5"/>
    <w:rsid w:val="009D5A4A"/>
    <w:rsid w:val="009E10F1"/>
    <w:rsid w:val="009E2CB5"/>
    <w:rsid w:val="009E2D31"/>
    <w:rsid w:val="009E30EB"/>
    <w:rsid w:val="009E4524"/>
    <w:rsid w:val="009E5919"/>
    <w:rsid w:val="009E5F74"/>
    <w:rsid w:val="009E621A"/>
    <w:rsid w:val="009E6683"/>
    <w:rsid w:val="009F0211"/>
    <w:rsid w:val="009F4540"/>
    <w:rsid w:val="009F4FDC"/>
    <w:rsid w:val="009F6744"/>
    <w:rsid w:val="009F6A94"/>
    <w:rsid w:val="009F6B00"/>
    <w:rsid w:val="00A022E7"/>
    <w:rsid w:val="00A0245C"/>
    <w:rsid w:val="00A02A86"/>
    <w:rsid w:val="00A02DAF"/>
    <w:rsid w:val="00A03F6D"/>
    <w:rsid w:val="00A04247"/>
    <w:rsid w:val="00A05310"/>
    <w:rsid w:val="00A06B8D"/>
    <w:rsid w:val="00A0748C"/>
    <w:rsid w:val="00A07A63"/>
    <w:rsid w:val="00A113D2"/>
    <w:rsid w:val="00A12591"/>
    <w:rsid w:val="00A13292"/>
    <w:rsid w:val="00A20FFD"/>
    <w:rsid w:val="00A22F7E"/>
    <w:rsid w:val="00A23773"/>
    <w:rsid w:val="00A24539"/>
    <w:rsid w:val="00A25242"/>
    <w:rsid w:val="00A262F2"/>
    <w:rsid w:val="00A26BAC"/>
    <w:rsid w:val="00A26F03"/>
    <w:rsid w:val="00A27445"/>
    <w:rsid w:val="00A300E3"/>
    <w:rsid w:val="00A33902"/>
    <w:rsid w:val="00A34286"/>
    <w:rsid w:val="00A36074"/>
    <w:rsid w:val="00A42289"/>
    <w:rsid w:val="00A44F25"/>
    <w:rsid w:val="00A452CF"/>
    <w:rsid w:val="00A46E76"/>
    <w:rsid w:val="00A509D5"/>
    <w:rsid w:val="00A5233F"/>
    <w:rsid w:val="00A52768"/>
    <w:rsid w:val="00A535E5"/>
    <w:rsid w:val="00A55142"/>
    <w:rsid w:val="00A56FA2"/>
    <w:rsid w:val="00A57010"/>
    <w:rsid w:val="00A600DC"/>
    <w:rsid w:val="00A62448"/>
    <w:rsid w:val="00A62751"/>
    <w:rsid w:val="00A62934"/>
    <w:rsid w:val="00A655A2"/>
    <w:rsid w:val="00A66523"/>
    <w:rsid w:val="00A675E4"/>
    <w:rsid w:val="00A708B2"/>
    <w:rsid w:val="00A709D3"/>
    <w:rsid w:val="00A718F1"/>
    <w:rsid w:val="00A72290"/>
    <w:rsid w:val="00A72490"/>
    <w:rsid w:val="00A7371B"/>
    <w:rsid w:val="00A748D9"/>
    <w:rsid w:val="00A77036"/>
    <w:rsid w:val="00A80442"/>
    <w:rsid w:val="00A813D9"/>
    <w:rsid w:val="00A81E40"/>
    <w:rsid w:val="00A83430"/>
    <w:rsid w:val="00A92B23"/>
    <w:rsid w:val="00A9319F"/>
    <w:rsid w:val="00A94F04"/>
    <w:rsid w:val="00A9569C"/>
    <w:rsid w:val="00A95B05"/>
    <w:rsid w:val="00A96FEF"/>
    <w:rsid w:val="00AA0FEE"/>
    <w:rsid w:val="00AA350F"/>
    <w:rsid w:val="00AA365D"/>
    <w:rsid w:val="00AA5600"/>
    <w:rsid w:val="00AA7A60"/>
    <w:rsid w:val="00AB1544"/>
    <w:rsid w:val="00AB47CA"/>
    <w:rsid w:val="00AB5B78"/>
    <w:rsid w:val="00AB655A"/>
    <w:rsid w:val="00AB6712"/>
    <w:rsid w:val="00AB6DA0"/>
    <w:rsid w:val="00AB75AF"/>
    <w:rsid w:val="00AC2879"/>
    <w:rsid w:val="00AC2E37"/>
    <w:rsid w:val="00AC4868"/>
    <w:rsid w:val="00AC5358"/>
    <w:rsid w:val="00AC61C2"/>
    <w:rsid w:val="00AD329D"/>
    <w:rsid w:val="00AD37F0"/>
    <w:rsid w:val="00AD5D05"/>
    <w:rsid w:val="00AD7702"/>
    <w:rsid w:val="00AE0445"/>
    <w:rsid w:val="00AE08E8"/>
    <w:rsid w:val="00AE09A7"/>
    <w:rsid w:val="00AE1DEC"/>
    <w:rsid w:val="00AE5627"/>
    <w:rsid w:val="00AE708D"/>
    <w:rsid w:val="00AE7C61"/>
    <w:rsid w:val="00AF374D"/>
    <w:rsid w:val="00AF3A82"/>
    <w:rsid w:val="00AF3DAA"/>
    <w:rsid w:val="00AF5E2D"/>
    <w:rsid w:val="00AF70B8"/>
    <w:rsid w:val="00AF7260"/>
    <w:rsid w:val="00B00129"/>
    <w:rsid w:val="00B01A63"/>
    <w:rsid w:val="00B01DA8"/>
    <w:rsid w:val="00B025C5"/>
    <w:rsid w:val="00B03CE6"/>
    <w:rsid w:val="00B04119"/>
    <w:rsid w:val="00B0565E"/>
    <w:rsid w:val="00B05C41"/>
    <w:rsid w:val="00B069FC"/>
    <w:rsid w:val="00B107C1"/>
    <w:rsid w:val="00B11899"/>
    <w:rsid w:val="00B11FB2"/>
    <w:rsid w:val="00B13F21"/>
    <w:rsid w:val="00B142BF"/>
    <w:rsid w:val="00B14471"/>
    <w:rsid w:val="00B17F2C"/>
    <w:rsid w:val="00B22C72"/>
    <w:rsid w:val="00B2316F"/>
    <w:rsid w:val="00B25A69"/>
    <w:rsid w:val="00B27435"/>
    <w:rsid w:val="00B30A17"/>
    <w:rsid w:val="00B31F83"/>
    <w:rsid w:val="00B325BA"/>
    <w:rsid w:val="00B3294D"/>
    <w:rsid w:val="00B334F4"/>
    <w:rsid w:val="00B33B1E"/>
    <w:rsid w:val="00B33CFD"/>
    <w:rsid w:val="00B349E1"/>
    <w:rsid w:val="00B371D0"/>
    <w:rsid w:val="00B37517"/>
    <w:rsid w:val="00B40813"/>
    <w:rsid w:val="00B42C44"/>
    <w:rsid w:val="00B432E0"/>
    <w:rsid w:val="00B439D3"/>
    <w:rsid w:val="00B458D6"/>
    <w:rsid w:val="00B47CC9"/>
    <w:rsid w:val="00B51A40"/>
    <w:rsid w:val="00B55141"/>
    <w:rsid w:val="00B57BF0"/>
    <w:rsid w:val="00B607F6"/>
    <w:rsid w:val="00B631A5"/>
    <w:rsid w:val="00B643AA"/>
    <w:rsid w:val="00B64F63"/>
    <w:rsid w:val="00B65F2F"/>
    <w:rsid w:val="00B66CE1"/>
    <w:rsid w:val="00B7155D"/>
    <w:rsid w:val="00B71FE7"/>
    <w:rsid w:val="00B72C50"/>
    <w:rsid w:val="00B743EF"/>
    <w:rsid w:val="00B750DC"/>
    <w:rsid w:val="00B75881"/>
    <w:rsid w:val="00B7635F"/>
    <w:rsid w:val="00B76EC1"/>
    <w:rsid w:val="00B77D17"/>
    <w:rsid w:val="00B80A10"/>
    <w:rsid w:val="00B810DB"/>
    <w:rsid w:val="00B82160"/>
    <w:rsid w:val="00B828FA"/>
    <w:rsid w:val="00B82D92"/>
    <w:rsid w:val="00B82F09"/>
    <w:rsid w:val="00B83ACB"/>
    <w:rsid w:val="00B84B15"/>
    <w:rsid w:val="00B866CF"/>
    <w:rsid w:val="00B8724E"/>
    <w:rsid w:val="00B87769"/>
    <w:rsid w:val="00B87F8B"/>
    <w:rsid w:val="00B90B6B"/>
    <w:rsid w:val="00B914B1"/>
    <w:rsid w:val="00B91A87"/>
    <w:rsid w:val="00B93530"/>
    <w:rsid w:val="00B9406F"/>
    <w:rsid w:val="00B94C49"/>
    <w:rsid w:val="00B95240"/>
    <w:rsid w:val="00B9AA31"/>
    <w:rsid w:val="00BA1362"/>
    <w:rsid w:val="00BA2914"/>
    <w:rsid w:val="00BA2B63"/>
    <w:rsid w:val="00BA2F20"/>
    <w:rsid w:val="00BA3E80"/>
    <w:rsid w:val="00BA7695"/>
    <w:rsid w:val="00BB0A22"/>
    <w:rsid w:val="00BB1BBF"/>
    <w:rsid w:val="00BB1DF2"/>
    <w:rsid w:val="00BB22EC"/>
    <w:rsid w:val="00BB4D40"/>
    <w:rsid w:val="00BB4FEF"/>
    <w:rsid w:val="00BB6F60"/>
    <w:rsid w:val="00BC0EBB"/>
    <w:rsid w:val="00BC1554"/>
    <w:rsid w:val="00BC252F"/>
    <w:rsid w:val="00BC3DB6"/>
    <w:rsid w:val="00BC4583"/>
    <w:rsid w:val="00BC4E45"/>
    <w:rsid w:val="00BC54B9"/>
    <w:rsid w:val="00BC5778"/>
    <w:rsid w:val="00BD0CC8"/>
    <w:rsid w:val="00BD1BE6"/>
    <w:rsid w:val="00BD33CF"/>
    <w:rsid w:val="00BD35DE"/>
    <w:rsid w:val="00BD5B02"/>
    <w:rsid w:val="00BD61DE"/>
    <w:rsid w:val="00BD64D4"/>
    <w:rsid w:val="00BE0A96"/>
    <w:rsid w:val="00BE2C0F"/>
    <w:rsid w:val="00BE2DC8"/>
    <w:rsid w:val="00BE6240"/>
    <w:rsid w:val="00BF1FAC"/>
    <w:rsid w:val="00BF233B"/>
    <w:rsid w:val="00BF2C2C"/>
    <w:rsid w:val="00BF4A01"/>
    <w:rsid w:val="00BF4F4E"/>
    <w:rsid w:val="00BF5482"/>
    <w:rsid w:val="00BF5FBA"/>
    <w:rsid w:val="00BF7ED1"/>
    <w:rsid w:val="00C01317"/>
    <w:rsid w:val="00C033C3"/>
    <w:rsid w:val="00C03819"/>
    <w:rsid w:val="00C0416D"/>
    <w:rsid w:val="00C04255"/>
    <w:rsid w:val="00C048B0"/>
    <w:rsid w:val="00C063B1"/>
    <w:rsid w:val="00C073F3"/>
    <w:rsid w:val="00C07DD3"/>
    <w:rsid w:val="00C12F07"/>
    <w:rsid w:val="00C13326"/>
    <w:rsid w:val="00C14358"/>
    <w:rsid w:val="00C1545D"/>
    <w:rsid w:val="00C22363"/>
    <w:rsid w:val="00C235D0"/>
    <w:rsid w:val="00C25EC5"/>
    <w:rsid w:val="00C26293"/>
    <w:rsid w:val="00C263CE"/>
    <w:rsid w:val="00C27764"/>
    <w:rsid w:val="00C30FE1"/>
    <w:rsid w:val="00C3201E"/>
    <w:rsid w:val="00C32050"/>
    <w:rsid w:val="00C32DEA"/>
    <w:rsid w:val="00C370FF"/>
    <w:rsid w:val="00C37119"/>
    <w:rsid w:val="00C41799"/>
    <w:rsid w:val="00C43CAE"/>
    <w:rsid w:val="00C45EE8"/>
    <w:rsid w:val="00C47C55"/>
    <w:rsid w:val="00C50ECE"/>
    <w:rsid w:val="00C512B7"/>
    <w:rsid w:val="00C51662"/>
    <w:rsid w:val="00C524D4"/>
    <w:rsid w:val="00C52EC3"/>
    <w:rsid w:val="00C544E4"/>
    <w:rsid w:val="00C56583"/>
    <w:rsid w:val="00C60BE3"/>
    <w:rsid w:val="00C630C5"/>
    <w:rsid w:val="00C67FA7"/>
    <w:rsid w:val="00C708D3"/>
    <w:rsid w:val="00C71515"/>
    <w:rsid w:val="00C724F2"/>
    <w:rsid w:val="00C72C76"/>
    <w:rsid w:val="00C73821"/>
    <w:rsid w:val="00C75F4D"/>
    <w:rsid w:val="00C768DD"/>
    <w:rsid w:val="00C80052"/>
    <w:rsid w:val="00C8052E"/>
    <w:rsid w:val="00C80B97"/>
    <w:rsid w:val="00C81194"/>
    <w:rsid w:val="00C81C01"/>
    <w:rsid w:val="00C81E7C"/>
    <w:rsid w:val="00C906A9"/>
    <w:rsid w:val="00C913A8"/>
    <w:rsid w:val="00C91DD7"/>
    <w:rsid w:val="00C924EE"/>
    <w:rsid w:val="00C93FA3"/>
    <w:rsid w:val="00C96B39"/>
    <w:rsid w:val="00C96E49"/>
    <w:rsid w:val="00C9792A"/>
    <w:rsid w:val="00CA1794"/>
    <w:rsid w:val="00CA1E8E"/>
    <w:rsid w:val="00CA20A9"/>
    <w:rsid w:val="00CA276C"/>
    <w:rsid w:val="00CA48DA"/>
    <w:rsid w:val="00CA4A64"/>
    <w:rsid w:val="00CB1062"/>
    <w:rsid w:val="00CB39B4"/>
    <w:rsid w:val="00CB5CDE"/>
    <w:rsid w:val="00CB74E6"/>
    <w:rsid w:val="00CB7F1F"/>
    <w:rsid w:val="00CC08C6"/>
    <w:rsid w:val="00CC15E2"/>
    <w:rsid w:val="00CC1F64"/>
    <w:rsid w:val="00CC29A9"/>
    <w:rsid w:val="00CC3F97"/>
    <w:rsid w:val="00CC4F74"/>
    <w:rsid w:val="00CC5C08"/>
    <w:rsid w:val="00CC66C2"/>
    <w:rsid w:val="00CD0B09"/>
    <w:rsid w:val="00CD0F09"/>
    <w:rsid w:val="00CD1214"/>
    <w:rsid w:val="00CD2341"/>
    <w:rsid w:val="00CD24F4"/>
    <w:rsid w:val="00CD31A2"/>
    <w:rsid w:val="00CD49E2"/>
    <w:rsid w:val="00CD7812"/>
    <w:rsid w:val="00CE15D9"/>
    <w:rsid w:val="00CE1BAC"/>
    <w:rsid w:val="00CE5951"/>
    <w:rsid w:val="00CE7AEB"/>
    <w:rsid w:val="00CF3424"/>
    <w:rsid w:val="00CF5C53"/>
    <w:rsid w:val="00CF6566"/>
    <w:rsid w:val="00CF7C5F"/>
    <w:rsid w:val="00D00034"/>
    <w:rsid w:val="00D0033C"/>
    <w:rsid w:val="00D027E1"/>
    <w:rsid w:val="00D03258"/>
    <w:rsid w:val="00D0396C"/>
    <w:rsid w:val="00D03987"/>
    <w:rsid w:val="00D03A71"/>
    <w:rsid w:val="00D04233"/>
    <w:rsid w:val="00D05781"/>
    <w:rsid w:val="00D07042"/>
    <w:rsid w:val="00D12D01"/>
    <w:rsid w:val="00D1451D"/>
    <w:rsid w:val="00D14FDD"/>
    <w:rsid w:val="00D158BE"/>
    <w:rsid w:val="00D1592B"/>
    <w:rsid w:val="00D16433"/>
    <w:rsid w:val="00D1765D"/>
    <w:rsid w:val="00D20869"/>
    <w:rsid w:val="00D21188"/>
    <w:rsid w:val="00D21194"/>
    <w:rsid w:val="00D2155F"/>
    <w:rsid w:val="00D21C39"/>
    <w:rsid w:val="00D2455A"/>
    <w:rsid w:val="00D26119"/>
    <w:rsid w:val="00D26E35"/>
    <w:rsid w:val="00D321EF"/>
    <w:rsid w:val="00D337BE"/>
    <w:rsid w:val="00D35B8E"/>
    <w:rsid w:val="00D40EFC"/>
    <w:rsid w:val="00D413A7"/>
    <w:rsid w:val="00D419AE"/>
    <w:rsid w:val="00D420E6"/>
    <w:rsid w:val="00D4397F"/>
    <w:rsid w:val="00D43C78"/>
    <w:rsid w:val="00D4507F"/>
    <w:rsid w:val="00D45A3A"/>
    <w:rsid w:val="00D45E5D"/>
    <w:rsid w:val="00D46AB3"/>
    <w:rsid w:val="00D529F9"/>
    <w:rsid w:val="00D52C9E"/>
    <w:rsid w:val="00D55A93"/>
    <w:rsid w:val="00D56F6B"/>
    <w:rsid w:val="00D573DA"/>
    <w:rsid w:val="00D607D8"/>
    <w:rsid w:val="00D61E14"/>
    <w:rsid w:val="00D62AFC"/>
    <w:rsid w:val="00D640D6"/>
    <w:rsid w:val="00D64289"/>
    <w:rsid w:val="00D64C6B"/>
    <w:rsid w:val="00D659D7"/>
    <w:rsid w:val="00D65A61"/>
    <w:rsid w:val="00D66166"/>
    <w:rsid w:val="00D7096E"/>
    <w:rsid w:val="00D70CBF"/>
    <w:rsid w:val="00D70CE3"/>
    <w:rsid w:val="00D71EA5"/>
    <w:rsid w:val="00D7340E"/>
    <w:rsid w:val="00D74490"/>
    <w:rsid w:val="00D80CC1"/>
    <w:rsid w:val="00D81EDD"/>
    <w:rsid w:val="00D83868"/>
    <w:rsid w:val="00D85BAE"/>
    <w:rsid w:val="00D8659C"/>
    <w:rsid w:val="00D86868"/>
    <w:rsid w:val="00D86C12"/>
    <w:rsid w:val="00D8702F"/>
    <w:rsid w:val="00D87242"/>
    <w:rsid w:val="00D90072"/>
    <w:rsid w:val="00D910CA"/>
    <w:rsid w:val="00D927F4"/>
    <w:rsid w:val="00D9291C"/>
    <w:rsid w:val="00D93744"/>
    <w:rsid w:val="00D93AC3"/>
    <w:rsid w:val="00D95B5A"/>
    <w:rsid w:val="00D976BF"/>
    <w:rsid w:val="00D9773F"/>
    <w:rsid w:val="00D97D67"/>
    <w:rsid w:val="00DA1BF1"/>
    <w:rsid w:val="00DA3499"/>
    <w:rsid w:val="00DA3C58"/>
    <w:rsid w:val="00DA45B4"/>
    <w:rsid w:val="00DA4777"/>
    <w:rsid w:val="00DA4F9D"/>
    <w:rsid w:val="00DA6596"/>
    <w:rsid w:val="00DA713E"/>
    <w:rsid w:val="00DA7EBD"/>
    <w:rsid w:val="00DB0281"/>
    <w:rsid w:val="00DB0883"/>
    <w:rsid w:val="00DB0C2B"/>
    <w:rsid w:val="00DB1C51"/>
    <w:rsid w:val="00DB30EC"/>
    <w:rsid w:val="00DB68F4"/>
    <w:rsid w:val="00DC0DFE"/>
    <w:rsid w:val="00DC1020"/>
    <w:rsid w:val="00DC1344"/>
    <w:rsid w:val="00DC216E"/>
    <w:rsid w:val="00DC39F5"/>
    <w:rsid w:val="00DC43D4"/>
    <w:rsid w:val="00DC4558"/>
    <w:rsid w:val="00DC484D"/>
    <w:rsid w:val="00DC6DA4"/>
    <w:rsid w:val="00DC7688"/>
    <w:rsid w:val="00DC7D83"/>
    <w:rsid w:val="00DD0498"/>
    <w:rsid w:val="00DD14F2"/>
    <w:rsid w:val="00DD1ED8"/>
    <w:rsid w:val="00DD218B"/>
    <w:rsid w:val="00DD36D4"/>
    <w:rsid w:val="00DD3EF7"/>
    <w:rsid w:val="00DD415C"/>
    <w:rsid w:val="00DD6F49"/>
    <w:rsid w:val="00DD7E17"/>
    <w:rsid w:val="00DE097C"/>
    <w:rsid w:val="00DE0D05"/>
    <w:rsid w:val="00DE1EC3"/>
    <w:rsid w:val="00DE2A28"/>
    <w:rsid w:val="00DE2C87"/>
    <w:rsid w:val="00DE493F"/>
    <w:rsid w:val="00DE4A82"/>
    <w:rsid w:val="00DE5340"/>
    <w:rsid w:val="00DE63DF"/>
    <w:rsid w:val="00DF07CB"/>
    <w:rsid w:val="00DF0D96"/>
    <w:rsid w:val="00DF427E"/>
    <w:rsid w:val="00DF4A11"/>
    <w:rsid w:val="00DF50CE"/>
    <w:rsid w:val="00E004BD"/>
    <w:rsid w:val="00E0163C"/>
    <w:rsid w:val="00E01F9B"/>
    <w:rsid w:val="00E02C86"/>
    <w:rsid w:val="00E02D31"/>
    <w:rsid w:val="00E044EC"/>
    <w:rsid w:val="00E060F5"/>
    <w:rsid w:val="00E101E6"/>
    <w:rsid w:val="00E10DA0"/>
    <w:rsid w:val="00E126A3"/>
    <w:rsid w:val="00E13BD5"/>
    <w:rsid w:val="00E14129"/>
    <w:rsid w:val="00E15AC1"/>
    <w:rsid w:val="00E16641"/>
    <w:rsid w:val="00E16F7B"/>
    <w:rsid w:val="00E17848"/>
    <w:rsid w:val="00E204AC"/>
    <w:rsid w:val="00E20F1E"/>
    <w:rsid w:val="00E26C1E"/>
    <w:rsid w:val="00E2700C"/>
    <w:rsid w:val="00E2746A"/>
    <w:rsid w:val="00E27A26"/>
    <w:rsid w:val="00E31D40"/>
    <w:rsid w:val="00E34B0D"/>
    <w:rsid w:val="00E36A02"/>
    <w:rsid w:val="00E37A0E"/>
    <w:rsid w:val="00E37BCE"/>
    <w:rsid w:val="00E400C1"/>
    <w:rsid w:val="00E40774"/>
    <w:rsid w:val="00E40C27"/>
    <w:rsid w:val="00E41056"/>
    <w:rsid w:val="00E44891"/>
    <w:rsid w:val="00E450B3"/>
    <w:rsid w:val="00E471D6"/>
    <w:rsid w:val="00E47B0F"/>
    <w:rsid w:val="00E5014B"/>
    <w:rsid w:val="00E54158"/>
    <w:rsid w:val="00E55D9A"/>
    <w:rsid w:val="00E5673A"/>
    <w:rsid w:val="00E567C6"/>
    <w:rsid w:val="00E57793"/>
    <w:rsid w:val="00E60718"/>
    <w:rsid w:val="00E61FCB"/>
    <w:rsid w:val="00E63580"/>
    <w:rsid w:val="00E66721"/>
    <w:rsid w:val="00E66F54"/>
    <w:rsid w:val="00E70033"/>
    <w:rsid w:val="00E719A2"/>
    <w:rsid w:val="00E72A93"/>
    <w:rsid w:val="00E749F0"/>
    <w:rsid w:val="00E75237"/>
    <w:rsid w:val="00E76B6F"/>
    <w:rsid w:val="00E76DAA"/>
    <w:rsid w:val="00E77416"/>
    <w:rsid w:val="00E807F7"/>
    <w:rsid w:val="00E81400"/>
    <w:rsid w:val="00E81F7C"/>
    <w:rsid w:val="00E82DF9"/>
    <w:rsid w:val="00E831ED"/>
    <w:rsid w:val="00E846D3"/>
    <w:rsid w:val="00E84F2B"/>
    <w:rsid w:val="00E86B00"/>
    <w:rsid w:val="00E87252"/>
    <w:rsid w:val="00E90435"/>
    <w:rsid w:val="00E91407"/>
    <w:rsid w:val="00E95478"/>
    <w:rsid w:val="00E9559E"/>
    <w:rsid w:val="00E96B18"/>
    <w:rsid w:val="00E9749D"/>
    <w:rsid w:val="00EA00DF"/>
    <w:rsid w:val="00EA1F90"/>
    <w:rsid w:val="00EA28BB"/>
    <w:rsid w:val="00EA549C"/>
    <w:rsid w:val="00EA62E3"/>
    <w:rsid w:val="00EA769A"/>
    <w:rsid w:val="00EB39AF"/>
    <w:rsid w:val="00EB4F26"/>
    <w:rsid w:val="00EB6A34"/>
    <w:rsid w:val="00EB7A91"/>
    <w:rsid w:val="00EC1C9E"/>
    <w:rsid w:val="00EC5E29"/>
    <w:rsid w:val="00EC7092"/>
    <w:rsid w:val="00EC7509"/>
    <w:rsid w:val="00EC781D"/>
    <w:rsid w:val="00EC7EB5"/>
    <w:rsid w:val="00ED16D2"/>
    <w:rsid w:val="00ED1C77"/>
    <w:rsid w:val="00ED38B0"/>
    <w:rsid w:val="00ED3D29"/>
    <w:rsid w:val="00ED47E9"/>
    <w:rsid w:val="00ED4DEF"/>
    <w:rsid w:val="00ED5EE2"/>
    <w:rsid w:val="00ED5EFE"/>
    <w:rsid w:val="00ED7796"/>
    <w:rsid w:val="00EE0056"/>
    <w:rsid w:val="00EE300C"/>
    <w:rsid w:val="00EE316D"/>
    <w:rsid w:val="00EE4E58"/>
    <w:rsid w:val="00EE6868"/>
    <w:rsid w:val="00EE7333"/>
    <w:rsid w:val="00EE7545"/>
    <w:rsid w:val="00EE7847"/>
    <w:rsid w:val="00EF3D53"/>
    <w:rsid w:val="00F01234"/>
    <w:rsid w:val="00F025F9"/>
    <w:rsid w:val="00F04342"/>
    <w:rsid w:val="00F04A5C"/>
    <w:rsid w:val="00F05225"/>
    <w:rsid w:val="00F06053"/>
    <w:rsid w:val="00F10236"/>
    <w:rsid w:val="00F1276E"/>
    <w:rsid w:val="00F143CE"/>
    <w:rsid w:val="00F1580A"/>
    <w:rsid w:val="00F168EC"/>
    <w:rsid w:val="00F176FF"/>
    <w:rsid w:val="00F17B8A"/>
    <w:rsid w:val="00F203CB"/>
    <w:rsid w:val="00F21664"/>
    <w:rsid w:val="00F246DC"/>
    <w:rsid w:val="00F25E1E"/>
    <w:rsid w:val="00F27867"/>
    <w:rsid w:val="00F305B4"/>
    <w:rsid w:val="00F305DE"/>
    <w:rsid w:val="00F32362"/>
    <w:rsid w:val="00F323D6"/>
    <w:rsid w:val="00F32957"/>
    <w:rsid w:val="00F32F12"/>
    <w:rsid w:val="00F33104"/>
    <w:rsid w:val="00F37232"/>
    <w:rsid w:val="00F4102E"/>
    <w:rsid w:val="00F41294"/>
    <w:rsid w:val="00F41658"/>
    <w:rsid w:val="00F426E7"/>
    <w:rsid w:val="00F43213"/>
    <w:rsid w:val="00F438B2"/>
    <w:rsid w:val="00F43EE0"/>
    <w:rsid w:val="00F467DC"/>
    <w:rsid w:val="00F47080"/>
    <w:rsid w:val="00F51931"/>
    <w:rsid w:val="00F54119"/>
    <w:rsid w:val="00F55869"/>
    <w:rsid w:val="00F5786E"/>
    <w:rsid w:val="00F615CF"/>
    <w:rsid w:val="00F64C1A"/>
    <w:rsid w:val="00F66C77"/>
    <w:rsid w:val="00F66F8C"/>
    <w:rsid w:val="00F70514"/>
    <w:rsid w:val="00F712C3"/>
    <w:rsid w:val="00F72C64"/>
    <w:rsid w:val="00F778C8"/>
    <w:rsid w:val="00F826E4"/>
    <w:rsid w:val="00F82C8E"/>
    <w:rsid w:val="00F82F0A"/>
    <w:rsid w:val="00F834D5"/>
    <w:rsid w:val="00F835EC"/>
    <w:rsid w:val="00F8378A"/>
    <w:rsid w:val="00F83949"/>
    <w:rsid w:val="00F83A3F"/>
    <w:rsid w:val="00F85FC7"/>
    <w:rsid w:val="00F90A53"/>
    <w:rsid w:val="00F90DC7"/>
    <w:rsid w:val="00F917C6"/>
    <w:rsid w:val="00F927E1"/>
    <w:rsid w:val="00F930BD"/>
    <w:rsid w:val="00F93B4C"/>
    <w:rsid w:val="00F94155"/>
    <w:rsid w:val="00FA0D08"/>
    <w:rsid w:val="00FA4F2C"/>
    <w:rsid w:val="00FA68F3"/>
    <w:rsid w:val="00FA7B06"/>
    <w:rsid w:val="00FB0A2D"/>
    <w:rsid w:val="00FB497D"/>
    <w:rsid w:val="00FB5319"/>
    <w:rsid w:val="00FB5A8F"/>
    <w:rsid w:val="00FB5C61"/>
    <w:rsid w:val="00FB64BF"/>
    <w:rsid w:val="00FC0FAA"/>
    <w:rsid w:val="00FC6179"/>
    <w:rsid w:val="00FC627D"/>
    <w:rsid w:val="00FC635F"/>
    <w:rsid w:val="00FC6C64"/>
    <w:rsid w:val="00FD1BBF"/>
    <w:rsid w:val="00FD1C74"/>
    <w:rsid w:val="00FD1D5B"/>
    <w:rsid w:val="00FD3C7F"/>
    <w:rsid w:val="00FD5946"/>
    <w:rsid w:val="00FE08B2"/>
    <w:rsid w:val="00FE1321"/>
    <w:rsid w:val="00FE236A"/>
    <w:rsid w:val="00FE29C0"/>
    <w:rsid w:val="00FE464B"/>
    <w:rsid w:val="00FE62F0"/>
    <w:rsid w:val="00FE670B"/>
    <w:rsid w:val="00FF0D07"/>
    <w:rsid w:val="00FF206D"/>
    <w:rsid w:val="00FF3A77"/>
    <w:rsid w:val="00FF40EC"/>
    <w:rsid w:val="00FF490C"/>
    <w:rsid w:val="00FF4CC6"/>
    <w:rsid w:val="00FF78D9"/>
    <w:rsid w:val="00FF7CD6"/>
    <w:rsid w:val="01A6C4D1"/>
    <w:rsid w:val="025A51CF"/>
    <w:rsid w:val="0270BE36"/>
    <w:rsid w:val="02A97663"/>
    <w:rsid w:val="035BBD8F"/>
    <w:rsid w:val="043D9A66"/>
    <w:rsid w:val="044A77A5"/>
    <w:rsid w:val="044FCD66"/>
    <w:rsid w:val="04532765"/>
    <w:rsid w:val="04CC7F77"/>
    <w:rsid w:val="04D1EEF1"/>
    <w:rsid w:val="0543E6B8"/>
    <w:rsid w:val="067E2DA0"/>
    <w:rsid w:val="07B65D06"/>
    <w:rsid w:val="07C2A35C"/>
    <w:rsid w:val="07E043F2"/>
    <w:rsid w:val="07FC1390"/>
    <w:rsid w:val="08B13D4D"/>
    <w:rsid w:val="08D58C0D"/>
    <w:rsid w:val="0A300EF5"/>
    <w:rsid w:val="0A7B1E48"/>
    <w:rsid w:val="0AE6ED2B"/>
    <w:rsid w:val="0BAD3678"/>
    <w:rsid w:val="0BC8AA69"/>
    <w:rsid w:val="0C16BF9F"/>
    <w:rsid w:val="0C4E69D1"/>
    <w:rsid w:val="0C8733BD"/>
    <w:rsid w:val="0D0B9758"/>
    <w:rsid w:val="0D8CDE34"/>
    <w:rsid w:val="0DA00466"/>
    <w:rsid w:val="0DA31A81"/>
    <w:rsid w:val="0DF2B1B9"/>
    <w:rsid w:val="0E32A766"/>
    <w:rsid w:val="0E560791"/>
    <w:rsid w:val="0EA4CA6B"/>
    <w:rsid w:val="0EF65B39"/>
    <w:rsid w:val="0F3BD4C7"/>
    <w:rsid w:val="0F4DC49D"/>
    <w:rsid w:val="0F77D952"/>
    <w:rsid w:val="0F8CE116"/>
    <w:rsid w:val="0F9DD0B4"/>
    <w:rsid w:val="105C6CAC"/>
    <w:rsid w:val="10740C0A"/>
    <w:rsid w:val="10922B9A"/>
    <w:rsid w:val="10E1842E"/>
    <w:rsid w:val="11D90FA6"/>
    <w:rsid w:val="124C588A"/>
    <w:rsid w:val="12E24D0D"/>
    <w:rsid w:val="1357E129"/>
    <w:rsid w:val="13608EBF"/>
    <w:rsid w:val="15351597"/>
    <w:rsid w:val="1575248C"/>
    <w:rsid w:val="1596A810"/>
    <w:rsid w:val="15E84C50"/>
    <w:rsid w:val="169B2BC3"/>
    <w:rsid w:val="16F0C9BF"/>
    <w:rsid w:val="1710F4ED"/>
    <w:rsid w:val="171C423E"/>
    <w:rsid w:val="18AF0A66"/>
    <w:rsid w:val="18C038B7"/>
    <w:rsid w:val="18CA1016"/>
    <w:rsid w:val="19BC9E80"/>
    <w:rsid w:val="19E60E1D"/>
    <w:rsid w:val="1A1756E8"/>
    <w:rsid w:val="1A4058E8"/>
    <w:rsid w:val="1ADD203A"/>
    <w:rsid w:val="1AE1CB60"/>
    <w:rsid w:val="1B1D697F"/>
    <w:rsid w:val="1B6D9878"/>
    <w:rsid w:val="1B9D647E"/>
    <w:rsid w:val="1BA8371E"/>
    <w:rsid w:val="1BD0151D"/>
    <w:rsid w:val="1C13EFFA"/>
    <w:rsid w:val="1C3E6577"/>
    <w:rsid w:val="1C55F7F8"/>
    <w:rsid w:val="1C714C96"/>
    <w:rsid w:val="1D3934DF"/>
    <w:rsid w:val="1D5279A4"/>
    <w:rsid w:val="1D741EEF"/>
    <w:rsid w:val="1E669CA4"/>
    <w:rsid w:val="1EDC0C74"/>
    <w:rsid w:val="1EEAC80B"/>
    <w:rsid w:val="1F1A8814"/>
    <w:rsid w:val="1FAE0915"/>
    <w:rsid w:val="1FD2E334"/>
    <w:rsid w:val="200CC2D5"/>
    <w:rsid w:val="2070D5A1"/>
    <w:rsid w:val="213DF1D2"/>
    <w:rsid w:val="214E38F1"/>
    <w:rsid w:val="21E8E1EC"/>
    <w:rsid w:val="22400EDD"/>
    <w:rsid w:val="2292B931"/>
    <w:rsid w:val="23730BA6"/>
    <w:rsid w:val="23BDEB09"/>
    <w:rsid w:val="23C54466"/>
    <w:rsid w:val="23D0A26A"/>
    <w:rsid w:val="241CD50E"/>
    <w:rsid w:val="2427A99C"/>
    <w:rsid w:val="24301199"/>
    <w:rsid w:val="253D0035"/>
    <w:rsid w:val="2549561F"/>
    <w:rsid w:val="25574708"/>
    <w:rsid w:val="261B7281"/>
    <w:rsid w:val="26461C0E"/>
    <w:rsid w:val="2667A372"/>
    <w:rsid w:val="266D702E"/>
    <w:rsid w:val="26C72494"/>
    <w:rsid w:val="26F31769"/>
    <w:rsid w:val="27CE8187"/>
    <w:rsid w:val="2832F323"/>
    <w:rsid w:val="284A2035"/>
    <w:rsid w:val="28A841FD"/>
    <w:rsid w:val="28C5140E"/>
    <w:rsid w:val="28E3F785"/>
    <w:rsid w:val="2947A126"/>
    <w:rsid w:val="29D3756D"/>
    <w:rsid w:val="29E56344"/>
    <w:rsid w:val="2A5C51CC"/>
    <w:rsid w:val="2AABC7DF"/>
    <w:rsid w:val="2B0BACB0"/>
    <w:rsid w:val="2B1329FC"/>
    <w:rsid w:val="2BA81110"/>
    <w:rsid w:val="2BD262DE"/>
    <w:rsid w:val="2BE681CB"/>
    <w:rsid w:val="2C767538"/>
    <w:rsid w:val="2C82E415"/>
    <w:rsid w:val="2CF98063"/>
    <w:rsid w:val="2D0C59F8"/>
    <w:rsid w:val="2D685A73"/>
    <w:rsid w:val="2EB9FCF5"/>
    <w:rsid w:val="2FC538DB"/>
    <w:rsid w:val="2FC62847"/>
    <w:rsid w:val="2FFE8E6F"/>
    <w:rsid w:val="302F287B"/>
    <w:rsid w:val="3034A7DE"/>
    <w:rsid w:val="3054275B"/>
    <w:rsid w:val="308A420A"/>
    <w:rsid w:val="31B2001C"/>
    <w:rsid w:val="32DC21CA"/>
    <w:rsid w:val="33147EAD"/>
    <w:rsid w:val="338D8BEA"/>
    <w:rsid w:val="340C46F5"/>
    <w:rsid w:val="34A92D89"/>
    <w:rsid w:val="34AEF78E"/>
    <w:rsid w:val="34CAE034"/>
    <w:rsid w:val="351F5A13"/>
    <w:rsid w:val="352505ED"/>
    <w:rsid w:val="356BD73B"/>
    <w:rsid w:val="358A3C88"/>
    <w:rsid w:val="36DB72FE"/>
    <w:rsid w:val="3742F747"/>
    <w:rsid w:val="374D258D"/>
    <w:rsid w:val="37BF04EE"/>
    <w:rsid w:val="3824A03F"/>
    <w:rsid w:val="38C3FACF"/>
    <w:rsid w:val="39238017"/>
    <w:rsid w:val="394473BB"/>
    <w:rsid w:val="39DEE811"/>
    <w:rsid w:val="3A5437B3"/>
    <w:rsid w:val="3A6223AE"/>
    <w:rsid w:val="3A8F438B"/>
    <w:rsid w:val="3AAE5F3A"/>
    <w:rsid w:val="3ABAFAF8"/>
    <w:rsid w:val="3B2F1149"/>
    <w:rsid w:val="3B83EED0"/>
    <w:rsid w:val="3BA26002"/>
    <w:rsid w:val="3BA35752"/>
    <w:rsid w:val="3C101962"/>
    <w:rsid w:val="3C2FE1F2"/>
    <w:rsid w:val="3C77E3A1"/>
    <w:rsid w:val="3C8A69DE"/>
    <w:rsid w:val="3C9CC1ED"/>
    <w:rsid w:val="3C9F6DCC"/>
    <w:rsid w:val="3D2E2889"/>
    <w:rsid w:val="3D4DB22A"/>
    <w:rsid w:val="3D5E9A94"/>
    <w:rsid w:val="3D806A3D"/>
    <w:rsid w:val="3DFD8851"/>
    <w:rsid w:val="3E680179"/>
    <w:rsid w:val="3EEA1F97"/>
    <w:rsid w:val="3F4DD843"/>
    <w:rsid w:val="3F582B8F"/>
    <w:rsid w:val="3FBF00BA"/>
    <w:rsid w:val="400E2ADA"/>
    <w:rsid w:val="401B4EB3"/>
    <w:rsid w:val="402809FC"/>
    <w:rsid w:val="40BD5D93"/>
    <w:rsid w:val="40C6ECE2"/>
    <w:rsid w:val="41D50EB9"/>
    <w:rsid w:val="422EB9F3"/>
    <w:rsid w:val="4238AAE0"/>
    <w:rsid w:val="42619219"/>
    <w:rsid w:val="42FA5FCF"/>
    <w:rsid w:val="43110830"/>
    <w:rsid w:val="436B4BFF"/>
    <w:rsid w:val="4377E278"/>
    <w:rsid w:val="438E9829"/>
    <w:rsid w:val="43AB8BB5"/>
    <w:rsid w:val="43EB6D90"/>
    <w:rsid w:val="4450A3D9"/>
    <w:rsid w:val="453005F8"/>
    <w:rsid w:val="4558470C"/>
    <w:rsid w:val="45716F69"/>
    <w:rsid w:val="45AACAA2"/>
    <w:rsid w:val="4600547A"/>
    <w:rsid w:val="460DDC70"/>
    <w:rsid w:val="461ADB10"/>
    <w:rsid w:val="47ED584F"/>
    <w:rsid w:val="47F64D23"/>
    <w:rsid w:val="481B0370"/>
    <w:rsid w:val="4825964F"/>
    <w:rsid w:val="4853332F"/>
    <w:rsid w:val="48C0BCE0"/>
    <w:rsid w:val="49A18967"/>
    <w:rsid w:val="49BA29C0"/>
    <w:rsid w:val="49EF0390"/>
    <w:rsid w:val="4A6B2795"/>
    <w:rsid w:val="4B50230B"/>
    <w:rsid w:val="4B5241E4"/>
    <w:rsid w:val="4B54EB49"/>
    <w:rsid w:val="4B80EA3D"/>
    <w:rsid w:val="4BA78A08"/>
    <w:rsid w:val="4C86BBAF"/>
    <w:rsid w:val="4D1CE702"/>
    <w:rsid w:val="4D33C066"/>
    <w:rsid w:val="4D3502C5"/>
    <w:rsid w:val="4D7C5C0E"/>
    <w:rsid w:val="4DAFA748"/>
    <w:rsid w:val="4DDBF435"/>
    <w:rsid w:val="4E260659"/>
    <w:rsid w:val="4E2BFFA8"/>
    <w:rsid w:val="4E73EB24"/>
    <w:rsid w:val="4EFE6639"/>
    <w:rsid w:val="4F0B5533"/>
    <w:rsid w:val="4F5E91A1"/>
    <w:rsid w:val="4FA3781A"/>
    <w:rsid w:val="4FC5A38E"/>
    <w:rsid w:val="4FFFA798"/>
    <w:rsid w:val="500E2B9E"/>
    <w:rsid w:val="50A97328"/>
    <w:rsid w:val="513526A1"/>
    <w:rsid w:val="51507B58"/>
    <w:rsid w:val="51926389"/>
    <w:rsid w:val="519CD04F"/>
    <w:rsid w:val="51A37722"/>
    <w:rsid w:val="51A4E216"/>
    <w:rsid w:val="52B62821"/>
    <w:rsid w:val="5301B3F6"/>
    <w:rsid w:val="53035736"/>
    <w:rsid w:val="534BA742"/>
    <w:rsid w:val="53A22D7E"/>
    <w:rsid w:val="5407CEEB"/>
    <w:rsid w:val="542E85FC"/>
    <w:rsid w:val="5460BD4F"/>
    <w:rsid w:val="54E11469"/>
    <w:rsid w:val="54E1FDB8"/>
    <w:rsid w:val="54E54C61"/>
    <w:rsid w:val="54E5C3AA"/>
    <w:rsid w:val="54F5544D"/>
    <w:rsid w:val="54F9C454"/>
    <w:rsid w:val="5534CDDA"/>
    <w:rsid w:val="55593A25"/>
    <w:rsid w:val="560BD4AC"/>
    <w:rsid w:val="5613E9B3"/>
    <w:rsid w:val="561B8F76"/>
    <w:rsid w:val="5696200B"/>
    <w:rsid w:val="56F8E89D"/>
    <w:rsid w:val="575F01C9"/>
    <w:rsid w:val="577068DD"/>
    <w:rsid w:val="58180AE3"/>
    <w:rsid w:val="58184681"/>
    <w:rsid w:val="5825DA66"/>
    <w:rsid w:val="58380422"/>
    <w:rsid w:val="583F6F2F"/>
    <w:rsid w:val="58775D0C"/>
    <w:rsid w:val="58998CF2"/>
    <w:rsid w:val="58FDCD60"/>
    <w:rsid w:val="59695EA2"/>
    <w:rsid w:val="5A57DD28"/>
    <w:rsid w:val="5A5932E9"/>
    <w:rsid w:val="5A6D4759"/>
    <w:rsid w:val="5A84006D"/>
    <w:rsid w:val="5AB20EE4"/>
    <w:rsid w:val="5B302E8D"/>
    <w:rsid w:val="5B877A94"/>
    <w:rsid w:val="5BDB0D90"/>
    <w:rsid w:val="5C377588"/>
    <w:rsid w:val="5C7C54B4"/>
    <w:rsid w:val="5C9926DE"/>
    <w:rsid w:val="5D1543DC"/>
    <w:rsid w:val="5D90B6D4"/>
    <w:rsid w:val="5D9B2FA4"/>
    <w:rsid w:val="5DCA30A3"/>
    <w:rsid w:val="5DDF5177"/>
    <w:rsid w:val="5E09653B"/>
    <w:rsid w:val="5E25B909"/>
    <w:rsid w:val="5E314D72"/>
    <w:rsid w:val="5E5F2DC7"/>
    <w:rsid w:val="5EC3642D"/>
    <w:rsid w:val="5EC97DCE"/>
    <w:rsid w:val="5F28A0AD"/>
    <w:rsid w:val="5F4D9ACD"/>
    <w:rsid w:val="603F1B28"/>
    <w:rsid w:val="6187C336"/>
    <w:rsid w:val="619FA3BF"/>
    <w:rsid w:val="61BAAEF8"/>
    <w:rsid w:val="61D0AFFA"/>
    <w:rsid w:val="61ED63CC"/>
    <w:rsid w:val="62F92A2C"/>
    <w:rsid w:val="6315A258"/>
    <w:rsid w:val="63D78368"/>
    <w:rsid w:val="63E4832F"/>
    <w:rsid w:val="63F9EFEC"/>
    <w:rsid w:val="64694709"/>
    <w:rsid w:val="6477BB6B"/>
    <w:rsid w:val="64941C68"/>
    <w:rsid w:val="64E8159B"/>
    <w:rsid w:val="658E5C37"/>
    <w:rsid w:val="65E81D38"/>
    <w:rsid w:val="65FBEB65"/>
    <w:rsid w:val="66802756"/>
    <w:rsid w:val="66C88C0F"/>
    <w:rsid w:val="670F242A"/>
    <w:rsid w:val="672494FE"/>
    <w:rsid w:val="673C989F"/>
    <w:rsid w:val="6764E810"/>
    <w:rsid w:val="6767A6A5"/>
    <w:rsid w:val="67691199"/>
    <w:rsid w:val="67DE1C36"/>
    <w:rsid w:val="685AC511"/>
    <w:rsid w:val="685CE381"/>
    <w:rsid w:val="68E25786"/>
    <w:rsid w:val="694B590C"/>
    <w:rsid w:val="69638E90"/>
    <w:rsid w:val="699606DF"/>
    <w:rsid w:val="69A4FB35"/>
    <w:rsid w:val="6A3CCF4B"/>
    <w:rsid w:val="6A8F8B4E"/>
    <w:rsid w:val="6ABABC64"/>
    <w:rsid w:val="6AC0C30B"/>
    <w:rsid w:val="6AD6757A"/>
    <w:rsid w:val="6AE50015"/>
    <w:rsid w:val="6AEB13B4"/>
    <w:rsid w:val="6AF73F95"/>
    <w:rsid w:val="6B2B18AA"/>
    <w:rsid w:val="6B2C7A6B"/>
    <w:rsid w:val="6BAD5E6A"/>
    <w:rsid w:val="6BC0BD33"/>
    <w:rsid w:val="6BC91FAA"/>
    <w:rsid w:val="6BE68CF9"/>
    <w:rsid w:val="6C55176F"/>
    <w:rsid w:val="6CB9B63E"/>
    <w:rsid w:val="6D38D087"/>
    <w:rsid w:val="6D58716E"/>
    <w:rsid w:val="6D6B1C28"/>
    <w:rsid w:val="6D6D39E8"/>
    <w:rsid w:val="6E531CBB"/>
    <w:rsid w:val="6E5F691D"/>
    <w:rsid w:val="6EF0E24F"/>
    <w:rsid w:val="6F13116D"/>
    <w:rsid w:val="6F1B0C23"/>
    <w:rsid w:val="700DF902"/>
    <w:rsid w:val="70BFD30C"/>
    <w:rsid w:val="70DA4240"/>
    <w:rsid w:val="7194DF61"/>
    <w:rsid w:val="71E43EB3"/>
    <w:rsid w:val="72103E2C"/>
    <w:rsid w:val="72475ABA"/>
    <w:rsid w:val="724ADA8C"/>
    <w:rsid w:val="7251D6D1"/>
    <w:rsid w:val="726DF7FC"/>
    <w:rsid w:val="72A8132F"/>
    <w:rsid w:val="730863BF"/>
    <w:rsid w:val="7352BC8E"/>
    <w:rsid w:val="741F5349"/>
    <w:rsid w:val="74A9352A"/>
    <w:rsid w:val="74C96E73"/>
    <w:rsid w:val="74CC8023"/>
    <w:rsid w:val="74E67DC8"/>
    <w:rsid w:val="75914D56"/>
    <w:rsid w:val="75B092F2"/>
    <w:rsid w:val="7689B45E"/>
    <w:rsid w:val="7715C7AC"/>
    <w:rsid w:val="7748A3B6"/>
    <w:rsid w:val="7774E0C5"/>
    <w:rsid w:val="77D26C94"/>
    <w:rsid w:val="78006740"/>
    <w:rsid w:val="7888378C"/>
    <w:rsid w:val="78F7660D"/>
    <w:rsid w:val="794DE7C2"/>
    <w:rsid w:val="799BB2EB"/>
    <w:rsid w:val="79A6C61D"/>
    <w:rsid w:val="79B4DB48"/>
    <w:rsid w:val="79BBC8AB"/>
    <w:rsid w:val="79CE27E6"/>
    <w:rsid w:val="79F174CF"/>
    <w:rsid w:val="7ABD58B7"/>
    <w:rsid w:val="7ADD83E5"/>
    <w:rsid w:val="7AED3C4E"/>
    <w:rsid w:val="7B36327D"/>
    <w:rsid w:val="7B8B62A3"/>
    <w:rsid w:val="7BD514A3"/>
    <w:rsid w:val="7BDD8B58"/>
    <w:rsid w:val="7BE93861"/>
    <w:rsid w:val="7BEA2C0D"/>
    <w:rsid w:val="7BFBDA96"/>
    <w:rsid w:val="7C496CFF"/>
    <w:rsid w:val="7C913A53"/>
    <w:rsid w:val="7C93191D"/>
    <w:rsid w:val="7CF50CD3"/>
    <w:rsid w:val="7D3BFCFA"/>
    <w:rsid w:val="7E2F4D67"/>
    <w:rsid w:val="7E94BEE8"/>
    <w:rsid w:val="7F19445E"/>
    <w:rsid w:val="7F60665C"/>
    <w:rsid w:val="7F7D47BD"/>
    <w:rsid w:val="7FA98FD9"/>
    <w:rsid w:val="7FE2C3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DA57C"/>
  <w15:chartTrackingRefBased/>
  <w15:docId w15:val="{10987154-45C5-4F70-8ECC-9AF3B71A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8DD"/>
  </w:style>
  <w:style w:type="paragraph" w:styleId="Heading2">
    <w:name w:val="heading 2"/>
    <w:basedOn w:val="Normal"/>
    <w:next w:val="Normal"/>
    <w:link w:val="Heading2Char"/>
    <w:uiPriority w:val="9"/>
    <w:unhideWhenUsed/>
    <w:qFormat/>
    <w:rsid w:val="00C768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768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68D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768D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C768DD"/>
    <w:pPr>
      <w:ind w:left="720"/>
      <w:contextualSpacing/>
    </w:pPr>
  </w:style>
  <w:style w:type="character" w:styleId="CommentReference">
    <w:name w:val="annotation reference"/>
    <w:basedOn w:val="DefaultParagraphFont"/>
    <w:uiPriority w:val="99"/>
    <w:semiHidden/>
    <w:unhideWhenUsed/>
    <w:rsid w:val="00C768DD"/>
    <w:rPr>
      <w:sz w:val="16"/>
      <w:szCs w:val="16"/>
    </w:rPr>
  </w:style>
  <w:style w:type="paragraph" w:styleId="CommentText">
    <w:name w:val="annotation text"/>
    <w:basedOn w:val="Normal"/>
    <w:link w:val="CommentTextChar"/>
    <w:uiPriority w:val="99"/>
    <w:unhideWhenUsed/>
    <w:rsid w:val="00C768DD"/>
    <w:pPr>
      <w:spacing w:line="240" w:lineRule="auto"/>
    </w:pPr>
    <w:rPr>
      <w:sz w:val="20"/>
      <w:szCs w:val="20"/>
    </w:rPr>
  </w:style>
  <w:style w:type="character" w:customStyle="1" w:styleId="CommentTextChar">
    <w:name w:val="Comment Text Char"/>
    <w:basedOn w:val="DefaultParagraphFont"/>
    <w:link w:val="CommentText"/>
    <w:uiPriority w:val="99"/>
    <w:rsid w:val="00C768DD"/>
    <w:rPr>
      <w:sz w:val="20"/>
      <w:szCs w:val="20"/>
    </w:rPr>
  </w:style>
  <w:style w:type="character" w:styleId="Hyperlink">
    <w:name w:val="Hyperlink"/>
    <w:basedOn w:val="DefaultParagraphFont"/>
    <w:uiPriority w:val="99"/>
    <w:unhideWhenUsed/>
    <w:rsid w:val="00C768DD"/>
    <w:rPr>
      <w:color w:val="0563C1" w:themeColor="hyperlink"/>
      <w:u w:val="single"/>
    </w:rPr>
  </w:style>
  <w:style w:type="paragraph" w:styleId="Footer">
    <w:name w:val="footer"/>
    <w:basedOn w:val="Normal"/>
    <w:link w:val="FooterChar"/>
    <w:uiPriority w:val="99"/>
    <w:unhideWhenUsed/>
    <w:rsid w:val="00C76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8DD"/>
  </w:style>
  <w:style w:type="paragraph" w:styleId="NormalWeb">
    <w:name w:val="Normal (Web)"/>
    <w:basedOn w:val="Normal"/>
    <w:uiPriority w:val="99"/>
    <w:unhideWhenUsed/>
    <w:rsid w:val="00C768D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768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68DD"/>
    <w:rPr>
      <w:sz w:val="20"/>
      <w:szCs w:val="20"/>
    </w:rPr>
  </w:style>
  <w:style w:type="character" w:styleId="FootnoteReference">
    <w:name w:val="footnote reference"/>
    <w:basedOn w:val="DefaultParagraphFont"/>
    <w:uiPriority w:val="99"/>
    <w:semiHidden/>
    <w:unhideWhenUsed/>
    <w:rsid w:val="00C768DD"/>
    <w:rPr>
      <w:vertAlign w:val="superscript"/>
    </w:rPr>
  </w:style>
  <w:style w:type="paragraph" w:styleId="Header">
    <w:name w:val="header"/>
    <w:basedOn w:val="Normal"/>
    <w:link w:val="HeaderChar"/>
    <w:uiPriority w:val="99"/>
    <w:unhideWhenUsed/>
    <w:rsid w:val="00C76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8DD"/>
  </w:style>
  <w:style w:type="paragraph" w:styleId="CommentSubject">
    <w:name w:val="annotation subject"/>
    <w:basedOn w:val="CommentText"/>
    <w:next w:val="CommentText"/>
    <w:link w:val="CommentSubjectChar"/>
    <w:uiPriority w:val="99"/>
    <w:semiHidden/>
    <w:unhideWhenUsed/>
    <w:rsid w:val="00986EF5"/>
    <w:rPr>
      <w:b/>
      <w:bCs/>
    </w:rPr>
  </w:style>
  <w:style w:type="character" w:customStyle="1" w:styleId="CommentSubjectChar">
    <w:name w:val="Comment Subject Char"/>
    <w:basedOn w:val="CommentTextChar"/>
    <w:link w:val="CommentSubject"/>
    <w:uiPriority w:val="99"/>
    <w:semiHidden/>
    <w:rsid w:val="00986EF5"/>
    <w:rPr>
      <w:b/>
      <w:bCs/>
      <w:sz w:val="20"/>
      <w:szCs w:val="20"/>
    </w:rPr>
  </w:style>
  <w:style w:type="character" w:customStyle="1" w:styleId="UnresolvedMention1">
    <w:name w:val="Unresolved Mention1"/>
    <w:basedOn w:val="DefaultParagraphFont"/>
    <w:uiPriority w:val="99"/>
    <w:unhideWhenUsed/>
    <w:rsid w:val="00986EF5"/>
    <w:rPr>
      <w:color w:val="605E5C"/>
      <w:shd w:val="clear" w:color="auto" w:fill="E1DFDD"/>
    </w:rPr>
  </w:style>
  <w:style w:type="character" w:customStyle="1" w:styleId="Mention1">
    <w:name w:val="Mention1"/>
    <w:basedOn w:val="DefaultParagraphFont"/>
    <w:uiPriority w:val="99"/>
    <w:unhideWhenUsed/>
    <w:rsid w:val="00986EF5"/>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1D17F8"/>
    <w:rPr>
      <w:color w:val="954F72" w:themeColor="followedHyperlink"/>
      <w:u w:val="single"/>
    </w:rPr>
  </w:style>
  <w:style w:type="paragraph" w:styleId="Revision">
    <w:name w:val="Revision"/>
    <w:hidden/>
    <w:uiPriority w:val="99"/>
    <w:semiHidden/>
    <w:rsid w:val="00CF6566"/>
    <w:pPr>
      <w:spacing w:after="0" w:line="240" w:lineRule="auto"/>
    </w:pPr>
  </w:style>
  <w:style w:type="character" w:customStyle="1" w:styleId="apple-converted-space">
    <w:name w:val="apple-converted-space"/>
    <w:basedOn w:val="DefaultParagraphFont"/>
    <w:rsid w:val="00A96FEF"/>
  </w:style>
  <w:style w:type="paragraph" w:styleId="EndnoteText">
    <w:name w:val="endnote text"/>
    <w:basedOn w:val="Normal"/>
    <w:link w:val="EndnoteTextChar"/>
    <w:uiPriority w:val="99"/>
    <w:semiHidden/>
    <w:unhideWhenUsed/>
    <w:rsid w:val="008C76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76ED"/>
    <w:rPr>
      <w:sz w:val="20"/>
      <w:szCs w:val="20"/>
    </w:rPr>
  </w:style>
  <w:style w:type="character" w:styleId="EndnoteReference">
    <w:name w:val="endnote reference"/>
    <w:basedOn w:val="DefaultParagraphFont"/>
    <w:uiPriority w:val="99"/>
    <w:semiHidden/>
    <w:unhideWhenUsed/>
    <w:rsid w:val="008C76ED"/>
    <w:rPr>
      <w:vertAlign w:val="superscript"/>
    </w:rPr>
  </w:style>
  <w:style w:type="character" w:styleId="Strong">
    <w:name w:val="Strong"/>
    <w:basedOn w:val="DefaultParagraphFont"/>
    <w:uiPriority w:val="22"/>
    <w:qFormat/>
    <w:rsid w:val="0045718D"/>
    <w:rPr>
      <w:b/>
      <w:bCs/>
    </w:rPr>
  </w:style>
  <w:style w:type="paragraph" w:styleId="BalloonText">
    <w:name w:val="Balloon Text"/>
    <w:basedOn w:val="Normal"/>
    <w:link w:val="BalloonTextChar"/>
    <w:uiPriority w:val="99"/>
    <w:semiHidden/>
    <w:unhideWhenUsed/>
    <w:rsid w:val="00A748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8D9"/>
    <w:rPr>
      <w:rFonts w:ascii="Segoe UI" w:hAnsi="Segoe UI" w:cs="Segoe UI"/>
      <w:sz w:val="18"/>
      <w:szCs w:val="18"/>
    </w:rPr>
  </w:style>
  <w:style w:type="character" w:styleId="UnresolvedMention">
    <w:name w:val="Unresolved Mention"/>
    <w:basedOn w:val="DefaultParagraphFont"/>
    <w:uiPriority w:val="99"/>
    <w:unhideWhenUsed/>
    <w:rsid w:val="006D1E48"/>
    <w:rPr>
      <w:color w:val="605E5C"/>
      <w:shd w:val="clear" w:color="auto" w:fill="E1DFDD"/>
    </w:rPr>
  </w:style>
  <w:style w:type="character" w:styleId="Mention">
    <w:name w:val="Mention"/>
    <w:basedOn w:val="DefaultParagraphFont"/>
    <w:uiPriority w:val="99"/>
    <w:unhideWhenUsed/>
    <w:rsid w:val="00362B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2687">
      <w:bodyDiv w:val="1"/>
      <w:marLeft w:val="0"/>
      <w:marRight w:val="0"/>
      <w:marTop w:val="0"/>
      <w:marBottom w:val="0"/>
      <w:divBdr>
        <w:top w:val="none" w:sz="0" w:space="0" w:color="auto"/>
        <w:left w:val="none" w:sz="0" w:space="0" w:color="auto"/>
        <w:bottom w:val="none" w:sz="0" w:space="0" w:color="auto"/>
        <w:right w:val="none" w:sz="0" w:space="0" w:color="auto"/>
      </w:divBdr>
    </w:div>
    <w:div w:id="74515093">
      <w:bodyDiv w:val="1"/>
      <w:marLeft w:val="0"/>
      <w:marRight w:val="0"/>
      <w:marTop w:val="0"/>
      <w:marBottom w:val="0"/>
      <w:divBdr>
        <w:top w:val="none" w:sz="0" w:space="0" w:color="auto"/>
        <w:left w:val="none" w:sz="0" w:space="0" w:color="auto"/>
        <w:bottom w:val="none" w:sz="0" w:space="0" w:color="auto"/>
        <w:right w:val="none" w:sz="0" w:space="0" w:color="auto"/>
      </w:divBdr>
    </w:div>
    <w:div w:id="100075534">
      <w:bodyDiv w:val="1"/>
      <w:marLeft w:val="0"/>
      <w:marRight w:val="0"/>
      <w:marTop w:val="0"/>
      <w:marBottom w:val="0"/>
      <w:divBdr>
        <w:top w:val="none" w:sz="0" w:space="0" w:color="auto"/>
        <w:left w:val="none" w:sz="0" w:space="0" w:color="auto"/>
        <w:bottom w:val="none" w:sz="0" w:space="0" w:color="auto"/>
        <w:right w:val="none" w:sz="0" w:space="0" w:color="auto"/>
      </w:divBdr>
    </w:div>
    <w:div w:id="552041807">
      <w:bodyDiv w:val="1"/>
      <w:marLeft w:val="0"/>
      <w:marRight w:val="0"/>
      <w:marTop w:val="0"/>
      <w:marBottom w:val="0"/>
      <w:divBdr>
        <w:top w:val="none" w:sz="0" w:space="0" w:color="auto"/>
        <w:left w:val="none" w:sz="0" w:space="0" w:color="auto"/>
        <w:bottom w:val="none" w:sz="0" w:space="0" w:color="auto"/>
        <w:right w:val="none" w:sz="0" w:space="0" w:color="auto"/>
      </w:divBdr>
    </w:div>
    <w:div w:id="834565655">
      <w:bodyDiv w:val="1"/>
      <w:marLeft w:val="0"/>
      <w:marRight w:val="0"/>
      <w:marTop w:val="0"/>
      <w:marBottom w:val="0"/>
      <w:divBdr>
        <w:top w:val="none" w:sz="0" w:space="0" w:color="auto"/>
        <w:left w:val="none" w:sz="0" w:space="0" w:color="auto"/>
        <w:bottom w:val="none" w:sz="0" w:space="0" w:color="auto"/>
        <w:right w:val="none" w:sz="0" w:space="0" w:color="auto"/>
      </w:divBdr>
    </w:div>
    <w:div w:id="916594785">
      <w:bodyDiv w:val="1"/>
      <w:marLeft w:val="0"/>
      <w:marRight w:val="0"/>
      <w:marTop w:val="0"/>
      <w:marBottom w:val="0"/>
      <w:divBdr>
        <w:top w:val="none" w:sz="0" w:space="0" w:color="auto"/>
        <w:left w:val="none" w:sz="0" w:space="0" w:color="auto"/>
        <w:bottom w:val="none" w:sz="0" w:space="0" w:color="auto"/>
        <w:right w:val="none" w:sz="0" w:space="0" w:color="auto"/>
      </w:divBdr>
    </w:div>
    <w:div w:id="923421131">
      <w:bodyDiv w:val="1"/>
      <w:marLeft w:val="0"/>
      <w:marRight w:val="0"/>
      <w:marTop w:val="0"/>
      <w:marBottom w:val="0"/>
      <w:divBdr>
        <w:top w:val="none" w:sz="0" w:space="0" w:color="auto"/>
        <w:left w:val="none" w:sz="0" w:space="0" w:color="auto"/>
        <w:bottom w:val="none" w:sz="0" w:space="0" w:color="auto"/>
        <w:right w:val="none" w:sz="0" w:space="0" w:color="auto"/>
      </w:divBdr>
    </w:div>
    <w:div w:id="1089500070">
      <w:bodyDiv w:val="1"/>
      <w:marLeft w:val="0"/>
      <w:marRight w:val="0"/>
      <w:marTop w:val="0"/>
      <w:marBottom w:val="0"/>
      <w:divBdr>
        <w:top w:val="none" w:sz="0" w:space="0" w:color="auto"/>
        <w:left w:val="none" w:sz="0" w:space="0" w:color="auto"/>
        <w:bottom w:val="none" w:sz="0" w:space="0" w:color="auto"/>
        <w:right w:val="none" w:sz="0" w:space="0" w:color="auto"/>
      </w:divBdr>
    </w:div>
    <w:div w:id="1583876544">
      <w:bodyDiv w:val="1"/>
      <w:marLeft w:val="0"/>
      <w:marRight w:val="0"/>
      <w:marTop w:val="0"/>
      <w:marBottom w:val="0"/>
      <w:divBdr>
        <w:top w:val="none" w:sz="0" w:space="0" w:color="auto"/>
        <w:left w:val="none" w:sz="0" w:space="0" w:color="auto"/>
        <w:bottom w:val="none" w:sz="0" w:space="0" w:color="auto"/>
        <w:right w:val="none" w:sz="0" w:space="0" w:color="auto"/>
      </w:divBdr>
    </w:div>
    <w:div w:id="1832865377">
      <w:bodyDiv w:val="1"/>
      <w:marLeft w:val="0"/>
      <w:marRight w:val="0"/>
      <w:marTop w:val="0"/>
      <w:marBottom w:val="0"/>
      <w:divBdr>
        <w:top w:val="none" w:sz="0" w:space="0" w:color="auto"/>
        <w:left w:val="none" w:sz="0" w:space="0" w:color="auto"/>
        <w:bottom w:val="none" w:sz="0" w:space="0" w:color="auto"/>
        <w:right w:val="none" w:sz="0" w:space="0" w:color="auto"/>
      </w:divBdr>
    </w:div>
    <w:div w:id="196360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chievement@doe.mass.edu" TargetMode="External"/><Relationship Id="rId18" Type="http://schemas.openxmlformats.org/officeDocument/2006/relationships/hyperlink" Target="https://www.doe.mass.edu/sfs/discipline" TargetMode="External"/><Relationship Id="rId26" Type="http://schemas.openxmlformats.org/officeDocument/2006/relationships/hyperlink" Target="https://www.doe.mass.edu/sfs/discipline/calculations-sy2023.docx" TargetMode="External"/><Relationship Id="rId3" Type="http://schemas.openxmlformats.org/officeDocument/2006/relationships/styles" Target="styles.xml"/><Relationship Id="rId21" Type="http://schemas.openxmlformats.org/officeDocument/2006/relationships/hyperlink" Target="https://www.doe.mass.edu/csdp/sense-belonging.html" TargetMode="External"/><Relationship Id="rId7" Type="http://schemas.openxmlformats.org/officeDocument/2006/relationships/endnotes" Target="endnotes.xml"/><Relationship Id="rId12" Type="http://schemas.openxmlformats.org/officeDocument/2006/relationships/hyperlink" Target="https://www.mass.gov/info-details/mass-general-laws-c71-ss-37h-34" TargetMode="External"/><Relationship Id="rId17" Type="http://schemas.openxmlformats.org/officeDocument/2006/relationships/hyperlink" Target="https://www.doe.mass.edu/sfs/discipline/alternatives-2023.pdf" TargetMode="External"/><Relationship Id="rId25" Type="http://schemas.openxmlformats.org/officeDocument/2006/relationships/hyperlink" Target="https://www.doe.mass.edu/sfs/discipline/pln-update-sy2023.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oe.mass.edu/lawsregs/603cmr53.html?section=53.07" TargetMode="External"/><Relationship Id="rId20" Type="http://schemas.openxmlformats.org/officeDocument/2006/relationships/hyperlink" Target="https://www.doe.mass.edu/sfss/prof-dev/default.html" TargetMode="External"/><Relationship Id="rId29" Type="http://schemas.openxmlformats.org/officeDocument/2006/relationships/hyperlink" Target="https://malegislature.gov/Laws/SessionLaws/Acts/2022/Chapter1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legislature.gov/Laws/SessionLaws/Acts/2022/Chapter177" TargetMode="External"/><Relationship Id="rId24" Type="http://schemas.openxmlformats.org/officeDocument/2006/relationships/hyperlink" Target="https://www.doe.mass.edu/lawsregs/603cmr53.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oe.mass.edu/lawsregs/603cmr53.html?section=53.07" TargetMode="External"/><Relationship Id="rId23" Type="http://schemas.openxmlformats.org/officeDocument/2006/relationships/hyperlink" Target="https://www.doe.mass.edu/sfs/discipline" TargetMode="External"/><Relationship Id="rId28" Type="http://schemas.openxmlformats.org/officeDocument/2006/relationships/hyperlink" Target="https://www.doe.mass.edu/sfs/discipline/?section=additional" TargetMode="External"/><Relationship Id="rId10" Type="http://schemas.openxmlformats.org/officeDocument/2006/relationships/hyperlink" Target="https://www.doe.mass.edu/sfs/discipline/?section=massachusetts" TargetMode="External"/><Relationship Id="rId19" Type="http://schemas.openxmlformats.org/officeDocument/2006/relationships/hyperlink" Target="https://www.doe.mass.edu/sfs/discipline/pd-calendar.doc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ss.gov/info-details/mass-general-laws-c71-ss-37h-34" TargetMode="External"/><Relationship Id="rId14" Type="http://schemas.openxmlformats.org/officeDocument/2006/relationships/hyperlink" Target="mailto:achievement@doe.mass.edu" TargetMode="External"/><Relationship Id="rId22" Type="http://schemas.openxmlformats.org/officeDocument/2006/relationships/hyperlink" Target="https://www.sel-mh-spotlight.org/" TargetMode="External"/><Relationship Id="rId27" Type="http://schemas.openxmlformats.org/officeDocument/2006/relationships/hyperlink" Target="https://www.doe.mass.edu/sfs/discipline/indicators-4-9-10.docx" TargetMode="External"/><Relationship Id="rId30" Type="http://schemas.openxmlformats.org/officeDocument/2006/relationships/hyperlink" Target="https://malegislature.gov/Laws/SessionLaws/Acts/2012/Chapter222" TargetMode="External"/><Relationship Id="rId8" Type="http://schemas.openxmlformats.org/officeDocument/2006/relationships/hyperlink" Target="https://www.mass.gov/info-details/mass-general-laws-c71-ss-37h-3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rofiles.doe.mass.edu/statereport/ssdr.aspx" TargetMode="External"/><Relationship Id="rId2" Type="http://schemas.openxmlformats.org/officeDocument/2006/relationships/hyperlink" Target="https://www2.ed.gov/about/offices/list/ocr/docs/suspensions-and-expulsion-part-2.pdf" TargetMode="External"/><Relationship Id="rId1" Type="http://schemas.openxmlformats.org/officeDocument/2006/relationships/hyperlink" Target="https://www.doe.mass.edu/lawsregs/603cmr53.html?section=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A3C24-6F44-46BC-AB77-8884EEC81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3411</Words>
  <Characters>19447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Guidance on Updated Expectations for School and District Leaders Related to Student Discipline v3.3.23 - Spanish Version</vt:lpstr>
    </vt:vector>
  </TitlesOfParts>
  <Company/>
  <LinksUpToDate>false</LinksUpToDate>
  <CharactersWithSpaces>22813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Updated Expectations for School and District Leaders Related to Student Discipline v3.3.23 - Spanish Version</dc:title>
  <dc:subject/>
  <dc:creator>DESE</dc:creator>
  <cp:keywords/>
  <dc:description/>
  <cp:lastModifiedBy>Zou, Dong (EOE)</cp:lastModifiedBy>
  <cp:revision>67</cp:revision>
  <dcterms:created xsi:type="dcterms:W3CDTF">2023-10-02T15:04:00Z</dcterms:created>
  <dcterms:modified xsi:type="dcterms:W3CDTF">2023-11-03T17:55:00Z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3 2023 12:00AM</vt:lpwstr>
  </property>
</Properties>
</file>