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2196" w14:textId="15845235" w:rsidR="00232EF2" w:rsidRDefault="00BF246E">
      <w:pPr>
        <w:shd w:val="clear" w:color="auto" w:fill="FFFFFF"/>
        <w:jc w:val="center"/>
        <w:rPr>
          <w:b/>
          <w:color w:val="222222"/>
        </w:rPr>
      </w:pPr>
      <w:bookmarkStart w:id="0" w:name="_GoBack"/>
      <w:r>
        <w:rPr>
          <w:b/>
          <w:noProof/>
          <w:color w:val="222222"/>
        </w:rPr>
        <w:drawing>
          <wp:anchor distT="0" distB="0" distL="114300" distR="114300" simplePos="0" relativeHeight="251659264" behindDoc="1" locked="0" layoutInCell="1" allowOverlap="1" wp14:anchorId="00ED128D" wp14:editId="0971D041">
            <wp:simplePos x="0" y="0"/>
            <wp:positionH relativeFrom="column">
              <wp:posOffset>44450</wp:posOffset>
            </wp:positionH>
            <wp:positionV relativeFrom="paragraph">
              <wp:posOffset>171450</wp:posOffset>
            </wp:positionV>
            <wp:extent cx="2827655" cy="795020"/>
            <wp:effectExtent l="0" t="0" r="0" b="5080"/>
            <wp:wrapThrough wrapText="bothSides">
              <wp:wrapPolygon edited="0">
                <wp:start x="0" y="0"/>
                <wp:lineTo x="0" y="21220"/>
                <wp:lineTo x="21391" y="21220"/>
                <wp:lineTo x="21391" y="0"/>
                <wp:lineTo x="0" y="0"/>
              </wp:wrapPolygon>
            </wp:wrapThrough>
            <wp:docPr id="1" name="image1.png" descr="Lighthouse Wellness and Health Education logo"/>
            <wp:cNvGraphicFramePr/>
            <a:graphic xmlns:a="http://schemas.openxmlformats.org/drawingml/2006/main">
              <a:graphicData uri="http://schemas.openxmlformats.org/drawingml/2006/picture">
                <pic:pic xmlns:pic="http://schemas.openxmlformats.org/drawingml/2006/picture">
                  <pic:nvPicPr>
                    <pic:cNvPr id="1" name="image1.png" descr="Lighthouse Wellness and Health Education logo"/>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827655" cy="795020"/>
                    </a:xfrm>
                    <a:prstGeom prst="rect">
                      <a:avLst/>
                    </a:prstGeom>
                    <a:ln/>
                  </pic:spPr>
                </pic:pic>
              </a:graphicData>
            </a:graphic>
          </wp:anchor>
        </w:drawing>
      </w:r>
      <w:bookmarkEnd w:id="0"/>
      <w:r>
        <w:rPr>
          <w:b/>
          <w:noProof/>
          <w:color w:val="222222"/>
        </w:rPr>
        <w:drawing>
          <wp:anchor distT="0" distB="0" distL="114300" distR="114300" simplePos="0" relativeHeight="251658240" behindDoc="0" locked="0" layoutInCell="1" allowOverlap="1" wp14:anchorId="5032113D" wp14:editId="6B5C8F26">
            <wp:simplePos x="0" y="0"/>
            <wp:positionH relativeFrom="column">
              <wp:posOffset>3403600</wp:posOffset>
            </wp:positionH>
            <wp:positionV relativeFrom="paragraph">
              <wp:posOffset>0</wp:posOffset>
            </wp:positionV>
            <wp:extent cx="2331720" cy="1136015"/>
            <wp:effectExtent l="0" t="0" r="0" b="0"/>
            <wp:wrapThrough wrapText="bothSides">
              <wp:wrapPolygon edited="0">
                <wp:start x="1941" y="724"/>
                <wp:lineTo x="0" y="3984"/>
                <wp:lineTo x="353" y="9055"/>
                <wp:lineTo x="1588" y="18835"/>
                <wp:lineTo x="3176" y="18835"/>
                <wp:lineTo x="15529" y="18111"/>
                <wp:lineTo x="21353" y="16662"/>
                <wp:lineTo x="21353" y="7969"/>
                <wp:lineTo x="20647" y="7606"/>
                <wp:lineTo x="4765" y="6158"/>
                <wp:lineTo x="4588" y="4709"/>
                <wp:lineTo x="2824" y="724"/>
                <wp:lineTo x="1941" y="724"/>
              </wp:wrapPolygon>
            </wp:wrapThrough>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pic:nvPicPr>
                  <pic:blipFill>
                    <a:blip r:embed="rId11">
                      <a:extLst>
                        <a:ext uri="{28A0092B-C50C-407E-A947-70E740481C1C}">
                          <a14:useLocalDpi xmlns:a14="http://schemas.microsoft.com/office/drawing/2010/main" val="0"/>
                        </a:ext>
                      </a:extLst>
                    </a:blip>
                    <a:stretch>
                      <a:fillRect/>
                    </a:stretch>
                  </pic:blipFill>
                  <pic:spPr>
                    <a:xfrm>
                      <a:off x="0" y="0"/>
                      <a:ext cx="2331720" cy="1136015"/>
                    </a:xfrm>
                    <a:prstGeom prst="rect">
                      <a:avLst/>
                    </a:prstGeom>
                  </pic:spPr>
                </pic:pic>
              </a:graphicData>
            </a:graphic>
            <wp14:sizeRelH relativeFrom="margin">
              <wp14:pctWidth>0</wp14:pctWidth>
            </wp14:sizeRelH>
            <wp14:sizeRelV relativeFrom="margin">
              <wp14:pctHeight>0</wp14:pctHeight>
            </wp14:sizeRelV>
          </wp:anchor>
        </w:drawing>
      </w:r>
      <w:r w:rsidR="00DB2C82">
        <w:rPr>
          <w:b/>
          <w:color w:val="222222"/>
        </w:rPr>
        <w:tab/>
      </w:r>
    </w:p>
    <w:p w14:paraId="5E004770" w14:textId="48D5254F" w:rsidR="00232EF2" w:rsidRDefault="00232EF2">
      <w:pPr>
        <w:shd w:val="clear" w:color="auto" w:fill="FFFFFF"/>
        <w:jc w:val="center"/>
        <w:rPr>
          <w:b/>
          <w:color w:val="222222"/>
        </w:rPr>
      </w:pPr>
    </w:p>
    <w:p w14:paraId="4BC18C9F" w14:textId="6C20D778" w:rsidR="00232EF2" w:rsidRDefault="00232EF2">
      <w:pPr>
        <w:shd w:val="clear" w:color="auto" w:fill="FFFFFF"/>
        <w:jc w:val="center"/>
        <w:rPr>
          <w:b/>
          <w:color w:val="222222"/>
        </w:rPr>
      </w:pPr>
    </w:p>
    <w:p w14:paraId="0BDB09E3" w14:textId="77777777" w:rsidR="00BF246E" w:rsidRDefault="00BF246E" w:rsidP="00BF246E">
      <w:pPr>
        <w:shd w:val="clear" w:color="auto" w:fill="FFFFFF"/>
        <w:jc w:val="center"/>
        <w:rPr>
          <w:b/>
          <w:color w:val="222222"/>
          <w:sz w:val="24"/>
          <w:szCs w:val="24"/>
        </w:rPr>
      </w:pPr>
    </w:p>
    <w:p w14:paraId="27AA4770" w14:textId="77777777" w:rsidR="00BF246E" w:rsidRDefault="00BF246E" w:rsidP="00BF246E">
      <w:pPr>
        <w:shd w:val="clear" w:color="auto" w:fill="FFFFFF"/>
        <w:jc w:val="center"/>
        <w:rPr>
          <w:b/>
          <w:color w:val="222222"/>
          <w:sz w:val="24"/>
          <w:szCs w:val="24"/>
        </w:rPr>
      </w:pPr>
    </w:p>
    <w:p w14:paraId="2C7E4334" w14:textId="77777777" w:rsidR="00BF246E" w:rsidRDefault="00BF246E" w:rsidP="00BF246E">
      <w:pPr>
        <w:shd w:val="clear" w:color="auto" w:fill="FFFFFF"/>
        <w:jc w:val="center"/>
        <w:rPr>
          <w:b/>
          <w:color w:val="222222"/>
          <w:sz w:val="24"/>
          <w:szCs w:val="24"/>
        </w:rPr>
      </w:pPr>
    </w:p>
    <w:p w14:paraId="229D6902" w14:textId="77777777" w:rsidR="00BF246E" w:rsidRDefault="00BF246E" w:rsidP="00BF246E">
      <w:pPr>
        <w:shd w:val="clear" w:color="auto" w:fill="FFFFFF"/>
        <w:jc w:val="center"/>
        <w:rPr>
          <w:b/>
          <w:color w:val="222222"/>
          <w:sz w:val="24"/>
          <w:szCs w:val="24"/>
        </w:rPr>
      </w:pPr>
    </w:p>
    <w:p w14:paraId="5B3C900B" w14:textId="02E4E7CE" w:rsidR="00232EF2" w:rsidRPr="00BF246E" w:rsidRDefault="00DB2C82" w:rsidP="00BF246E">
      <w:pPr>
        <w:shd w:val="clear" w:color="auto" w:fill="FFFFFF"/>
        <w:jc w:val="center"/>
        <w:rPr>
          <w:b/>
          <w:color w:val="222222"/>
          <w:sz w:val="24"/>
          <w:szCs w:val="24"/>
        </w:rPr>
      </w:pPr>
      <w:r w:rsidRPr="00BF246E">
        <w:rPr>
          <w:b/>
          <w:color w:val="222222"/>
          <w:sz w:val="24"/>
          <w:szCs w:val="24"/>
        </w:rPr>
        <w:t>Professional Learning Series – Health and Physical Education During COVID-19</w:t>
      </w:r>
    </w:p>
    <w:p w14:paraId="3D6EDF7F" w14:textId="77777777" w:rsidR="00232EF2" w:rsidRDefault="00DB2C82">
      <w:pPr>
        <w:shd w:val="clear" w:color="auto" w:fill="FFFFFF"/>
        <w:rPr>
          <w:color w:val="222222"/>
        </w:rPr>
      </w:pPr>
      <w:r>
        <w:rPr>
          <w:color w:val="222222"/>
        </w:rPr>
        <w:t xml:space="preserve">The Department has partnered with Lighthouse Wellness &amp; Health Education Consulting and is pleased to announce the remaining webinars focused on supporting health and physical education teachers and administrators in delivering high quality instruction during COVID-19, whether in person, remote or hybrid.  </w:t>
      </w:r>
    </w:p>
    <w:p w14:paraId="6180DB62" w14:textId="77777777" w:rsidR="00232EF2" w:rsidRDefault="00DB2C82">
      <w:pPr>
        <w:shd w:val="clear" w:color="auto" w:fill="FFFFFF"/>
        <w:rPr>
          <w:color w:val="222222"/>
        </w:rPr>
      </w:pPr>
      <w:r>
        <w:rPr>
          <w:color w:val="222222"/>
        </w:rPr>
        <w:t xml:space="preserve"> </w:t>
      </w:r>
    </w:p>
    <w:p w14:paraId="406A7C6F" w14:textId="77777777" w:rsidR="00E104E6" w:rsidRDefault="0047614F">
      <w:pPr>
        <w:shd w:val="clear" w:color="auto" w:fill="FFFFFF"/>
      </w:pPr>
      <w:hyperlink r:id="rId12" w:history="1">
        <w:r w:rsidR="00DB2C82" w:rsidRPr="00BF246E">
          <w:rPr>
            <w:rStyle w:val="Hyperlink"/>
            <w:b/>
          </w:rPr>
          <w:t>CLICK HERE</w:t>
        </w:r>
      </w:hyperlink>
      <w:r w:rsidR="00DB2C82">
        <w:rPr>
          <w:b/>
        </w:rPr>
        <w:t xml:space="preserve"> </w:t>
      </w:r>
      <w:r w:rsidR="00DB2C82">
        <w:t xml:space="preserve">to register </w:t>
      </w:r>
      <w:r w:rsidR="00BF246E">
        <w:t>for one or more of</w:t>
      </w:r>
      <w:r w:rsidR="00DB2C82">
        <w:t xml:space="preserve"> the upcoming sessions</w:t>
      </w:r>
      <w:r w:rsidR="00BF246E">
        <w:t xml:space="preserve">.  </w:t>
      </w:r>
    </w:p>
    <w:p w14:paraId="276D2D0C" w14:textId="230CE2EE" w:rsidR="00232EF2" w:rsidRDefault="00BF246E">
      <w:pPr>
        <w:shd w:val="clear" w:color="auto" w:fill="FFFFFF"/>
      </w:pPr>
      <w:r>
        <w:t xml:space="preserve">All sessions are scheduled from </w:t>
      </w:r>
      <w:r w:rsidRPr="00BF246E">
        <w:rPr>
          <w:b/>
          <w:bCs/>
        </w:rPr>
        <w:t>3:00 – 4:30 PM</w:t>
      </w:r>
      <w:r w:rsidR="00DB2C82">
        <w:t>:</w:t>
      </w:r>
    </w:p>
    <w:p w14:paraId="2265F529" w14:textId="77777777" w:rsidR="00232EF2" w:rsidRDefault="00232EF2">
      <w:pPr>
        <w:shd w:val="clear" w:color="auto" w:fill="FFFFFF"/>
        <w:rPr>
          <w:b/>
        </w:rPr>
      </w:pPr>
    </w:p>
    <w:p w14:paraId="3C7AEA88" w14:textId="77777777" w:rsidR="00232EF2" w:rsidRDefault="00DB2C82">
      <w:pPr>
        <w:shd w:val="clear" w:color="auto" w:fill="FFFFFF"/>
        <w:rPr>
          <w:b/>
        </w:rPr>
      </w:pPr>
      <w:r>
        <w:rPr>
          <w:b/>
        </w:rPr>
        <w:t>12/16 - Using health skills to prevent and reduce the spread of COVID-19</w:t>
      </w:r>
    </w:p>
    <w:p w14:paraId="52842591" w14:textId="50347C19" w:rsidR="00232EF2" w:rsidRDefault="00DB2C82">
      <w:pPr>
        <w:shd w:val="clear" w:color="auto" w:fill="FFFFFF"/>
      </w:pPr>
      <w:r>
        <w:t>This webinar explores the ways that the skills of the National Health Education Standards can support reducing the spread of COVID-19 and other communicable diseases. Participants will explore strategies that emphasize skill development in the context of disease prevention.</w:t>
      </w:r>
    </w:p>
    <w:p w14:paraId="32A2146D" w14:textId="77777777" w:rsidR="00232EF2" w:rsidRDefault="00232EF2">
      <w:pPr>
        <w:shd w:val="clear" w:color="auto" w:fill="FFFFFF"/>
      </w:pPr>
    </w:p>
    <w:p w14:paraId="0EF670E4" w14:textId="77777777" w:rsidR="00232EF2" w:rsidRDefault="00DB2C82">
      <w:pPr>
        <w:shd w:val="clear" w:color="auto" w:fill="FFFFFF"/>
        <w:rPr>
          <w:b/>
        </w:rPr>
      </w:pPr>
      <w:r>
        <w:rPr>
          <w:b/>
        </w:rPr>
        <w:t>12/17- Maintaining distance while offering quality physical education</w:t>
      </w:r>
    </w:p>
    <w:p w14:paraId="1F55A5C2" w14:textId="77777777" w:rsidR="00232EF2" w:rsidRDefault="00DB2C82">
      <w:pPr>
        <w:shd w:val="clear" w:color="auto" w:fill="FFFFFF"/>
      </w:pPr>
      <w:r>
        <w:t>This webinar explores strategies to successfully offer physical education in ways that allow students to meet standards and grade level outcomes while maintaining distance and other safety protocols.</w:t>
      </w:r>
    </w:p>
    <w:p w14:paraId="33C4CF88" w14:textId="77777777" w:rsidR="00232EF2" w:rsidRDefault="00232EF2">
      <w:pPr>
        <w:shd w:val="clear" w:color="auto" w:fill="FFFFFF"/>
      </w:pPr>
    </w:p>
    <w:p w14:paraId="205A55E5" w14:textId="77777777" w:rsidR="00232EF2" w:rsidRDefault="00DB2C82">
      <w:pPr>
        <w:shd w:val="clear" w:color="auto" w:fill="FFFFFF"/>
      </w:pPr>
      <w:r>
        <w:rPr>
          <w:b/>
        </w:rPr>
        <w:t>1/6 - Addressing Equity in Health Education</w:t>
      </w:r>
    </w:p>
    <w:p w14:paraId="449E0297" w14:textId="77777777" w:rsidR="00232EF2" w:rsidRDefault="00DB2C82">
      <w:pPr>
        <w:shd w:val="clear" w:color="auto" w:fill="FFFFFF"/>
      </w:pPr>
      <w:r>
        <w:t>This webinar will discuss strategies to recognize and address issues of equity in the health education classroom. Participants will learn strategies to integrate concepts of equity, inclusion, and social determinants of health into their teaching practice</w:t>
      </w:r>
    </w:p>
    <w:p w14:paraId="7CD630DF" w14:textId="77777777" w:rsidR="00232EF2" w:rsidRDefault="00232EF2">
      <w:pPr>
        <w:shd w:val="clear" w:color="auto" w:fill="FFFFFF"/>
      </w:pPr>
    </w:p>
    <w:p w14:paraId="401DC8EF" w14:textId="77777777" w:rsidR="00232EF2" w:rsidRDefault="00DB2C82">
      <w:pPr>
        <w:shd w:val="clear" w:color="auto" w:fill="FFFFFF"/>
      </w:pPr>
      <w:r>
        <w:rPr>
          <w:b/>
        </w:rPr>
        <w:t>1/13 - Addressing Equity in Physical Education</w:t>
      </w:r>
    </w:p>
    <w:p w14:paraId="51B23E48" w14:textId="77777777" w:rsidR="00232EF2" w:rsidRDefault="00DB2C82">
      <w:pPr>
        <w:shd w:val="clear" w:color="auto" w:fill="FFFFFF"/>
      </w:pPr>
      <w:r>
        <w:t>This webinar will discuss strategies to recognize and address issues of equity in the physical education classroom. Participants will learn strategies to integrate concepts of equity, inclusion, and accessibility into their teaching practice</w:t>
      </w:r>
    </w:p>
    <w:p w14:paraId="3E0C389B" w14:textId="77777777" w:rsidR="00232EF2" w:rsidRDefault="00232EF2">
      <w:pPr>
        <w:shd w:val="clear" w:color="auto" w:fill="FFFFFF"/>
      </w:pPr>
    </w:p>
    <w:p w14:paraId="75E47416" w14:textId="77777777" w:rsidR="00232EF2" w:rsidRDefault="00DB2C82">
      <w:pPr>
        <w:shd w:val="clear" w:color="auto" w:fill="FFFFFF"/>
        <w:rPr>
          <w:b/>
        </w:rPr>
      </w:pPr>
      <w:r>
        <w:rPr>
          <w:b/>
        </w:rPr>
        <w:t>1/20 - Teaching Health Education through a Trauma-Informed Lens</w:t>
      </w:r>
    </w:p>
    <w:p w14:paraId="584671C4" w14:textId="77777777" w:rsidR="00232EF2" w:rsidRDefault="00DB2C82">
      <w:pPr>
        <w:shd w:val="clear" w:color="auto" w:fill="FFFFFF"/>
      </w:pPr>
      <w:r>
        <w:t>This webinar will explore teaching health education through a trauma-informed lens and provide strategies for integrating trauma-sensitive approaches into the health ed classroom</w:t>
      </w:r>
    </w:p>
    <w:p w14:paraId="21875D1F" w14:textId="77777777" w:rsidR="00232EF2" w:rsidRDefault="00232EF2">
      <w:pPr>
        <w:shd w:val="clear" w:color="auto" w:fill="FFFFFF"/>
      </w:pPr>
    </w:p>
    <w:p w14:paraId="610C3DD5" w14:textId="77777777" w:rsidR="00232EF2" w:rsidRDefault="00DB2C82">
      <w:pPr>
        <w:shd w:val="clear" w:color="auto" w:fill="FFFFFF"/>
      </w:pPr>
      <w:r>
        <w:rPr>
          <w:b/>
        </w:rPr>
        <w:t>1/27 - Teaching Physical Education through a Trauma-Informed Lens</w:t>
      </w:r>
    </w:p>
    <w:p w14:paraId="2DAD10D6" w14:textId="77777777" w:rsidR="00232EF2" w:rsidRDefault="00DB2C82">
      <w:pPr>
        <w:shd w:val="clear" w:color="auto" w:fill="FFFFFF"/>
      </w:pPr>
      <w:r>
        <w:t xml:space="preserve">This webinar will explore teaching physical education through a trauma-informed lens and provide strategies for integrating trauma-sensitive approaches into physical education. </w:t>
      </w:r>
    </w:p>
    <w:p w14:paraId="636BB044" w14:textId="0BD23ACA" w:rsidR="00232EF2" w:rsidRDefault="00232EF2"/>
    <w:p w14:paraId="179FFEE5" w14:textId="77777777" w:rsidR="00232EF2" w:rsidRDefault="00DB2C82" w:rsidP="00BF246E">
      <w:pPr>
        <w:pBdr>
          <w:top w:val="single" w:sz="18" w:space="1" w:color="auto"/>
          <w:left w:val="single" w:sz="18" w:space="4" w:color="auto"/>
          <w:bottom w:val="single" w:sz="18" w:space="1" w:color="auto"/>
          <w:right w:val="single" w:sz="18" w:space="4" w:color="auto"/>
        </w:pBdr>
        <w:ind w:left="-720" w:right="-630"/>
        <w:jc w:val="center"/>
        <w:rPr>
          <w:i/>
          <w:color w:val="222222"/>
          <w:sz w:val="24"/>
          <w:szCs w:val="24"/>
        </w:rPr>
      </w:pPr>
      <w:r>
        <w:rPr>
          <w:i/>
          <w:color w:val="222222"/>
          <w:highlight w:val="white"/>
        </w:rPr>
        <w:t>Access COVID-19 mitigation strategies for schools by visiting and sharing the following resources</w:t>
      </w:r>
      <w:r>
        <w:t xml:space="preserve">: </w:t>
      </w:r>
    </w:p>
    <w:p w14:paraId="70025D9F" w14:textId="77777777" w:rsidR="00232EF2" w:rsidRDefault="00DB2C82" w:rsidP="00BF246E">
      <w:pPr>
        <w:pBdr>
          <w:top w:val="single" w:sz="18" w:space="1" w:color="auto"/>
          <w:left w:val="single" w:sz="18" w:space="4" w:color="auto"/>
          <w:bottom w:val="single" w:sz="18" w:space="1" w:color="auto"/>
          <w:right w:val="single" w:sz="18" w:space="4" w:color="auto"/>
        </w:pBdr>
        <w:ind w:left="-720" w:right="-630"/>
        <w:jc w:val="center"/>
        <w:rPr>
          <w:i/>
          <w:color w:val="222222"/>
          <w:sz w:val="21"/>
          <w:szCs w:val="21"/>
        </w:rPr>
      </w:pPr>
      <w:r>
        <w:rPr>
          <w:i/>
          <w:color w:val="222222"/>
          <w:sz w:val="21"/>
          <w:szCs w:val="21"/>
        </w:rPr>
        <w:t xml:space="preserve">1. </w:t>
      </w:r>
      <w:hyperlink r:id="rId13">
        <w:r>
          <w:rPr>
            <w:i/>
            <w:color w:val="0000FF"/>
            <w:sz w:val="21"/>
            <w:szCs w:val="21"/>
            <w:u w:val="single"/>
          </w:rPr>
          <w:t>CDC School Guidance</w:t>
        </w:r>
      </w:hyperlink>
      <w:r>
        <w:rPr>
          <w:i/>
          <w:color w:val="222222"/>
          <w:sz w:val="21"/>
          <w:szCs w:val="21"/>
        </w:rPr>
        <w:t xml:space="preserve"> 2. </w:t>
      </w:r>
      <w:hyperlink r:id="rId14">
        <w:r>
          <w:rPr>
            <w:i/>
            <w:color w:val="0000FF"/>
            <w:sz w:val="21"/>
            <w:szCs w:val="21"/>
            <w:u w:val="single"/>
          </w:rPr>
          <w:t>Community Mitigation</w:t>
        </w:r>
      </w:hyperlink>
      <w:r>
        <w:rPr>
          <w:i/>
          <w:color w:val="0000FF"/>
          <w:sz w:val="21"/>
          <w:szCs w:val="21"/>
          <w:u w:val="single"/>
        </w:rPr>
        <w:t xml:space="preserve"> </w:t>
      </w:r>
      <w:r>
        <w:rPr>
          <w:i/>
          <w:color w:val="222222"/>
          <w:sz w:val="21"/>
          <w:szCs w:val="21"/>
        </w:rPr>
        <w:t xml:space="preserve">3. </w:t>
      </w:r>
      <w:hyperlink r:id="rId15">
        <w:r>
          <w:rPr>
            <w:i/>
            <w:color w:val="0000FF"/>
            <w:sz w:val="21"/>
            <w:szCs w:val="21"/>
            <w:u w:val="single"/>
          </w:rPr>
          <w:t>Protection Strategies</w:t>
        </w:r>
      </w:hyperlink>
      <w:r>
        <w:rPr>
          <w:color w:val="0000FF"/>
          <w:sz w:val="21"/>
          <w:szCs w:val="21"/>
          <w:u w:val="single"/>
        </w:rPr>
        <w:t xml:space="preserve"> </w:t>
      </w:r>
      <w:r>
        <w:rPr>
          <w:i/>
          <w:color w:val="222222"/>
          <w:sz w:val="21"/>
          <w:szCs w:val="21"/>
        </w:rPr>
        <w:t xml:space="preserve">4. </w:t>
      </w:r>
      <w:hyperlink r:id="rId16">
        <w:r>
          <w:rPr>
            <w:i/>
            <w:color w:val="0000FF"/>
            <w:sz w:val="21"/>
            <w:szCs w:val="21"/>
            <w:u w:val="single"/>
          </w:rPr>
          <w:t>CDC’s YouTube COVID Page</w:t>
        </w:r>
      </w:hyperlink>
      <w:r>
        <w:rPr>
          <w:i/>
          <w:color w:val="222222"/>
          <w:sz w:val="21"/>
          <w:szCs w:val="21"/>
        </w:rPr>
        <w:t xml:space="preserve">  </w:t>
      </w:r>
    </w:p>
    <w:p w14:paraId="25CE9313" w14:textId="77777777" w:rsidR="00232EF2" w:rsidRDefault="00DB2C82" w:rsidP="00BF246E">
      <w:pPr>
        <w:pBdr>
          <w:top w:val="single" w:sz="18" w:space="1" w:color="auto"/>
          <w:left w:val="single" w:sz="18" w:space="4" w:color="auto"/>
          <w:bottom w:val="single" w:sz="18" w:space="1" w:color="auto"/>
          <w:right w:val="single" w:sz="18" w:space="4" w:color="auto"/>
        </w:pBdr>
        <w:ind w:left="-720" w:right="-630"/>
        <w:jc w:val="center"/>
      </w:pPr>
      <w:r>
        <w:rPr>
          <w:i/>
          <w:color w:val="222222"/>
          <w:sz w:val="21"/>
          <w:szCs w:val="21"/>
        </w:rPr>
        <w:t xml:space="preserve">5. </w:t>
      </w:r>
      <w:hyperlink r:id="rId17">
        <w:r>
          <w:rPr>
            <w:i/>
            <w:color w:val="0000FF"/>
            <w:sz w:val="21"/>
            <w:szCs w:val="21"/>
            <w:u w:val="single"/>
          </w:rPr>
          <w:t>CDC Partner Resources</w:t>
        </w:r>
      </w:hyperlink>
    </w:p>
    <w:sectPr w:rsidR="00232EF2">
      <w:footerReference w:type="default" r:id="rId18"/>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E029" w14:textId="77777777" w:rsidR="0047614F" w:rsidRDefault="0047614F">
      <w:pPr>
        <w:spacing w:line="240" w:lineRule="auto"/>
      </w:pPr>
      <w:r>
        <w:separator/>
      </w:r>
    </w:p>
  </w:endnote>
  <w:endnote w:type="continuationSeparator" w:id="0">
    <w:p w14:paraId="32EE7E6A" w14:textId="77777777" w:rsidR="0047614F" w:rsidRDefault="0047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673B" w14:textId="77777777" w:rsidR="00232EF2" w:rsidRDefault="00DB2C82">
    <w:pPr>
      <w:jc w:val="center"/>
      <w:rPr>
        <w:i/>
        <w:sz w:val="18"/>
        <w:szCs w:val="18"/>
      </w:rPr>
    </w:pPr>
    <w:r>
      <w:rPr>
        <w:i/>
        <w:sz w:val="18"/>
        <w:szCs w:val="18"/>
      </w:rPr>
      <w:t xml:space="preserve">Funding provided by CDC COVID-19 Supplemental Funding Program to the </w:t>
    </w:r>
  </w:p>
  <w:p w14:paraId="0465318E" w14:textId="77777777" w:rsidR="00232EF2" w:rsidRDefault="00DB2C82">
    <w:pPr>
      <w:jc w:val="center"/>
      <w:rPr>
        <w:i/>
        <w:sz w:val="18"/>
        <w:szCs w:val="18"/>
      </w:rPr>
    </w:pPr>
    <w:r>
      <w:rPr>
        <w:i/>
        <w:sz w:val="18"/>
        <w:szCs w:val="18"/>
      </w:rPr>
      <w:t>Massachusetts Department of Elementary &amp;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CDE65" w14:textId="77777777" w:rsidR="0047614F" w:rsidRDefault="0047614F">
      <w:pPr>
        <w:spacing w:line="240" w:lineRule="auto"/>
      </w:pPr>
      <w:r>
        <w:separator/>
      </w:r>
    </w:p>
  </w:footnote>
  <w:footnote w:type="continuationSeparator" w:id="0">
    <w:p w14:paraId="72B42808" w14:textId="77777777" w:rsidR="0047614F" w:rsidRDefault="004761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F2"/>
    <w:rsid w:val="00170DA6"/>
    <w:rsid w:val="00232EF2"/>
    <w:rsid w:val="0030659C"/>
    <w:rsid w:val="0047614F"/>
    <w:rsid w:val="005C720D"/>
    <w:rsid w:val="00BF246E"/>
    <w:rsid w:val="00D27912"/>
    <w:rsid w:val="00DB2C82"/>
    <w:rsid w:val="00E10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F7AA3"/>
  <w15:docId w15:val="{31BE7FD8-A6E8-415B-85AC-16C6DF46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F246E"/>
    <w:rPr>
      <w:color w:val="0000FF" w:themeColor="hyperlink"/>
      <w:u w:val="single"/>
    </w:rPr>
  </w:style>
  <w:style w:type="character" w:styleId="UnresolvedMention">
    <w:name w:val="Unresolved Mention"/>
    <w:basedOn w:val="DefaultParagraphFont"/>
    <w:uiPriority w:val="99"/>
    <w:semiHidden/>
    <w:unhideWhenUsed/>
    <w:rsid w:val="00BF246E"/>
    <w:rPr>
      <w:color w:val="605E5C"/>
      <w:shd w:val="clear" w:color="auto" w:fill="E1DFDD"/>
    </w:rPr>
  </w:style>
  <w:style w:type="paragraph" w:styleId="Header">
    <w:name w:val="header"/>
    <w:basedOn w:val="Normal"/>
    <w:link w:val="HeaderChar"/>
    <w:uiPriority w:val="99"/>
    <w:unhideWhenUsed/>
    <w:rsid w:val="00170DA6"/>
    <w:pPr>
      <w:tabs>
        <w:tab w:val="center" w:pos="4680"/>
        <w:tab w:val="right" w:pos="9360"/>
      </w:tabs>
      <w:spacing w:line="240" w:lineRule="auto"/>
    </w:pPr>
  </w:style>
  <w:style w:type="character" w:customStyle="1" w:styleId="HeaderChar">
    <w:name w:val="Header Char"/>
    <w:basedOn w:val="DefaultParagraphFont"/>
    <w:link w:val="Header"/>
    <w:uiPriority w:val="99"/>
    <w:rsid w:val="00170DA6"/>
  </w:style>
  <w:style w:type="paragraph" w:styleId="Footer">
    <w:name w:val="footer"/>
    <w:basedOn w:val="Normal"/>
    <w:link w:val="FooterChar"/>
    <w:uiPriority w:val="99"/>
    <w:unhideWhenUsed/>
    <w:rsid w:val="00170DA6"/>
    <w:pPr>
      <w:tabs>
        <w:tab w:val="center" w:pos="4680"/>
        <w:tab w:val="right" w:pos="9360"/>
      </w:tabs>
      <w:spacing w:line="240" w:lineRule="auto"/>
    </w:pPr>
  </w:style>
  <w:style w:type="character" w:customStyle="1" w:styleId="FooterChar">
    <w:name w:val="Footer Char"/>
    <w:basedOn w:val="DefaultParagraphFont"/>
    <w:link w:val="Footer"/>
    <w:uiPriority w:val="99"/>
    <w:rsid w:val="0017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www.cdc.gov_coronavirus_2019-2Dncov_community_schools-2Dchildcare_index.html&amp;d=DwMFaQ&amp;c=lDF7oMaPKXpkYvev9V-fVahWL0QWnGCCAfCDz1Bns_w&amp;r=SgGM9UiXFGMdpKgkJSZNS9ruewMEcGfc5-uzFf6mCsA&amp;m=hvJaPPD77Q8HgtsxMQnDvgRFdHYnBa_IwbCsa2e1Dvw&amp;s=3wyiZrmU8f9k2GFgHgoFM_GP1Rx1Cc3svsPgxEH4GWM&am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rvey.alchemer.com/s3/6066606/Professional-Learning-Series-Health-and-Physical-Education-During-COVID-19" TargetMode="External"/><Relationship Id="rId17" Type="http://schemas.openxmlformats.org/officeDocument/2006/relationships/hyperlink" Target="https://drive.google.com/drive/folders/1kBseA48iIxdGEsOkiIZp0IaKFvFdIxD-" TargetMode="External"/><Relationship Id="rId2" Type="http://schemas.openxmlformats.org/officeDocument/2006/relationships/customXml" Target="../customXml/item2.xml"/><Relationship Id="rId16" Type="http://schemas.openxmlformats.org/officeDocument/2006/relationships/hyperlink" Target="https://urldefense.proofpoint.com/v2/url?u=https-3A__www.youtube.com_channel_UCiMg06DjcUk5FRiM3g5sqoQ&amp;d=DwMFaQ&amp;c=lDF7oMaPKXpkYvev9V-fVahWL0QWnGCCAfCDz1Bns_w&amp;r=SgGM9UiXFGMdpKgkJSZNS9ruewMEcGfc5-uzFf6mCsA&amp;m=hvJaPPD77Q8HgtsxMQnDvgRFdHYnBa_IwbCsa2e1Dvw&amp;s=Zt2hUW1MIY0fl6LNwb47DDzrwkLhl5I8Ijt23Viwj6Q&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urldefense.proofpoint.com/v2/url?u=https-3A__www.cdc.gov_coronavirus_2019-2Dncov_prevent-2Dgetting-2Dsick_prevention.html&amp;d=DwMFaQ&amp;c=lDF7oMaPKXpkYvev9V-fVahWL0QWnGCCAfCDz1Bns_w&amp;r=SgGM9UiXFGMdpKgkJSZNS9ruewMEcGfc5-uzFf6mCsA&amp;m=hvJaPPD77Q8HgtsxMQnDvgRFdHYnBa_IwbCsa2e1Dvw&amp;s=Z7_BqNme6AKH_DIMFnTbx--64uv2XPwLpuXHKNyVbjE&amp;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urldefense.proofpoint.com/v2/url?u=https-3A__www.cdc.gov_coronavirus_2019-2Dncov_community_community-2Dmitigation.html&amp;d=DwMFaQ&amp;c=lDF7oMaPKXpkYvev9V-fVahWL0QWnGCCAfCDz1Bns_w&amp;r=SgGM9UiXFGMdpKgkJSZNS9ruewMEcGfc5-uzFf6mCsA&amp;m=hvJaPPD77Q8HgtsxMQnDvgRFdHYnBa_IwbCsa2e1Dvw&amp;s=lH7oAvYp_4bk0SMkHMh0uhVB6WnfMRefxaniRlhmkf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DESE-231-66516</_dlc_DocId>
    <_dlc_DocIdUrl xmlns="733efe1c-5bbe-4968-87dc-d400e65c879f">
      <Url>https://sharepoint.doemass.org/ese/webteam/cps/_layouts/DocIdRedir.aspx?ID=DESE-231-66516</Url>
      <Description>DESE-231-66516</Description>
    </_dlc_DocIdUrl>
  </documentManagement>
</p:properties>
</file>

<file path=customXml/itemProps1.xml><?xml version="1.0" encoding="utf-8"?>
<ds:datastoreItem xmlns:ds="http://schemas.openxmlformats.org/officeDocument/2006/customXml" ds:itemID="{0C900529-3F39-47B8-A3E3-213FE573C606}">
  <ds:schemaRefs>
    <ds:schemaRef ds:uri="http://schemas.microsoft.com/sharepoint/v3/contenttype/forms"/>
  </ds:schemaRefs>
</ds:datastoreItem>
</file>

<file path=customXml/itemProps2.xml><?xml version="1.0" encoding="utf-8"?>
<ds:datastoreItem xmlns:ds="http://schemas.openxmlformats.org/officeDocument/2006/customXml" ds:itemID="{045E1F41-B1FA-467A-B94B-A22ABF7174BF}">
  <ds:schemaRefs>
    <ds:schemaRef ds:uri="http://schemas.microsoft.com/sharepoint/events"/>
  </ds:schemaRefs>
</ds:datastoreItem>
</file>

<file path=customXml/itemProps3.xml><?xml version="1.0" encoding="utf-8"?>
<ds:datastoreItem xmlns:ds="http://schemas.openxmlformats.org/officeDocument/2006/customXml" ds:itemID="{0F962CCA-03D0-47DC-B199-5BC6CB311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0BC8D-E349-45D0-A6C2-8A363241A0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2076</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FY21 HE-PE Webinar Series</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HE-PE Webinar Series</dc:title>
  <dc:creator>DESE</dc:creator>
  <cp:lastModifiedBy>Zou, Dong (EOE)</cp:lastModifiedBy>
  <cp:revision>5</cp:revision>
  <dcterms:created xsi:type="dcterms:W3CDTF">2020-12-07T14:11:00Z</dcterms:created>
  <dcterms:modified xsi:type="dcterms:W3CDTF">2020-12-07T15:20:00Z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2020</vt:lpwstr>
  </property>
</Properties>
</file>