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335" w:type="dxa"/>
        <w:tblLayout w:type="fixed"/>
        <w:tblCellMar>
          <w:left w:w="115" w:type="dxa"/>
          <w:right w:w="115" w:type="dxa"/>
        </w:tblCellMar>
        <w:tblLook w:val="00BF"/>
      </w:tblPr>
      <w:tblGrid>
        <w:gridCol w:w="900"/>
        <w:gridCol w:w="4140"/>
        <w:gridCol w:w="3150"/>
        <w:gridCol w:w="2070"/>
      </w:tblGrid>
      <w:tr w:rsidR="005F037D" w:rsidTr="0041410F">
        <w:trPr>
          <w:gridAfter w:val="1"/>
          <w:wAfter w:w="2070" w:type="dxa"/>
          <w:trHeight w:val="5040"/>
        </w:trPr>
        <w:tc>
          <w:tcPr>
            <w:tcW w:w="8190" w:type="dxa"/>
            <w:gridSpan w:val="3"/>
          </w:tcPr>
          <w:p w:rsidR="005F037D" w:rsidRDefault="000A7B23">
            <w:pPr>
              <w:keepNext/>
            </w:pPr>
            <w:r>
              <w:rPr>
                <w:noProof/>
                <w:lang w:eastAsia="zh-CN"/>
              </w:rPr>
              <w:drawing>
                <wp:inline distT="0" distB="0" distL="0" distR="0">
                  <wp:extent cx="2785745" cy="1350645"/>
                  <wp:effectExtent l="0" t="0" r="0" b="0"/>
                  <wp:docPr id="2"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8" cstate="print"/>
                          <a:srcRect/>
                          <a:stretch>
                            <a:fillRect/>
                          </a:stretch>
                        </pic:blipFill>
                        <pic:spPr bwMode="auto">
                          <a:xfrm>
                            <a:off x="0" y="0"/>
                            <a:ext cx="2785745" cy="1350645"/>
                          </a:xfrm>
                          <a:prstGeom prst="rect">
                            <a:avLst/>
                          </a:prstGeom>
                          <a:noFill/>
                          <a:ln w="9525">
                            <a:noFill/>
                            <a:miter lim="800000"/>
                            <a:headEnd/>
                            <a:tailEnd/>
                          </a:ln>
                        </pic:spPr>
                      </pic:pic>
                    </a:graphicData>
                  </a:graphic>
                </wp:inline>
              </w:drawing>
            </w:r>
          </w:p>
          <w:p w:rsidR="005F037D" w:rsidRDefault="005F037D" w:rsidP="00CE1085"/>
        </w:tc>
      </w:tr>
      <w:tr w:rsidR="005F037D" w:rsidTr="007D378F">
        <w:trPr>
          <w:gridAfter w:val="1"/>
          <w:wAfter w:w="2070" w:type="dxa"/>
          <w:cantSplit/>
          <w:trHeight w:val="200"/>
        </w:trPr>
        <w:tc>
          <w:tcPr>
            <w:tcW w:w="900" w:type="dxa"/>
            <w:vMerge w:val="restart"/>
            <w:vAlign w:val="bottom"/>
          </w:tcPr>
          <w:p w:rsidR="005F037D" w:rsidRPr="00274356" w:rsidRDefault="005F037D" w:rsidP="00274356"/>
        </w:tc>
        <w:tc>
          <w:tcPr>
            <w:tcW w:w="7290" w:type="dxa"/>
            <w:gridSpan w:val="2"/>
            <w:vAlign w:val="bottom"/>
          </w:tcPr>
          <w:p w:rsidR="0041410F" w:rsidRPr="00115360" w:rsidRDefault="00115360" w:rsidP="00B44E7E">
            <w:pPr>
              <w:pStyle w:val="ESEReportName"/>
              <w:rPr>
                <w:sz w:val="32"/>
                <w:szCs w:val="32"/>
              </w:rPr>
            </w:pPr>
            <w:bookmarkStart w:id="0" w:name="OLE_LINK1"/>
            <w:bookmarkStart w:id="1" w:name="OLE_LINK2"/>
            <w:r w:rsidRPr="00115360">
              <w:rPr>
                <w:rFonts w:ascii="Times New Roman" w:hAnsi="Times New Roman"/>
                <w:sz w:val="32"/>
                <w:szCs w:val="32"/>
              </w:rPr>
              <w:t>Updated Guidance for Schools and Districts on Addressing Teen Dating Violence (2013</w:t>
            </w:r>
            <w:bookmarkEnd w:id="0"/>
            <w:bookmarkEnd w:id="1"/>
            <w:r w:rsidRPr="00115360">
              <w:rPr>
                <w:rFonts w:ascii="Times New Roman" w:hAnsi="Times New Roman"/>
                <w:sz w:val="32"/>
                <w:szCs w:val="32"/>
              </w:rPr>
              <w:t>)</w:t>
            </w:r>
          </w:p>
        </w:tc>
      </w:tr>
      <w:tr w:rsidR="005F037D" w:rsidTr="007D378F">
        <w:trPr>
          <w:gridAfter w:val="1"/>
          <w:wAfter w:w="2070" w:type="dxa"/>
          <w:cantSplit/>
          <w:trHeight w:val="240"/>
        </w:trPr>
        <w:tc>
          <w:tcPr>
            <w:tcW w:w="900" w:type="dxa"/>
            <w:vMerge/>
            <w:vAlign w:val="bottom"/>
          </w:tcPr>
          <w:p w:rsidR="005F037D" w:rsidRDefault="005F037D">
            <w:pPr>
              <w:spacing w:line="400" w:lineRule="exact"/>
              <w:rPr>
                <w:rFonts w:ascii="Arial" w:hAnsi="Arial"/>
                <w:color w:val="000000"/>
              </w:rPr>
            </w:pPr>
          </w:p>
        </w:tc>
        <w:tc>
          <w:tcPr>
            <w:tcW w:w="7290" w:type="dxa"/>
            <w:gridSpan w:val="2"/>
          </w:tcPr>
          <w:p w:rsidR="005F037D" w:rsidRPr="00115360" w:rsidRDefault="00001AD6">
            <w:pPr>
              <w:rPr>
                <w:sz w:val="32"/>
                <w:szCs w:val="32"/>
              </w:rPr>
            </w:pPr>
            <w:r w:rsidRPr="00001AD6">
              <w:rPr>
                <w:sz w:val="32"/>
                <w:szCs w:val="32"/>
              </w:rPr>
              <w:pict>
                <v:rect id="_x0000_i1025" style="width:0;height:1.5pt" o:hrstd="t" o:hr="t" fillcolor="#aaa" stroked="f"/>
              </w:pict>
            </w:r>
          </w:p>
        </w:tc>
      </w:tr>
      <w:tr w:rsidR="005F037D" w:rsidTr="007D378F">
        <w:trPr>
          <w:gridAfter w:val="1"/>
          <w:wAfter w:w="2070" w:type="dxa"/>
          <w:cantSplit/>
          <w:trHeight w:val="760"/>
        </w:trPr>
        <w:tc>
          <w:tcPr>
            <w:tcW w:w="900" w:type="dxa"/>
            <w:vMerge/>
            <w:vAlign w:val="bottom"/>
          </w:tcPr>
          <w:p w:rsidR="005F037D" w:rsidRDefault="005F037D">
            <w:pPr>
              <w:spacing w:line="400" w:lineRule="exact"/>
              <w:rPr>
                <w:rFonts w:ascii="Arial" w:hAnsi="Arial"/>
                <w:color w:val="000000"/>
              </w:rPr>
            </w:pPr>
          </w:p>
        </w:tc>
        <w:tc>
          <w:tcPr>
            <w:tcW w:w="7290" w:type="dxa"/>
            <w:gridSpan w:val="2"/>
          </w:tcPr>
          <w:p w:rsidR="00F026FA" w:rsidRPr="00D91CA7" w:rsidRDefault="00F026FA" w:rsidP="00F026FA">
            <w:pPr>
              <w:pStyle w:val="arial9"/>
              <w:rPr>
                <w:rFonts w:ascii="Times New Roman" w:hAnsi="Times New Roman"/>
              </w:rPr>
            </w:pPr>
            <w:r w:rsidRPr="00D91CA7">
              <w:rPr>
                <w:rFonts w:ascii="Times New Roman" w:hAnsi="Times New Roman"/>
              </w:rPr>
              <w:t>G.L. c. 71</w:t>
            </w:r>
            <w:r w:rsidR="00F42C7E" w:rsidRPr="00D91CA7">
              <w:rPr>
                <w:rFonts w:ascii="Times New Roman" w:hAnsi="Times New Roman"/>
              </w:rPr>
              <w:t>,</w:t>
            </w:r>
            <w:r w:rsidR="005E1E9D" w:rsidRPr="00D91CA7">
              <w:rPr>
                <w:rFonts w:ascii="Times New Roman" w:hAnsi="Times New Roman"/>
              </w:rPr>
              <w:t xml:space="preserve"> as amended by sections 60 and 61 of Chapter 256 of the Acts of 201</w:t>
            </w:r>
            <w:r w:rsidR="00265D2C">
              <w:rPr>
                <w:rFonts w:ascii="Times New Roman" w:hAnsi="Times New Roman"/>
              </w:rPr>
              <w:t>0</w:t>
            </w:r>
            <w:r w:rsidR="00D32CD0" w:rsidRPr="00D91CA7">
              <w:rPr>
                <w:rFonts w:ascii="Times New Roman" w:hAnsi="Times New Roman"/>
              </w:rPr>
              <w:t>, requires</w:t>
            </w:r>
            <w:r w:rsidRPr="00D91CA7">
              <w:rPr>
                <w:rFonts w:ascii="Times New Roman" w:hAnsi="Times New Roman"/>
              </w:rPr>
              <w:t xml:space="preserve"> public schools to include in health education the topic of safe and healthy relationships with a focus on preventing sexual and domestic violence</w:t>
            </w:r>
            <w:r w:rsidR="00F6624F">
              <w:rPr>
                <w:rFonts w:ascii="Times New Roman" w:hAnsi="Times New Roman"/>
              </w:rPr>
              <w:t>. Additionally,</w:t>
            </w:r>
            <w:r w:rsidRPr="00D91CA7">
              <w:rPr>
                <w:rFonts w:ascii="Times New Roman" w:hAnsi="Times New Roman"/>
              </w:rPr>
              <w:t xml:space="preserve"> subject to appropriation</w:t>
            </w:r>
            <w:r w:rsidR="00265D2C">
              <w:rPr>
                <w:rFonts w:ascii="Times New Roman" w:hAnsi="Times New Roman"/>
              </w:rPr>
              <w:t>,</w:t>
            </w:r>
            <w:r w:rsidRPr="00D91CA7">
              <w:rPr>
                <w:rFonts w:ascii="Times New Roman" w:hAnsi="Times New Roman"/>
              </w:rPr>
              <w:t xml:space="preserve"> </w:t>
            </w:r>
            <w:r w:rsidR="008D3F49">
              <w:rPr>
                <w:rFonts w:ascii="Times New Roman" w:hAnsi="Times New Roman"/>
              </w:rPr>
              <w:t xml:space="preserve">schools </w:t>
            </w:r>
            <w:r w:rsidR="00570362">
              <w:rPr>
                <w:rFonts w:ascii="Times New Roman" w:hAnsi="Times New Roman"/>
              </w:rPr>
              <w:t>are</w:t>
            </w:r>
            <w:r w:rsidR="008D3F49">
              <w:rPr>
                <w:rFonts w:ascii="Times New Roman" w:hAnsi="Times New Roman"/>
              </w:rPr>
              <w:t xml:space="preserve"> required </w:t>
            </w:r>
            <w:r w:rsidR="002B1DAD">
              <w:rPr>
                <w:rFonts w:ascii="Times New Roman" w:hAnsi="Times New Roman"/>
              </w:rPr>
              <w:t xml:space="preserve">to </w:t>
            </w:r>
            <w:r w:rsidRPr="00D91CA7">
              <w:rPr>
                <w:rFonts w:ascii="Times New Roman" w:hAnsi="Times New Roman"/>
              </w:rPr>
              <w:t xml:space="preserve">implement specific policies and discipline codes that address teen dating violence in public schools. </w:t>
            </w:r>
            <w:r w:rsidR="00DF54B4">
              <w:rPr>
                <w:rFonts w:ascii="Times New Roman" w:hAnsi="Times New Roman"/>
              </w:rPr>
              <w:t>Thi</w:t>
            </w:r>
            <w:r w:rsidR="001826F0">
              <w:rPr>
                <w:rFonts w:ascii="Times New Roman" w:hAnsi="Times New Roman"/>
              </w:rPr>
              <w:t>s guid</w:t>
            </w:r>
            <w:r w:rsidR="00DF54B4">
              <w:rPr>
                <w:rFonts w:ascii="Times New Roman" w:hAnsi="Times New Roman"/>
              </w:rPr>
              <w:t>ance</w:t>
            </w:r>
            <w:r w:rsidR="001826F0">
              <w:rPr>
                <w:rFonts w:ascii="Times New Roman" w:hAnsi="Times New Roman"/>
              </w:rPr>
              <w:t xml:space="preserve"> </w:t>
            </w:r>
            <w:r w:rsidR="00570362">
              <w:rPr>
                <w:rFonts w:ascii="Times New Roman" w:hAnsi="Times New Roman"/>
              </w:rPr>
              <w:t>contain</w:t>
            </w:r>
            <w:r w:rsidR="00DF54B4">
              <w:rPr>
                <w:rFonts w:ascii="Times New Roman" w:hAnsi="Times New Roman"/>
              </w:rPr>
              <w:t>s</w:t>
            </w:r>
            <w:r w:rsidR="001826F0">
              <w:rPr>
                <w:rFonts w:ascii="Times New Roman" w:hAnsi="Times New Roman"/>
              </w:rPr>
              <w:t xml:space="preserve"> recommendations for developing</w:t>
            </w:r>
            <w:r w:rsidR="008D3F49">
              <w:rPr>
                <w:rFonts w:ascii="Times New Roman" w:hAnsi="Times New Roman"/>
              </w:rPr>
              <w:t xml:space="preserve"> such</w:t>
            </w:r>
            <w:r w:rsidR="001826F0">
              <w:rPr>
                <w:rFonts w:ascii="Times New Roman" w:hAnsi="Times New Roman"/>
              </w:rPr>
              <w:t xml:space="preserve"> policies and discipline codes.</w:t>
            </w:r>
          </w:p>
          <w:p w:rsidR="00F026FA" w:rsidRPr="00D91CA7" w:rsidRDefault="00F026FA" w:rsidP="00EB1F6F">
            <w:pPr>
              <w:pStyle w:val="arial9"/>
              <w:rPr>
                <w:rFonts w:ascii="Times New Roman" w:hAnsi="Times New Roman"/>
              </w:rPr>
            </w:pPr>
          </w:p>
          <w:p w:rsidR="005F037D" w:rsidRPr="00D91CA7" w:rsidRDefault="007D378F" w:rsidP="00EB1F6F">
            <w:pPr>
              <w:pStyle w:val="arial9"/>
              <w:rPr>
                <w:rFonts w:ascii="Times New Roman" w:hAnsi="Times New Roman"/>
                <w:highlight w:val="yellow"/>
              </w:rPr>
            </w:pPr>
            <w:r w:rsidRPr="00D91CA7">
              <w:rPr>
                <w:rFonts w:ascii="Times New Roman" w:hAnsi="Times New Roman"/>
              </w:rPr>
              <w:t xml:space="preserve">May </w:t>
            </w:r>
            <w:r w:rsidR="00CA02C5" w:rsidRPr="00D91CA7">
              <w:rPr>
                <w:rFonts w:ascii="Times New Roman" w:hAnsi="Times New Roman"/>
              </w:rPr>
              <w:t>201</w:t>
            </w:r>
            <w:r w:rsidR="008331B9" w:rsidRPr="00D91CA7">
              <w:rPr>
                <w:rFonts w:ascii="Times New Roman" w:hAnsi="Times New Roman"/>
              </w:rPr>
              <w:t>3</w:t>
            </w:r>
          </w:p>
        </w:tc>
      </w:tr>
      <w:tr w:rsidR="005F037D" w:rsidTr="007D378F">
        <w:trPr>
          <w:gridAfter w:val="1"/>
          <w:wAfter w:w="2070" w:type="dxa"/>
          <w:cantSplit/>
          <w:trHeight w:val="3258"/>
        </w:trPr>
        <w:tc>
          <w:tcPr>
            <w:tcW w:w="900" w:type="dxa"/>
            <w:vMerge/>
            <w:vAlign w:val="bottom"/>
          </w:tcPr>
          <w:p w:rsidR="005F037D" w:rsidRDefault="005F037D">
            <w:pPr>
              <w:spacing w:line="400" w:lineRule="exact"/>
              <w:rPr>
                <w:rFonts w:ascii="Arial" w:hAnsi="Arial"/>
                <w:color w:val="000000"/>
              </w:rPr>
            </w:pPr>
          </w:p>
        </w:tc>
        <w:tc>
          <w:tcPr>
            <w:tcW w:w="7290" w:type="dxa"/>
            <w:gridSpan w:val="2"/>
            <w:vAlign w:val="bottom"/>
          </w:tcPr>
          <w:p w:rsidR="005F037D" w:rsidRPr="00D91CA7" w:rsidRDefault="005F037D" w:rsidP="004E0CA6">
            <w:pPr>
              <w:pStyle w:val="AgencyTitle"/>
              <w:rPr>
                <w:rFonts w:ascii="Times New Roman" w:hAnsi="Times New Roman"/>
              </w:rPr>
            </w:pPr>
            <w:r w:rsidRPr="00D91CA7">
              <w:rPr>
                <w:rFonts w:ascii="Times New Roman" w:hAnsi="Times New Roman"/>
              </w:rPr>
              <w:t xml:space="preserve">Massachusetts Department of </w:t>
            </w:r>
            <w:r w:rsidR="00440BAB" w:rsidRPr="00D91CA7">
              <w:rPr>
                <w:rFonts w:ascii="Times New Roman" w:hAnsi="Times New Roman"/>
              </w:rPr>
              <w:t xml:space="preserve">Elementary and Secondary </w:t>
            </w:r>
            <w:r w:rsidRPr="00D91CA7">
              <w:rPr>
                <w:rFonts w:ascii="Times New Roman" w:hAnsi="Times New Roman"/>
              </w:rPr>
              <w:t>Education</w:t>
            </w:r>
          </w:p>
          <w:p w:rsidR="005F037D" w:rsidRPr="00D91CA7" w:rsidRDefault="005152E7" w:rsidP="00EB1F6F">
            <w:pPr>
              <w:pStyle w:val="arial9"/>
              <w:rPr>
                <w:rFonts w:ascii="Times New Roman" w:hAnsi="Times New Roman"/>
                <w:snapToGrid w:val="0"/>
              </w:rPr>
            </w:pPr>
            <w:r w:rsidRPr="00D91CA7">
              <w:rPr>
                <w:rFonts w:ascii="Times New Roman" w:hAnsi="Times New Roman"/>
                <w:snapToGrid w:val="0"/>
              </w:rPr>
              <w:t>75 Pleasant</w:t>
            </w:r>
            <w:r w:rsidR="005F037D" w:rsidRPr="00D91CA7">
              <w:rPr>
                <w:rFonts w:ascii="Times New Roman" w:hAnsi="Times New Roman"/>
                <w:snapToGrid w:val="0"/>
              </w:rPr>
              <w:t xml:space="preserve"> Street, </w:t>
            </w:r>
            <w:smartTag w:uri="urn:schemas-microsoft-com:office:smarttags" w:element="place">
              <w:smartTag w:uri="urn:schemas-microsoft-com:office:smarttags" w:element="City">
                <w:r w:rsidR="005F037D" w:rsidRPr="00D91CA7">
                  <w:rPr>
                    <w:rFonts w:ascii="Times New Roman" w:hAnsi="Times New Roman"/>
                    <w:snapToGrid w:val="0"/>
                  </w:rPr>
                  <w:t>Malden</w:t>
                </w:r>
              </w:smartTag>
              <w:r w:rsidR="005F037D" w:rsidRPr="00D91CA7">
                <w:rPr>
                  <w:rFonts w:ascii="Times New Roman" w:hAnsi="Times New Roman"/>
                  <w:snapToGrid w:val="0"/>
                </w:rPr>
                <w:t xml:space="preserve">, </w:t>
              </w:r>
              <w:smartTag w:uri="urn:schemas-microsoft-com:office:smarttags" w:element="State">
                <w:r w:rsidR="005F037D" w:rsidRPr="00D91CA7">
                  <w:rPr>
                    <w:rFonts w:ascii="Times New Roman" w:hAnsi="Times New Roman"/>
                    <w:snapToGrid w:val="0"/>
                  </w:rPr>
                  <w:t>MA</w:t>
                </w:r>
              </w:smartTag>
              <w:r w:rsidR="005F037D" w:rsidRPr="00D91CA7">
                <w:rPr>
                  <w:rFonts w:ascii="Times New Roman" w:hAnsi="Times New Roman"/>
                  <w:snapToGrid w:val="0"/>
                </w:rPr>
                <w:t xml:space="preserve"> </w:t>
              </w:r>
              <w:smartTag w:uri="urn:schemas-microsoft-com:office:smarttags" w:element="PostalCode">
                <w:r w:rsidR="005F037D" w:rsidRPr="00D91CA7">
                  <w:rPr>
                    <w:rFonts w:ascii="Times New Roman" w:hAnsi="Times New Roman"/>
                    <w:snapToGrid w:val="0"/>
                  </w:rPr>
                  <w:t>02148</w:t>
                </w:r>
              </w:smartTag>
            </w:smartTag>
            <w:r w:rsidR="00740C0D" w:rsidRPr="00D91CA7">
              <w:rPr>
                <w:rFonts w:ascii="Times New Roman" w:hAnsi="Times New Roman"/>
                <w:snapToGrid w:val="0"/>
              </w:rPr>
              <w:t>-4906</w:t>
            </w:r>
          </w:p>
          <w:p w:rsidR="0020780F" w:rsidRPr="00D91CA7" w:rsidRDefault="0020780F" w:rsidP="00EB1F6F">
            <w:pPr>
              <w:pStyle w:val="arial9"/>
              <w:rPr>
                <w:rFonts w:ascii="Times New Roman" w:hAnsi="Times New Roman"/>
                <w:snapToGrid w:val="0"/>
              </w:rPr>
            </w:pPr>
            <w:r w:rsidRPr="00D91CA7">
              <w:rPr>
                <w:rFonts w:ascii="Times New Roman" w:hAnsi="Times New Roman"/>
                <w:snapToGrid w:val="0"/>
              </w:rPr>
              <w:t xml:space="preserve">Phone </w:t>
            </w:r>
            <w:r w:rsidR="005F037D" w:rsidRPr="00D91CA7">
              <w:rPr>
                <w:rFonts w:ascii="Times New Roman" w:hAnsi="Times New Roman"/>
                <w:snapToGrid w:val="0"/>
              </w:rPr>
              <w:t xml:space="preserve">781-338-3000  </w:t>
            </w:r>
            <w:r w:rsidRPr="00D91CA7">
              <w:rPr>
                <w:rFonts w:ascii="Times New Roman" w:hAnsi="Times New Roman"/>
                <w:snapToGrid w:val="0"/>
              </w:rPr>
              <w:t>TTY: N.E.T. Relay 800-439-2370</w:t>
            </w:r>
          </w:p>
          <w:p w:rsidR="005F037D" w:rsidRPr="00D91CA7" w:rsidRDefault="00001AD6" w:rsidP="00EB1F6F">
            <w:pPr>
              <w:pStyle w:val="arial9"/>
              <w:rPr>
                <w:rFonts w:ascii="Times New Roman" w:hAnsi="Times New Roman"/>
              </w:rPr>
            </w:pPr>
            <w:hyperlink r:id="rId9" w:history="1">
              <w:r w:rsidR="00055258" w:rsidRPr="00D91CA7">
                <w:rPr>
                  <w:rStyle w:val="Hyperlink"/>
                  <w:rFonts w:ascii="Times New Roman" w:hAnsi="Times New Roman"/>
                  <w:snapToGrid w:val="0"/>
                </w:rPr>
                <w:t>www.doe.mass.edu</w:t>
              </w:r>
            </w:hyperlink>
          </w:p>
        </w:tc>
      </w:tr>
      <w:tr w:rsidR="005F037D" w:rsidTr="00F026FA">
        <w:tblPrEx>
          <w:tblCellMar>
            <w:left w:w="108" w:type="dxa"/>
            <w:right w:w="108" w:type="dxa"/>
          </w:tblCellMar>
        </w:tblPrEx>
        <w:trPr>
          <w:trHeight w:val="66"/>
        </w:trPr>
        <w:tc>
          <w:tcPr>
            <w:tcW w:w="5040" w:type="dxa"/>
            <w:gridSpan w:val="2"/>
          </w:tcPr>
          <w:p w:rsidR="005F037D" w:rsidRDefault="005F037D" w:rsidP="00274356"/>
        </w:tc>
        <w:tc>
          <w:tcPr>
            <w:tcW w:w="5220" w:type="dxa"/>
            <w:gridSpan w:val="2"/>
          </w:tcPr>
          <w:p w:rsidR="005F037D" w:rsidRDefault="005F037D" w:rsidP="00274356"/>
        </w:tc>
      </w:tr>
    </w:tbl>
    <w:p w:rsidR="000D1FA5" w:rsidRDefault="004D45D4" w:rsidP="000D1FA5">
      <w:r>
        <w:br w:type="page"/>
      </w:r>
    </w:p>
    <w:p w:rsidR="003F3636" w:rsidRPr="00DF54B4" w:rsidRDefault="00CE2791" w:rsidP="005A367D">
      <w:pPr>
        <w:pStyle w:val="ESETOCHeading"/>
        <w:rPr>
          <w:rFonts w:ascii="Times New Roman" w:hAnsi="Times New Roman"/>
        </w:rPr>
      </w:pPr>
      <w:r w:rsidRPr="00DF54B4">
        <w:rPr>
          <w:rFonts w:ascii="Times New Roman" w:hAnsi="Times New Roman"/>
        </w:rPr>
        <w:lastRenderedPageBreak/>
        <w:t>Table of Contents</w:t>
      </w:r>
    </w:p>
    <w:p w:rsidR="00764096" w:rsidRPr="00DF54B4" w:rsidRDefault="00001AD6">
      <w:pPr>
        <w:pStyle w:val="TOC1"/>
        <w:rPr>
          <w:rFonts w:ascii="Times New Roman" w:eastAsiaTheme="minorEastAsia" w:hAnsi="Times New Roman"/>
          <w:b w:val="0"/>
          <w:noProof/>
          <w:sz w:val="28"/>
          <w:szCs w:val="28"/>
        </w:rPr>
      </w:pPr>
      <w:r w:rsidRPr="00001AD6">
        <w:rPr>
          <w:rFonts w:ascii="Times New Roman" w:hAnsi="Times New Roman"/>
        </w:rPr>
        <w:fldChar w:fldCharType="begin"/>
      </w:r>
      <w:r w:rsidR="003F3636" w:rsidRPr="00D91CA7">
        <w:rPr>
          <w:rFonts w:ascii="Times New Roman" w:hAnsi="Times New Roman"/>
        </w:rPr>
        <w:instrText xml:space="preserve"> TOC \o "1-3" \h \z \u </w:instrText>
      </w:r>
      <w:r w:rsidRPr="00001AD6">
        <w:rPr>
          <w:rFonts w:ascii="Times New Roman" w:hAnsi="Times New Roman"/>
        </w:rPr>
        <w:fldChar w:fldCharType="separate"/>
      </w:r>
      <w:hyperlink w:anchor="_Toc345082247" w:history="1">
        <w:r w:rsidR="00764096" w:rsidRPr="00DF54B4">
          <w:rPr>
            <w:rStyle w:val="Hyperlink"/>
            <w:rFonts w:ascii="Times New Roman" w:hAnsi="Times New Roman"/>
            <w:noProof/>
            <w:sz w:val="28"/>
            <w:szCs w:val="28"/>
          </w:rPr>
          <w:t>Background</w:t>
        </w:r>
        <w:r w:rsidR="00764096" w:rsidRPr="00DF54B4">
          <w:rPr>
            <w:rFonts w:ascii="Times New Roman" w:hAnsi="Times New Roman"/>
            <w:noProof/>
            <w:webHidden/>
            <w:sz w:val="28"/>
            <w:szCs w:val="28"/>
          </w:rPr>
          <w:tab/>
        </w:r>
        <w:r w:rsidRPr="00DF54B4">
          <w:rPr>
            <w:rFonts w:ascii="Times New Roman" w:hAnsi="Times New Roman"/>
            <w:noProof/>
            <w:webHidden/>
            <w:sz w:val="28"/>
            <w:szCs w:val="28"/>
          </w:rPr>
          <w:fldChar w:fldCharType="begin"/>
        </w:r>
        <w:r w:rsidR="00764096" w:rsidRPr="00DF54B4">
          <w:rPr>
            <w:rFonts w:ascii="Times New Roman" w:hAnsi="Times New Roman"/>
            <w:noProof/>
            <w:webHidden/>
            <w:sz w:val="28"/>
            <w:szCs w:val="28"/>
          </w:rPr>
          <w:instrText xml:space="preserve"> PAGEREF _Toc345082247 \h </w:instrText>
        </w:r>
        <w:r w:rsidRPr="00DF54B4">
          <w:rPr>
            <w:rFonts w:ascii="Times New Roman" w:hAnsi="Times New Roman"/>
            <w:noProof/>
            <w:webHidden/>
            <w:sz w:val="28"/>
            <w:szCs w:val="28"/>
          </w:rPr>
        </w:r>
        <w:r w:rsidRPr="00DF54B4">
          <w:rPr>
            <w:rFonts w:ascii="Times New Roman" w:hAnsi="Times New Roman"/>
            <w:noProof/>
            <w:webHidden/>
            <w:sz w:val="28"/>
            <w:szCs w:val="28"/>
          </w:rPr>
          <w:fldChar w:fldCharType="separate"/>
        </w:r>
        <w:r w:rsidR="004C3FA9" w:rsidRPr="00DF54B4">
          <w:rPr>
            <w:rFonts w:ascii="Times New Roman" w:hAnsi="Times New Roman"/>
            <w:noProof/>
            <w:webHidden/>
            <w:sz w:val="28"/>
            <w:szCs w:val="28"/>
          </w:rPr>
          <w:t>1</w:t>
        </w:r>
        <w:r w:rsidRPr="00DF54B4">
          <w:rPr>
            <w:rFonts w:ascii="Times New Roman" w:hAnsi="Times New Roman"/>
            <w:noProof/>
            <w:webHidden/>
            <w:sz w:val="28"/>
            <w:szCs w:val="28"/>
          </w:rPr>
          <w:fldChar w:fldCharType="end"/>
        </w:r>
      </w:hyperlink>
    </w:p>
    <w:p w:rsidR="00764096" w:rsidRPr="00DF54B4" w:rsidRDefault="00001AD6" w:rsidP="00493F02">
      <w:pPr>
        <w:pStyle w:val="TOC3"/>
        <w:rPr>
          <w:rFonts w:ascii="Times New Roman" w:eastAsiaTheme="minorEastAsia" w:hAnsi="Times New Roman"/>
          <w:noProof/>
          <w:sz w:val="24"/>
        </w:rPr>
      </w:pPr>
      <w:hyperlink w:anchor="_Toc345082248" w:history="1">
        <w:r w:rsidR="00764096" w:rsidRPr="00DF54B4">
          <w:rPr>
            <w:rStyle w:val="Hyperlink"/>
            <w:rFonts w:ascii="Times New Roman" w:hAnsi="Times New Roman"/>
            <w:noProof/>
            <w:sz w:val="24"/>
          </w:rPr>
          <w:t>A.</w:t>
        </w:r>
        <w:r w:rsidR="00764096" w:rsidRPr="00DF54B4">
          <w:rPr>
            <w:rFonts w:ascii="Times New Roman" w:eastAsiaTheme="minorEastAsia" w:hAnsi="Times New Roman"/>
            <w:noProof/>
            <w:sz w:val="24"/>
          </w:rPr>
          <w:tab/>
        </w:r>
        <w:r w:rsidR="00673224" w:rsidRPr="00DF54B4">
          <w:rPr>
            <w:rFonts w:ascii="Times New Roman" w:eastAsiaTheme="minorEastAsia" w:hAnsi="Times New Roman"/>
            <w:noProof/>
            <w:sz w:val="24"/>
          </w:rPr>
          <w:t xml:space="preserve">State </w:t>
        </w:r>
        <w:r w:rsidR="00764096" w:rsidRPr="00DF54B4">
          <w:rPr>
            <w:rStyle w:val="Hyperlink"/>
            <w:rFonts w:ascii="Times New Roman" w:hAnsi="Times New Roman"/>
            <w:noProof/>
            <w:sz w:val="24"/>
          </w:rPr>
          <w:t>L</w:t>
        </w:r>
        <w:r w:rsidR="00265D2C" w:rsidRPr="00DF54B4">
          <w:rPr>
            <w:rStyle w:val="Hyperlink"/>
            <w:rFonts w:ascii="Times New Roman" w:hAnsi="Times New Roman"/>
            <w:noProof/>
            <w:sz w:val="24"/>
          </w:rPr>
          <w:t>aw</w:t>
        </w:r>
        <w:r w:rsidR="00764096" w:rsidRPr="00DF54B4">
          <w:rPr>
            <w:rStyle w:val="Hyperlink"/>
            <w:rFonts w:ascii="Times New Roman" w:hAnsi="Times New Roman"/>
            <w:noProof/>
            <w:sz w:val="24"/>
          </w:rPr>
          <w:t xml:space="preserve"> Relevant to Teen Dating Violence</w:t>
        </w:r>
        <w:r w:rsidR="00764096" w:rsidRPr="00DF54B4">
          <w:rPr>
            <w:rFonts w:ascii="Times New Roman" w:hAnsi="Times New Roman"/>
            <w:noProof/>
            <w:webHidden/>
            <w:sz w:val="24"/>
          </w:rPr>
          <w:tab/>
        </w:r>
        <w:r w:rsidRPr="00DF54B4">
          <w:rPr>
            <w:rFonts w:ascii="Times New Roman" w:hAnsi="Times New Roman"/>
            <w:noProof/>
            <w:webHidden/>
            <w:sz w:val="24"/>
          </w:rPr>
          <w:fldChar w:fldCharType="begin"/>
        </w:r>
        <w:r w:rsidR="00764096" w:rsidRPr="00DF54B4">
          <w:rPr>
            <w:rFonts w:ascii="Times New Roman" w:hAnsi="Times New Roman"/>
            <w:noProof/>
            <w:webHidden/>
            <w:sz w:val="24"/>
          </w:rPr>
          <w:instrText xml:space="preserve"> PAGEREF _Toc345082248 \h </w:instrText>
        </w:r>
        <w:r w:rsidRPr="00DF54B4">
          <w:rPr>
            <w:rFonts w:ascii="Times New Roman" w:hAnsi="Times New Roman"/>
            <w:noProof/>
            <w:webHidden/>
            <w:sz w:val="24"/>
          </w:rPr>
        </w:r>
        <w:r w:rsidRPr="00DF54B4">
          <w:rPr>
            <w:rFonts w:ascii="Times New Roman" w:hAnsi="Times New Roman"/>
            <w:noProof/>
            <w:webHidden/>
            <w:sz w:val="24"/>
          </w:rPr>
          <w:fldChar w:fldCharType="separate"/>
        </w:r>
        <w:r w:rsidR="004C3FA9" w:rsidRPr="00DF54B4">
          <w:rPr>
            <w:rFonts w:ascii="Times New Roman" w:hAnsi="Times New Roman"/>
            <w:noProof/>
            <w:webHidden/>
            <w:sz w:val="24"/>
          </w:rPr>
          <w:t>1</w:t>
        </w:r>
        <w:r w:rsidRPr="00DF54B4">
          <w:rPr>
            <w:rFonts w:ascii="Times New Roman" w:hAnsi="Times New Roman"/>
            <w:noProof/>
            <w:webHidden/>
            <w:sz w:val="24"/>
          </w:rPr>
          <w:fldChar w:fldCharType="end"/>
        </w:r>
      </w:hyperlink>
    </w:p>
    <w:p w:rsidR="00764096" w:rsidRPr="00DF54B4" w:rsidRDefault="00001AD6" w:rsidP="00493F02">
      <w:pPr>
        <w:pStyle w:val="TOC3"/>
        <w:rPr>
          <w:rFonts w:ascii="Times New Roman" w:eastAsiaTheme="minorEastAsia" w:hAnsi="Times New Roman"/>
          <w:noProof/>
          <w:sz w:val="24"/>
        </w:rPr>
      </w:pPr>
      <w:hyperlink w:anchor="_Toc345082249" w:history="1">
        <w:r w:rsidR="00764096" w:rsidRPr="00DF54B4">
          <w:rPr>
            <w:rStyle w:val="Hyperlink"/>
            <w:rFonts w:ascii="Times New Roman" w:hAnsi="Times New Roman"/>
            <w:noProof/>
            <w:sz w:val="24"/>
          </w:rPr>
          <w:t>B.</w:t>
        </w:r>
        <w:r w:rsidR="00764096" w:rsidRPr="00DF54B4">
          <w:rPr>
            <w:rFonts w:ascii="Times New Roman" w:eastAsiaTheme="minorEastAsia" w:hAnsi="Times New Roman"/>
            <w:noProof/>
            <w:sz w:val="24"/>
          </w:rPr>
          <w:tab/>
        </w:r>
        <w:r w:rsidR="00764096" w:rsidRPr="00DF54B4">
          <w:rPr>
            <w:rStyle w:val="Hyperlink"/>
            <w:rFonts w:ascii="Times New Roman" w:hAnsi="Times New Roman"/>
            <w:noProof/>
            <w:sz w:val="24"/>
          </w:rPr>
          <w:t>Recent Data</w:t>
        </w:r>
        <w:r w:rsidR="00764096" w:rsidRPr="00DF54B4">
          <w:rPr>
            <w:rFonts w:ascii="Times New Roman" w:hAnsi="Times New Roman"/>
            <w:noProof/>
            <w:webHidden/>
            <w:sz w:val="24"/>
          </w:rPr>
          <w:tab/>
        </w:r>
        <w:r w:rsidRPr="00DF54B4">
          <w:rPr>
            <w:rFonts w:ascii="Times New Roman" w:hAnsi="Times New Roman"/>
            <w:noProof/>
            <w:webHidden/>
            <w:sz w:val="24"/>
          </w:rPr>
          <w:fldChar w:fldCharType="begin"/>
        </w:r>
        <w:r w:rsidR="00764096" w:rsidRPr="00DF54B4">
          <w:rPr>
            <w:rFonts w:ascii="Times New Roman" w:hAnsi="Times New Roman"/>
            <w:noProof/>
            <w:webHidden/>
            <w:sz w:val="24"/>
          </w:rPr>
          <w:instrText xml:space="preserve"> PAGEREF _Toc345082249 \h </w:instrText>
        </w:r>
        <w:r w:rsidRPr="00DF54B4">
          <w:rPr>
            <w:rFonts w:ascii="Times New Roman" w:hAnsi="Times New Roman"/>
            <w:noProof/>
            <w:webHidden/>
            <w:sz w:val="24"/>
          </w:rPr>
        </w:r>
        <w:r w:rsidRPr="00DF54B4">
          <w:rPr>
            <w:rFonts w:ascii="Times New Roman" w:hAnsi="Times New Roman"/>
            <w:noProof/>
            <w:webHidden/>
            <w:sz w:val="24"/>
          </w:rPr>
          <w:fldChar w:fldCharType="separate"/>
        </w:r>
        <w:r w:rsidR="004C3FA9" w:rsidRPr="00DF54B4">
          <w:rPr>
            <w:rFonts w:ascii="Times New Roman" w:hAnsi="Times New Roman"/>
            <w:noProof/>
            <w:webHidden/>
            <w:sz w:val="24"/>
          </w:rPr>
          <w:t>1</w:t>
        </w:r>
        <w:r w:rsidRPr="00DF54B4">
          <w:rPr>
            <w:rFonts w:ascii="Times New Roman" w:hAnsi="Times New Roman"/>
            <w:noProof/>
            <w:webHidden/>
            <w:sz w:val="24"/>
          </w:rPr>
          <w:fldChar w:fldCharType="end"/>
        </w:r>
      </w:hyperlink>
    </w:p>
    <w:p w:rsidR="00764096" w:rsidRPr="00DF54B4" w:rsidRDefault="00001AD6">
      <w:pPr>
        <w:pStyle w:val="TOC1"/>
        <w:rPr>
          <w:rFonts w:ascii="Times New Roman" w:eastAsiaTheme="minorEastAsia" w:hAnsi="Times New Roman"/>
          <w:b w:val="0"/>
          <w:noProof/>
          <w:sz w:val="28"/>
          <w:szCs w:val="28"/>
        </w:rPr>
      </w:pPr>
      <w:hyperlink w:anchor="_Toc345082250" w:history="1">
        <w:r w:rsidR="00764096" w:rsidRPr="00DF54B4">
          <w:rPr>
            <w:rStyle w:val="Hyperlink"/>
            <w:rFonts w:ascii="Times New Roman" w:hAnsi="Times New Roman"/>
            <w:noProof/>
            <w:sz w:val="28"/>
            <w:szCs w:val="28"/>
          </w:rPr>
          <w:t>Recommendations for Schools</w:t>
        </w:r>
        <w:r w:rsidR="00D66D50" w:rsidRPr="00DF54B4">
          <w:rPr>
            <w:rStyle w:val="Hyperlink"/>
            <w:rFonts w:ascii="Times New Roman" w:hAnsi="Times New Roman"/>
            <w:noProof/>
            <w:sz w:val="28"/>
            <w:szCs w:val="28"/>
          </w:rPr>
          <w:t xml:space="preserve"> and Districts</w:t>
        </w:r>
        <w:r w:rsidR="00764096" w:rsidRPr="00DF54B4">
          <w:rPr>
            <w:rStyle w:val="Hyperlink"/>
            <w:rFonts w:ascii="Times New Roman" w:hAnsi="Times New Roman"/>
            <w:noProof/>
            <w:sz w:val="28"/>
            <w:szCs w:val="28"/>
          </w:rPr>
          <w:t xml:space="preserve"> on Addressing Teen Dating Violence</w:t>
        </w:r>
        <w:r w:rsidR="00764096" w:rsidRPr="00DF54B4">
          <w:rPr>
            <w:rFonts w:ascii="Times New Roman" w:hAnsi="Times New Roman"/>
            <w:noProof/>
            <w:webHidden/>
            <w:sz w:val="28"/>
            <w:szCs w:val="28"/>
          </w:rPr>
          <w:tab/>
        </w:r>
        <w:r w:rsidRPr="00DF54B4">
          <w:rPr>
            <w:rFonts w:ascii="Times New Roman" w:hAnsi="Times New Roman"/>
            <w:b w:val="0"/>
            <w:noProof/>
            <w:webHidden/>
            <w:sz w:val="28"/>
            <w:szCs w:val="28"/>
          </w:rPr>
          <w:fldChar w:fldCharType="begin"/>
        </w:r>
        <w:r w:rsidR="00764096" w:rsidRPr="00DF54B4">
          <w:rPr>
            <w:rFonts w:ascii="Times New Roman" w:hAnsi="Times New Roman"/>
            <w:b w:val="0"/>
            <w:noProof/>
            <w:webHidden/>
            <w:sz w:val="28"/>
            <w:szCs w:val="28"/>
          </w:rPr>
          <w:instrText xml:space="preserve"> PAGEREF _Toc345082250 \h </w:instrText>
        </w:r>
        <w:r w:rsidRPr="00DF54B4">
          <w:rPr>
            <w:rFonts w:ascii="Times New Roman" w:hAnsi="Times New Roman"/>
            <w:b w:val="0"/>
            <w:noProof/>
            <w:webHidden/>
            <w:sz w:val="28"/>
            <w:szCs w:val="28"/>
          </w:rPr>
        </w:r>
        <w:r w:rsidRPr="00DF54B4">
          <w:rPr>
            <w:rFonts w:ascii="Times New Roman" w:hAnsi="Times New Roman"/>
            <w:b w:val="0"/>
            <w:noProof/>
            <w:webHidden/>
            <w:sz w:val="28"/>
            <w:szCs w:val="28"/>
          </w:rPr>
          <w:fldChar w:fldCharType="separate"/>
        </w:r>
        <w:r w:rsidR="004C3FA9" w:rsidRPr="00DF54B4">
          <w:rPr>
            <w:rFonts w:ascii="Times New Roman" w:hAnsi="Times New Roman"/>
            <w:b w:val="0"/>
            <w:noProof/>
            <w:webHidden/>
            <w:sz w:val="28"/>
            <w:szCs w:val="28"/>
          </w:rPr>
          <w:t>3</w:t>
        </w:r>
        <w:r w:rsidRPr="00DF54B4">
          <w:rPr>
            <w:rFonts w:ascii="Times New Roman" w:hAnsi="Times New Roman"/>
            <w:b w:val="0"/>
            <w:noProof/>
            <w:webHidden/>
            <w:sz w:val="28"/>
            <w:szCs w:val="28"/>
          </w:rPr>
          <w:fldChar w:fldCharType="end"/>
        </w:r>
      </w:hyperlink>
    </w:p>
    <w:p w:rsidR="00764096" w:rsidRPr="00DF54B4" w:rsidRDefault="00001AD6" w:rsidP="00685218">
      <w:pPr>
        <w:pStyle w:val="TOC3"/>
        <w:numPr>
          <w:ilvl w:val="0"/>
          <w:numId w:val="27"/>
        </w:numPr>
        <w:rPr>
          <w:rFonts w:ascii="Times New Roman" w:eastAsiaTheme="minorEastAsia" w:hAnsi="Times New Roman"/>
          <w:noProof/>
          <w:sz w:val="24"/>
        </w:rPr>
      </w:pPr>
      <w:hyperlink w:anchor="_Toc345082251" w:history="1">
        <w:r w:rsidR="002671C1" w:rsidRPr="00DF54B4">
          <w:rPr>
            <w:rStyle w:val="Hyperlink"/>
            <w:rFonts w:ascii="Times New Roman" w:hAnsi="Times New Roman"/>
            <w:noProof/>
            <w:sz w:val="24"/>
          </w:rPr>
          <w:t>Leadership</w:t>
        </w:r>
        <w:r w:rsidR="00764096" w:rsidRPr="00DF54B4">
          <w:rPr>
            <w:rFonts w:ascii="Times New Roman" w:hAnsi="Times New Roman"/>
            <w:noProof/>
            <w:webHidden/>
            <w:sz w:val="24"/>
          </w:rPr>
          <w:tab/>
        </w:r>
        <w:r w:rsidRPr="00DF54B4">
          <w:rPr>
            <w:rFonts w:ascii="Times New Roman" w:hAnsi="Times New Roman"/>
            <w:noProof/>
            <w:webHidden/>
            <w:sz w:val="24"/>
          </w:rPr>
          <w:fldChar w:fldCharType="begin"/>
        </w:r>
        <w:r w:rsidR="00764096" w:rsidRPr="00DF54B4">
          <w:rPr>
            <w:rFonts w:ascii="Times New Roman" w:hAnsi="Times New Roman"/>
            <w:noProof/>
            <w:webHidden/>
            <w:sz w:val="24"/>
          </w:rPr>
          <w:instrText xml:space="preserve"> PAGEREF _Toc345082251 \h </w:instrText>
        </w:r>
        <w:r w:rsidRPr="00DF54B4">
          <w:rPr>
            <w:rFonts w:ascii="Times New Roman" w:hAnsi="Times New Roman"/>
            <w:noProof/>
            <w:webHidden/>
            <w:sz w:val="24"/>
          </w:rPr>
        </w:r>
        <w:r w:rsidRPr="00DF54B4">
          <w:rPr>
            <w:rFonts w:ascii="Times New Roman" w:hAnsi="Times New Roman"/>
            <w:noProof/>
            <w:webHidden/>
            <w:sz w:val="24"/>
          </w:rPr>
          <w:fldChar w:fldCharType="separate"/>
        </w:r>
        <w:r w:rsidR="004C3FA9" w:rsidRPr="00DF54B4">
          <w:rPr>
            <w:rFonts w:ascii="Times New Roman" w:hAnsi="Times New Roman"/>
            <w:noProof/>
            <w:webHidden/>
            <w:sz w:val="24"/>
          </w:rPr>
          <w:t>3</w:t>
        </w:r>
        <w:r w:rsidRPr="00DF54B4">
          <w:rPr>
            <w:rFonts w:ascii="Times New Roman" w:hAnsi="Times New Roman"/>
            <w:noProof/>
            <w:webHidden/>
            <w:sz w:val="24"/>
          </w:rPr>
          <w:fldChar w:fldCharType="end"/>
        </w:r>
      </w:hyperlink>
    </w:p>
    <w:p w:rsidR="00764096" w:rsidRPr="00DF54B4" w:rsidRDefault="00001AD6" w:rsidP="00685218">
      <w:pPr>
        <w:pStyle w:val="TOC3"/>
        <w:numPr>
          <w:ilvl w:val="0"/>
          <w:numId w:val="27"/>
        </w:numPr>
        <w:rPr>
          <w:rFonts w:ascii="Times New Roman" w:eastAsiaTheme="minorEastAsia" w:hAnsi="Times New Roman"/>
          <w:noProof/>
          <w:sz w:val="24"/>
        </w:rPr>
      </w:pPr>
      <w:hyperlink w:anchor="_Toc345082252" w:history="1">
        <w:r w:rsidR="002671C1" w:rsidRPr="00DF54B4">
          <w:rPr>
            <w:rStyle w:val="Hyperlink"/>
            <w:rFonts w:ascii="Times New Roman" w:hAnsi="Times New Roman"/>
            <w:noProof/>
            <w:sz w:val="24"/>
          </w:rPr>
          <w:t>Training and Professional Development</w:t>
        </w:r>
        <w:r w:rsidR="00764096" w:rsidRPr="00DF54B4">
          <w:rPr>
            <w:rFonts w:ascii="Times New Roman" w:hAnsi="Times New Roman"/>
            <w:noProof/>
            <w:webHidden/>
            <w:sz w:val="24"/>
          </w:rPr>
          <w:tab/>
        </w:r>
        <w:r w:rsidRPr="00DF54B4">
          <w:rPr>
            <w:rFonts w:ascii="Times New Roman" w:hAnsi="Times New Roman"/>
            <w:noProof/>
            <w:webHidden/>
            <w:sz w:val="24"/>
          </w:rPr>
          <w:fldChar w:fldCharType="begin"/>
        </w:r>
        <w:r w:rsidR="00764096" w:rsidRPr="00DF54B4">
          <w:rPr>
            <w:rFonts w:ascii="Times New Roman" w:hAnsi="Times New Roman"/>
            <w:noProof/>
            <w:webHidden/>
            <w:sz w:val="24"/>
          </w:rPr>
          <w:instrText xml:space="preserve"> PAGEREF _Toc345082252 \h </w:instrText>
        </w:r>
        <w:r w:rsidRPr="00DF54B4">
          <w:rPr>
            <w:rFonts w:ascii="Times New Roman" w:hAnsi="Times New Roman"/>
            <w:noProof/>
            <w:webHidden/>
            <w:sz w:val="24"/>
          </w:rPr>
        </w:r>
        <w:r w:rsidRPr="00DF54B4">
          <w:rPr>
            <w:rFonts w:ascii="Times New Roman" w:hAnsi="Times New Roman"/>
            <w:noProof/>
            <w:webHidden/>
            <w:sz w:val="24"/>
          </w:rPr>
          <w:fldChar w:fldCharType="separate"/>
        </w:r>
        <w:r w:rsidR="004C3FA9" w:rsidRPr="00DF54B4">
          <w:rPr>
            <w:rFonts w:ascii="Times New Roman" w:hAnsi="Times New Roman"/>
            <w:noProof/>
            <w:webHidden/>
            <w:sz w:val="24"/>
          </w:rPr>
          <w:t>3</w:t>
        </w:r>
        <w:r w:rsidRPr="00DF54B4">
          <w:rPr>
            <w:rFonts w:ascii="Times New Roman" w:hAnsi="Times New Roman"/>
            <w:noProof/>
            <w:webHidden/>
            <w:sz w:val="24"/>
          </w:rPr>
          <w:fldChar w:fldCharType="end"/>
        </w:r>
      </w:hyperlink>
    </w:p>
    <w:p w:rsidR="00764096" w:rsidRPr="00DF54B4" w:rsidRDefault="00001AD6" w:rsidP="00685218">
      <w:pPr>
        <w:pStyle w:val="TOC3"/>
        <w:numPr>
          <w:ilvl w:val="0"/>
          <w:numId w:val="27"/>
        </w:numPr>
        <w:rPr>
          <w:rFonts w:ascii="Times New Roman" w:eastAsiaTheme="minorEastAsia" w:hAnsi="Times New Roman"/>
          <w:noProof/>
          <w:sz w:val="24"/>
        </w:rPr>
      </w:pPr>
      <w:hyperlink w:anchor="_Toc345082253" w:history="1">
        <w:r w:rsidR="002671C1" w:rsidRPr="00DF54B4">
          <w:rPr>
            <w:rFonts w:ascii="Times New Roman" w:eastAsiaTheme="minorEastAsia" w:hAnsi="Times New Roman"/>
            <w:noProof/>
            <w:sz w:val="24"/>
          </w:rPr>
          <w:t>Access to Resources and Services</w:t>
        </w:r>
        <w:r w:rsidR="00764096" w:rsidRPr="00DF54B4">
          <w:rPr>
            <w:rFonts w:ascii="Times New Roman" w:hAnsi="Times New Roman"/>
            <w:noProof/>
            <w:webHidden/>
            <w:sz w:val="24"/>
          </w:rPr>
          <w:tab/>
        </w:r>
        <w:r w:rsidRPr="00DF54B4">
          <w:rPr>
            <w:rFonts w:ascii="Times New Roman" w:hAnsi="Times New Roman"/>
            <w:noProof/>
            <w:webHidden/>
            <w:sz w:val="24"/>
          </w:rPr>
          <w:fldChar w:fldCharType="begin"/>
        </w:r>
        <w:r w:rsidR="00764096" w:rsidRPr="00DF54B4">
          <w:rPr>
            <w:rFonts w:ascii="Times New Roman" w:hAnsi="Times New Roman"/>
            <w:noProof/>
            <w:webHidden/>
            <w:sz w:val="24"/>
          </w:rPr>
          <w:instrText xml:space="preserve"> PAGEREF _Toc345082253 \h </w:instrText>
        </w:r>
        <w:r w:rsidRPr="00DF54B4">
          <w:rPr>
            <w:rFonts w:ascii="Times New Roman" w:hAnsi="Times New Roman"/>
            <w:noProof/>
            <w:webHidden/>
            <w:sz w:val="24"/>
          </w:rPr>
        </w:r>
        <w:r w:rsidRPr="00DF54B4">
          <w:rPr>
            <w:rFonts w:ascii="Times New Roman" w:hAnsi="Times New Roman"/>
            <w:noProof/>
            <w:webHidden/>
            <w:sz w:val="24"/>
          </w:rPr>
          <w:fldChar w:fldCharType="separate"/>
        </w:r>
        <w:r w:rsidR="004C3FA9" w:rsidRPr="00DF54B4">
          <w:rPr>
            <w:rFonts w:ascii="Times New Roman" w:hAnsi="Times New Roman"/>
            <w:noProof/>
            <w:webHidden/>
            <w:sz w:val="24"/>
          </w:rPr>
          <w:t>3</w:t>
        </w:r>
        <w:r w:rsidRPr="00DF54B4">
          <w:rPr>
            <w:rFonts w:ascii="Times New Roman" w:hAnsi="Times New Roman"/>
            <w:noProof/>
            <w:webHidden/>
            <w:sz w:val="24"/>
          </w:rPr>
          <w:fldChar w:fldCharType="end"/>
        </w:r>
      </w:hyperlink>
    </w:p>
    <w:p w:rsidR="00764096" w:rsidRPr="00DF54B4" w:rsidRDefault="00001AD6" w:rsidP="00685218">
      <w:pPr>
        <w:pStyle w:val="TOC3"/>
        <w:numPr>
          <w:ilvl w:val="0"/>
          <w:numId w:val="27"/>
        </w:numPr>
        <w:rPr>
          <w:rFonts w:ascii="Times New Roman" w:eastAsiaTheme="minorEastAsia" w:hAnsi="Times New Roman"/>
          <w:noProof/>
          <w:sz w:val="24"/>
        </w:rPr>
      </w:pPr>
      <w:hyperlink w:anchor="_Toc345082254" w:history="1">
        <w:r w:rsidR="00764096" w:rsidRPr="00DF54B4">
          <w:rPr>
            <w:rStyle w:val="Hyperlink"/>
            <w:rFonts w:ascii="Times New Roman" w:hAnsi="Times New Roman"/>
            <w:noProof/>
            <w:sz w:val="24"/>
          </w:rPr>
          <w:t>A</w:t>
        </w:r>
        <w:r w:rsidR="002671C1" w:rsidRPr="00DF54B4">
          <w:rPr>
            <w:rStyle w:val="Hyperlink"/>
            <w:rFonts w:ascii="Times New Roman" w:hAnsi="Times New Roman"/>
            <w:noProof/>
            <w:sz w:val="24"/>
          </w:rPr>
          <w:t>cademic</w:t>
        </w:r>
        <w:r w:rsidR="00764096" w:rsidRPr="00DF54B4">
          <w:rPr>
            <w:rStyle w:val="Hyperlink"/>
            <w:rFonts w:ascii="Times New Roman" w:hAnsi="Times New Roman"/>
            <w:noProof/>
            <w:sz w:val="24"/>
          </w:rPr>
          <w:t xml:space="preserve"> </w:t>
        </w:r>
        <w:r w:rsidR="002671C1" w:rsidRPr="00DF54B4">
          <w:rPr>
            <w:rStyle w:val="Hyperlink"/>
            <w:rFonts w:ascii="Times New Roman" w:hAnsi="Times New Roman"/>
            <w:noProof/>
            <w:sz w:val="24"/>
          </w:rPr>
          <w:t xml:space="preserve">and </w:t>
        </w:r>
        <w:r w:rsidR="00764096" w:rsidRPr="00DF54B4">
          <w:rPr>
            <w:rStyle w:val="Hyperlink"/>
            <w:rFonts w:ascii="Times New Roman" w:hAnsi="Times New Roman"/>
            <w:noProof/>
            <w:sz w:val="24"/>
          </w:rPr>
          <w:t>N</w:t>
        </w:r>
        <w:r w:rsidR="002671C1" w:rsidRPr="00DF54B4">
          <w:rPr>
            <w:rStyle w:val="Hyperlink"/>
            <w:rFonts w:ascii="Times New Roman" w:hAnsi="Times New Roman"/>
            <w:noProof/>
            <w:sz w:val="24"/>
          </w:rPr>
          <w:t>on-academic</w:t>
        </w:r>
        <w:r w:rsidR="00764096" w:rsidRPr="00DF54B4">
          <w:rPr>
            <w:rStyle w:val="Hyperlink"/>
            <w:rFonts w:ascii="Times New Roman" w:hAnsi="Times New Roman"/>
            <w:noProof/>
            <w:sz w:val="24"/>
          </w:rPr>
          <w:t xml:space="preserve"> A</w:t>
        </w:r>
        <w:r w:rsidR="002671C1" w:rsidRPr="00DF54B4">
          <w:rPr>
            <w:rStyle w:val="Hyperlink"/>
            <w:rFonts w:ascii="Times New Roman" w:hAnsi="Times New Roman"/>
            <w:noProof/>
            <w:sz w:val="24"/>
          </w:rPr>
          <w:t>ctivities</w:t>
        </w:r>
        <w:r w:rsidR="00764096" w:rsidRPr="00DF54B4">
          <w:rPr>
            <w:rFonts w:ascii="Times New Roman" w:hAnsi="Times New Roman"/>
            <w:noProof/>
            <w:webHidden/>
            <w:sz w:val="24"/>
          </w:rPr>
          <w:tab/>
        </w:r>
        <w:r w:rsidRPr="00DF54B4">
          <w:rPr>
            <w:rFonts w:ascii="Times New Roman" w:hAnsi="Times New Roman"/>
            <w:noProof/>
            <w:webHidden/>
            <w:sz w:val="24"/>
          </w:rPr>
          <w:fldChar w:fldCharType="begin"/>
        </w:r>
        <w:r w:rsidR="00764096" w:rsidRPr="00DF54B4">
          <w:rPr>
            <w:rFonts w:ascii="Times New Roman" w:hAnsi="Times New Roman"/>
            <w:noProof/>
            <w:webHidden/>
            <w:sz w:val="24"/>
          </w:rPr>
          <w:instrText xml:space="preserve"> PAGEREF _Toc345082254 \h </w:instrText>
        </w:r>
        <w:r w:rsidRPr="00DF54B4">
          <w:rPr>
            <w:rFonts w:ascii="Times New Roman" w:hAnsi="Times New Roman"/>
            <w:noProof/>
            <w:webHidden/>
            <w:sz w:val="24"/>
          </w:rPr>
        </w:r>
        <w:r w:rsidRPr="00DF54B4">
          <w:rPr>
            <w:rFonts w:ascii="Times New Roman" w:hAnsi="Times New Roman"/>
            <w:noProof/>
            <w:webHidden/>
            <w:sz w:val="24"/>
          </w:rPr>
          <w:fldChar w:fldCharType="separate"/>
        </w:r>
        <w:r w:rsidR="004C3FA9" w:rsidRPr="00DF54B4">
          <w:rPr>
            <w:rFonts w:ascii="Times New Roman" w:hAnsi="Times New Roman"/>
            <w:noProof/>
            <w:webHidden/>
            <w:sz w:val="24"/>
          </w:rPr>
          <w:t>4</w:t>
        </w:r>
        <w:r w:rsidRPr="00DF54B4">
          <w:rPr>
            <w:rFonts w:ascii="Times New Roman" w:hAnsi="Times New Roman"/>
            <w:noProof/>
            <w:webHidden/>
            <w:sz w:val="24"/>
          </w:rPr>
          <w:fldChar w:fldCharType="end"/>
        </w:r>
      </w:hyperlink>
    </w:p>
    <w:p w:rsidR="00764096" w:rsidRPr="00DF54B4" w:rsidRDefault="00001AD6" w:rsidP="00685218">
      <w:pPr>
        <w:pStyle w:val="TOC3"/>
        <w:numPr>
          <w:ilvl w:val="0"/>
          <w:numId w:val="27"/>
        </w:numPr>
        <w:rPr>
          <w:rFonts w:ascii="Times New Roman" w:eastAsiaTheme="minorEastAsia" w:hAnsi="Times New Roman"/>
          <w:noProof/>
          <w:sz w:val="24"/>
        </w:rPr>
      </w:pPr>
      <w:hyperlink w:anchor="_Toc345082255" w:history="1">
        <w:r w:rsidR="00764096" w:rsidRPr="00DF54B4">
          <w:rPr>
            <w:rStyle w:val="Hyperlink"/>
            <w:rFonts w:ascii="Times New Roman" w:hAnsi="Times New Roman"/>
            <w:noProof/>
            <w:sz w:val="24"/>
          </w:rPr>
          <w:t>P</w:t>
        </w:r>
        <w:r w:rsidR="002671C1" w:rsidRPr="00DF54B4">
          <w:rPr>
            <w:rStyle w:val="Hyperlink"/>
            <w:rFonts w:ascii="Times New Roman" w:hAnsi="Times New Roman"/>
            <w:noProof/>
            <w:sz w:val="24"/>
          </w:rPr>
          <w:t>olicies</w:t>
        </w:r>
        <w:r w:rsidR="00764096" w:rsidRPr="00DF54B4">
          <w:rPr>
            <w:rStyle w:val="Hyperlink"/>
            <w:rFonts w:ascii="Times New Roman" w:hAnsi="Times New Roman"/>
            <w:noProof/>
            <w:sz w:val="24"/>
          </w:rPr>
          <w:t xml:space="preserve"> </w:t>
        </w:r>
        <w:r w:rsidR="002671C1" w:rsidRPr="00DF54B4">
          <w:rPr>
            <w:rStyle w:val="Hyperlink"/>
            <w:rFonts w:ascii="Times New Roman" w:hAnsi="Times New Roman"/>
            <w:noProof/>
            <w:sz w:val="24"/>
          </w:rPr>
          <w:t xml:space="preserve">and </w:t>
        </w:r>
        <w:r w:rsidR="00764096" w:rsidRPr="00DF54B4">
          <w:rPr>
            <w:rStyle w:val="Hyperlink"/>
            <w:rFonts w:ascii="Times New Roman" w:hAnsi="Times New Roman"/>
            <w:noProof/>
            <w:sz w:val="24"/>
          </w:rPr>
          <w:t>P</w:t>
        </w:r>
        <w:r w:rsidR="00EA7207" w:rsidRPr="00DF54B4">
          <w:rPr>
            <w:rStyle w:val="Hyperlink"/>
            <w:rFonts w:ascii="Times New Roman" w:hAnsi="Times New Roman"/>
            <w:noProof/>
            <w:sz w:val="24"/>
          </w:rPr>
          <w:t>rocedures</w:t>
        </w:r>
        <w:r w:rsidR="00764096" w:rsidRPr="00DF54B4">
          <w:rPr>
            <w:rStyle w:val="Hyperlink"/>
            <w:rFonts w:ascii="Times New Roman" w:hAnsi="Times New Roman"/>
            <w:noProof/>
            <w:sz w:val="24"/>
          </w:rPr>
          <w:t xml:space="preserve"> </w:t>
        </w:r>
        <w:r w:rsidR="00EA7207" w:rsidRPr="00DF54B4">
          <w:rPr>
            <w:rStyle w:val="Hyperlink"/>
            <w:rFonts w:ascii="Times New Roman" w:hAnsi="Times New Roman"/>
            <w:noProof/>
            <w:sz w:val="24"/>
          </w:rPr>
          <w:t>for</w:t>
        </w:r>
        <w:r w:rsidR="00764096" w:rsidRPr="00DF54B4">
          <w:rPr>
            <w:rStyle w:val="Hyperlink"/>
            <w:rFonts w:ascii="Times New Roman" w:hAnsi="Times New Roman"/>
            <w:noProof/>
            <w:sz w:val="24"/>
          </w:rPr>
          <w:t xml:space="preserve"> R</w:t>
        </w:r>
        <w:r w:rsidR="00EA7207" w:rsidRPr="00DF54B4">
          <w:rPr>
            <w:rStyle w:val="Hyperlink"/>
            <w:rFonts w:ascii="Times New Roman" w:hAnsi="Times New Roman"/>
            <w:noProof/>
            <w:sz w:val="24"/>
          </w:rPr>
          <w:t>eporting and Responding to Teen Dating Violence</w:t>
        </w:r>
        <w:r w:rsidR="00764096" w:rsidRPr="00DF54B4">
          <w:rPr>
            <w:rFonts w:ascii="Times New Roman" w:hAnsi="Times New Roman"/>
            <w:noProof/>
            <w:webHidden/>
            <w:sz w:val="24"/>
          </w:rPr>
          <w:tab/>
        </w:r>
        <w:r w:rsidRPr="00DF54B4">
          <w:rPr>
            <w:rFonts w:ascii="Times New Roman" w:hAnsi="Times New Roman"/>
            <w:noProof/>
            <w:webHidden/>
            <w:sz w:val="24"/>
          </w:rPr>
          <w:fldChar w:fldCharType="begin"/>
        </w:r>
        <w:r w:rsidR="00764096" w:rsidRPr="00DF54B4">
          <w:rPr>
            <w:rFonts w:ascii="Times New Roman" w:hAnsi="Times New Roman"/>
            <w:noProof/>
            <w:webHidden/>
            <w:sz w:val="24"/>
          </w:rPr>
          <w:instrText xml:space="preserve"> PAGEREF _Toc345082255 \h </w:instrText>
        </w:r>
        <w:r w:rsidRPr="00DF54B4">
          <w:rPr>
            <w:rFonts w:ascii="Times New Roman" w:hAnsi="Times New Roman"/>
            <w:noProof/>
            <w:webHidden/>
            <w:sz w:val="24"/>
          </w:rPr>
        </w:r>
        <w:r w:rsidRPr="00DF54B4">
          <w:rPr>
            <w:rFonts w:ascii="Times New Roman" w:hAnsi="Times New Roman"/>
            <w:noProof/>
            <w:webHidden/>
            <w:sz w:val="24"/>
          </w:rPr>
          <w:fldChar w:fldCharType="separate"/>
        </w:r>
        <w:r w:rsidR="004C3FA9" w:rsidRPr="00DF54B4">
          <w:rPr>
            <w:rFonts w:ascii="Times New Roman" w:hAnsi="Times New Roman"/>
            <w:noProof/>
            <w:webHidden/>
            <w:sz w:val="24"/>
          </w:rPr>
          <w:t>4</w:t>
        </w:r>
        <w:r w:rsidRPr="00DF54B4">
          <w:rPr>
            <w:rFonts w:ascii="Times New Roman" w:hAnsi="Times New Roman"/>
            <w:noProof/>
            <w:webHidden/>
            <w:sz w:val="24"/>
          </w:rPr>
          <w:fldChar w:fldCharType="end"/>
        </w:r>
      </w:hyperlink>
    </w:p>
    <w:p w:rsidR="00764096" w:rsidRPr="00DF54B4" w:rsidRDefault="00001AD6" w:rsidP="00685218">
      <w:pPr>
        <w:pStyle w:val="TOC3"/>
        <w:numPr>
          <w:ilvl w:val="0"/>
          <w:numId w:val="27"/>
        </w:numPr>
        <w:rPr>
          <w:rFonts w:ascii="Times New Roman" w:eastAsiaTheme="minorEastAsia" w:hAnsi="Times New Roman"/>
          <w:noProof/>
          <w:sz w:val="24"/>
        </w:rPr>
      </w:pPr>
      <w:hyperlink w:anchor="_Toc345082256" w:history="1">
        <w:r w:rsidR="00EA7207" w:rsidRPr="00DF54B4">
          <w:rPr>
            <w:rFonts w:ascii="Times New Roman" w:eastAsiaTheme="minorEastAsia" w:hAnsi="Times New Roman"/>
            <w:noProof/>
            <w:sz w:val="24"/>
          </w:rPr>
          <w:t>Collaboration with Families</w:t>
        </w:r>
        <w:r w:rsidR="00764096" w:rsidRPr="00DF54B4">
          <w:rPr>
            <w:rFonts w:ascii="Times New Roman" w:hAnsi="Times New Roman"/>
            <w:noProof/>
            <w:webHidden/>
            <w:sz w:val="24"/>
          </w:rPr>
          <w:tab/>
        </w:r>
        <w:r w:rsidRPr="00DF54B4">
          <w:rPr>
            <w:rFonts w:ascii="Times New Roman" w:hAnsi="Times New Roman"/>
            <w:noProof/>
            <w:webHidden/>
            <w:sz w:val="24"/>
          </w:rPr>
          <w:fldChar w:fldCharType="begin"/>
        </w:r>
        <w:r w:rsidR="00764096" w:rsidRPr="00DF54B4">
          <w:rPr>
            <w:rFonts w:ascii="Times New Roman" w:hAnsi="Times New Roman"/>
            <w:noProof/>
            <w:webHidden/>
            <w:sz w:val="24"/>
          </w:rPr>
          <w:instrText xml:space="preserve"> PAGEREF _Toc345082256 \h </w:instrText>
        </w:r>
        <w:r w:rsidRPr="00DF54B4">
          <w:rPr>
            <w:rFonts w:ascii="Times New Roman" w:hAnsi="Times New Roman"/>
            <w:noProof/>
            <w:webHidden/>
            <w:sz w:val="24"/>
          </w:rPr>
        </w:r>
        <w:r w:rsidRPr="00DF54B4">
          <w:rPr>
            <w:rFonts w:ascii="Times New Roman" w:hAnsi="Times New Roman"/>
            <w:noProof/>
            <w:webHidden/>
            <w:sz w:val="24"/>
          </w:rPr>
          <w:fldChar w:fldCharType="separate"/>
        </w:r>
        <w:r w:rsidR="004C3FA9" w:rsidRPr="00DF54B4">
          <w:rPr>
            <w:rFonts w:ascii="Times New Roman" w:hAnsi="Times New Roman"/>
            <w:noProof/>
            <w:webHidden/>
            <w:sz w:val="24"/>
          </w:rPr>
          <w:t>6</w:t>
        </w:r>
        <w:r w:rsidRPr="00DF54B4">
          <w:rPr>
            <w:rFonts w:ascii="Times New Roman" w:hAnsi="Times New Roman"/>
            <w:noProof/>
            <w:webHidden/>
            <w:sz w:val="24"/>
          </w:rPr>
          <w:fldChar w:fldCharType="end"/>
        </w:r>
      </w:hyperlink>
    </w:p>
    <w:p w:rsidR="00764096" w:rsidRPr="00DF54B4" w:rsidRDefault="00001AD6" w:rsidP="00685218">
      <w:pPr>
        <w:pStyle w:val="TOC3"/>
        <w:numPr>
          <w:ilvl w:val="0"/>
          <w:numId w:val="27"/>
        </w:numPr>
        <w:rPr>
          <w:rFonts w:ascii="Times New Roman" w:eastAsiaTheme="minorEastAsia" w:hAnsi="Times New Roman"/>
          <w:noProof/>
          <w:sz w:val="24"/>
        </w:rPr>
      </w:pPr>
      <w:hyperlink w:anchor="_Toc345082257" w:history="1">
        <w:r w:rsidR="00764096" w:rsidRPr="00DF54B4">
          <w:rPr>
            <w:rStyle w:val="Hyperlink"/>
            <w:rFonts w:ascii="Times New Roman" w:hAnsi="Times New Roman"/>
            <w:noProof/>
            <w:sz w:val="24"/>
          </w:rPr>
          <w:t>P</w:t>
        </w:r>
        <w:r w:rsidR="00EA7207" w:rsidRPr="00DF54B4">
          <w:rPr>
            <w:rStyle w:val="Hyperlink"/>
            <w:rFonts w:ascii="Times New Roman" w:hAnsi="Times New Roman"/>
            <w:noProof/>
            <w:sz w:val="24"/>
          </w:rPr>
          <w:t>rohibition Against Teen Dating Violence</w:t>
        </w:r>
        <w:r w:rsidR="00764096" w:rsidRPr="00DF54B4">
          <w:rPr>
            <w:rFonts w:ascii="Times New Roman" w:hAnsi="Times New Roman"/>
            <w:noProof/>
            <w:webHidden/>
            <w:sz w:val="24"/>
          </w:rPr>
          <w:tab/>
        </w:r>
        <w:r w:rsidRPr="00DF54B4">
          <w:rPr>
            <w:rFonts w:ascii="Times New Roman" w:hAnsi="Times New Roman"/>
            <w:noProof/>
            <w:webHidden/>
            <w:sz w:val="24"/>
          </w:rPr>
          <w:fldChar w:fldCharType="begin"/>
        </w:r>
        <w:r w:rsidR="00764096" w:rsidRPr="00DF54B4">
          <w:rPr>
            <w:rFonts w:ascii="Times New Roman" w:hAnsi="Times New Roman"/>
            <w:noProof/>
            <w:webHidden/>
            <w:sz w:val="24"/>
          </w:rPr>
          <w:instrText xml:space="preserve"> PAGEREF _Toc345082257 \h </w:instrText>
        </w:r>
        <w:r w:rsidRPr="00DF54B4">
          <w:rPr>
            <w:rFonts w:ascii="Times New Roman" w:hAnsi="Times New Roman"/>
            <w:noProof/>
            <w:webHidden/>
            <w:sz w:val="24"/>
          </w:rPr>
        </w:r>
        <w:r w:rsidRPr="00DF54B4">
          <w:rPr>
            <w:rFonts w:ascii="Times New Roman" w:hAnsi="Times New Roman"/>
            <w:noProof/>
            <w:webHidden/>
            <w:sz w:val="24"/>
          </w:rPr>
          <w:fldChar w:fldCharType="separate"/>
        </w:r>
        <w:r w:rsidR="004C3FA9" w:rsidRPr="00DF54B4">
          <w:rPr>
            <w:rFonts w:ascii="Times New Roman" w:hAnsi="Times New Roman"/>
            <w:noProof/>
            <w:webHidden/>
            <w:sz w:val="24"/>
          </w:rPr>
          <w:t>6</w:t>
        </w:r>
        <w:r w:rsidRPr="00DF54B4">
          <w:rPr>
            <w:rFonts w:ascii="Times New Roman" w:hAnsi="Times New Roman"/>
            <w:noProof/>
            <w:webHidden/>
            <w:sz w:val="24"/>
          </w:rPr>
          <w:fldChar w:fldCharType="end"/>
        </w:r>
      </w:hyperlink>
    </w:p>
    <w:p w:rsidR="00764096" w:rsidRPr="00DF54B4" w:rsidRDefault="00001AD6" w:rsidP="00685218">
      <w:pPr>
        <w:pStyle w:val="TOC3"/>
        <w:numPr>
          <w:ilvl w:val="0"/>
          <w:numId w:val="27"/>
        </w:numPr>
        <w:rPr>
          <w:rFonts w:ascii="Times New Roman" w:eastAsiaTheme="minorEastAsia" w:hAnsi="Times New Roman"/>
          <w:noProof/>
          <w:sz w:val="24"/>
        </w:rPr>
      </w:pPr>
      <w:hyperlink w:anchor="_Toc345082258" w:history="1">
        <w:r w:rsidR="00D66D50" w:rsidRPr="00DF54B4">
          <w:rPr>
            <w:rStyle w:val="Hyperlink"/>
            <w:rFonts w:ascii="Times New Roman" w:hAnsi="Times New Roman"/>
            <w:noProof/>
            <w:sz w:val="24"/>
          </w:rPr>
          <w:t>T</w:t>
        </w:r>
        <w:r w:rsidR="00EA7207" w:rsidRPr="00DF54B4">
          <w:rPr>
            <w:rStyle w:val="Hyperlink"/>
            <w:rFonts w:ascii="Times New Roman" w:hAnsi="Times New Roman"/>
            <w:noProof/>
            <w:sz w:val="24"/>
          </w:rPr>
          <w:t>erms</w:t>
        </w:r>
        <w:r w:rsidR="00764096" w:rsidRPr="00DF54B4">
          <w:rPr>
            <w:rFonts w:ascii="Times New Roman" w:hAnsi="Times New Roman"/>
            <w:noProof/>
            <w:webHidden/>
            <w:sz w:val="24"/>
          </w:rPr>
          <w:tab/>
        </w:r>
        <w:r w:rsidRPr="00DF54B4">
          <w:rPr>
            <w:rFonts w:ascii="Times New Roman" w:hAnsi="Times New Roman"/>
            <w:noProof/>
            <w:webHidden/>
            <w:sz w:val="24"/>
          </w:rPr>
          <w:fldChar w:fldCharType="begin"/>
        </w:r>
        <w:r w:rsidR="00764096" w:rsidRPr="00DF54B4">
          <w:rPr>
            <w:rFonts w:ascii="Times New Roman" w:hAnsi="Times New Roman"/>
            <w:noProof/>
            <w:webHidden/>
            <w:sz w:val="24"/>
          </w:rPr>
          <w:instrText xml:space="preserve"> PAGEREF _Toc345082258 \h </w:instrText>
        </w:r>
        <w:r w:rsidRPr="00DF54B4">
          <w:rPr>
            <w:rFonts w:ascii="Times New Roman" w:hAnsi="Times New Roman"/>
            <w:noProof/>
            <w:webHidden/>
            <w:sz w:val="24"/>
          </w:rPr>
        </w:r>
        <w:r w:rsidRPr="00DF54B4">
          <w:rPr>
            <w:rFonts w:ascii="Times New Roman" w:hAnsi="Times New Roman"/>
            <w:noProof/>
            <w:webHidden/>
            <w:sz w:val="24"/>
          </w:rPr>
          <w:fldChar w:fldCharType="separate"/>
        </w:r>
        <w:r w:rsidR="004C3FA9" w:rsidRPr="00DF54B4">
          <w:rPr>
            <w:rFonts w:ascii="Times New Roman" w:hAnsi="Times New Roman"/>
            <w:noProof/>
            <w:webHidden/>
            <w:sz w:val="24"/>
          </w:rPr>
          <w:t>6</w:t>
        </w:r>
        <w:r w:rsidRPr="00DF54B4">
          <w:rPr>
            <w:rFonts w:ascii="Times New Roman" w:hAnsi="Times New Roman"/>
            <w:noProof/>
            <w:webHidden/>
            <w:sz w:val="24"/>
          </w:rPr>
          <w:fldChar w:fldCharType="end"/>
        </w:r>
      </w:hyperlink>
    </w:p>
    <w:p w:rsidR="00764096" w:rsidRPr="00DF54B4" w:rsidRDefault="00001AD6" w:rsidP="00685218">
      <w:pPr>
        <w:pStyle w:val="TOC3"/>
        <w:numPr>
          <w:ilvl w:val="0"/>
          <w:numId w:val="27"/>
        </w:numPr>
        <w:rPr>
          <w:rFonts w:ascii="Times New Roman" w:eastAsiaTheme="minorEastAsia" w:hAnsi="Times New Roman"/>
          <w:noProof/>
          <w:sz w:val="24"/>
        </w:rPr>
      </w:pPr>
      <w:hyperlink w:anchor="_Toc345082259" w:history="1">
        <w:r w:rsidR="00764096" w:rsidRPr="00DF54B4">
          <w:rPr>
            <w:rStyle w:val="Hyperlink"/>
            <w:rFonts w:ascii="Times New Roman" w:hAnsi="Times New Roman"/>
            <w:noProof/>
            <w:sz w:val="24"/>
          </w:rPr>
          <w:t>R</w:t>
        </w:r>
        <w:r w:rsidR="00EA7207" w:rsidRPr="00DF54B4">
          <w:rPr>
            <w:rStyle w:val="Hyperlink"/>
            <w:rFonts w:ascii="Times New Roman" w:hAnsi="Times New Roman"/>
            <w:noProof/>
            <w:sz w:val="24"/>
          </w:rPr>
          <w:t>elationship to Other Laws</w:t>
        </w:r>
        <w:r w:rsidR="00764096" w:rsidRPr="00DF54B4">
          <w:rPr>
            <w:rFonts w:ascii="Times New Roman" w:hAnsi="Times New Roman"/>
            <w:noProof/>
            <w:webHidden/>
            <w:sz w:val="24"/>
          </w:rPr>
          <w:tab/>
        </w:r>
        <w:r w:rsidRPr="00DF54B4">
          <w:rPr>
            <w:rFonts w:ascii="Times New Roman" w:hAnsi="Times New Roman"/>
            <w:noProof/>
            <w:webHidden/>
            <w:sz w:val="24"/>
          </w:rPr>
          <w:fldChar w:fldCharType="begin"/>
        </w:r>
        <w:r w:rsidR="00764096" w:rsidRPr="00DF54B4">
          <w:rPr>
            <w:rFonts w:ascii="Times New Roman" w:hAnsi="Times New Roman"/>
            <w:noProof/>
            <w:webHidden/>
            <w:sz w:val="24"/>
          </w:rPr>
          <w:instrText xml:space="preserve"> PAGEREF _Toc345082259 \h </w:instrText>
        </w:r>
        <w:r w:rsidRPr="00DF54B4">
          <w:rPr>
            <w:rFonts w:ascii="Times New Roman" w:hAnsi="Times New Roman"/>
            <w:noProof/>
            <w:webHidden/>
            <w:sz w:val="24"/>
          </w:rPr>
        </w:r>
        <w:r w:rsidRPr="00DF54B4">
          <w:rPr>
            <w:rFonts w:ascii="Times New Roman" w:hAnsi="Times New Roman"/>
            <w:noProof/>
            <w:webHidden/>
            <w:sz w:val="24"/>
          </w:rPr>
          <w:fldChar w:fldCharType="separate"/>
        </w:r>
        <w:r w:rsidR="004C3FA9" w:rsidRPr="00DF54B4">
          <w:rPr>
            <w:rFonts w:ascii="Times New Roman" w:hAnsi="Times New Roman"/>
            <w:noProof/>
            <w:webHidden/>
            <w:sz w:val="24"/>
          </w:rPr>
          <w:t>10</w:t>
        </w:r>
        <w:r w:rsidRPr="00DF54B4">
          <w:rPr>
            <w:rFonts w:ascii="Times New Roman" w:hAnsi="Times New Roman"/>
            <w:noProof/>
            <w:webHidden/>
            <w:sz w:val="24"/>
          </w:rPr>
          <w:fldChar w:fldCharType="end"/>
        </w:r>
      </w:hyperlink>
    </w:p>
    <w:p w:rsidR="003F3636" w:rsidRPr="00D91CA7" w:rsidRDefault="00001AD6">
      <w:r w:rsidRPr="00D91CA7">
        <w:fldChar w:fldCharType="end"/>
      </w:r>
    </w:p>
    <w:p w:rsidR="003F3636" w:rsidRPr="00D91CA7" w:rsidRDefault="003F3636"/>
    <w:p w:rsidR="003F3636" w:rsidRPr="00D91CA7" w:rsidRDefault="003F3636"/>
    <w:p w:rsidR="00FD2C86" w:rsidRPr="00D91CA7" w:rsidRDefault="00FD2C86">
      <w:pPr>
        <w:sectPr w:rsidR="00FD2C86" w:rsidRPr="00D91CA7" w:rsidSect="00B56D50">
          <w:headerReference w:type="even" r:id="rId10"/>
          <w:headerReference w:type="default" r:id="rId11"/>
          <w:headerReference w:type="first" r:id="rId12"/>
          <w:pgSz w:w="12240" w:h="15840"/>
          <w:pgMar w:top="1440" w:right="1440" w:bottom="446" w:left="1440" w:header="720" w:footer="720" w:gutter="0"/>
          <w:cols w:space="720"/>
          <w:titlePg/>
          <w:docGrid w:linePitch="326"/>
        </w:sectPr>
      </w:pPr>
    </w:p>
    <w:p w:rsidR="0041410F" w:rsidRPr="0040049F" w:rsidRDefault="0041410F" w:rsidP="0041410F">
      <w:pPr>
        <w:pStyle w:val="Heading1"/>
        <w:rPr>
          <w:rFonts w:ascii="Times New Roman" w:hAnsi="Times New Roman" w:cs="Times New Roman"/>
          <w:sz w:val="28"/>
          <w:szCs w:val="28"/>
        </w:rPr>
      </w:pPr>
      <w:bookmarkStart w:id="2" w:name="_Toc345082247"/>
      <w:r w:rsidRPr="0040049F">
        <w:rPr>
          <w:rFonts w:ascii="Times New Roman" w:hAnsi="Times New Roman" w:cs="Times New Roman"/>
          <w:sz w:val="28"/>
          <w:szCs w:val="28"/>
        </w:rPr>
        <w:lastRenderedPageBreak/>
        <w:t>Background</w:t>
      </w:r>
      <w:bookmarkEnd w:id="2"/>
    </w:p>
    <w:p w:rsidR="0041410F" w:rsidRPr="00D91CA7" w:rsidRDefault="00673224" w:rsidP="00BB23E1">
      <w:pPr>
        <w:pStyle w:val="Heading3"/>
        <w:numPr>
          <w:ilvl w:val="0"/>
          <w:numId w:val="14"/>
        </w:numPr>
        <w:rPr>
          <w:rFonts w:ascii="Times New Roman" w:hAnsi="Times New Roman" w:cs="Times New Roman"/>
        </w:rPr>
      </w:pPr>
      <w:bookmarkStart w:id="3" w:name="_Toc345082248"/>
      <w:r>
        <w:rPr>
          <w:rFonts w:ascii="Times New Roman" w:hAnsi="Times New Roman" w:cs="Times New Roman"/>
        </w:rPr>
        <w:t xml:space="preserve">State </w:t>
      </w:r>
      <w:r w:rsidR="0041410F" w:rsidRPr="00D91CA7">
        <w:rPr>
          <w:rFonts w:ascii="Times New Roman" w:hAnsi="Times New Roman" w:cs="Times New Roman"/>
        </w:rPr>
        <w:t>L</w:t>
      </w:r>
      <w:r>
        <w:rPr>
          <w:rFonts w:ascii="Times New Roman" w:hAnsi="Times New Roman" w:cs="Times New Roman"/>
        </w:rPr>
        <w:t>aw</w:t>
      </w:r>
      <w:r w:rsidR="0041410F" w:rsidRPr="00D91CA7">
        <w:rPr>
          <w:rFonts w:ascii="Times New Roman" w:hAnsi="Times New Roman" w:cs="Times New Roman"/>
        </w:rPr>
        <w:t xml:space="preserve"> Re</w:t>
      </w:r>
      <w:r>
        <w:rPr>
          <w:rFonts w:ascii="Times New Roman" w:hAnsi="Times New Roman" w:cs="Times New Roman"/>
        </w:rPr>
        <w:t>garding</w:t>
      </w:r>
      <w:r w:rsidR="0041410F" w:rsidRPr="00D91CA7">
        <w:rPr>
          <w:rFonts w:ascii="Times New Roman" w:hAnsi="Times New Roman" w:cs="Times New Roman"/>
        </w:rPr>
        <w:t xml:space="preserve"> Teen Dating Violence</w:t>
      </w:r>
      <w:bookmarkEnd w:id="3"/>
      <w:r w:rsidR="0041410F" w:rsidRPr="00D91CA7">
        <w:rPr>
          <w:rFonts w:ascii="Times New Roman" w:hAnsi="Times New Roman" w:cs="Times New Roman"/>
        </w:rPr>
        <w:br/>
      </w:r>
    </w:p>
    <w:p w:rsidR="00AE4760" w:rsidRPr="00D91CA7" w:rsidRDefault="0041410F">
      <w:pPr>
        <w:pStyle w:val="ListParagraph"/>
        <w:widowControl w:val="0"/>
        <w:autoSpaceDE w:val="0"/>
        <w:autoSpaceDN w:val="0"/>
        <w:adjustRightInd w:val="0"/>
        <w:spacing w:after="280"/>
        <w:ind w:left="360"/>
      </w:pPr>
      <w:r w:rsidRPr="00D91CA7">
        <w:rPr>
          <w:bCs/>
        </w:rPr>
        <w:t>The Criminal Offender Record Information (CORI) Reform Law</w:t>
      </w:r>
      <w:r w:rsidR="00C10CFD" w:rsidRPr="00D91CA7">
        <w:rPr>
          <w:bCs/>
        </w:rPr>
        <w:t>, Chapter 256 of the Acts of 2010,</w:t>
      </w:r>
      <w:r w:rsidRPr="00D91CA7">
        <w:rPr>
          <w:bCs/>
        </w:rPr>
        <w:t xml:space="preserve"> </w:t>
      </w:r>
      <w:r w:rsidR="00C0643C" w:rsidRPr="00D91CA7">
        <w:rPr>
          <w:bCs/>
        </w:rPr>
        <w:t xml:space="preserve">included two amendments </w:t>
      </w:r>
      <w:r w:rsidR="00C10CFD" w:rsidRPr="00D91CA7">
        <w:rPr>
          <w:bCs/>
        </w:rPr>
        <w:t xml:space="preserve">that directly </w:t>
      </w:r>
      <w:r w:rsidR="00042277" w:rsidRPr="00D91CA7">
        <w:rPr>
          <w:bCs/>
        </w:rPr>
        <w:t>affect</w:t>
      </w:r>
      <w:r w:rsidR="00C10CFD" w:rsidRPr="00D91CA7">
        <w:rPr>
          <w:bCs/>
        </w:rPr>
        <w:t xml:space="preserve"> school policies on teen dating violence and related issues.  One amendment </w:t>
      </w:r>
      <w:r w:rsidR="00055258" w:rsidRPr="00D91CA7">
        <w:t xml:space="preserve">revised section 1 of chapter 71 of the Massachusetts General </w:t>
      </w:r>
      <w:r w:rsidR="00265D2C">
        <w:t>L</w:t>
      </w:r>
      <w:r w:rsidR="00055258" w:rsidRPr="00D91CA7">
        <w:t>aws to require that health education in public schools include instruction in “</w:t>
      </w:r>
      <w:r w:rsidRPr="00D91CA7">
        <w:t>safe and healthy relationships with a focus on preventing sexual and domestic violence.</w:t>
      </w:r>
      <w:r w:rsidR="00F346C5" w:rsidRPr="00D91CA7">
        <w:t>”</w:t>
      </w:r>
    </w:p>
    <w:p w:rsidR="00AE4760" w:rsidRPr="00D91CA7" w:rsidRDefault="00055258" w:rsidP="00CE2791">
      <w:pPr>
        <w:shd w:val="clear" w:color="auto" w:fill="FFFFFF"/>
        <w:spacing w:before="250" w:after="250"/>
        <w:ind w:left="360"/>
      </w:pPr>
      <w:r w:rsidRPr="00D91CA7">
        <w:t xml:space="preserve">The other amendment added </w:t>
      </w:r>
      <w:hyperlink r:id="rId13" w:history="1">
        <w:r w:rsidR="00673224">
          <w:rPr>
            <w:rStyle w:val="Hyperlink"/>
          </w:rPr>
          <w:t>s</w:t>
        </w:r>
        <w:r w:rsidR="0041410F" w:rsidRPr="00D91CA7">
          <w:rPr>
            <w:rStyle w:val="Hyperlink"/>
          </w:rPr>
          <w:t>ection 2C</w:t>
        </w:r>
      </w:hyperlink>
      <w:r w:rsidRPr="00D91CA7">
        <w:t xml:space="preserve"> to chapter 71. It reads:</w:t>
      </w:r>
      <w:r w:rsidR="0041410F" w:rsidRPr="00D91CA7">
        <w:t xml:space="preserve"> </w:t>
      </w:r>
    </w:p>
    <w:p w:rsidR="00AE4760" w:rsidRPr="00D91CA7" w:rsidRDefault="0041410F">
      <w:pPr>
        <w:shd w:val="clear" w:color="auto" w:fill="FFFFFF"/>
        <w:spacing w:before="250" w:after="250"/>
        <w:ind w:left="720"/>
      </w:pPr>
      <w:r w:rsidRPr="00D91CA7">
        <w:t>Each school district in the commonwealth, subject to appropriation, shall implement a specific policy and discipline code to address teen dating violence in public schools. The policy shall clearly state that dating violence will not be tolerated and shall include guidelines for addressing alleged incidents of dating violence. The policy may include a teen dating violence prevention task force comprised of staff, students and parents to provide awareness training and education for the school community. Topics to be covered in the policy include, without limitation, defining the issue of teen dating violence, recognizing warning signs, identifying issues of confidentiality, safety and appropriate legal school-based interventions.</w:t>
      </w:r>
    </w:p>
    <w:p w:rsidR="00BB290E" w:rsidRPr="00D91CA7" w:rsidRDefault="00042277" w:rsidP="0041410F">
      <w:pPr>
        <w:rPr>
          <w:bCs/>
        </w:rPr>
      </w:pPr>
      <w:r w:rsidRPr="00D91CA7">
        <w:t xml:space="preserve">While the provisions of </w:t>
      </w:r>
      <w:r w:rsidR="00673224">
        <w:t>s</w:t>
      </w:r>
      <w:r w:rsidRPr="00D91CA7">
        <w:t xml:space="preserve">ection 2C are subject to appropriation and the legislature has not </w:t>
      </w:r>
      <w:r w:rsidR="00671FB9" w:rsidRPr="00D91CA7">
        <w:t xml:space="preserve">yet </w:t>
      </w:r>
      <w:r w:rsidRPr="00D91CA7">
        <w:t xml:space="preserve">appropriated additional funds for these activities, </w:t>
      </w:r>
      <w:r w:rsidR="00265D2C">
        <w:t>school districts and schools are</w:t>
      </w:r>
      <w:r w:rsidRPr="00D91CA7">
        <w:t xml:space="preserve"> strongly encourage</w:t>
      </w:r>
      <w:r w:rsidR="00265D2C">
        <w:t>d</w:t>
      </w:r>
      <w:r w:rsidRPr="00D91CA7">
        <w:t xml:space="preserve"> to develop a teen dating violence policy and to address the issue in discipline codes. It is an essential component of a comprehensive response t</w:t>
      </w:r>
      <w:r w:rsidR="0041410F" w:rsidRPr="00D91CA7">
        <w:t>o promot</w:t>
      </w:r>
      <w:r w:rsidRPr="00D91CA7">
        <w:t>ing</w:t>
      </w:r>
      <w:r w:rsidR="0041410F" w:rsidRPr="00D91CA7">
        <w:t xml:space="preserve"> a safe </w:t>
      </w:r>
      <w:r w:rsidR="00F8635B">
        <w:t xml:space="preserve">and healthy </w:t>
      </w:r>
      <w:r w:rsidR="0041410F" w:rsidRPr="00D91CA7">
        <w:t>school environment that is free of abuse. Coordination</w:t>
      </w:r>
      <w:r w:rsidRPr="00D91CA7">
        <w:t xml:space="preserve"> and integration</w:t>
      </w:r>
      <w:r w:rsidR="0041410F" w:rsidRPr="00D91CA7">
        <w:t xml:space="preserve"> with related</w:t>
      </w:r>
      <w:r w:rsidR="00BB290E" w:rsidRPr="00D91CA7">
        <w:t xml:space="preserve"> </w:t>
      </w:r>
      <w:r w:rsidR="001E4EF1">
        <w:t>s</w:t>
      </w:r>
      <w:r w:rsidR="001205E5" w:rsidRPr="00D91CA7">
        <w:t xml:space="preserve">chool </w:t>
      </w:r>
      <w:r w:rsidR="001E4EF1">
        <w:t>h</w:t>
      </w:r>
      <w:r w:rsidR="001205E5" w:rsidRPr="00D91CA7">
        <w:t xml:space="preserve">ealth </w:t>
      </w:r>
      <w:r w:rsidR="001E4EF1">
        <w:t>a</w:t>
      </w:r>
      <w:r w:rsidR="001205E5" w:rsidRPr="00D91CA7">
        <w:t>dvisory/</w:t>
      </w:r>
      <w:r w:rsidR="001E4EF1">
        <w:t>w</w:t>
      </w:r>
      <w:r w:rsidR="001205E5" w:rsidRPr="00D91CA7">
        <w:t xml:space="preserve">ellness and </w:t>
      </w:r>
      <w:r w:rsidR="001E4EF1">
        <w:t>b</w:t>
      </w:r>
      <w:r w:rsidR="001205E5" w:rsidRPr="00D91CA7">
        <w:t xml:space="preserve">ullying </w:t>
      </w:r>
      <w:r w:rsidR="001E4EF1">
        <w:t>p</w:t>
      </w:r>
      <w:r w:rsidR="001205E5" w:rsidRPr="00D91CA7">
        <w:t xml:space="preserve">revention </w:t>
      </w:r>
      <w:r w:rsidR="001E4EF1">
        <w:t>c</w:t>
      </w:r>
      <w:r w:rsidR="001205E5" w:rsidRPr="00D91CA7">
        <w:t>ommittees</w:t>
      </w:r>
      <w:r w:rsidR="001E4EF1">
        <w:t>,</w:t>
      </w:r>
      <w:r w:rsidRPr="00D91CA7">
        <w:t xml:space="preserve"> </w:t>
      </w:r>
      <w:r w:rsidR="0041410F" w:rsidRPr="00D91CA7">
        <w:t xml:space="preserve">policies </w:t>
      </w:r>
      <w:r w:rsidRPr="00D91CA7">
        <w:t xml:space="preserve">that address issues of violence and abuse </w:t>
      </w:r>
      <w:r w:rsidR="0041410F" w:rsidRPr="00D91CA7">
        <w:t>such as harassment</w:t>
      </w:r>
      <w:r w:rsidRPr="00D91CA7">
        <w:t xml:space="preserve"> and </w:t>
      </w:r>
      <w:r w:rsidR="00967446" w:rsidRPr="00D91CA7">
        <w:t xml:space="preserve">bullying, </w:t>
      </w:r>
      <w:r w:rsidR="0041410F" w:rsidRPr="00D91CA7">
        <w:t>and</w:t>
      </w:r>
      <w:r w:rsidRPr="00D91CA7">
        <w:t xml:space="preserve"> those that promote</w:t>
      </w:r>
      <w:r w:rsidR="0041410F" w:rsidRPr="00D91CA7">
        <w:t xml:space="preserve"> wellness</w:t>
      </w:r>
      <w:r w:rsidRPr="00D91CA7">
        <w:t xml:space="preserve"> and tolerance</w:t>
      </w:r>
      <w:r w:rsidR="0041410F" w:rsidRPr="00D91CA7">
        <w:t xml:space="preserve"> </w:t>
      </w:r>
      <w:r w:rsidR="001E4EF1">
        <w:t>are</w:t>
      </w:r>
      <w:r w:rsidR="0041410F" w:rsidRPr="00D91CA7">
        <w:t xml:space="preserve"> essential. Understanding and </w:t>
      </w:r>
      <w:r w:rsidR="00EB4D3F" w:rsidRPr="00D91CA7">
        <w:t>enforc</w:t>
      </w:r>
      <w:r w:rsidR="0041410F" w:rsidRPr="00D91CA7">
        <w:t xml:space="preserve">ing the laws </w:t>
      </w:r>
      <w:r w:rsidR="00EB4D3F" w:rsidRPr="00D91CA7">
        <w:t xml:space="preserve">that address these behaviors </w:t>
      </w:r>
      <w:r w:rsidR="0041410F" w:rsidRPr="00D91CA7">
        <w:t xml:space="preserve">are an important first step toward building a comprehensive response. Schools are required to have policies on </w:t>
      </w:r>
      <w:r w:rsidR="0041410F" w:rsidRPr="00D91CA7">
        <w:rPr>
          <w:bCs/>
        </w:rPr>
        <w:t xml:space="preserve">bullying, </w:t>
      </w:r>
      <w:r w:rsidR="00E914E5" w:rsidRPr="00D91CA7">
        <w:rPr>
          <w:bCs/>
        </w:rPr>
        <w:t xml:space="preserve">child </w:t>
      </w:r>
      <w:r w:rsidR="0041410F" w:rsidRPr="00D91CA7">
        <w:rPr>
          <w:bCs/>
        </w:rPr>
        <w:t xml:space="preserve">abuse reporting, harassment, discrimination, discipline, </w:t>
      </w:r>
      <w:r w:rsidR="00EB4D3F" w:rsidRPr="00D91CA7">
        <w:rPr>
          <w:bCs/>
        </w:rPr>
        <w:t>and wellness</w:t>
      </w:r>
      <w:r w:rsidR="00967446" w:rsidRPr="00D91CA7">
        <w:rPr>
          <w:bCs/>
        </w:rPr>
        <w:t xml:space="preserve">. </w:t>
      </w:r>
      <w:r w:rsidR="0041410F" w:rsidRPr="00D91CA7">
        <w:rPr>
          <w:bCs/>
        </w:rPr>
        <w:t xml:space="preserve">Teen dating violence policies should explicitly reference and be coordinated with </w:t>
      </w:r>
      <w:r w:rsidR="00E914E5" w:rsidRPr="00D91CA7">
        <w:rPr>
          <w:bCs/>
        </w:rPr>
        <w:t xml:space="preserve">these </w:t>
      </w:r>
      <w:r w:rsidR="0041410F" w:rsidRPr="00D91CA7">
        <w:rPr>
          <w:bCs/>
        </w:rPr>
        <w:t>school policies</w:t>
      </w:r>
      <w:r w:rsidR="001E4EF1">
        <w:rPr>
          <w:bCs/>
        </w:rPr>
        <w:t>.</w:t>
      </w:r>
    </w:p>
    <w:p w:rsidR="0041410F" w:rsidRPr="00D91CA7" w:rsidRDefault="0041410F" w:rsidP="00986D6D">
      <w:pPr>
        <w:pStyle w:val="Heading3"/>
        <w:numPr>
          <w:ilvl w:val="0"/>
          <w:numId w:val="14"/>
        </w:numPr>
        <w:rPr>
          <w:rFonts w:ascii="Times New Roman" w:hAnsi="Times New Roman" w:cs="Times New Roman"/>
        </w:rPr>
      </w:pPr>
      <w:bookmarkStart w:id="4" w:name="_Toc345082249"/>
      <w:r w:rsidRPr="00D91CA7">
        <w:rPr>
          <w:rFonts w:ascii="Times New Roman" w:hAnsi="Times New Roman" w:cs="Times New Roman"/>
        </w:rPr>
        <w:t>Recent Data</w:t>
      </w:r>
      <w:bookmarkEnd w:id="4"/>
      <w:r w:rsidRPr="00D91CA7">
        <w:rPr>
          <w:rFonts w:ascii="Times New Roman" w:hAnsi="Times New Roman" w:cs="Times New Roman"/>
        </w:rPr>
        <w:br/>
      </w:r>
    </w:p>
    <w:p w:rsidR="0041410F" w:rsidRPr="00D91CA7" w:rsidRDefault="00986D6D" w:rsidP="0041410F">
      <w:pPr>
        <w:pStyle w:val="Default"/>
        <w:spacing w:line="276" w:lineRule="auto"/>
        <w:rPr>
          <w:rFonts w:ascii="Times New Roman" w:hAnsi="Times New Roman" w:cs="Times New Roman"/>
          <w:color w:val="auto"/>
        </w:rPr>
      </w:pPr>
      <w:r w:rsidRPr="00D91CA7">
        <w:rPr>
          <w:rFonts w:ascii="Times New Roman" w:hAnsi="Times New Roman" w:cs="Times New Roman"/>
          <w:color w:val="auto"/>
        </w:rPr>
        <w:t>R</w:t>
      </w:r>
      <w:r w:rsidR="0041410F" w:rsidRPr="00D91CA7">
        <w:rPr>
          <w:rFonts w:ascii="Times New Roman" w:hAnsi="Times New Roman" w:cs="Times New Roman"/>
          <w:color w:val="auto"/>
        </w:rPr>
        <w:t>ecent data indicate that teen dating violence persists in Massachusetts</w:t>
      </w:r>
      <w:r w:rsidR="00C95ACC" w:rsidRPr="00D91CA7">
        <w:rPr>
          <w:rFonts w:ascii="Times New Roman" w:hAnsi="Times New Roman" w:cs="Times New Roman"/>
          <w:color w:val="auto"/>
        </w:rPr>
        <w:t>.</w:t>
      </w:r>
      <w:r w:rsidR="0041410F" w:rsidRPr="00D91CA7">
        <w:rPr>
          <w:rFonts w:ascii="Times New Roman" w:hAnsi="Times New Roman" w:cs="Times New Roman"/>
          <w:color w:val="auto"/>
        </w:rPr>
        <w:t xml:space="preserve"> </w:t>
      </w:r>
      <w:r w:rsidR="00C95ACC" w:rsidRPr="00D91CA7">
        <w:rPr>
          <w:rFonts w:ascii="Times New Roman" w:hAnsi="Times New Roman" w:cs="Times New Roman"/>
          <w:color w:val="auto"/>
        </w:rPr>
        <w:t xml:space="preserve"> T</w:t>
      </w:r>
      <w:r w:rsidR="0041410F" w:rsidRPr="00D91CA7">
        <w:rPr>
          <w:rFonts w:ascii="Times New Roman" w:hAnsi="Times New Roman" w:cs="Times New Roman"/>
          <w:color w:val="auto"/>
        </w:rPr>
        <w:t xml:space="preserve">he </w:t>
      </w:r>
      <w:hyperlink r:id="rId14" w:history="1">
        <w:r w:rsidR="0041410F" w:rsidRPr="00D91CA7">
          <w:rPr>
            <w:rStyle w:val="Hyperlink"/>
            <w:rFonts w:ascii="Times New Roman" w:hAnsi="Times New Roman" w:cs="Times New Roman"/>
            <w:i/>
            <w:color w:val="0033CC"/>
          </w:rPr>
          <w:t>Health and Risk Behaviors of Massachusetts Youth, 2011</w:t>
        </w:r>
      </w:hyperlink>
      <w:r w:rsidR="0041410F" w:rsidRPr="00D91CA7">
        <w:rPr>
          <w:rStyle w:val="FootnoteReference"/>
          <w:rFonts w:ascii="Times New Roman" w:hAnsi="Times New Roman"/>
          <w:i/>
          <w:color w:val="0033CC"/>
        </w:rPr>
        <w:footnoteReference w:id="1"/>
      </w:r>
      <w:r w:rsidR="0041410F" w:rsidRPr="00D91CA7">
        <w:rPr>
          <w:rFonts w:ascii="Times New Roman" w:hAnsi="Times New Roman" w:cs="Times New Roman"/>
          <w:color w:val="auto"/>
        </w:rPr>
        <w:t xml:space="preserve"> report </w:t>
      </w:r>
      <w:r w:rsidR="00C95ACC" w:rsidRPr="00D91CA7">
        <w:rPr>
          <w:rFonts w:ascii="Times New Roman" w:hAnsi="Times New Roman" w:cs="Times New Roman"/>
          <w:color w:val="auto"/>
        </w:rPr>
        <w:t>reflects</w:t>
      </w:r>
      <w:r w:rsidR="0041410F" w:rsidRPr="00D91CA7">
        <w:rPr>
          <w:rFonts w:ascii="Times New Roman" w:hAnsi="Times New Roman" w:cs="Times New Roman"/>
          <w:color w:val="auto"/>
        </w:rPr>
        <w:t xml:space="preserve"> that:</w:t>
      </w:r>
      <w:r w:rsidR="00627EFC" w:rsidRPr="00D91CA7">
        <w:rPr>
          <w:rFonts w:ascii="Times New Roman" w:hAnsi="Times New Roman" w:cs="Times New Roman"/>
          <w:color w:val="auto"/>
        </w:rPr>
        <w:br/>
      </w:r>
    </w:p>
    <w:p w:rsidR="0041410F" w:rsidRPr="00D91CA7" w:rsidRDefault="00FF3BAF" w:rsidP="00BB23E1">
      <w:pPr>
        <w:pStyle w:val="ListParagraph"/>
        <w:numPr>
          <w:ilvl w:val="0"/>
          <w:numId w:val="7"/>
        </w:numPr>
        <w:spacing w:after="120"/>
      </w:pPr>
      <w:r w:rsidRPr="00D91CA7">
        <w:lastRenderedPageBreak/>
        <w:t>Nine (</w:t>
      </w:r>
      <w:r w:rsidR="0041410F" w:rsidRPr="00D91CA7">
        <w:t>9</w:t>
      </w:r>
      <w:r w:rsidRPr="00D91CA7">
        <w:t>)</w:t>
      </w:r>
      <w:r w:rsidR="0041410F" w:rsidRPr="00D91CA7">
        <w:t xml:space="preserve"> percent of high school students reported being physically hurt by a date </w:t>
      </w:r>
      <w:r w:rsidR="003C2E93" w:rsidRPr="00D91CA7">
        <w:br/>
      </w:r>
      <w:r w:rsidR="0041410F" w:rsidRPr="00D91CA7">
        <w:t>(e.g., being shoved, slapped, hit, or forced into sexual activity), with female students more likely than males to report this experience (12 percent vs. 6 percent).</w:t>
      </w:r>
    </w:p>
    <w:p w:rsidR="0041410F" w:rsidRPr="00D91CA7" w:rsidRDefault="00FF3BAF" w:rsidP="00BB23E1">
      <w:pPr>
        <w:pStyle w:val="Default"/>
        <w:numPr>
          <w:ilvl w:val="0"/>
          <w:numId w:val="7"/>
        </w:numPr>
        <w:spacing w:after="120"/>
        <w:rPr>
          <w:rFonts w:ascii="Times New Roman" w:hAnsi="Times New Roman" w:cs="Times New Roman"/>
          <w:color w:val="auto"/>
        </w:rPr>
      </w:pPr>
      <w:r w:rsidRPr="00D91CA7">
        <w:rPr>
          <w:rFonts w:ascii="Times New Roman" w:hAnsi="Times New Roman" w:cs="Times New Roman"/>
          <w:color w:val="auto"/>
        </w:rPr>
        <w:t>Fourteen (</w:t>
      </w:r>
      <w:r w:rsidR="0041410F" w:rsidRPr="00D91CA7">
        <w:rPr>
          <w:rFonts w:ascii="Times New Roman" w:hAnsi="Times New Roman" w:cs="Times New Roman"/>
          <w:color w:val="auto"/>
        </w:rPr>
        <w:t>14</w:t>
      </w:r>
      <w:r w:rsidRPr="00D91CA7">
        <w:rPr>
          <w:rFonts w:ascii="Times New Roman" w:hAnsi="Times New Roman" w:cs="Times New Roman"/>
          <w:color w:val="auto"/>
        </w:rPr>
        <w:t>)</w:t>
      </w:r>
      <w:r w:rsidR="0041410F" w:rsidRPr="00D91CA7">
        <w:rPr>
          <w:rFonts w:ascii="Times New Roman" w:hAnsi="Times New Roman" w:cs="Times New Roman"/>
          <w:color w:val="auto"/>
        </w:rPr>
        <w:t xml:space="preserve"> percent of female high school students and 5 percent of male high school students reported experiencing sexual contact against their will.</w:t>
      </w:r>
    </w:p>
    <w:p w:rsidR="0041410F" w:rsidRPr="00D91CA7" w:rsidRDefault="0041410F" w:rsidP="00BB23E1">
      <w:pPr>
        <w:pStyle w:val="PlainText"/>
        <w:numPr>
          <w:ilvl w:val="0"/>
          <w:numId w:val="7"/>
        </w:numPr>
        <w:spacing w:after="120"/>
        <w:rPr>
          <w:color w:val="auto"/>
        </w:rPr>
      </w:pPr>
      <w:r w:rsidRPr="00D91CA7">
        <w:rPr>
          <w:color w:val="auto"/>
        </w:rPr>
        <w:t xml:space="preserve">Sexual minority youth were nearly </w:t>
      </w:r>
      <w:r w:rsidR="001E4EF1">
        <w:rPr>
          <w:color w:val="auto"/>
        </w:rPr>
        <w:t>5</w:t>
      </w:r>
      <w:r w:rsidRPr="00D91CA7">
        <w:rPr>
          <w:color w:val="auto"/>
        </w:rPr>
        <w:t xml:space="preserve"> times more likely than other students to report being physically hurt by a date (27 percent vs. 5.7 percent). They were also more likely to have experienced sexual contact against their will (30 percent vs. 7 percent).</w:t>
      </w:r>
    </w:p>
    <w:p w:rsidR="0041410F" w:rsidRPr="00D91CA7" w:rsidRDefault="0041410F" w:rsidP="00BB23E1">
      <w:pPr>
        <w:pStyle w:val="PlainText"/>
        <w:numPr>
          <w:ilvl w:val="0"/>
          <w:numId w:val="7"/>
        </w:numPr>
        <w:spacing w:after="120"/>
        <w:rPr>
          <w:color w:val="000000" w:themeColor="text1"/>
        </w:rPr>
      </w:pPr>
      <w:r w:rsidRPr="00D91CA7">
        <w:rPr>
          <w:color w:val="000000" w:themeColor="text1"/>
        </w:rPr>
        <w:t>In middle school</w:t>
      </w:r>
      <w:r w:rsidR="00671FB9" w:rsidRPr="00D91CA7">
        <w:rPr>
          <w:color w:val="000000" w:themeColor="text1"/>
        </w:rPr>
        <w:t>,</w:t>
      </w:r>
      <w:r w:rsidRPr="00D91CA7">
        <w:rPr>
          <w:color w:val="000000" w:themeColor="text1"/>
        </w:rPr>
        <w:t xml:space="preserve"> 63 percent of students had gone out on a date. Of these, 9 percent reported being physically hurt by a date (in the past 12 months and/or longer</w:t>
      </w:r>
      <w:r w:rsidR="00671FB9" w:rsidRPr="00D91CA7">
        <w:rPr>
          <w:color w:val="000000" w:themeColor="text1"/>
        </w:rPr>
        <w:t>).</w:t>
      </w:r>
    </w:p>
    <w:p w:rsidR="0041410F" w:rsidRPr="00D91CA7" w:rsidRDefault="0041410F" w:rsidP="0041410F">
      <w:pPr>
        <w:pStyle w:val="Default"/>
        <w:rPr>
          <w:rFonts w:ascii="Times New Roman" w:hAnsi="Times New Roman" w:cs="Times New Roman"/>
          <w:color w:val="auto"/>
        </w:rPr>
      </w:pPr>
    </w:p>
    <w:p w:rsidR="0041410F" w:rsidRPr="00D91CA7" w:rsidRDefault="0041410F" w:rsidP="0041410F">
      <w:pPr>
        <w:rPr>
          <w:lang w:bidi="en-US"/>
        </w:rPr>
      </w:pPr>
      <w:r w:rsidRPr="00D91CA7">
        <w:t xml:space="preserve">The </w:t>
      </w:r>
      <w:r w:rsidR="00FF3BAF" w:rsidRPr="00D91CA7">
        <w:t>Massachusetts Youth Risk Behavior Survey (</w:t>
      </w:r>
      <w:r w:rsidRPr="00D91CA7">
        <w:t>MYRBS</w:t>
      </w:r>
      <w:r w:rsidR="00FF3BAF" w:rsidRPr="00D91CA7">
        <w:t>)</w:t>
      </w:r>
      <w:r w:rsidRPr="00D91CA7">
        <w:t xml:space="preserve"> consistently indicates that gay, lesbian</w:t>
      </w:r>
      <w:r w:rsidR="00150398" w:rsidRPr="00D91CA7">
        <w:t xml:space="preserve">, </w:t>
      </w:r>
      <w:r w:rsidRPr="00D91CA7">
        <w:t>bisexual</w:t>
      </w:r>
      <w:r w:rsidR="00150398" w:rsidRPr="00D91CA7">
        <w:t>, transgender, and questioning (GLBTQ)</w:t>
      </w:r>
      <w:r w:rsidRPr="00D91CA7">
        <w:t xml:space="preserve"> students are significantly more likely </w:t>
      </w:r>
      <w:r w:rsidR="001A565C" w:rsidRPr="00D91CA7">
        <w:t>to experience</w:t>
      </w:r>
      <w:r w:rsidRPr="00D91CA7">
        <w:t xml:space="preserve"> sexual abuse and teen dating violence than other students. As reported </w:t>
      </w:r>
      <w:r w:rsidR="00FF3BAF" w:rsidRPr="00D91CA7">
        <w:t xml:space="preserve">above, </w:t>
      </w:r>
      <w:r w:rsidRPr="00D91CA7">
        <w:t xml:space="preserve">GLBTQ youth were nearly </w:t>
      </w:r>
      <w:r w:rsidR="001E4EF1">
        <w:t>5</w:t>
      </w:r>
      <w:r w:rsidRPr="00D91CA7">
        <w:t xml:space="preserve"> times more likely than other students </w:t>
      </w:r>
      <w:r w:rsidR="001A565C" w:rsidRPr="00D91CA7">
        <w:t>to report</w:t>
      </w:r>
      <w:r w:rsidRPr="00D91CA7">
        <w:t xml:space="preserve"> being physically hurt by a date. They were also more likely to have experienced sexual contact against their will.   Schools need to be aware that “</w:t>
      </w:r>
      <w:r w:rsidRPr="00D91CA7">
        <w:rPr>
          <w:bCs/>
          <w:lang w:bidi="en-US"/>
        </w:rPr>
        <w:t>Teen Dating and Domestic Violence” (also referred to as relationship violence or interpersonal violence</w:t>
      </w:r>
      <w:r w:rsidRPr="00D91CA7">
        <w:t xml:space="preserve">) is more likely to occur between same sex couples. Therefore, schools </w:t>
      </w:r>
      <w:r w:rsidR="00986D6D" w:rsidRPr="00D91CA7">
        <w:t>should</w:t>
      </w:r>
      <w:r w:rsidRPr="00D91CA7">
        <w:t xml:space="preserve"> ensure that their efforts to address dating violence are equally relevant to GLBT</w:t>
      </w:r>
      <w:r w:rsidR="00150398" w:rsidRPr="00D91CA7">
        <w:t>Q</w:t>
      </w:r>
      <w:r w:rsidRPr="00D91CA7">
        <w:t xml:space="preserve"> youth. This includes providing </w:t>
      </w:r>
      <w:r w:rsidR="00986D6D" w:rsidRPr="00D91CA7">
        <w:t xml:space="preserve">a </w:t>
      </w:r>
      <w:r w:rsidRPr="00D91CA7">
        <w:t>safe and supportive environment where these youth can feel comfortable discussing personal relationships with adults in the building</w:t>
      </w:r>
      <w:r w:rsidR="00C95ACC" w:rsidRPr="00D91CA7">
        <w:t>.</w:t>
      </w:r>
    </w:p>
    <w:p w:rsidR="0041410F" w:rsidRPr="00D91CA7" w:rsidRDefault="0041410F" w:rsidP="0041410F">
      <w:pPr>
        <w:pStyle w:val="Default"/>
        <w:rPr>
          <w:rFonts w:ascii="Times New Roman" w:hAnsi="Times New Roman" w:cs="Times New Roman"/>
          <w:color w:val="auto"/>
        </w:rPr>
      </w:pPr>
    </w:p>
    <w:p w:rsidR="0041410F" w:rsidRPr="00D91CA7" w:rsidRDefault="0041410F" w:rsidP="0041410F">
      <w:pPr>
        <w:widowControl w:val="0"/>
        <w:autoSpaceDE w:val="0"/>
        <w:autoSpaceDN w:val="0"/>
        <w:adjustRightInd w:val="0"/>
        <w:spacing w:after="260"/>
      </w:pPr>
      <w:r w:rsidRPr="00D91CA7">
        <w:t xml:space="preserve">It is clear that relationship and sexual violence </w:t>
      </w:r>
      <w:r w:rsidR="001E4EF1">
        <w:t>occurs</w:t>
      </w:r>
      <w:r w:rsidRPr="00D91CA7">
        <w:t xml:space="preserve"> among adolescents, and that it can have severe and long-lasting social, psychological, and physical health repercussions for victims and offenders. There is a pressing need for prevention and intervention with adolescents. Developmentally, adolescence is a critical time to intervene. </w:t>
      </w:r>
      <w:r w:rsidRPr="00CF0001">
        <w:t>Because dating experiences are relatively new to adolescents,</w:t>
      </w:r>
      <w:r w:rsidRPr="00D91CA7">
        <w:t xml:space="preserve"> they are less likely to be entrenched in attitudes and patterns of behavior. We hope this information and the recommendations that follow </w:t>
      </w:r>
      <w:r w:rsidR="00986D6D" w:rsidRPr="00D91CA7">
        <w:t xml:space="preserve">assist </w:t>
      </w:r>
      <w:r w:rsidRPr="00D91CA7">
        <w:t xml:space="preserve">school officials </w:t>
      </w:r>
      <w:r w:rsidR="00B856C1" w:rsidRPr="00D91CA7">
        <w:t>in</w:t>
      </w:r>
      <w:r w:rsidRPr="00D91CA7">
        <w:t xml:space="preserve"> provid</w:t>
      </w:r>
      <w:r w:rsidR="00B856C1" w:rsidRPr="00D91CA7">
        <w:t>ing</w:t>
      </w:r>
      <w:r w:rsidRPr="00D91CA7">
        <w:t xml:space="preserve"> preventive education and safe intervention strategies within the school</w:t>
      </w:r>
      <w:r w:rsidR="00AB75AB">
        <w:t xml:space="preserve"> and district</w:t>
      </w:r>
      <w:r w:rsidRPr="00D91CA7">
        <w:t xml:space="preserve">. </w:t>
      </w:r>
    </w:p>
    <w:p w:rsidR="0041410F" w:rsidRPr="00D91CA7" w:rsidRDefault="0041410F" w:rsidP="0041410F">
      <w:r w:rsidRPr="00D91CA7">
        <w:br w:type="page"/>
      </w:r>
    </w:p>
    <w:p w:rsidR="0041410F" w:rsidRPr="00D91CA7" w:rsidRDefault="0041410F" w:rsidP="00CA02C5">
      <w:pPr>
        <w:pStyle w:val="Heading1"/>
        <w:rPr>
          <w:rFonts w:ascii="Times New Roman" w:hAnsi="Times New Roman" w:cs="Times New Roman"/>
          <w:sz w:val="28"/>
          <w:szCs w:val="28"/>
        </w:rPr>
      </w:pPr>
      <w:bookmarkStart w:id="5" w:name="_Toc345082250"/>
      <w:r w:rsidRPr="00D91CA7">
        <w:rPr>
          <w:rFonts w:ascii="Times New Roman" w:hAnsi="Times New Roman" w:cs="Times New Roman"/>
          <w:sz w:val="28"/>
          <w:szCs w:val="28"/>
        </w:rPr>
        <w:lastRenderedPageBreak/>
        <w:t>Recommendations for Schools</w:t>
      </w:r>
      <w:r w:rsidR="002F4C9D">
        <w:rPr>
          <w:rFonts w:ascii="Times New Roman" w:hAnsi="Times New Roman" w:cs="Times New Roman"/>
          <w:sz w:val="28"/>
          <w:szCs w:val="28"/>
        </w:rPr>
        <w:t xml:space="preserve"> and</w:t>
      </w:r>
      <w:r w:rsidR="00D66D50">
        <w:rPr>
          <w:rFonts w:ascii="Times New Roman" w:hAnsi="Times New Roman" w:cs="Times New Roman"/>
          <w:sz w:val="28"/>
          <w:szCs w:val="28"/>
        </w:rPr>
        <w:t xml:space="preserve"> Districts</w:t>
      </w:r>
      <w:r w:rsidRPr="00D91CA7">
        <w:rPr>
          <w:rFonts w:ascii="Times New Roman" w:hAnsi="Times New Roman" w:cs="Times New Roman"/>
          <w:sz w:val="28"/>
          <w:szCs w:val="28"/>
        </w:rPr>
        <w:t xml:space="preserve"> on Addressing Teen Dating Violence</w:t>
      </w:r>
      <w:bookmarkEnd w:id="5"/>
    </w:p>
    <w:p w:rsidR="0041410F" w:rsidRPr="00D91CA7" w:rsidRDefault="0041410F" w:rsidP="00BB23E1">
      <w:pPr>
        <w:pStyle w:val="Heading3"/>
        <w:numPr>
          <w:ilvl w:val="0"/>
          <w:numId w:val="15"/>
        </w:numPr>
        <w:ind w:left="360" w:hanging="360"/>
        <w:rPr>
          <w:rFonts w:ascii="Times New Roman" w:hAnsi="Times New Roman" w:cs="Times New Roman"/>
        </w:rPr>
      </w:pPr>
      <w:bookmarkStart w:id="6" w:name="_Toc345082251"/>
      <w:r w:rsidRPr="00D91CA7">
        <w:rPr>
          <w:rFonts w:ascii="Times New Roman" w:hAnsi="Times New Roman" w:cs="Times New Roman"/>
        </w:rPr>
        <w:t>LEADERSHIP</w:t>
      </w:r>
      <w:bookmarkEnd w:id="6"/>
      <w:r w:rsidRPr="00D91CA7">
        <w:rPr>
          <w:rFonts w:ascii="Times New Roman" w:hAnsi="Times New Roman" w:cs="Times New Roman"/>
        </w:rPr>
        <w:br/>
      </w:r>
    </w:p>
    <w:p w:rsidR="0041410F" w:rsidRPr="00D91CA7" w:rsidRDefault="0041410F" w:rsidP="00EC35A5">
      <w:pPr>
        <w:ind w:left="360"/>
      </w:pPr>
      <w:r w:rsidRPr="00D91CA7">
        <w:t>Leadership at all levels plays a key role in developing and implement</w:t>
      </w:r>
      <w:r w:rsidR="008873A5" w:rsidRPr="00D91CA7">
        <w:t>ing</w:t>
      </w:r>
      <w:r w:rsidRPr="00D91CA7">
        <w:t xml:space="preserve"> programs to promote a safe school environment that prevents teen dating violence.  School personnel can model respectful behaviors, attitudes, and beliefs in many ways. All school personnel, including administrators, teachers, counselors, </w:t>
      </w:r>
      <w:r w:rsidR="008873A5" w:rsidRPr="00D91CA7">
        <w:t>athletic</w:t>
      </w:r>
      <w:r w:rsidRPr="00D91CA7">
        <w:t xml:space="preserve"> coaches, bus drivers, cafeteria workers, and others, are important role models for students, and students draw information about </w:t>
      </w:r>
      <w:r w:rsidR="001E4EF1">
        <w:t xml:space="preserve">positive </w:t>
      </w:r>
      <w:r w:rsidRPr="00D91CA7">
        <w:t>human interactions from witnessing staff behaviors and attitudes. Therefore, administrator, faculty</w:t>
      </w:r>
      <w:r w:rsidR="002F4C9D">
        <w:t>,</w:t>
      </w:r>
      <w:r w:rsidRPr="00D91CA7">
        <w:t xml:space="preserve"> and staff interaction with each other and with students can deliver strong messages about what is acceptable behavior. School personnel have the power to consistently model behaviors and attitudes that demonstrate respect and equality.</w:t>
      </w:r>
    </w:p>
    <w:p w:rsidR="0041410F" w:rsidRPr="00D91CA7" w:rsidRDefault="0041410F" w:rsidP="00BB23E1">
      <w:pPr>
        <w:pStyle w:val="Heading3"/>
        <w:numPr>
          <w:ilvl w:val="0"/>
          <w:numId w:val="15"/>
        </w:numPr>
        <w:ind w:left="360" w:hanging="360"/>
        <w:rPr>
          <w:rFonts w:ascii="Times New Roman" w:hAnsi="Times New Roman" w:cs="Times New Roman"/>
        </w:rPr>
      </w:pPr>
      <w:bookmarkStart w:id="7" w:name="_Toc345082252"/>
      <w:r w:rsidRPr="00D91CA7">
        <w:rPr>
          <w:rFonts w:ascii="Times New Roman" w:hAnsi="Times New Roman" w:cs="Times New Roman"/>
        </w:rPr>
        <w:t>TRAINING AND PROFESSIONAL DEVELOPMENT</w:t>
      </w:r>
      <w:bookmarkEnd w:id="7"/>
      <w:r w:rsidRPr="00D91CA7">
        <w:rPr>
          <w:rFonts w:ascii="Times New Roman" w:hAnsi="Times New Roman" w:cs="Times New Roman"/>
        </w:rPr>
        <w:t xml:space="preserve"> </w:t>
      </w:r>
      <w:r w:rsidRPr="00D91CA7">
        <w:rPr>
          <w:rFonts w:ascii="Times New Roman" w:hAnsi="Times New Roman" w:cs="Times New Roman"/>
        </w:rPr>
        <w:br/>
      </w:r>
    </w:p>
    <w:p w:rsidR="0041410F" w:rsidRPr="00D91CA7" w:rsidRDefault="00B80CB9" w:rsidP="00EC35A5">
      <w:pPr>
        <w:pStyle w:val="ListParagraph"/>
        <w:widowControl w:val="0"/>
        <w:autoSpaceDE w:val="0"/>
        <w:autoSpaceDN w:val="0"/>
        <w:adjustRightInd w:val="0"/>
        <w:ind w:left="360"/>
      </w:pPr>
      <w:r w:rsidRPr="00D91CA7">
        <w:t>Schools should p</w:t>
      </w:r>
      <w:r w:rsidR="0041410F" w:rsidRPr="00D91CA7">
        <w:t>rovide training for faculty, staff, administrators</w:t>
      </w:r>
      <w:r w:rsidR="00673224">
        <w:t>,</w:t>
      </w:r>
      <w:r w:rsidR="0041410F" w:rsidRPr="00D91CA7">
        <w:t xml:space="preserve"> and parents on relevant policies and how they can nurture environments that support healthy youth relationships and actively prevent </w:t>
      </w:r>
      <w:r w:rsidR="00441979" w:rsidRPr="00D91CA7">
        <w:t xml:space="preserve">bullying, </w:t>
      </w:r>
      <w:r w:rsidR="0041410F" w:rsidRPr="00D91CA7">
        <w:t>harassment, discrimination</w:t>
      </w:r>
      <w:r w:rsidR="00441979" w:rsidRPr="00D91CA7">
        <w:t>,</w:t>
      </w:r>
      <w:r w:rsidR="0041410F" w:rsidRPr="00D91CA7">
        <w:t xml:space="preserve"> and abuse. Local programs that specialize in sexual and domestic violence and healthy sexuality can often provide expert consultation for professional development and parent</w:t>
      </w:r>
      <w:r w:rsidR="00316415">
        <w:t xml:space="preserve"> </w:t>
      </w:r>
      <w:r w:rsidR="0041410F" w:rsidRPr="00D91CA7">
        <w:t>meetings</w:t>
      </w:r>
      <w:r w:rsidR="00695F05">
        <w:t>.</w:t>
      </w:r>
      <w:r w:rsidR="00316415">
        <w:rPr>
          <w:rStyle w:val="FootnoteReference"/>
        </w:rPr>
        <w:footnoteReference w:id="2"/>
      </w:r>
      <w:r w:rsidR="0041410F" w:rsidRPr="00D91CA7">
        <w:t xml:space="preserve"> These trainings should be organized to reach all members of the school community including students, educators, administrators, custodial and food service staff, and parents. Trainings can be co-facilitated by school staff and community agencies that promote healthy relationships and serve victims of </w:t>
      </w:r>
      <w:r w:rsidR="00D801A6" w:rsidRPr="00D91CA7">
        <w:t>teen</w:t>
      </w:r>
      <w:r w:rsidR="0041410F" w:rsidRPr="00D91CA7">
        <w:t xml:space="preserve"> dating violence and harassment. It is essential that all teachers, staff</w:t>
      </w:r>
      <w:r w:rsidR="001E4EF1">
        <w:t>,</w:t>
      </w:r>
      <w:r w:rsidR="0041410F" w:rsidRPr="00D91CA7">
        <w:t xml:space="preserve"> and administrators receive this training, so they understand their responsibility to actively support </w:t>
      </w:r>
      <w:r w:rsidR="001205E5" w:rsidRPr="00D91CA7">
        <w:t>healthy behaviors</w:t>
      </w:r>
      <w:r w:rsidR="0041410F" w:rsidRPr="00D91CA7">
        <w:t xml:space="preserve"> and have the knowledge and skills to do so consistently and effectively. </w:t>
      </w:r>
    </w:p>
    <w:p w:rsidR="0041410F" w:rsidRPr="00D91CA7" w:rsidRDefault="0041410F" w:rsidP="00BB23E1">
      <w:pPr>
        <w:pStyle w:val="Heading3"/>
        <w:numPr>
          <w:ilvl w:val="0"/>
          <w:numId w:val="15"/>
        </w:numPr>
        <w:ind w:left="360" w:hanging="360"/>
        <w:rPr>
          <w:rFonts w:ascii="Times New Roman" w:hAnsi="Times New Roman" w:cs="Times New Roman"/>
        </w:rPr>
      </w:pPr>
      <w:bookmarkStart w:id="8" w:name="_Toc345082253"/>
      <w:r w:rsidRPr="00D91CA7">
        <w:rPr>
          <w:rFonts w:ascii="Times New Roman" w:hAnsi="Times New Roman" w:cs="Times New Roman"/>
        </w:rPr>
        <w:t>ACCESS TO RESOURCES AND SERVICES</w:t>
      </w:r>
      <w:bookmarkEnd w:id="8"/>
      <w:r w:rsidR="00CA02C5" w:rsidRPr="00D91CA7">
        <w:rPr>
          <w:rFonts w:ascii="Times New Roman" w:hAnsi="Times New Roman" w:cs="Times New Roman"/>
        </w:rPr>
        <w:br/>
      </w:r>
    </w:p>
    <w:p w:rsidR="0041410F" w:rsidRPr="00D91CA7" w:rsidRDefault="00B80CB9" w:rsidP="00EC35A5">
      <w:pPr>
        <w:widowControl w:val="0"/>
        <w:tabs>
          <w:tab w:val="left" w:pos="1440"/>
          <w:tab w:val="left" w:pos="1710"/>
          <w:tab w:val="left" w:pos="1800"/>
        </w:tabs>
        <w:autoSpaceDE w:val="0"/>
        <w:autoSpaceDN w:val="0"/>
        <w:adjustRightInd w:val="0"/>
        <w:ind w:left="360"/>
      </w:pPr>
      <w:r w:rsidRPr="00D91CA7">
        <w:t>Schools should p</w:t>
      </w:r>
      <w:r w:rsidR="0041410F" w:rsidRPr="00D91CA7">
        <w:t>rovide access to safe and confidential intervention, resource, and r</w:t>
      </w:r>
      <w:r w:rsidR="003B235F" w:rsidRPr="00D91CA7">
        <w:t>eferral services that include: c</w:t>
      </w:r>
      <w:r w:rsidR="0041410F" w:rsidRPr="00D91CA7">
        <w:t xml:space="preserve">ollaborations with local domestic violence, sexual assault, </w:t>
      </w:r>
      <w:r w:rsidR="00CC295A" w:rsidRPr="00D91CA7">
        <w:t xml:space="preserve">and </w:t>
      </w:r>
      <w:r w:rsidR="0041410F" w:rsidRPr="00D91CA7">
        <w:t xml:space="preserve">certified batterer intervention programs, </w:t>
      </w:r>
      <w:r w:rsidR="00CC295A" w:rsidRPr="00D91CA7">
        <w:t xml:space="preserve">and </w:t>
      </w:r>
      <w:r w:rsidR="0041410F" w:rsidRPr="00D91CA7">
        <w:t>counseling and juvenile justice programs; Memoranda of Understanding and systems of reporting with local district attorney's office and law enforcement; connections with related community</w:t>
      </w:r>
      <w:r w:rsidR="00CC295A" w:rsidRPr="00D91CA7">
        <w:t>-</w:t>
      </w:r>
      <w:r w:rsidR="0041410F" w:rsidRPr="00D91CA7">
        <w:t xml:space="preserve">based resources and service providers; support groups for teen survivors in collaboration with local specialized service providers; specialized assessment and intervention programs for youth who behave abusively; high-risk groups for youth who exhibit sexually abusive behaviors and/or abusive dating behaviors, in collaboration with local specialized service providers (e.g., </w:t>
      </w:r>
      <w:hyperlink r:id="rId15" w:history="1">
        <w:r w:rsidR="00316415">
          <w:rPr>
            <w:rStyle w:val="Hyperlink"/>
          </w:rPr>
          <w:t xml:space="preserve"> Massachusetts Adolescent Sex Offender Coalition</w:t>
        </w:r>
      </w:hyperlink>
      <w:r w:rsidR="0041410F" w:rsidRPr="00D91CA7">
        <w:rPr>
          <w:color w:val="0033CC"/>
        </w:rPr>
        <w:t xml:space="preserve"> </w:t>
      </w:r>
      <w:r w:rsidR="0041410F" w:rsidRPr="00D91CA7">
        <w:t xml:space="preserve">and DPH-certified batterer intervention programs); </w:t>
      </w:r>
      <w:r w:rsidRPr="00D91CA7">
        <w:t>and</w:t>
      </w:r>
      <w:r w:rsidR="001E4EF1">
        <w:t>,</w:t>
      </w:r>
      <w:r w:rsidRPr="00D91CA7">
        <w:t xml:space="preserve"> when </w:t>
      </w:r>
      <w:r w:rsidR="0041410F" w:rsidRPr="00D91CA7">
        <w:t>appropriate</w:t>
      </w:r>
      <w:r w:rsidRPr="00D91CA7">
        <w:t>,</w:t>
      </w:r>
      <w:r w:rsidR="0041410F" w:rsidRPr="00D91CA7">
        <w:t xml:space="preserve"> referrals to the criminal justice and/or court system </w:t>
      </w:r>
      <w:r w:rsidR="00E0143A" w:rsidRPr="00D91CA7">
        <w:t>to help students and parents understand their legal rights</w:t>
      </w:r>
      <w:r w:rsidRPr="00D91CA7">
        <w:t xml:space="preserve"> in the context of teen dating violence</w:t>
      </w:r>
      <w:r w:rsidR="0041410F" w:rsidRPr="00D91CA7">
        <w:t>. A list of community-based referral programs and services in the community for both the persons engaging in and the victims of these behaviors should be made available to faculty, staff, students</w:t>
      </w:r>
      <w:r w:rsidR="001E4EF1">
        <w:t>,</w:t>
      </w:r>
      <w:r w:rsidR="0041410F" w:rsidRPr="00D91CA7">
        <w:t xml:space="preserve"> and</w:t>
      </w:r>
      <w:r w:rsidR="001E4EF1">
        <w:t xml:space="preserve"> </w:t>
      </w:r>
      <w:r w:rsidR="0041410F" w:rsidRPr="00D91CA7">
        <w:t xml:space="preserve"> families.  Lists should be updated annually. </w:t>
      </w:r>
    </w:p>
    <w:p w:rsidR="0041410F" w:rsidRPr="00D91CA7" w:rsidRDefault="0041410F" w:rsidP="00BB23E1">
      <w:pPr>
        <w:pStyle w:val="Heading3"/>
        <w:numPr>
          <w:ilvl w:val="0"/>
          <w:numId w:val="15"/>
        </w:numPr>
        <w:ind w:left="360" w:hanging="360"/>
        <w:rPr>
          <w:rFonts w:ascii="Times New Roman" w:hAnsi="Times New Roman" w:cs="Times New Roman"/>
        </w:rPr>
      </w:pPr>
      <w:bookmarkStart w:id="9" w:name="_Toc345082254"/>
      <w:r w:rsidRPr="00D91CA7">
        <w:rPr>
          <w:rFonts w:ascii="Times New Roman" w:hAnsi="Times New Roman" w:cs="Times New Roman"/>
        </w:rPr>
        <w:lastRenderedPageBreak/>
        <w:t>ACADEMIC AND NON-ACADEMIC ACTIVITIES</w:t>
      </w:r>
      <w:bookmarkEnd w:id="9"/>
      <w:r w:rsidR="00CA02C5" w:rsidRPr="00D91CA7">
        <w:rPr>
          <w:rFonts w:ascii="Times New Roman" w:hAnsi="Times New Roman" w:cs="Times New Roman"/>
        </w:rPr>
        <w:br/>
      </w:r>
    </w:p>
    <w:p w:rsidR="0041410F" w:rsidRPr="00D91CA7" w:rsidRDefault="0041410F" w:rsidP="00EC35A5">
      <w:pPr>
        <w:pStyle w:val="CommentText"/>
        <w:ind w:left="360"/>
      </w:pPr>
      <w:r w:rsidRPr="00D91CA7">
        <w:t xml:space="preserve">Use </w:t>
      </w:r>
      <w:r w:rsidR="00CC295A" w:rsidRPr="00D91CA7">
        <w:t xml:space="preserve">of </w:t>
      </w:r>
      <w:r w:rsidRPr="00D91CA7">
        <w:t>evidence-informed relationship and sexual violence prevention curricula that promote healthy relationships and sexuality in trauma-informed programming can be incorporated into the school’s health curricula</w:t>
      </w:r>
      <w:r w:rsidR="00AD2CC3" w:rsidRPr="00D91CA7">
        <w:t>.</w:t>
      </w:r>
      <w:r w:rsidRPr="00D91CA7">
        <w:t xml:space="preserve"> </w:t>
      </w:r>
      <w:r w:rsidR="00AD2CC3" w:rsidRPr="00D91CA7">
        <w:t>Local community-</w:t>
      </w:r>
      <w:r w:rsidRPr="00D91CA7">
        <w:t xml:space="preserve">based programs that specialize in sexual and domestic violence </w:t>
      </w:r>
      <w:r w:rsidR="00B80CB9" w:rsidRPr="00D91CA7">
        <w:t xml:space="preserve">prevention </w:t>
      </w:r>
      <w:r w:rsidRPr="00D91CA7">
        <w:t>and healthy sexuality can often assist with program planning and/or delivery of curricula</w:t>
      </w:r>
      <w:r w:rsidR="00AD2CC3" w:rsidRPr="00D91CA7">
        <w:t>.</w:t>
      </w:r>
      <w:r w:rsidRPr="00D91CA7">
        <w:t xml:space="preserve"> School-sponsored activities can promote and teach healthy relationships</w:t>
      </w:r>
      <w:r w:rsidR="00B048B1">
        <w:t>,</w:t>
      </w:r>
      <w:r w:rsidRPr="00D91CA7">
        <w:t xml:space="preserve"> skills</w:t>
      </w:r>
      <w:r w:rsidR="00B048B1">
        <w:t>,</w:t>
      </w:r>
      <w:r w:rsidRPr="00D91CA7">
        <w:t xml:space="preserve"> and behaviors. Students can benefit from discussion and guidance about consent, respect, and skill development on healthy ways to initiate, maintain, and end </w:t>
      </w:r>
      <w:r w:rsidR="001E4EF1">
        <w:t>dating</w:t>
      </w:r>
      <w:r w:rsidRPr="00D91CA7">
        <w:t xml:space="preserve"> relationships.</w:t>
      </w:r>
    </w:p>
    <w:p w:rsidR="0041410F" w:rsidRPr="00D91CA7" w:rsidRDefault="0041410F" w:rsidP="0041410F">
      <w:pPr>
        <w:pStyle w:val="CommentText"/>
        <w:ind w:left="1080"/>
      </w:pPr>
    </w:p>
    <w:p w:rsidR="0041410F" w:rsidRPr="00D91CA7" w:rsidRDefault="0041410F" w:rsidP="00AD2CC3">
      <w:pPr>
        <w:ind w:left="360"/>
      </w:pPr>
      <w:r w:rsidRPr="00D91CA7">
        <w:t xml:space="preserve">School </w:t>
      </w:r>
      <w:r w:rsidR="001E4EF1">
        <w:t>h</w:t>
      </w:r>
      <w:r w:rsidRPr="00D91CA7">
        <w:t xml:space="preserve">ealth </w:t>
      </w:r>
      <w:r w:rsidR="001E4EF1">
        <w:t>a</w:t>
      </w:r>
      <w:r w:rsidRPr="00D91CA7">
        <w:t>dvisory/</w:t>
      </w:r>
      <w:r w:rsidR="001E4EF1">
        <w:t>w</w:t>
      </w:r>
      <w:r w:rsidRPr="00D91CA7">
        <w:t xml:space="preserve">ellness and </w:t>
      </w:r>
      <w:r w:rsidR="001E4EF1">
        <w:t>b</w:t>
      </w:r>
      <w:r w:rsidRPr="00D91CA7">
        <w:t xml:space="preserve">ullying </w:t>
      </w:r>
      <w:r w:rsidR="001E4EF1">
        <w:t>p</w:t>
      </w:r>
      <w:r w:rsidRPr="00D91CA7">
        <w:t xml:space="preserve">revention </w:t>
      </w:r>
      <w:r w:rsidR="001E4EF1">
        <w:t>c</w:t>
      </w:r>
      <w:r w:rsidRPr="00D91CA7">
        <w:t>ommittees should include relevant stakeholders on these issues, and specifically address these issues in coordinated ways. Consider forming a standing subcommittee or task force comprised of staff, parents, students, law enforcement</w:t>
      </w:r>
      <w:r w:rsidR="009D6C24">
        <w:t xml:space="preserve">, </w:t>
      </w:r>
      <w:r w:rsidRPr="00D91CA7">
        <w:t>representatives from local domestic violence</w:t>
      </w:r>
      <w:r w:rsidR="009D6C24">
        <w:t xml:space="preserve"> </w:t>
      </w:r>
      <w:r w:rsidRPr="00D91CA7">
        <w:t>and GLBT</w:t>
      </w:r>
      <w:r w:rsidR="00150398" w:rsidRPr="00D91CA7">
        <w:t>Q</w:t>
      </w:r>
      <w:r w:rsidRPr="00D91CA7">
        <w:t xml:space="preserve"> advocacy groups, and </w:t>
      </w:r>
      <w:r w:rsidR="009D6C24">
        <w:t xml:space="preserve">other </w:t>
      </w:r>
      <w:r w:rsidRPr="00D91CA7">
        <w:t xml:space="preserve">concerned community members </w:t>
      </w:r>
      <w:r w:rsidR="00B048B1">
        <w:t>who</w:t>
      </w:r>
      <w:r w:rsidRPr="00D91CA7">
        <w:t xml:space="preserve"> can examine all aspects of the school environment and develop specific policies and recommendations for promoting a positive, safe, bias-free and abuse-free environment. </w:t>
      </w:r>
    </w:p>
    <w:p w:rsidR="008A45F9" w:rsidRPr="00D21116" w:rsidRDefault="0041410F" w:rsidP="00B94962">
      <w:pPr>
        <w:pStyle w:val="Heading3"/>
        <w:numPr>
          <w:ilvl w:val="0"/>
          <w:numId w:val="15"/>
        </w:numPr>
        <w:ind w:left="360" w:hanging="360"/>
        <w:rPr>
          <w:rFonts w:ascii="Times New Roman" w:hAnsi="Times New Roman" w:cs="Times New Roman"/>
        </w:rPr>
      </w:pPr>
      <w:bookmarkStart w:id="10" w:name="_Toc345082255"/>
      <w:r w:rsidRPr="00D21116">
        <w:rPr>
          <w:rFonts w:ascii="Times New Roman" w:hAnsi="Times New Roman" w:cs="Times New Roman"/>
        </w:rPr>
        <w:t>POLICIES AND PROCEDURES FOR REPORTING AND RESPONDING TO TEEN DATING VIOLENCE</w:t>
      </w:r>
      <w:bookmarkEnd w:id="10"/>
      <w:r w:rsidRPr="00D21116">
        <w:rPr>
          <w:rFonts w:ascii="Times New Roman" w:hAnsi="Times New Roman" w:cs="Times New Roman"/>
        </w:rPr>
        <w:br/>
      </w:r>
    </w:p>
    <w:p w:rsidR="0041410F" w:rsidRPr="00D91CA7" w:rsidRDefault="00B80CB9" w:rsidP="00EC35A5">
      <w:pPr>
        <w:pStyle w:val="ListParagraph"/>
        <w:ind w:left="360"/>
      </w:pPr>
      <w:r w:rsidRPr="00D91CA7">
        <w:t>It is important to d</w:t>
      </w:r>
      <w:r w:rsidR="0041410F" w:rsidRPr="00D91CA7">
        <w:t xml:space="preserve">evelop or review and update written policies to address the issue of </w:t>
      </w:r>
      <w:r w:rsidRPr="00D91CA7">
        <w:t>t</w:t>
      </w:r>
      <w:r w:rsidR="0041410F" w:rsidRPr="00D91CA7">
        <w:t xml:space="preserve">een </w:t>
      </w:r>
      <w:r w:rsidRPr="00D91CA7">
        <w:t>d</w:t>
      </w:r>
      <w:r w:rsidR="0041410F" w:rsidRPr="00D91CA7">
        <w:t xml:space="preserve">ating </w:t>
      </w:r>
      <w:r w:rsidRPr="00D91CA7">
        <w:t>v</w:t>
      </w:r>
      <w:r w:rsidR="0041410F" w:rsidRPr="00D91CA7">
        <w:t>iolence</w:t>
      </w:r>
      <w:r w:rsidR="00B048B1">
        <w:t xml:space="preserve"> as well as</w:t>
      </w:r>
      <w:r w:rsidR="0041410F" w:rsidRPr="00D91CA7">
        <w:t xml:space="preserve"> </w:t>
      </w:r>
      <w:r w:rsidR="00B048B1">
        <w:t>i</w:t>
      </w:r>
      <w:r w:rsidR="0041410F" w:rsidRPr="00D91CA7">
        <w:t>dentify and implement effective dissemination methods to ensure that all parents, school personnel and students are aware of th</w:t>
      </w:r>
      <w:r w:rsidR="001272BD">
        <w:t>ese</w:t>
      </w:r>
      <w:r w:rsidR="0041410F" w:rsidRPr="00D91CA7">
        <w:t xml:space="preserve"> polic</w:t>
      </w:r>
      <w:r w:rsidR="001272BD">
        <w:t>ies</w:t>
      </w:r>
      <w:r w:rsidR="0041410F" w:rsidRPr="00D91CA7">
        <w:t>. Policies should incl</w:t>
      </w:r>
      <w:r w:rsidR="0041410F" w:rsidRPr="00D91CA7">
        <w:rPr>
          <w:bCs/>
        </w:rPr>
        <w:t>ude clear</w:t>
      </w:r>
      <w:r w:rsidR="0041410F" w:rsidRPr="00D91CA7">
        <w:rPr>
          <w:b/>
          <w:bCs/>
        </w:rPr>
        <w:t xml:space="preserve"> </w:t>
      </w:r>
      <w:r w:rsidR="0041410F" w:rsidRPr="00D91CA7">
        <w:rPr>
          <w:bCs/>
        </w:rPr>
        <w:t>guidelines for addressing alleged incidents of these behaviors. These guidelines should include, but not be limited to:</w:t>
      </w:r>
    </w:p>
    <w:p w:rsidR="0041410F" w:rsidRPr="00D91CA7" w:rsidRDefault="0041410F" w:rsidP="0041410F">
      <w:pPr>
        <w:pStyle w:val="ListParagraph"/>
        <w:ind w:left="360"/>
      </w:pPr>
    </w:p>
    <w:p w:rsidR="0041410F" w:rsidRPr="00D91CA7" w:rsidRDefault="0041410F" w:rsidP="00BB23E1">
      <w:pPr>
        <w:pStyle w:val="ListParagraph"/>
        <w:numPr>
          <w:ilvl w:val="0"/>
          <w:numId w:val="16"/>
        </w:numPr>
        <w:tabs>
          <w:tab w:val="clear" w:pos="1170"/>
        </w:tabs>
        <w:ind w:left="720"/>
        <w:rPr>
          <w:b/>
          <w:i/>
        </w:rPr>
      </w:pPr>
      <w:r w:rsidRPr="00D91CA7">
        <w:rPr>
          <w:b/>
          <w:i/>
        </w:rPr>
        <w:t xml:space="preserve">Statement that dating violence will not be tolerated </w:t>
      </w:r>
    </w:p>
    <w:p w:rsidR="002F4C9D" w:rsidRDefault="002F4C9D" w:rsidP="00627EFC">
      <w:pPr>
        <w:pStyle w:val="ListParagraph"/>
      </w:pPr>
    </w:p>
    <w:p w:rsidR="0041410F" w:rsidRPr="00D91CA7" w:rsidRDefault="00764096" w:rsidP="00627EFC">
      <w:pPr>
        <w:pStyle w:val="ListParagraph"/>
      </w:pPr>
      <w:r w:rsidRPr="00D91CA7">
        <w:t xml:space="preserve">G.L c. 71 § </w:t>
      </w:r>
      <w:r w:rsidR="0041410F" w:rsidRPr="00D91CA7">
        <w:t>2C</w:t>
      </w:r>
      <w:r w:rsidRPr="00D91CA7">
        <w:t xml:space="preserve"> </w:t>
      </w:r>
      <w:r w:rsidR="0041410F" w:rsidRPr="00D91CA7">
        <w:t>states</w:t>
      </w:r>
      <w:r w:rsidR="006848F3" w:rsidRPr="00D91CA7">
        <w:t xml:space="preserve">: </w:t>
      </w:r>
      <w:r w:rsidR="00180B9E" w:rsidRPr="00D91CA7">
        <w:rPr>
          <w:i/>
        </w:rPr>
        <w:t>the policy shall clearly state that dating violence will not be tolerated and shall include guidelines for addressing alleged incidents of dating violence</w:t>
      </w:r>
      <w:r w:rsidR="0041410F" w:rsidRPr="00D91CA7">
        <w:t>.</w:t>
      </w:r>
    </w:p>
    <w:p w:rsidR="0041410F" w:rsidRPr="00D91CA7" w:rsidRDefault="0041410F" w:rsidP="0041410F">
      <w:pPr>
        <w:pStyle w:val="ListParagraph"/>
        <w:ind w:left="1170"/>
        <w:rPr>
          <w:b/>
          <w:i/>
        </w:rPr>
      </w:pPr>
    </w:p>
    <w:p w:rsidR="0041410F" w:rsidRPr="00D91CA7" w:rsidRDefault="00AD2CC3" w:rsidP="00BB23E1">
      <w:pPr>
        <w:pStyle w:val="ListParagraph"/>
        <w:numPr>
          <w:ilvl w:val="0"/>
          <w:numId w:val="16"/>
        </w:numPr>
        <w:tabs>
          <w:tab w:val="clear" w:pos="1170"/>
        </w:tabs>
        <w:ind w:left="720"/>
        <w:rPr>
          <w:b/>
          <w:i/>
        </w:rPr>
      </w:pPr>
      <w:r w:rsidRPr="00D91CA7">
        <w:rPr>
          <w:b/>
          <w:i/>
        </w:rPr>
        <w:t>Process</w:t>
      </w:r>
      <w:r w:rsidR="0041410F" w:rsidRPr="00D91CA7">
        <w:rPr>
          <w:b/>
          <w:i/>
        </w:rPr>
        <w:t xml:space="preserve"> for addressing alleged incidents of dating violence including d</w:t>
      </w:r>
      <w:r w:rsidR="0041410F" w:rsidRPr="00D91CA7">
        <w:rPr>
          <w:b/>
          <w:bCs/>
          <w:i/>
        </w:rPr>
        <w:t xml:space="preserve">ocumentation of incidents </w:t>
      </w:r>
      <w:r w:rsidR="0041410F" w:rsidRPr="00D91CA7">
        <w:rPr>
          <w:b/>
          <w:bCs/>
          <w:i/>
        </w:rPr>
        <w:br/>
      </w:r>
    </w:p>
    <w:p w:rsidR="0041410F" w:rsidRPr="00D91CA7" w:rsidRDefault="0041410F" w:rsidP="003C2E93">
      <w:pPr>
        <w:ind w:left="720"/>
        <w:rPr>
          <w:b/>
          <w:i/>
        </w:rPr>
      </w:pPr>
      <w:r w:rsidRPr="00D91CA7">
        <w:t>Districts should develop a system for documenting each complaint</w:t>
      </w:r>
      <w:r w:rsidR="00AD2CC3" w:rsidRPr="00D91CA7">
        <w:t xml:space="preserve"> or report</w:t>
      </w:r>
      <w:r w:rsidRPr="00D91CA7">
        <w:t xml:space="preserve"> of</w:t>
      </w:r>
      <w:r w:rsidR="00AD2CC3" w:rsidRPr="00D91CA7">
        <w:t xml:space="preserve"> any</w:t>
      </w:r>
      <w:r w:rsidRPr="00D91CA7">
        <w:t xml:space="preserve"> teen dating violence </w:t>
      </w:r>
      <w:r w:rsidR="00CE5D73" w:rsidRPr="00D91CA7">
        <w:t>incident on and/or off school grounds involving an enrolled student.</w:t>
      </w:r>
      <w:r w:rsidR="008A3C99" w:rsidRPr="00D91CA7">
        <w:t xml:space="preserve"> </w:t>
      </w:r>
      <w:r w:rsidR="00CE5D73" w:rsidRPr="00D91CA7">
        <w:t xml:space="preserve">Reports should be accepted from any </w:t>
      </w:r>
      <w:r w:rsidR="008A3C99" w:rsidRPr="00D91CA7">
        <w:t>members of school</w:t>
      </w:r>
      <w:r w:rsidR="00CE5D73" w:rsidRPr="00D91CA7">
        <w:t xml:space="preserve"> community including students, </w:t>
      </w:r>
      <w:r w:rsidR="008A3C99" w:rsidRPr="00D91CA7">
        <w:t>parent</w:t>
      </w:r>
      <w:r w:rsidR="001272BD">
        <w:t>s,</w:t>
      </w:r>
      <w:r w:rsidR="008A3C99" w:rsidRPr="00D91CA7">
        <w:t xml:space="preserve"> and staff</w:t>
      </w:r>
      <w:r w:rsidR="00CE5D73" w:rsidRPr="00D91CA7">
        <w:t>.</w:t>
      </w:r>
      <w:r w:rsidR="008A3C99" w:rsidRPr="00D91CA7">
        <w:t xml:space="preserve"> </w:t>
      </w:r>
      <w:r w:rsidR="001272BD">
        <w:t>The s</w:t>
      </w:r>
      <w:r w:rsidR="008A3C99" w:rsidRPr="00D91CA7">
        <w:t xml:space="preserve">ystem should include </w:t>
      </w:r>
      <w:r w:rsidR="00400F9B" w:rsidRPr="00D91CA7">
        <w:t xml:space="preserve">the </w:t>
      </w:r>
      <w:r w:rsidR="008A3C99" w:rsidRPr="00D91CA7">
        <w:t>process for making a report</w:t>
      </w:r>
      <w:r w:rsidR="00AD2CC3" w:rsidRPr="00D91CA7">
        <w:t xml:space="preserve"> </w:t>
      </w:r>
      <w:r w:rsidR="004C3EBC" w:rsidRPr="00D91CA7">
        <w:t>a</w:t>
      </w:r>
      <w:r w:rsidR="00400F9B" w:rsidRPr="00D91CA7">
        <w:t>s well as having</w:t>
      </w:r>
      <w:r w:rsidR="004C3EBC" w:rsidRPr="00D91CA7">
        <w:t xml:space="preserve"> complaint forms readily available to all students, faculty</w:t>
      </w:r>
      <w:r w:rsidR="001272BD">
        <w:t>,</w:t>
      </w:r>
      <w:r w:rsidR="004C3EBC" w:rsidRPr="00D91CA7">
        <w:t xml:space="preserve"> and staff. </w:t>
      </w:r>
      <w:r w:rsidRPr="00D91CA7">
        <w:t>Documentation should include the following elements:</w:t>
      </w:r>
      <w:r w:rsidRPr="00D91CA7">
        <w:br/>
      </w:r>
    </w:p>
    <w:p w:rsidR="0041410F" w:rsidRPr="00D91CA7" w:rsidRDefault="0041410F" w:rsidP="00BB23E1">
      <w:pPr>
        <w:pStyle w:val="ListParagraph"/>
        <w:numPr>
          <w:ilvl w:val="1"/>
          <w:numId w:val="10"/>
        </w:numPr>
        <w:tabs>
          <w:tab w:val="clear" w:pos="1440"/>
        </w:tabs>
        <w:autoSpaceDE w:val="0"/>
        <w:autoSpaceDN w:val="0"/>
        <w:adjustRightInd w:val="0"/>
        <w:spacing w:after="120"/>
        <w:ind w:left="1094" w:hanging="187"/>
      </w:pPr>
      <w:r w:rsidRPr="00D91CA7">
        <w:t>Description of incident(s): what, when, where, witnesses;</w:t>
      </w:r>
    </w:p>
    <w:p w:rsidR="0041410F" w:rsidRPr="00D91CA7" w:rsidRDefault="0041410F" w:rsidP="00BB23E1">
      <w:pPr>
        <w:pStyle w:val="ListParagraph"/>
        <w:numPr>
          <w:ilvl w:val="1"/>
          <w:numId w:val="10"/>
        </w:numPr>
        <w:tabs>
          <w:tab w:val="clear" w:pos="1440"/>
        </w:tabs>
        <w:autoSpaceDE w:val="0"/>
        <w:autoSpaceDN w:val="0"/>
        <w:adjustRightInd w:val="0"/>
        <w:spacing w:after="120"/>
        <w:ind w:left="1094" w:hanging="187"/>
      </w:pPr>
      <w:r w:rsidRPr="00D91CA7">
        <w:t>Victim and alleged perpetrator information, including class schedules, group and club memberships</w:t>
      </w:r>
      <w:r w:rsidR="001272BD">
        <w:t>,</w:t>
      </w:r>
      <w:r w:rsidRPr="00D91CA7">
        <w:t xml:space="preserve"> and school activities;</w:t>
      </w:r>
    </w:p>
    <w:p w:rsidR="0041410F" w:rsidRPr="00D91CA7" w:rsidRDefault="0041410F" w:rsidP="00BB23E1">
      <w:pPr>
        <w:pStyle w:val="ListParagraph"/>
        <w:numPr>
          <w:ilvl w:val="1"/>
          <w:numId w:val="10"/>
        </w:numPr>
        <w:tabs>
          <w:tab w:val="clear" w:pos="1440"/>
        </w:tabs>
        <w:autoSpaceDE w:val="0"/>
        <w:autoSpaceDN w:val="0"/>
        <w:adjustRightInd w:val="0"/>
        <w:spacing w:after="120"/>
        <w:ind w:left="1094" w:hanging="187"/>
      </w:pPr>
      <w:r w:rsidRPr="00D91CA7">
        <w:lastRenderedPageBreak/>
        <w:t>Disciplinary and accommodation recommendations, including changes to class schedules;</w:t>
      </w:r>
    </w:p>
    <w:p w:rsidR="0041410F" w:rsidRPr="00D91CA7" w:rsidRDefault="0041410F" w:rsidP="00BB23E1">
      <w:pPr>
        <w:pStyle w:val="ListParagraph"/>
        <w:numPr>
          <w:ilvl w:val="1"/>
          <w:numId w:val="10"/>
        </w:numPr>
        <w:tabs>
          <w:tab w:val="clear" w:pos="1440"/>
        </w:tabs>
        <w:autoSpaceDE w:val="0"/>
        <w:autoSpaceDN w:val="0"/>
        <w:adjustRightInd w:val="0"/>
        <w:spacing w:after="120"/>
        <w:ind w:left="1094" w:hanging="187"/>
      </w:pPr>
      <w:r w:rsidRPr="00D91CA7">
        <w:t>Response actions taken, including safety planning, referrals for services and counseling, and disciplinary actions;</w:t>
      </w:r>
      <w:r w:rsidR="001272BD">
        <w:t xml:space="preserve"> and</w:t>
      </w:r>
    </w:p>
    <w:p w:rsidR="0041410F" w:rsidRPr="00D91CA7" w:rsidRDefault="0041410F" w:rsidP="00BB23E1">
      <w:pPr>
        <w:pStyle w:val="ListParagraph"/>
        <w:numPr>
          <w:ilvl w:val="1"/>
          <w:numId w:val="10"/>
        </w:numPr>
        <w:tabs>
          <w:tab w:val="clear" w:pos="1440"/>
        </w:tabs>
        <w:autoSpaceDE w:val="0"/>
        <w:autoSpaceDN w:val="0"/>
        <w:adjustRightInd w:val="0"/>
        <w:spacing w:after="120"/>
        <w:ind w:left="1094" w:hanging="187"/>
      </w:pPr>
      <w:r w:rsidRPr="00D91CA7">
        <w:t>Incident updates, including response to disciplinary actions, alleged perpetrator compliance, u</w:t>
      </w:r>
      <w:r w:rsidR="001272BD">
        <w:t>se</w:t>
      </w:r>
      <w:r w:rsidRPr="00D91CA7">
        <w:t xml:space="preserve"> of referrals for services, reviews of safety plans, and status reports from the victim, including further referrals for services</w:t>
      </w:r>
      <w:r w:rsidR="001272BD">
        <w:t>.</w:t>
      </w:r>
    </w:p>
    <w:p w:rsidR="0041410F" w:rsidRPr="00D91CA7" w:rsidRDefault="0041410F" w:rsidP="00BB23E1">
      <w:pPr>
        <w:pStyle w:val="ListParagraph"/>
        <w:numPr>
          <w:ilvl w:val="0"/>
          <w:numId w:val="16"/>
        </w:numPr>
        <w:ind w:left="720"/>
        <w:rPr>
          <w:b/>
          <w:i/>
        </w:rPr>
      </w:pPr>
      <w:r w:rsidRPr="00D91CA7">
        <w:rPr>
          <w:b/>
          <w:i/>
        </w:rPr>
        <w:t xml:space="preserve">Awareness training and education for the school community </w:t>
      </w:r>
      <w:r w:rsidRPr="00D91CA7">
        <w:rPr>
          <w:b/>
          <w:i/>
        </w:rPr>
        <w:br/>
      </w:r>
    </w:p>
    <w:p w:rsidR="0041410F" w:rsidRPr="00D91CA7" w:rsidRDefault="0041410F" w:rsidP="004463C2">
      <w:pPr>
        <w:pStyle w:val="ListParagraph"/>
      </w:pPr>
      <w:r w:rsidRPr="00D91CA7">
        <w:t xml:space="preserve">Training for the </w:t>
      </w:r>
      <w:r w:rsidR="009F0CF4" w:rsidRPr="00D91CA7">
        <w:t>s</w:t>
      </w:r>
      <w:r w:rsidRPr="00D91CA7">
        <w:t xml:space="preserve">chool </w:t>
      </w:r>
      <w:r w:rsidR="009F0CF4" w:rsidRPr="00D91CA7">
        <w:t>c</w:t>
      </w:r>
      <w:r w:rsidRPr="00D91CA7">
        <w:t>ommunity should include:</w:t>
      </w:r>
      <w:r w:rsidRPr="00D91CA7">
        <w:br/>
      </w:r>
    </w:p>
    <w:p w:rsidR="0041410F" w:rsidRPr="00D91CA7" w:rsidRDefault="0041410F" w:rsidP="00BB23E1">
      <w:pPr>
        <w:pStyle w:val="ListParagraph"/>
        <w:numPr>
          <w:ilvl w:val="0"/>
          <w:numId w:val="17"/>
        </w:numPr>
        <w:tabs>
          <w:tab w:val="clear" w:pos="1440"/>
        </w:tabs>
        <w:autoSpaceDE w:val="0"/>
        <w:autoSpaceDN w:val="0"/>
        <w:adjustRightInd w:val="0"/>
        <w:spacing w:after="120"/>
        <w:ind w:left="1094" w:hanging="187"/>
      </w:pPr>
      <w:r w:rsidRPr="00D91CA7">
        <w:t>Defining the issue of relationship and sexual violence and its relationship to school;</w:t>
      </w:r>
    </w:p>
    <w:p w:rsidR="0041410F" w:rsidRPr="00D91CA7" w:rsidRDefault="0041410F" w:rsidP="00BB23E1">
      <w:pPr>
        <w:pStyle w:val="ListParagraph"/>
        <w:numPr>
          <w:ilvl w:val="0"/>
          <w:numId w:val="17"/>
        </w:numPr>
        <w:tabs>
          <w:tab w:val="clear" w:pos="1440"/>
        </w:tabs>
        <w:autoSpaceDE w:val="0"/>
        <w:autoSpaceDN w:val="0"/>
        <w:adjustRightInd w:val="0"/>
        <w:spacing w:after="120"/>
        <w:ind w:left="1094" w:hanging="187"/>
      </w:pPr>
      <w:r w:rsidRPr="00D91CA7">
        <w:t>Community norms and laws supportive of all students’ rights to safe learning environments and educational access;</w:t>
      </w:r>
    </w:p>
    <w:p w:rsidR="0041410F" w:rsidRPr="00D91CA7" w:rsidRDefault="0041410F" w:rsidP="00BB23E1">
      <w:pPr>
        <w:pStyle w:val="ListParagraph"/>
        <w:numPr>
          <w:ilvl w:val="0"/>
          <w:numId w:val="17"/>
        </w:numPr>
        <w:tabs>
          <w:tab w:val="clear" w:pos="1440"/>
        </w:tabs>
        <w:autoSpaceDE w:val="0"/>
        <w:autoSpaceDN w:val="0"/>
        <w:adjustRightInd w:val="0"/>
        <w:spacing w:after="120"/>
        <w:ind w:left="1094" w:hanging="187"/>
      </w:pPr>
      <w:r w:rsidRPr="00D91CA7">
        <w:t>Recognizing warning signs</w:t>
      </w:r>
      <w:r w:rsidR="00914F7E">
        <w:t xml:space="preserve"> (see section VIII)</w:t>
      </w:r>
      <w:r w:rsidRPr="00D91CA7">
        <w:t>;</w:t>
      </w:r>
    </w:p>
    <w:p w:rsidR="0041410F" w:rsidRPr="00D91CA7" w:rsidRDefault="0041410F" w:rsidP="00BB23E1">
      <w:pPr>
        <w:pStyle w:val="ListParagraph"/>
        <w:numPr>
          <w:ilvl w:val="0"/>
          <w:numId w:val="17"/>
        </w:numPr>
        <w:tabs>
          <w:tab w:val="clear" w:pos="1440"/>
        </w:tabs>
        <w:autoSpaceDE w:val="0"/>
        <w:autoSpaceDN w:val="0"/>
        <w:adjustRightInd w:val="0"/>
        <w:spacing w:after="120"/>
        <w:ind w:left="1094" w:hanging="187"/>
      </w:pPr>
      <w:r w:rsidRPr="00D91CA7">
        <w:t>Identifying issues of confidentiality, safety, and academic accommodations linked to the impact of the abuse; and</w:t>
      </w:r>
    </w:p>
    <w:p w:rsidR="0041410F" w:rsidRPr="00D91CA7" w:rsidRDefault="0041410F" w:rsidP="00BB23E1">
      <w:pPr>
        <w:pStyle w:val="ListParagraph"/>
        <w:numPr>
          <w:ilvl w:val="0"/>
          <w:numId w:val="17"/>
        </w:numPr>
        <w:tabs>
          <w:tab w:val="clear" w:pos="1440"/>
        </w:tabs>
        <w:autoSpaceDE w:val="0"/>
        <w:autoSpaceDN w:val="0"/>
        <w:adjustRightInd w:val="0"/>
        <w:spacing w:after="120"/>
        <w:ind w:left="1094" w:hanging="187"/>
      </w:pPr>
      <w:r w:rsidRPr="00D91CA7">
        <w:t>Appropriate school-based and non-school based help, interventions</w:t>
      </w:r>
      <w:r w:rsidR="001272BD">
        <w:t>,</w:t>
      </w:r>
      <w:r w:rsidRPr="00D91CA7">
        <w:t xml:space="preserve"> and referrals.</w:t>
      </w:r>
      <w:r w:rsidR="00606DCD" w:rsidRPr="00D91CA7">
        <w:br/>
      </w:r>
    </w:p>
    <w:p w:rsidR="0041410F" w:rsidRPr="00D91CA7" w:rsidRDefault="0041410F" w:rsidP="00BB23E1">
      <w:pPr>
        <w:pStyle w:val="ListParagraph"/>
        <w:numPr>
          <w:ilvl w:val="0"/>
          <w:numId w:val="16"/>
        </w:numPr>
        <w:ind w:left="720"/>
        <w:rPr>
          <w:b/>
          <w:i/>
        </w:rPr>
      </w:pPr>
      <w:r w:rsidRPr="00D91CA7">
        <w:rPr>
          <w:b/>
          <w:i/>
        </w:rPr>
        <w:t>Ensuring confidentiality</w:t>
      </w:r>
    </w:p>
    <w:p w:rsidR="0041410F" w:rsidRPr="00D91CA7" w:rsidRDefault="0041410F" w:rsidP="0041410F">
      <w:pPr>
        <w:pStyle w:val="ListParagraph"/>
      </w:pPr>
    </w:p>
    <w:p w:rsidR="00825C83" w:rsidRPr="00D91CA7" w:rsidRDefault="00825C83" w:rsidP="0075645B">
      <w:pPr>
        <w:pStyle w:val="ListParagraph"/>
        <w:numPr>
          <w:ilvl w:val="0"/>
          <w:numId w:val="26"/>
        </w:numPr>
        <w:ind w:left="1080"/>
      </w:pPr>
      <w:r w:rsidRPr="00D91CA7">
        <w:t>Under state law, any information about a student’s status as a target or perpetrator of dating abuse or sexual violence or as the petitioner or respondent of an order of protection and other related information that is either generated by or provided to school officials, regardless of its form, is part of the individual’s student record (</w:t>
      </w:r>
      <w:r w:rsidRPr="00D91CA7">
        <w:rPr>
          <w:i/>
          <w:iCs/>
        </w:rPr>
        <w:t>see</w:t>
      </w:r>
      <w:r w:rsidRPr="00D91CA7">
        <w:t xml:space="preserve"> Massachusetts Student Records Regulations, 603 CMR 23.00). The information is confidential and must</w:t>
      </w:r>
      <w:r w:rsidR="009D6C24">
        <w:t xml:space="preserve"> </w:t>
      </w:r>
      <w:r w:rsidRPr="00D91CA7">
        <w:t>be kept private and secure, and may not be disclosed to third parties without the written consent of the parent or eligible student, exc</w:t>
      </w:r>
      <w:r w:rsidR="009D6C24">
        <w:t xml:space="preserve">ept in limited circumstances.  </w:t>
      </w:r>
      <w:r w:rsidRPr="00D91CA7">
        <w:t>An “eligible student” is a student who is 14 years of age or older or who has entered the 9</w:t>
      </w:r>
      <w:r w:rsidRPr="00D91CA7">
        <w:rPr>
          <w:vertAlign w:val="superscript"/>
        </w:rPr>
        <w:t>th</w:t>
      </w:r>
      <w:r w:rsidRPr="00D91CA7">
        <w:t xml:space="preserve"> grade, unless the school committee has extended rights to younger students or those who have not yet entered 9</w:t>
      </w:r>
      <w:r w:rsidRPr="00D91CA7">
        <w:rPr>
          <w:vertAlign w:val="superscript"/>
        </w:rPr>
        <w:t>th</w:t>
      </w:r>
      <w:r w:rsidRPr="00D91CA7">
        <w:t xml:space="preserve"> grade </w:t>
      </w:r>
      <w:r w:rsidR="00B048B1">
        <w:t>(603 CMR § 23.02</w:t>
      </w:r>
      <w:r w:rsidRPr="00D91CA7">
        <w:t>)</w:t>
      </w:r>
      <w:r w:rsidR="00246F58">
        <w:t>.</w:t>
      </w:r>
      <w:r w:rsidRPr="00D91CA7">
        <w:t xml:space="preserve">  Once the student reaches the age of 18, the student or the parent may consent to the disclosure of information from the student’s record to third parties unless the student has limited the parent’s right in that regard. (Although a student 18 years of age or older has authority to limit the parent’s right to consent to disclosure of his or her student records, the student cannot limit the parent’s right to review them.) </w:t>
      </w:r>
    </w:p>
    <w:p w:rsidR="0075645B" w:rsidRPr="00D91CA7" w:rsidRDefault="0075645B" w:rsidP="0075645B">
      <w:pPr>
        <w:pStyle w:val="ListParagraph"/>
        <w:ind w:left="1080"/>
      </w:pPr>
    </w:p>
    <w:p w:rsidR="00825C83" w:rsidRPr="00D91CA7" w:rsidRDefault="00825C83" w:rsidP="0075645B">
      <w:pPr>
        <w:pStyle w:val="ListParagraph"/>
        <w:numPr>
          <w:ilvl w:val="0"/>
          <w:numId w:val="26"/>
        </w:numPr>
        <w:ind w:left="1080"/>
      </w:pPr>
      <w:r w:rsidRPr="00D91CA7">
        <w:t>Authorized school personnel may have access to student records of students to w</w:t>
      </w:r>
      <w:r w:rsidR="000126B5">
        <w:t>hom they are providing services</w:t>
      </w:r>
      <w:r w:rsidRPr="00D91CA7">
        <w:t xml:space="preserve"> when access is necessary to perform their official duties (603 CMR §23.07(3))</w:t>
      </w:r>
      <w:r w:rsidR="00246F58">
        <w:t>.</w:t>
      </w:r>
      <w:r w:rsidRPr="00D91CA7">
        <w:t xml:space="preserve"> In these circumstances, written consent of the eligible student or parent is not required. For example, if the student or student’s parent has provided the school principal a copy of a court order of protection issued on behalf of one student against another student in the same school, the principal may need to inform the assistant principal, the school nurse, teachers</w:t>
      </w:r>
      <w:r w:rsidR="001272BD">
        <w:t>,</w:t>
      </w:r>
      <w:r w:rsidRPr="00D91CA7">
        <w:rPr>
          <w:color w:val="00B0F0"/>
        </w:rPr>
        <w:t xml:space="preserve"> </w:t>
      </w:r>
      <w:r w:rsidRPr="00D91CA7">
        <w:t>and the student’s guidance counselor for safety planning and other related purposes.</w:t>
      </w:r>
    </w:p>
    <w:p w:rsidR="0075645B" w:rsidRPr="00D91CA7" w:rsidRDefault="0075645B" w:rsidP="0075645B">
      <w:pPr>
        <w:pStyle w:val="ListParagraph"/>
        <w:ind w:left="1080"/>
      </w:pPr>
    </w:p>
    <w:p w:rsidR="00825C83" w:rsidRPr="00D91CA7" w:rsidRDefault="00825C83" w:rsidP="0075645B">
      <w:pPr>
        <w:pStyle w:val="ListParagraph"/>
        <w:numPr>
          <w:ilvl w:val="0"/>
          <w:numId w:val="26"/>
        </w:numPr>
        <w:ind w:left="1080"/>
      </w:pPr>
      <w:r w:rsidRPr="00D91CA7">
        <w:t>A school may disclose information to parties in connection with a health or safety emergency if knowledge of the information is necessary to protect the health and safety of the student or other individuals. 603 CMR 23.07(4</w:t>
      </w:r>
      <w:proofErr w:type="gramStart"/>
      <w:r w:rsidRPr="00D91CA7">
        <w:t>)(</w:t>
      </w:r>
      <w:proofErr w:type="gramEnd"/>
      <w:r w:rsidRPr="00D91CA7">
        <w:t>e).</w:t>
      </w:r>
    </w:p>
    <w:p w:rsidR="00400F9B" w:rsidRPr="00D91CA7" w:rsidRDefault="00400F9B" w:rsidP="0075645B">
      <w:pPr>
        <w:pStyle w:val="ListParagraph"/>
        <w:autoSpaceDE w:val="0"/>
        <w:autoSpaceDN w:val="0"/>
        <w:adjustRightInd w:val="0"/>
        <w:spacing w:after="120"/>
        <w:ind w:left="1440"/>
      </w:pPr>
    </w:p>
    <w:p w:rsidR="0041410F" w:rsidRPr="00D91CA7" w:rsidRDefault="00D15C9A" w:rsidP="00BB23E1">
      <w:pPr>
        <w:pStyle w:val="ListParagraph"/>
        <w:numPr>
          <w:ilvl w:val="0"/>
          <w:numId w:val="16"/>
        </w:numPr>
        <w:ind w:left="720"/>
      </w:pPr>
      <w:r w:rsidRPr="00D91CA7">
        <w:rPr>
          <w:b/>
          <w:i/>
        </w:rPr>
        <w:t xml:space="preserve">Once alleged incidents of teen dating violence have been confirmed, </w:t>
      </w:r>
      <w:r w:rsidR="000126B5">
        <w:rPr>
          <w:b/>
          <w:i/>
        </w:rPr>
        <w:t>steps shou</w:t>
      </w:r>
      <w:r w:rsidR="008525BB">
        <w:rPr>
          <w:b/>
          <w:i/>
        </w:rPr>
        <w:t>l</w:t>
      </w:r>
      <w:r w:rsidR="000126B5">
        <w:rPr>
          <w:b/>
          <w:i/>
        </w:rPr>
        <w:t xml:space="preserve">d be taken to </w:t>
      </w:r>
      <w:r w:rsidR="001272BD">
        <w:rPr>
          <w:b/>
          <w:i/>
        </w:rPr>
        <w:t xml:space="preserve">develop </w:t>
      </w:r>
      <w:r w:rsidRPr="00D91CA7">
        <w:rPr>
          <w:b/>
          <w:i/>
        </w:rPr>
        <w:t>s</w:t>
      </w:r>
      <w:r w:rsidR="0041410F" w:rsidRPr="00D91CA7">
        <w:rPr>
          <w:b/>
          <w:i/>
        </w:rPr>
        <w:t xml:space="preserve">afety plans for victims to prevent further abuse and harassment, </w:t>
      </w:r>
      <w:r w:rsidR="001272BD">
        <w:rPr>
          <w:b/>
          <w:i/>
        </w:rPr>
        <w:t xml:space="preserve">conduct </w:t>
      </w:r>
      <w:r w:rsidR="0041410F" w:rsidRPr="00D91CA7">
        <w:rPr>
          <w:b/>
          <w:i/>
        </w:rPr>
        <w:t xml:space="preserve">an assessment of </w:t>
      </w:r>
      <w:r w:rsidR="007441DA" w:rsidRPr="00D91CA7">
        <w:rPr>
          <w:b/>
          <w:i/>
        </w:rPr>
        <w:t>the victim’s</w:t>
      </w:r>
      <w:r w:rsidR="0041410F" w:rsidRPr="00D91CA7">
        <w:rPr>
          <w:b/>
          <w:i/>
        </w:rPr>
        <w:t xml:space="preserve"> needs for protection</w:t>
      </w:r>
      <w:r w:rsidR="009F0CF4" w:rsidRPr="00D91CA7">
        <w:rPr>
          <w:b/>
          <w:i/>
        </w:rPr>
        <w:t>,</w:t>
      </w:r>
      <w:r w:rsidR="0041410F" w:rsidRPr="00D91CA7">
        <w:rPr>
          <w:b/>
          <w:i/>
        </w:rPr>
        <w:t xml:space="preserve"> and/or </w:t>
      </w:r>
      <w:r w:rsidR="001272BD">
        <w:rPr>
          <w:b/>
          <w:i/>
        </w:rPr>
        <w:t>mak</w:t>
      </w:r>
      <w:r w:rsidR="000126B5">
        <w:rPr>
          <w:b/>
          <w:i/>
        </w:rPr>
        <w:t>e</w:t>
      </w:r>
      <w:r w:rsidR="001272BD">
        <w:rPr>
          <w:b/>
          <w:i/>
        </w:rPr>
        <w:t xml:space="preserve"> </w:t>
      </w:r>
      <w:r w:rsidR="0041410F" w:rsidRPr="00D91CA7">
        <w:rPr>
          <w:b/>
          <w:i/>
        </w:rPr>
        <w:t>referrals to school and non-school support services</w:t>
      </w:r>
      <w:r w:rsidR="000126B5">
        <w:rPr>
          <w:b/>
          <w:i/>
        </w:rPr>
        <w:t>.</w:t>
      </w:r>
      <w:r w:rsidR="0041410F" w:rsidRPr="00D91CA7">
        <w:t xml:space="preserve"> </w:t>
      </w:r>
      <w:r w:rsidR="0041410F" w:rsidRPr="00D91CA7">
        <w:br/>
      </w:r>
    </w:p>
    <w:p w:rsidR="0041410F" w:rsidRPr="00D91CA7" w:rsidRDefault="0041410F" w:rsidP="001225F3">
      <w:pPr>
        <w:autoSpaceDE w:val="0"/>
        <w:autoSpaceDN w:val="0"/>
        <w:adjustRightInd w:val="0"/>
        <w:spacing w:after="60"/>
        <w:ind w:left="900"/>
      </w:pPr>
      <w:r w:rsidRPr="00D91CA7">
        <w:t xml:space="preserve">A safety plan should be </w:t>
      </w:r>
      <w:r w:rsidR="001272BD">
        <w:t>developed</w:t>
      </w:r>
      <w:r w:rsidRPr="00D91CA7">
        <w:t xml:space="preserve"> to address the victim's needs and concerns, including staff to report to if </w:t>
      </w:r>
      <w:r w:rsidR="008B528E" w:rsidRPr="00D91CA7">
        <w:t xml:space="preserve">safety </w:t>
      </w:r>
      <w:r w:rsidRPr="00D91CA7">
        <w:t xml:space="preserve">concerns arise or a </w:t>
      </w:r>
      <w:r w:rsidR="00D15C9A" w:rsidRPr="00D91CA7">
        <w:t xml:space="preserve">court mandated restraining </w:t>
      </w:r>
      <w:r w:rsidR="008B528E" w:rsidRPr="00D91CA7">
        <w:t xml:space="preserve">order </w:t>
      </w:r>
      <w:r w:rsidR="000126B5">
        <w:t>is</w:t>
      </w:r>
      <w:r w:rsidR="008525BB">
        <w:t xml:space="preserve"> </w:t>
      </w:r>
      <w:r w:rsidRPr="00D91CA7">
        <w:t>violat</w:t>
      </w:r>
      <w:r w:rsidR="00D15C9A" w:rsidRPr="00D91CA7">
        <w:t xml:space="preserve">ed. </w:t>
      </w:r>
      <w:r w:rsidR="008525BB">
        <w:t>P</w:t>
      </w:r>
      <w:r w:rsidRPr="00D91CA7">
        <w:t>arents</w:t>
      </w:r>
      <w:r w:rsidR="00D15C9A" w:rsidRPr="00D91CA7">
        <w:t xml:space="preserve"> </w:t>
      </w:r>
      <w:r w:rsidRPr="00D91CA7">
        <w:t>should</w:t>
      </w:r>
      <w:r w:rsidR="00131671">
        <w:t xml:space="preserve"> </w:t>
      </w:r>
      <w:r w:rsidRPr="00D91CA7">
        <w:t>be contacted and involved in the safety planning for the victim</w:t>
      </w:r>
      <w:r w:rsidR="003F18F1">
        <w:t>. When both parties attend the same school</w:t>
      </w:r>
      <w:r w:rsidR="00131671">
        <w:t>, the</w:t>
      </w:r>
      <w:r w:rsidR="009E5BA2" w:rsidRPr="00D91CA7">
        <w:t xml:space="preserve"> perpetrator </w:t>
      </w:r>
      <w:r w:rsidR="00131671">
        <w:t xml:space="preserve">should be involved </w:t>
      </w:r>
      <w:r w:rsidR="009B301F">
        <w:t>to the extent</w:t>
      </w:r>
      <w:r w:rsidR="003F18F1">
        <w:t xml:space="preserve"> he or she needs to understand what “rules” apply with respect to his or her actions</w:t>
      </w:r>
      <w:r w:rsidR="00343E5C" w:rsidRPr="00D91CA7">
        <w:t xml:space="preserve">. Safety plans could include class schedule changes if necessary or appropriate.  </w:t>
      </w:r>
      <w:r w:rsidR="008A680D" w:rsidRPr="00D91CA7">
        <w:t>I</w:t>
      </w:r>
      <w:r w:rsidR="00E21AF5" w:rsidRPr="00D91CA7">
        <w:t xml:space="preserve">f available, </w:t>
      </w:r>
      <w:r w:rsidR="008B528E" w:rsidRPr="00D91CA7">
        <w:t>i</w:t>
      </w:r>
      <w:r w:rsidRPr="00D91CA7">
        <w:t xml:space="preserve">t is important to offer specialized in-school </w:t>
      </w:r>
      <w:r w:rsidR="00B94962">
        <w:t xml:space="preserve">services </w:t>
      </w:r>
      <w:r w:rsidR="00343E5C" w:rsidRPr="00D91CA7">
        <w:t>or referral to</w:t>
      </w:r>
      <w:r w:rsidRPr="00D91CA7">
        <w:t xml:space="preserve"> community-based services</w:t>
      </w:r>
      <w:r w:rsidR="00343E5C" w:rsidRPr="00D91CA7">
        <w:t xml:space="preserve"> to the victim</w:t>
      </w:r>
      <w:r w:rsidRPr="00D91CA7">
        <w:t xml:space="preserve"> and</w:t>
      </w:r>
      <w:r w:rsidR="00E21AF5" w:rsidRPr="00D91CA7">
        <w:t xml:space="preserve">, </w:t>
      </w:r>
      <w:r w:rsidR="00A7419E">
        <w:t>to</w:t>
      </w:r>
      <w:r w:rsidR="00E21AF5" w:rsidRPr="00D91CA7">
        <w:t xml:space="preserve"> the abuser</w:t>
      </w:r>
      <w:r w:rsidR="00131671">
        <w:t>,</w:t>
      </w:r>
      <w:r w:rsidRPr="00D91CA7">
        <w:t xml:space="preserve"> referrals </w:t>
      </w:r>
      <w:r w:rsidR="00A7419E">
        <w:t>to a</w:t>
      </w:r>
      <w:r w:rsidRPr="00D91CA7">
        <w:t xml:space="preserve"> certified batterer intervention</w:t>
      </w:r>
      <w:r w:rsidR="00343E5C" w:rsidRPr="00D91CA7">
        <w:t xml:space="preserve"> </w:t>
      </w:r>
      <w:r w:rsidR="00A7419E">
        <w:t xml:space="preserve">program </w:t>
      </w:r>
      <w:r w:rsidR="00343E5C" w:rsidRPr="00D91CA7">
        <w:t>or</w:t>
      </w:r>
      <w:r w:rsidRPr="00D91CA7">
        <w:t xml:space="preserve"> </w:t>
      </w:r>
      <w:r w:rsidR="00A7419E">
        <w:t xml:space="preserve">for a </w:t>
      </w:r>
      <w:r w:rsidRPr="00D91CA7">
        <w:t>specialized assessment for sexually abusive behaviors</w:t>
      </w:r>
      <w:r w:rsidR="00343E5C" w:rsidRPr="00D91CA7">
        <w:t>.</w:t>
      </w:r>
      <w:r w:rsidRPr="00D91CA7">
        <w:t xml:space="preserve"> Local domestic violence programs, rape crisis centers</w:t>
      </w:r>
      <w:r w:rsidR="008A680D" w:rsidRPr="00D91CA7">
        <w:t>,</w:t>
      </w:r>
      <w:r w:rsidRPr="00D91CA7">
        <w:t xml:space="preserve"> and other community</w:t>
      </w:r>
      <w:r w:rsidR="008A680D" w:rsidRPr="00D91CA7">
        <w:t>-</w:t>
      </w:r>
      <w:r w:rsidRPr="00D91CA7">
        <w:t>based resources should be u</w:t>
      </w:r>
      <w:r w:rsidR="00131671">
        <w:t>sed</w:t>
      </w:r>
      <w:r w:rsidRPr="00D91CA7">
        <w:t xml:space="preserve"> as resources for </w:t>
      </w:r>
      <w:r w:rsidR="00131671">
        <w:t xml:space="preserve">the </w:t>
      </w:r>
      <w:r w:rsidRPr="00D91CA7">
        <w:t>development of safety plans.</w:t>
      </w:r>
    </w:p>
    <w:p w:rsidR="0041410F" w:rsidRPr="00D91CA7" w:rsidRDefault="0041410F" w:rsidP="00BB23E1">
      <w:pPr>
        <w:pStyle w:val="Heading3"/>
        <w:numPr>
          <w:ilvl w:val="0"/>
          <w:numId w:val="15"/>
        </w:numPr>
        <w:ind w:left="360" w:hanging="360"/>
        <w:rPr>
          <w:rFonts w:ascii="Times New Roman" w:hAnsi="Times New Roman" w:cs="Times New Roman"/>
          <w:b w:val="0"/>
        </w:rPr>
      </w:pPr>
      <w:bookmarkStart w:id="11" w:name="_Toc345082256"/>
      <w:r w:rsidRPr="00D91CA7">
        <w:rPr>
          <w:rFonts w:ascii="Times New Roman" w:hAnsi="Times New Roman" w:cs="Times New Roman"/>
        </w:rPr>
        <w:t>COLLABORATION WITH FAMILIES</w:t>
      </w:r>
      <w:bookmarkEnd w:id="11"/>
      <w:r w:rsidR="00CA02C5" w:rsidRPr="00D91CA7">
        <w:rPr>
          <w:rFonts w:ascii="Times New Roman" w:hAnsi="Times New Roman" w:cs="Times New Roman"/>
        </w:rPr>
        <w:br/>
      </w:r>
    </w:p>
    <w:p w:rsidR="0041410F" w:rsidRPr="00D91CA7" w:rsidRDefault="0041410F" w:rsidP="00EC35A5">
      <w:pPr>
        <w:ind w:left="360"/>
      </w:pPr>
      <w:r w:rsidRPr="00D91CA7">
        <w:t>Schools should identify and implement effective dissemination methods to ensure that all parents are aware of the polic</w:t>
      </w:r>
      <w:r w:rsidR="00131671">
        <w:t>ies</w:t>
      </w:r>
      <w:r w:rsidRPr="00D91CA7">
        <w:t xml:space="preserve"> and procedures</w:t>
      </w:r>
      <w:r w:rsidR="00EC35A5" w:rsidRPr="00D91CA7">
        <w:t>.</w:t>
      </w:r>
      <w:r w:rsidR="00EC35A5" w:rsidRPr="00D91CA7">
        <w:br/>
      </w:r>
    </w:p>
    <w:p w:rsidR="0041410F" w:rsidRPr="00D91CA7" w:rsidRDefault="0041410F" w:rsidP="00BB23E1">
      <w:pPr>
        <w:pStyle w:val="ListParagraph"/>
        <w:numPr>
          <w:ilvl w:val="0"/>
          <w:numId w:val="11"/>
        </w:numPr>
        <w:autoSpaceDE w:val="0"/>
        <w:autoSpaceDN w:val="0"/>
        <w:adjustRightInd w:val="0"/>
        <w:spacing w:after="240"/>
        <w:ind w:left="1080" w:hanging="180"/>
      </w:pPr>
      <w:r w:rsidRPr="00D91CA7">
        <w:t>Parents should be notified of trainings, prevention curricula, school-sponsored events</w:t>
      </w:r>
      <w:r w:rsidR="00131671">
        <w:t>,</w:t>
      </w:r>
      <w:r w:rsidRPr="00D91CA7">
        <w:t xml:space="preserve"> and other district offerings, as well as available community-based programs and resources</w:t>
      </w:r>
      <w:r w:rsidR="00131671">
        <w:t>,</w:t>
      </w:r>
      <w:r w:rsidRPr="00D91CA7">
        <w:t xml:space="preserve"> to support teens </w:t>
      </w:r>
      <w:r w:rsidR="00E21AF5" w:rsidRPr="00D91CA7">
        <w:t>affect</w:t>
      </w:r>
      <w:r w:rsidRPr="00D91CA7">
        <w:t>ed by dating violence.</w:t>
      </w:r>
    </w:p>
    <w:p w:rsidR="0041410F" w:rsidRPr="00D91CA7" w:rsidRDefault="0041410F" w:rsidP="00BB23E1">
      <w:pPr>
        <w:pStyle w:val="ListParagraph"/>
        <w:numPr>
          <w:ilvl w:val="0"/>
          <w:numId w:val="11"/>
        </w:numPr>
        <w:autoSpaceDE w:val="0"/>
        <w:autoSpaceDN w:val="0"/>
        <w:adjustRightInd w:val="0"/>
        <w:spacing w:after="240"/>
        <w:ind w:left="1080" w:hanging="180"/>
      </w:pPr>
      <w:r w:rsidRPr="00D91CA7">
        <w:t xml:space="preserve">Parents should be included as members </w:t>
      </w:r>
      <w:r w:rsidR="00E21AF5" w:rsidRPr="00D91CA7">
        <w:t>of</w:t>
      </w:r>
      <w:r w:rsidRPr="00D91CA7">
        <w:t xml:space="preserve"> the teen dating violence prevention task force.</w:t>
      </w:r>
    </w:p>
    <w:p w:rsidR="0041410F" w:rsidRPr="00D91CA7" w:rsidRDefault="0041410F" w:rsidP="00BB23E1">
      <w:pPr>
        <w:pStyle w:val="Heading3"/>
        <w:numPr>
          <w:ilvl w:val="0"/>
          <w:numId w:val="15"/>
        </w:numPr>
        <w:tabs>
          <w:tab w:val="left" w:pos="360"/>
          <w:tab w:val="left" w:pos="450"/>
        </w:tabs>
        <w:ind w:left="360" w:hanging="360"/>
        <w:rPr>
          <w:rFonts w:ascii="Times New Roman" w:hAnsi="Times New Roman" w:cs="Times New Roman"/>
        </w:rPr>
      </w:pPr>
      <w:bookmarkStart w:id="12" w:name="_Toc345082257"/>
      <w:r w:rsidRPr="00D91CA7">
        <w:rPr>
          <w:rFonts w:ascii="Times New Roman" w:hAnsi="Times New Roman" w:cs="Times New Roman"/>
        </w:rPr>
        <w:t xml:space="preserve">PROHIBITION AGAINST </w:t>
      </w:r>
      <w:r w:rsidR="008525BB">
        <w:rPr>
          <w:rFonts w:ascii="Times New Roman" w:hAnsi="Times New Roman" w:cs="Times New Roman"/>
        </w:rPr>
        <w:t xml:space="preserve">TEEN </w:t>
      </w:r>
      <w:r w:rsidRPr="00D91CA7">
        <w:rPr>
          <w:rFonts w:ascii="Times New Roman" w:hAnsi="Times New Roman" w:cs="Times New Roman"/>
        </w:rPr>
        <w:t>DATING VIOLENCE</w:t>
      </w:r>
      <w:bookmarkEnd w:id="12"/>
      <w:r w:rsidR="00EC35A5" w:rsidRPr="00D91CA7">
        <w:rPr>
          <w:rFonts w:ascii="Times New Roman" w:hAnsi="Times New Roman" w:cs="Times New Roman"/>
        </w:rPr>
        <w:br/>
      </w:r>
    </w:p>
    <w:p w:rsidR="0041410F" w:rsidRPr="00D91CA7" w:rsidRDefault="0041410F" w:rsidP="00EC35A5">
      <w:pPr>
        <w:pStyle w:val="ListParagraph"/>
        <w:widowControl w:val="0"/>
        <w:tabs>
          <w:tab w:val="left" w:pos="360"/>
        </w:tabs>
        <w:autoSpaceDE w:val="0"/>
        <w:autoSpaceDN w:val="0"/>
        <w:adjustRightInd w:val="0"/>
        <w:ind w:left="360"/>
      </w:pPr>
      <w:r w:rsidRPr="00D91CA7">
        <w:t xml:space="preserve">Districts should prohibit </w:t>
      </w:r>
      <w:r w:rsidR="009E5BA2" w:rsidRPr="00D91CA7">
        <w:t>teen</w:t>
      </w:r>
      <w:r w:rsidRPr="00D91CA7">
        <w:t xml:space="preserve"> dating violence on school</w:t>
      </w:r>
      <w:r w:rsidRPr="00D91CA7">
        <w:rPr>
          <w:b/>
        </w:rPr>
        <w:t xml:space="preserve"> </w:t>
      </w:r>
      <w:r w:rsidRPr="00D91CA7">
        <w:t>grounds, at a school sponsored event</w:t>
      </w:r>
      <w:r w:rsidR="00131671">
        <w:t>,</w:t>
      </w:r>
      <w:r w:rsidRPr="00D91CA7">
        <w:t xml:space="preserve"> or </w:t>
      </w:r>
      <w:r w:rsidR="00131671">
        <w:t xml:space="preserve">at a </w:t>
      </w:r>
      <w:r w:rsidRPr="00D91CA7">
        <w:t>school related activity, function</w:t>
      </w:r>
      <w:r w:rsidR="00A7419E">
        <w:t>,</w:t>
      </w:r>
      <w:r w:rsidRPr="00D91CA7">
        <w:t xml:space="preserve"> or program.  Policies and procedures should be included </w:t>
      </w:r>
      <w:r w:rsidR="008525BB">
        <w:t xml:space="preserve">in </w:t>
      </w:r>
      <w:r w:rsidRPr="00D91CA7">
        <w:t xml:space="preserve">the student </w:t>
      </w:r>
      <w:r w:rsidR="0070162A">
        <w:t xml:space="preserve">and staff </w:t>
      </w:r>
      <w:r w:rsidRPr="00D91CA7">
        <w:t>handbook</w:t>
      </w:r>
      <w:r w:rsidR="0070162A">
        <w:t>s</w:t>
      </w:r>
      <w:r w:rsidRPr="00D91CA7">
        <w:t>.</w:t>
      </w:r>
    </w:p>
    <w:p w:rsidR="00D91CA7" w:rsidRDefault="00D91CA7">
      <w:pPr>
        <w:rPr>
          <w:b/>
          <w:bCs/>
          <w:szCs w:val="26"/>
        </w:rPr>
      </w:pPr>
      <w:bookmarkStart w:id="13" w:name="_DEFINITIONS"/>
      <w:bookmarkStart w:id="14" w:name="_Toc345082258"/>
      <w:bookmarkEnd w:id="13"/>
      <w:r>
        <w:br w:type="page"/>
      </w:r>
    </w:p>
    <w:bookmarkEnd w:id="14"/>
    <w:p w:rsidR="0041410F" w:rsidRPr="00D91CA7" w:rsidRDefault="00D66D50" w:rsidP="00434F30">
      <w:pPr>
        <w:pStyle w:val="Heading3"/>
        <w:numPr>
          <w:ilvl w:val="0"/>
          <w:numId w:val="15"/>
        </w:numPr>
        <w:tabs>
          <w:tab w:val="left" w:pos="450"/>
        </w:tabs>
        <w:rPr>
          <w:rFonts w:ascii="Times New Roman" w:hAnsi="Times New Roman" w:cs="Times New Roman"/>
          <w:b w:val="0"/>
        </w:rPr>
      </w:pPr>
      <w:r>
        <w:rPr>
          <w:rFonts w:ascii="Times New Roman" w:hAnsi="Times New Roman" w:cs="Times New Roman"/>
        </w:rPr>
        <w:lastRenderedPageBreak/>
        <w:t>TERMS</w:t>
      </w:r>
      <w:r w:rsidR="0041410F" w:rsidRPr="00D91CA7">
        <w:rPr>
          <w:rFonts w:ascii="Times New Roman" w:hAnsi="Times New Roman" w:cs="Times New Roman"/>
        </w:rPr>
        <w:br/>
      </w:r>
    </w:p>
    <w:p w:rsidR="00434F30" w:rsidRPr="00D91CA7" w:rsidRDefault="00434F30" w:rsidP="00434F30">
      <w:pPr>
        <w:widowControl w:val="0"/>
        <w:autoSpaceDE w:val="0"/>
        <w:autoSpaceDN w:val="0"/>
        <w:adjustRightInd w:val="0"/>
        <w:spacing w:after="260"/>
      </w:pPr>
      <w:proofErr w:type="gramStart"/>
      <w:r w:rsidRPr="00D91CA7">
        <w:rPr>
          <w:b/>
          <w:bCs/>
        </w:rPr>
        <w:t xml:space="preserve">Dating: </w:t>
      </w:r>
      <w:r w:rsidR="0070162A">
        <w:t>a</w:t>
      </w:r>
      <w:r w:rsidRPr="00D91CA7">
        <w:t>ny romantic relationship between an unmarried couple regardless of duration, commitment level, or physical intimacy.</w:t>
      </w:r>
      <w:proofErr w:type="gramEnd"/>
      <w:r w:rsidRPr="00D91CA7">
        <w:t xml:space="preserve"> </w:t>
      </w:r>
      <w:proofErr w:type="gramStart"/>
      <w:r w:rsidR="00131671">
        <w:t>(</w:t>
      </w:r>
      <w:r w:rsidRPr="00D91CA7">
        <w:t xml:space="preserve"> “</w:t>
      </w:r>
      <w:proofErr w:type="gramEnd"/>
      <w:r w:rsidR="007661E1">
        <w:t>H</w:t>
      </w:r>
      <w:r w:rsidRPr="00D91CA7">
        <w:t xml:space="preserve">ooking up,” </w:t>
      </w:r>
      <w:r w:rsidR="007661E1">
        <w:t>“</w:t>
      </w:r>
      <w:r w:rsidRPr="00D91CA7">
        <w:t>going out,</w:t>
      </w:r>
      <w:r w:rsidR="007661E1">
        <w:t>”</w:t>
      </w:r>
      <w:r w:rsidRPr="00D91CA7">
        <w:t xml:space="preserve"> and “friends with benefits</w:t>
      </w:r>
      <w:r w:rsidR="007661E1">
        <w:t xml:space="preserve"> are terms that may be used instead of dating</w:t>
      </w:r>
      <w:r w:rsidRPr="00D91CA7">
        <w:t>.”</w:t>
      </w:r>
      <w:r w:rsidR="00131671">
        <w:t>)</w:t>
      </w:r>
    </w:p>
    <w:p w:rsidR="00434F30" w:rsidRPr="00D91CA7" w:rsidRDefault="00434F30" w:rsidP="00434F30">
      <w:pPr>
        <w:autoSpaceDE w:val="0"/>
        <w:autoSpaceDN w:val="0"/>
        <w:adjustRightInd w:val="0"/>
      </w:pPr>
      <w:r w:rsidRPr="00D91CA7">
        <w:rPr>
          <w:b/>
          <w:bCs/>
        </w:rPr>
        <w:t>Dating Partner</w:t>
      </w:r>
      <w:r w:rsidRPr="00D91CA7">
        <w:t xml:space="preserve">: </w:t>
      </w:r>
      <w:r w:rsidR="0070162A">
        <w:t>a</w:t>
      </w:r>
      <w:r w:rsidRPr="00D91CA7">
        <w:t>ny person, regardless of gender, involved in a dating relationship. This could include persons who have a former dating or sexual relationship, are same sex couples, or are unrelated but have had intimate or continuous social contact with one another.</w:t>
      </w:r>
    </w:p>
    <w:p w:rsidR="00434F30" w:rsidRPr="00D91CA7" w:rsidRDefault="00434F30" w:rsidP="00434F30">
      <w:pPr>
        <w:autoSpaceDE w:val="0"/>
        <w:autoSpaceDN w:val="0"/>
        <w:adjustRightInd w:val="0"/>
      </w:pPr>
    </w:p>
    <w:p w:rsidR="00842A72" w:rsidRPr="00D91CA7" w:rsidRDefault="00842A72" w:rsidP="00842A72">
      <w:pPr>
        <w:autoSpaceDE w:val="0"/>
        <w:autoSpaceDN w:val="0"/>
        <w:adjustRightInd w:val="0"/>
      </w:pPr>
      <w:r w:rsidRPr="00D91CA7">
        <w:rPr>
          <w:b/>
          <w:bCs/>
        </w:rPr>
        <w:t xml:space="preserve">Perpetrator/Abuser/Dominant Aggressor: </w:t>
      </w:r>
      <w:r w:rsidRPr="00D91CA7">
        <w:t xml:space="preserve">a person who uses either bullying, dating violence, or sexual violence to establish and maintain power and control over the target of </w:t>
      </w:r>
      <w:r w:rsidR="0070162A">
        <w:t>his/her</w:t>
      </w:r>
      <w:r w:rsidRPr="00D91CA7">
        <w:t xml:space="preserve"> behavior. </w:t>
      </w:r>
      <w:r w:rsidRPr="00D91CA7">
        <w:rPr>
          <w:i/>
          <w:iCs/>
        </w:rPr>
        <w:t xml:space="preserve">The dominant aggressor/abuser means the person determined to be the most significant, rather than the first aggressor. </w:t>
      </w:r>
      <w:r w:rsidRPr="00D91CA7">
        <w:t>The following should be considered when identifying the dominant aggressor: (1) whether either person made threats creating fear of physical injury; (2) whether there is a history of domestic or sexual violence between the persons involved; (3) whether either person acted in self</w:t>
      </w:r>
      <w:r w:rsidRPr="00D91CA7">
        <w:rPr>
          <w:rFonts w:ascii="Calibri" w:hAnsi="Calibri"/>
        </w:rPr>
        <w:t>‐</w:t>
      </w:r>
      <w:r w:rsidRPr="00D91CA7">
        <w:t>defense; and (4) whether either person used or threatened to use a weapon and/or physical force.</w:t>
      </w:r>
    </w:p>
    <w:p w:rsidR="00842A72" w:rsidRPr="00D91CA7" w:rsidRDefault="00842A72" w:rsidP="00842A72">
      <w:pPr>
        <w:widowControl w:val="0"/>
        <w:autoSpaceDE w:val="0"/>
        <w:autoSpaceDN w:val="0"/>
        <w:adjustRightInd w:val="0"/>
        <w:spacing w:before="240" w:after="280"/>
        <w:rPr>
          <w:b/>
          <w:bCs/>
          <w:lang w:bidi="en-US"/>
        </w:rPr>
      </w:pPr>
      <w:r w:rsidRPr="00D91CA7">
        <w:rPr>
          <w:b/>
          <w:bCs/>
        </w:rPr>
        <w:t xml:space="preserve">Sexual </w:t>
      </w:r>
      <w:r w:rsidR="00131671">
        <w:rPr>
          <w:b/>
          <w:bCs/>
        </w:rPr>
        <w:t>V</w:t>
      </w:r>
      <w:r w:rsidRPr="00D91CA7">
        <w:rPr>
          <w:b/>
          <w:bCs/>
        </w:rPr>
        <w:t>iolence</w:t>
      </w:r>
      <w:r w:rsidRPr="00D91CA7">
        <w:t xml:space="preserve">: In the </w:t>
      </w:r>
      <w:hyperlink r:id="rId16" w:history="1">
        <w:r w:rsidRPr="00D91CA7">
          <w:rPr>
            <w:rStyle w:val="Hyperlink"/>
            <w:color w:val="0033CC"/>
          </w:rPr>
          <w:t>Massachusetts Sexual Violence Prevention Plan</w:t>
        </w:r>
      </w:hyperlink>
      <w:r w:rsidR="0070162A">
        <w:t>,</w:t>
      </w:r>
      <w:r w:rsidRPr="00D91CA7">
        <w:rPr>
          <w:rStyle w:val="CommentReference"/>
        </w:rPr>
        <w:t xml:space="preserve"> </w:t>
      </w:r>
      <w:r w:rsidRPr="00D91CA7">
        <w:t>sexual violence is</w:t>
      </w:r>
      <w:r w:rsidR="0070162A">
        <w:t xml:space="preserve"> </w:t>
      </w:r>
      <w:r w:rsidRPr="00D91CA7">
        <w:t>defined as any sexual activity where consent is not obtained or able to be given</w:t>
      </w:r>
      <w:r w:rsidR="000E3368">
        <w:t xml:space="preserve"> freely</w:t>
      </w:r>
      <w:r w:rsidRPr="00D91CA7">
        <w:t xml:space="preserve">. The term ‘sexual violence’ is used to demonstrate a broad continuum of sexually violent and abusive behaviors that include – but </w:t>
      </w:r>
      <w:r w:rsidR="000F4F08">
        <w:t>are</w:t>
      </w:r>
      <w:r w:rsidRPr="00D91CA7">
        <w:t xml:space="preserve"> not limited to – rape, sexual assault, drug facilitated sexual assault, and sexual harassment and exploitation, and includes non</w:t>
      </w:r>
      <w:r w:rsidRPr="00D91CA7">
        <w:rPr>
          <w:rFonts w:ascii="Calibri" w:hAnsi="Calibri"/>
        </w:rPr>
        <w:t>‐</w:t>
      </w:r>
      <w:r w:rsidRPr="00D91CA7">
        <w:t>contact sexual abuse such as verbal</w:t>
      </w:r>
      <w:r w:rsidR="00BC6A7D">
        <w:t xml:space="preserve">, </w:t>
      </w:r>
      <w:r w:rsidRPr="00D91CA7">
        <w:t xml:space="preserve">behavioral </w:t>
      </w:r>
      <w:r w:rsidR="00BC6A7D">
        <w:t>and cyber-</w:t>
      </w:r>
      <w:r w:rsidRPr="00D91CA7">
        <w:t>harassment</w:t>
      </w:r>
      <w:r w:rsidR="00BC6A7D">
        <w:t>.</w:t>
      </w:r>
    </w:p>
    <w:p w:rsidR="00842A72" w:rsidRPr="00D91CA7" w:rsidRDefault="00842A72" w:rsidP="00695F05">
      <w:pPr>
        <w:tabs>
          <w:tab w:val="left" w:pos="720"/>
          <w:tab w:val="left" w:pos="2160"/>
        </w:tabs>
        <w:rPr>
          <w:b/>
          <w:i/>
        </w:rPr>
      </w:pPr>
    </w:p>
    <w:p w:rsidR="000C3509" w:rsidRPr="00D91CA7" w:rsidRDefault="00842A72" w:rsidP="00D91CA7">
      <w:pPr>
        <w:pStyle w:val="ListParagraph"/>
        <w:autoSpaceDE w:val="0"/>
        <w:autoSpaceDN w:val="0"/>
        <w:adjustRightInd w:val="0"/>
        <w:ind w:left="0"/>
        <w:rPr>
          <w:b/>
          <w:bCs/>
          <w:lang w:bidi="en-US"/>
        </w:rPr>
      </w:pPr>
      <w:r w:rsidRPr="00D91CA7">
        <w:rPr>
          <w:b/>
          <w:bCs/>
          <w:lang w:bidi="en-US"/>
        </w:rPr>
        <w:t>T</w:t>
      </w:r>
      <w:r w:rsidR="000C3509" w:rsidRPr="00D91CA7">
        <w:rPr>
          <w:b/>
          <w:bCs/>
          <w:lang w:bidi="en-US"/>
        </w:rPr>
        <w:t>een Dating and Domestic Violence (also referred to as relationship violence or interpersonal violence).</w:t>
      </w:r>
    </w:p>
    <w:p w:rsidR="000C3509" w:rsidRPr="00D91CA7" w:rsidRDefault="000C3509" w:rsidP="000C3509">
      <w:pPr>
        <w:widowControl w:val="0"/>
        <w:autoSpaceDE w:val="0"/>
        <w:autoSpaceDN w:val="0"/>
        <w:adjustRightInd w:val="0"/>
        <w:spacing w:after="260"/>
        <w:rPr>
          <w:lang w:bidi="en-US"/>
        </w:rPr>
      </w:pPr>
      <w:r w:rsidRPr="00D91CA7">
        <w:rPr>
          <w:lang w:bidi="en-US"/>
        </w:rPr>
        <w:t>Domestic violence is a pattern of coercive control one person exercises over another with whom they have or have had an intimate relationship. Domestic violence can take many forms, such as actual or threatened physical, sexual, psychological</w:t>
      </w:r>
      <w:r w:rsidR="00BC6A7D">
        <w:rPr>
          <w:lang w:bidi="en-US"/>
        </w:rPr>
        <w:t>,</w:t>
      </w:r>
      <w:r w:rsidRPr="00D91CA7">
        <w:rPr>
          <w:lang w:bidi="en-US"/>
        </w:rPr>
        <w:t xml:space="preserve"> or economic abuse. Teen dating violence mirrors adult domestic violence in terms of the offender employing a continuum of controlling behaviors to gain power and control. These behaviors range from verbal and emotional abuse, to physical assault, to murder and rape. </w:t>
      </w:r>
      <w:r w:rsidR="000F4F08">
        <w:rPr>
          <w:lang w:bidi="en-US"/>
        </w:rPr>
        <w:t>As with</w:t>
      </w:r>
      <w:r w:rsidRPr="00D91CA7">
        <w:rPr>
          <w:lang w:bidi="en-US"/>
        </w:rPr>
        <w:t xml:space="preserve"> adult domestic violence, abusive pre-teen and teen dating relationships can affect people from all socio-economic, racial, and ethnic groups. Such violence can occur in heterosexual and same sex relationships. Similar to adult domestic violence, </w:t>
      </w:r>
      <w:r w:rsidR="00A7419E">
        <w:rPr>
          <w:lang w:bidi="en-US"/>
        </w:rPr>
        <w:t>these</w:t>
      </w:r>
      <w:r w:rsidRPr="00D91CA7">
        <w:rPr>
          <w:lang w:bidi="en-US"/>
        </w:rPr>
        <w:t xml:space="preserve"> relationships generally exhibit a pattern. Common elements may include:</w:t>
      </w:r>
    </w:p>
    <w:p w:rsidR="000C3509" w:rsidRPr="00D91CA7" w:rsidRDefault="000C3509" w:rsidP="000C3509">
      <w:pPr>
        <w:widowControl w:val="0"/>
        <w:numPr>
          <w:ilvl w:val="0"/>
          <w:numId w:val="13"/>
        </w:numPr>
        <w:autoSpaceDE w:val="0"/>
        <w:autoSpaceDN w:val="0"/>
        <w:adjustRightInd w:val="0"/>
        <w:spacing w:after="60"/>
      </w:pPr>
      <w:r w:rsidRPr="00D91CA7">
        <w:t>use of emotional and verbal abuse, destruction of property</w:t>
      </w:r>
      <w:r w:rsidR="000F4F08">
        <w:t>,</w:t>
      </w:r>
      <w:r w:rsidRPr="00D91CA7">
        <w:t xml:space="preserve"> and/or other means of intimidation to assert control over a partner;</w:t>
      </w:r>
    </w:p>
    <w:p w:rsidR="000C3509" w:rsidRPr="00D91CA7" w:rsidRDefault="000C3509" w:rsidP="000C3509">
      <w:pPr>
        <w:widowControl w:val="0"/>
        <w:numPr>
          <w:ilvl w:val="0"/>
          <w:numId w:val="13"/>
        </w:numPr>
        <w:autoSpaceDE w:val="0"/>
        <w:autoSpaceDN w:val="0"/>
        <w:adjustRightInd w:val="0"/>
        <w:spacing w:after="60"/>
      </w:pPr>
      <w:r w:rsidRPr="00D91CA7">
        <w:t>use of technology and/or verbal abuse to control partner</w:t>
      </w:r>
      <w:r w:rsidR="00BC6A7D">
        <w:t>’</w:t>
      </w:r>
      <w:r w:rsidRPr="00D91CA7">
        <w:t>s behavior;</w:t>
      </w:r>
    </w:p>
    <w:p w:rsidR="000C3509" w:rsidRPr="00D91CA7" w:rsidRDefault="000C3509" w:rsidP="000C3509">
      <w:pPr>
        <w:widowControl w:val="0"/>
        <w:numPr>
          <w:ilvl w:val="0"/>
          <w:numId w:val="13"/>
        </w:numPr>
        <w:autoSpaceDE w:val="0"/>
        <w:autoSpaceDN w:val="0"/>
        <w:adjustRightInd w:val="0"/>
        <w:spacing w:after="60"/>
      </w:pPr>
      <w:r w:rsidRPr="00D91CA7">
        <w:t>repeated violence and/or threats of violence that escalate over time;</w:t>
      </w:r>
    </w:p>
    <w:p w:rsidR="000C3509" w:rsidRPr="00D91CA7" w:rsidRDefault="000C3509" w:rsidP="000C3509">
      <w:pPr>
        <w:widowControl w:val="0"/>
        <w:numPr>
          <w:ilvl w:val="0"/>
          <w:numId w:val="13"/>
        </w:numPr>
        <w:autoSpaceDE w:val="0"/>
        <w:autoSpaceDN w:val="0"/>
        <w:adjustRightInd w:val="0"/>
        <w:spacing w:after="60"/>
      </w:pPr>
      <w:r w:rsidRPr="00D91CA7">
        <w:t>violence that increases in severity the longer the relationship continues, which is important to know for safety planning concerns;</w:t>
      </w:r>
    </w:p>
    <w:p w:rsidR="000C3509" w:rsidRPr="00D91CA7" w:rsidRDefault="000C3509" w:rsidP="000C3509">
      <w:pPr>
        <w:widowControl w:val="0"/>
        <w:numPr>
          <w:ilvl w:val="0"/>
          <w:numId w:val="13"/>
        </w:numPr>
        <w:autoSpaceDE w:val="0"/>
        <w:autoSpaceDN w:val="0"/>
        <w:adjustRightInd w:val="0"/>
        <w:spacing w:after="60"/>
      </w:pPr>
      <w:r w:rsidRPr="00D91CA7">
        <w:t>violence, abusive behaviors</w:t>
      </w:r>
      <w:r w:rsidR="000F4F08">
        <w:t>,</w:t>
      </w:r>
      <w:r w:rsidRPr="00D91CA7">
        <w:t xml:space="preserve"> or threats are interchanged with apologies and promises to change; and</w:t>
      </w:r>
    </w:p>
    <w:p w:rsidR="000C3509" w:rsidRPr="00D91CA7" w:rsidRDefault="000C3509" w:rsidP="000C3509">
      <w:pPr>
        <w:widowControl w:val="0"/>
        <w:numPr>
          <w:ilvl w:val="0"/>
          <w:numId w:val="13"/>
        </w:numPr>
        <w:autoSpaceDE w:val="0"/>
        <w:autoSpaceDN w:val="0"/>
        <w:adjustRightInd w:val="0"/>
        <w:spacing w:after="60"/>
      </w:pPr>
      <w:r w:rsidRPr="00D91CA7">
        <w:lastRenderedPageBreak/>
        <w:t>increasing danger for the victim when trying to terminate the relationship.</w:t>
      </w:r>
    </w:p>
    <w:p w:rsidR="000C3509" w:rsidRPr="00D91CA7" w:rsidRDefault="000C3509" w:rsidP="000C3509">
      <w:pPr>
        <w:widowControl w:val="0"/>
        <w:tabs>
          <w:tab w:val="left" w:pos="220"/>
          <w:tab w:val="left" w:pos="720"/>
        </w:tabs>
        <w:autoSpaceDE w:val="0"/>
        <w:autoSpaceDN w:val="0"/>
        <w:adjustRightInd w:val="0"/>
        <w:rPr>
          <w:lang w:bidi="en-US"/>
        </w:rPr>
      </w:pPr>
    </w:p>
    <w:p w:rsidR="000C3509" w:rsidRPr="00D91CA7" w:rsidRDefault="000C3509" w:rsidP="000C3509">
      <w:pPr>
        <w:widowControl w:val="0"/>
        <w:autoSpaceDE w:val="0"/>
        <w:autoSpaceDN w:val="0"/>
        <w:adjustRightInd w:val="0"/>
        <w:spacing w:after="260"/>
        <w:rPr>
          <w:lang w:bidi="en-US"/>
        </w:rPr>
      </w:pPr>
      <w:r w:rsidRPr="00D91CA7">
        <w:rPr>
          <w:lang w:bidi="en-US"/>
        </w:rPr>
        <w:t>It is not unusual for a victim of pre-teen, teen</w:t>
      </w:r>
      <w:r w:rsidR="002A38F4">
        <w:rPr>
          <w:lang w:bidi="en-US"/>
        </w:rPr>
        <w:t>,</w:t>
      </w:r>
      <w:r w:rsidRPr="00D91CA7">
        <w:rPr>
          <w:lang w:bidi="en-US"/>
        </w:rPr>
        <w:t xml:space="preserve"> or adult abuse to </w:t>
      </w:r>
      <w:r w:rsidR="002A38F4">
        <w:rPr>
          <w:lang w:bidi="en-US"/>
        </w:rPr>
        <w:t>continue to</w:t>
      </w:r>
      <w:r w:rsidR="002A38F4" w:rsidRPr="00D91CA7">
        <w:rPr>
          <w:lang w:bidi="en-US"/>
        </w:rPr>
        <w:t xml:space="preserve"> </w:t>
      </w:r>
      <w:r w:rsidRPr="00D91CA7">
        <w:rPr>
          <w:lang w:bidi="en-US"/>
        </w:rPr>
        <w:t>have loving feelings toward the person initiating the abuse, and the survivor may leave and return to the abusive person multiple times. This does not mean the violence did not occur, or that safety is not a concern. It is essential for school personnel to remain nonjudgmental so that a survivor will feel safe to return for help when s/he may need it in the future</w:t>
      </w:r>
      <w:r w:rsidR="00BC6A7D">
        <w:rPr>
          <w:lang w:bidi="en-US"/>
        </w:rPr>
        <w:t>. I</w:t>
      </w:r>
      <w:r w:rsidRPr="00D91CA7">
        <w:rPr>
          <w:lang w:bidi="en-US"/>
        </w:rPr>
        <w:t xml:space="preserve">t </w:t>
      </w:r>
      <w:proofErr w:type="gramStart"/>
      <w:r w:rsidRPr="00D91CA7">
        <w:rPr>
          <w:lang w:bidi="en-US"/>
        </w:rPr>
        <w:t>is,</w:t>
      </w:r>
      <w:proofErr w:type="gramEnd"/>
      <w:r w:rsidRPr="00D91CA7">
        <w:rPr>
          <w:lang w:bidi="en-US"/>
        </w:rPr>
        <w:t xml:space="preserve"> however, appropriate to express concern</w:t>
      </w:r>
      <w:r w:rsidR="00DC32E0">
        <w:rPr>
          <w:lang w:bidi="en-US"/>
        </w:rPr>
        <w:t xml:space="preserve"> about any continued contact</w:t>
      </w:r>
      <w:r w:rsidRPr="00D91CA7">
        <w:rPr>
          <w:lang w:bidi="en-US"/>
        </w:rPr>
        <w:t>.</w:t>
      </w:r>
    </w:p>
    <w:p w:rsidR="000C3509" w:rsidRPr="00D91CA7" w:rsidRDefault="000C3509" w:rsidP="000C3509">
      <w:pPr>
        <w:widowControl w:val="0"/>
        <w:autoSpaceDE w:val="0"/>
        <w:autoSpaceDN w:val="0"/>
        <w:adjustRightInd w:val="0"/>
        <w:spacing w:after="260"/>
        <w:rPr>
          <w:lang w:bidi="en-US"/>
        </w:rPr>
      </w:pPr>
      <w:r w:rsidRPr="00D91CA7">
        <w:rPr>
          <w:lang w:bidi="en-US"/>
        </w:rPr>
        <w:t>Teen (and pre-teen) dating violence happens within a context of adolescent development; therefore, certain developmental aspects characteristic of adolescence are affected, differentiating it from abuse in adult relationships. Characteristics that may be more pronounced or create unique dynamics in situations of teen dating violence may include:</w:t>
      </w:r>
    </w:p>
    <w:p w:rsidR="000C3509" w:rsidRPr="00D91CA7" w:rsidRDefault="000C3509" w:rsidP="00246F58">
      <w:pPr>
        <w:widowControl w:val="0"/>
        <w:numPr>
          <w:ilvl w:val="0"/>
          <w:numId w:val="13"/>
        </w:numPr>
        <w:autoSpaceDE w:val="0"/>
        <w:autoSpaceDN w:val="0"/>
        <w:adjustRightInd w:val="0"/>
        <w:spacing w:after="60"/>
        <w:ind w:left="360"/>
      </w:pPr>
      <w:r w:rsidRPr="00D91CA7">
        <w:t xml:space="preserve">Teens lack experience with intimate relationships; those in abusive relationships often have difficulty in defining abuse as problematic. </w:t>
      </w:r>
    </w:p>
    <w:p w:rsidR="000C3509" w:rsidRPr="00D91CA7" w:rsidRDefault="000C3509" w:rsidP="00246F58">
      <w:pPr>
        <w:widowControl w:val="0"/>
        <w:numPr>
          <w:ilvl w:val="0"/>
          <w:numId w:val="13"/>
        </w:numPr>
        <w:autoSpaceDE w:val="0"/>
        <w:autoSpaceDN w:val="0"/>
        <w:adjustRightInd w:val="0"/>
        <w:spacing w:after="60"/>
        <w:ind w:left="360"/>
      </w:pPr>
      <w:r w:rsidRPr="00D91CA7">
        <w:t xml:space="preserve">Abusive behavior may be normalized within youths’ peer groups and in the media, which makes it harder for victims to recognize abuse. </w:t>
      </w:r>
    </w:p>
    <w:p w:rsidR="000C3509" w:rsidRPr="00D91CA7" w:rsidRDefault="000C3509" w:rsidP="00246F58">
      <w:pPr>
        <w:widowControl w:val="0"/>
        <w:numPr>
          <w:ilvl w:val="0"/>
          <w:numId w:val="13"/>
        </w:numPr>
        <w:autoSpaceDE w:val="0"/>
        <w:autoSpaceDN w:val="0"/>
        <w:adjustRightInd w:val="0"/>
        <w:spacing w:after="60"/>
        <w:ind w:left="360"/>
      </w:pPr>
      <w:r w:rsidRPr="00D91CA7">
        <w:t>The often normalized use of alcohol and/or drugs among youth may lead some youth to misunderstand violence as a result of substance use and/or abuse.</w:t>
      </w:r>
    </w:p>
    <w:p w:rsidR="000C3509" w:rsidRPr="00D91CA7" w:rsidRDefault="000C3509" w:rsidP="00246F58">
      <w:pPr>
        <w:widowControl w:val="0"/>
        <w:numPr>
          <w:ilvl w:val="0"/>
          <w:numId w:val="13"/>
        </w:numPr>
        <w:autoSpaceDE w:val="0"/>
        <w:autoSpaceDN w:val="0"/>
        <w:adjustRightInd w:val="0"/>
        <w:spacing w:after="60"/>
        <w:ind w:left="360"/>
      </w:pPr>
      <w:r w:rsidRPr="00D91CA7">
        <w:t>Incidents of the adolescent victim using physical violence toward her/his partner may occur with more frequency than between adult victims toward adult perpetrators.</w:t>
      </w:r>
    </w:p>
    <w:p w:rsidR="000C3509" w:rsidRPr="00D91CA7" w:rsidRDefault="000C3509" w:rsidP="00246F58">
      <w:pPr>
        <w:widowControl w:val="0"/>
        <w:numPr>
          <w:ilvl w:val="0"/>
          <w:numId w:val="13"/>
        </w:numPr>
        <w:autoSpaceDE w:val="0"/>
        <w:autoSpaceDN w:val="0"/>
        <w:adjustRightInd w:val="0"/>
        <w:spacing w:after="60"/>
        <w:ind w:left="360"/>
      </w:pPr>
      <w:r w:rsidRPr="00D91CA7">
        <w:t>Youth may be more likely to perceive possessive jealousy and controlling behavior as loving devotion.</w:t>
      </w:r>
    </w:p>
    <w:p w:rsidR="000C3509" w:rsidRPr="00D91CA7" w:rsidRDefault="000C3509" w:rsidP="00246F58">
      <w:pPr>
        <w:widowControl w:val="0"/>
        <w:numPr>
          <w:ilvl w:val="0"/>
          <w:numId w:val="13"/>
        </w:numPr>
        <w:autoSpaceDE w:val="0"/>
        <w:autoSpaceDN w:val="0"/>
        <w:adjustRightInd w:val="0"/>
        <w:spacing w:after="60"/>
        <w:ind w:left="360"/>
      </w:pPr>
      <w:r w:rsidRPr="00D91CA7">
        <w:t xml:space="preserve">Teens can be reluctant to seek help from adults. They may fear, rightly or wrongly, that if they tell someone about the abuse they will be seen as having done something wrong. </w:t>
      </w:r>
      <w:r w:rsidR="000F4F08">
        <w:t>Also</w:t>
      </w:r>
      <w:r w:rsidR="00FA49CF">
        <w:t>,</w:t>
      </w:r>
      <w:r w:rsidR="000F4F08">
        <w:t xml:space="preserve"> t</w:t>
      </w:r>
      <w:r w:rsidRPr="00D91CA7">
        <w:t xml:space="preserve">hey may </w:t>
      </w:r>
      <w:r w:rsidR="00E77891">
        <w:t>worry</w:t>
      </w:r>
      <w:r w:rsidR="00E77891" w:rsidRPr="00D91CA7">
        <w:t xml:space="preserve"> </w:t>
      </w:r>
      <w:r w:rsidRPr="00D91CA7">
        <w:t>that newly won privileges of independence will be taken away.</w:t>
      </w:r>
    </w:p>
    <w:p w:rsidR="00246F58" w:rsidRDefault="000C3509" w:rsidP="00246F58">
      <w:pPr>
        <w:widowControl w:val="0"/>
        <w:numPr>
          <w:ilvl w:val="0"/>
          <w:numId w:val="13"/>
        </w:numPr>
        <w:autoSpaceDE w:val="0"/>
        <w:autoSpaceDN w:val="0"/>
        <w:adjustRightInd w:val="0"/>
        <w:spacing w:after="60"/>
        <w:ind w:left="360"/>
      </w:pPr>
      <w:r w:rsidRPr="00D91CA7">
        <w:t>Teens receive mixed messages about sex and violence from all sources</w:t>
      </w:r>
      <w:r w:rsidR="00DD7E8A">
        <w:t xml:space="preserve"> </w:t>
      </w:r>
      <w:r w:rsidRPr="00D91CA7">
        <w:t xml:space="preserve">- media, friends, and family alike. Discussing </w:t>
      </w:r>
      <w:r w:rsidR="00E77891">
        <w:t xml:space="preserve">safe and healthy relationships </w:t>
      </w:r>
      <w:r w:rsidRPr="00D91CA7">
        <w:t xml:space="preserve">with teens can be difficult; not doing so can lead to misinformation </w:t>
      </w:r>
      <w:r w:rsidR="00E77891">
        <w:t xml:space="preserve">and fear. </w:t>
      </w:r>
      <w:r w:rsidRPr="00D91CA7">
        <w:rPr>
          <w:lang w:bidi="en-US"/>
        </w:rPr>
        <w:t>Typically</w:t>
      </w:r>
      <w:r w:rsidR="00FA49CF">
        <w:rPr>
          <w:lang w:bidi="en-US"/>
        </w:rPr>
        <w:t>,</w:t>
      </w:r>
      <w:r w:rsidRPr="00D91CA7">
        <w:rPr>
          <w:lang w:bidi="en-US"/>
        </w:rPr>
        <w:t xml:space="preserve"> the teen victim is isolated from her/his peers because of the controlling behavior of her/his partner. </w:t>
      </w:r>
      <w:r w:rsidR="004D0299">
        <w:rPr>
          <w:lang w:bidi="en-US"/>
        </w:rPr>
        <w:t>In addition to</w:t>
      </w:r>
      <w:r w:rsidR="004D0299" w:rsidRPr="004D0299">
        <w:t xml:space="preserve"> </w:t>
      </w:r>
      <w:r w:rsidR="004D0299" w:rsidRPr="00D91CA7">
        <w:t xml:space="preserve">academic progress </w:t>
      </w:r>
      <w:r w:rsidR="004D0299">
        <w:t>being</w:t>
      </w:r>
      <w:r w:rsidR="004D0299" w:rsidRPr="00D91CA7">
        <w:t xml:space="preserve"> hindered</w:t>
      </w:r>
      <w:r w:rsidR="004D0299">
        <w:t>,</w:t>
      </w:r>
      <w:r w:rsidR="004D0299">
        <w:rPr>
          <w:lang w:bidi="en-US"/>
        </w:rPr>
        <w:t xml:space="preserve"> t</w:t>
      </w:r>
      <w:r w:rsidRPr="00D91CA7">
        <w:rPr>
          <w:lang w:bidi="en-US"/>
        </w:rPr>
        <w:t xml:space="preserve">he following </w:t>
      </w:r>
      <w:r w:rsidR="004D0299">
        <w:rPr>
          <w:lang w:bidi="en-US"/>
        </w:rPr>
        <w:t>may be affected</w:t>
      </w:r>
      <w:r w:rsidRPr="00D91CA7">
        <w:rPr>
          <w:lang w:bidi="en-US"/>
        </w:rPr>
        <w:t xml:space="preserve"> b</w:t>
      </w:r>
      <w:r w:rsidR="00246F58">
        <w:rPr>
          <w:lang w:bidi="en-US"/>
        </w:rPr>
        <w:t>ecause of this isolation:</w:t>
      </w:r>
    </w:p>
    <w:p w:rsidR="00C818F5" w:rsidRDefault="000C3509" w:rsidP="00C818F5">
      <w:pPr>
        <w:pStyle w:val="ListParagraph"/>
        <w:widowControl w:val="0"/>
        <w:numPr>
          <w:ilvl w:val="0"/>
          <w:numId w:val="13"/>
        </w:numPr>
        <w:autoSpaceDE w:val="0"/>
        <w:autoSpaceDN w:val="0"/>
        <w:adjustRightInd w:val="0"/>
        <w:spacing w:after="60"/>
      </w:pPr>
      <w:r w:rsidRPr="00D91CA7">
        <w:t>achieving new and mature</w:t>
      </w:r>
      <w:r w:rsidRPr="00D91CA7">
        <w:rPr>
          <w:lang w:bidi="en-US"/>
        </w:rPr>
        <w:t xml:space="preserve"> </w:t>
      </w:r>
      <w:r w:rsidRPr="00D91CA7">
        <w:t>relationships with peers of both sexes</w:t>
      </w:r>
    </w:p>
    <w:p w:rsidR="00C818F5" w:rsidRDefault="000C3509" w:rsidP="00C818F5">
      <w:pPr>
        <w:pStyle w:val="ListParagraph"/>
        <w:widowControl w:val="0"/>
        <w:numPr>
          <w:ilvl w:val="0"/>
          <w:numId w:val="13"/>
        </w:numPr>
        <w:autoSpaceDE w:val="0"/>
        <w:autoSpaceDN w:val="0"/>
        <w:adjustRightInd w:val="0"/>
        <w:spacing w:after="60"/>
      </w:pPr>
      <w:r w:rsidRPr="00D91CA7">
        <w:t>social role achievement</w:t>
      </w:r>
    </w:p>
    <w:p w:rsidR="00C818F5" w:rsidRDefault="000C3509" w:rsidP="00C818F5">
      <w:pPr>
        <w:pStyle w:val="ListParagraph"/>
        <w:widowControl w:val="0"/>
        <w:numPr>
          <w:ilvl w:val="0"/>
          <w:numId w:val="13"/>
        </w:numPr>
        <w:autoSpaceDE w:val="0"/>
        <w:autoSpaceDN w:val="0"/>
        <w:adjustRightInd w:val="0"/>
        <w:spacing w:after="60"/>
      </w:pPr>
      <w:r w:rsidRPr="00D91CA7">
        <w:t>emotion</w:t>
      </w:r>
      <w:r w:rsidRPr="00D91CA7">
        <w:rPr>
          <w:lang w:bidi="en-US"/>
        </w:rPr>
        <w:t>a</w:t>
      </w:r>
      <w:r w:rsidRPr="00D91CA7">
        <w:t>l independence</w:t>
      </w:r>
    </w:p>
    <w:p w:rsidR="000C3509" w:rsidRPr="00D91CA7" w:rsidRDefault="000C3509" w:rsidP="00C818F5">
      <w:pPr>
        <w:pStyle w:val="ListParagraph"/>
        <w:widowControl w:val="0"/>
        <w:numPr>
          <w:ilvl w:val="0"/>
          <w:numId w:val="13"/>
        </w:numPr>
        <w:autoSpaceDE w:val="0"/>
        <w:autoSpaceDN w:val="0"/>
        <w:adjustRightInd w:val="0"/>
        <w:spacing w:after="60"/>
      </w:pPr>
      <w:r w:rsidRPr="00D91CA7">
        <w:t>the ability to develop personal values and beliefs</w:t>
      </w:r>
    </w:p>
    <w:p w:rsidR="000C3509" w:rsidRPr="00D91CA7" w:rsidRDefault="000C3509" w:rsidP="000C3509">
      <w:pPr>
        <w:widowControl w:val="0"/>
        <w:tabs>
          <w:tab w:val="left" w:pos="220"/>
          <w:tab w:val="left" w:pos="720"/>
        </w:tabs>
        <w:autoSpaceDE w:val="0"/>
        <w:autoSpaceDN w:val="0"/>
        <w:adjustRightInd w:val="0"/>
        <w:ind w:left="880"/>
        <w:rPr>
          <w:lang w:bidi="en-US"/>
        </w:rPr>
      </w:pPr>
    </w:p>
    <w:p w:rsidR="0041410F" w:rsidRPr="00D91CA7" w:rsidRDefault="000C3509" w:rsidP="008C561C">
      <w:pPr>
        <w:widowControl w:val="0"/>
        <w:autoSpaceDE w:val="0"/>
        <w:autoSpaceDN w:val="0"/>
        <w:adjustRightInd w:val="0"/>
        <w:rPr>
          <w:b/>
          <w:bCs/>
        </w:rPr>
      </w:pPr>
      <w:r w:rsidRPr="00D91CA7">
        <w:rPr>
          <w:lang w:bidi="en-US"/>
        </w:rPr>
        <w:t>Many youth would not identify their “intimate relationships” in the words chosen by adults. Terms such as “dating,” “boyfriend/girlfriend,” and “intimate or sexual relationship” would not be used by most pre-teens or teens to describe relationships in which the behaviors listed above may be exhibited. It can sometimes be difficult to determine the extent of the relationship because many pre-teens and teens use terms such as “</w:t>
      </w:r>
      <w:r w:rsidR="00FA49CF">
        <w:rPr>
          <w:lang w:bidi="en-US"/>
        </w:rPr>
        <w:t>go</w:t>
      </w:r>
      <w:r w:rsidR="00FA49CF" w:rsidRPr="00D91CA7">
        <w:rPr>
          <w:lang w:bidi="en-US"/>
        </w:rPr>
        <w:t xml:space="preserve">ing </w:t>
      </w:r>
      <w:r w:rsidRPr="00D91CA7">
        <w:rPr>
          <w:lang w:bidi="en-US"/>
        </w:rPr>
        <w:t xml:space="preserve">out” or “friends with benefits.” </w:t>
      </w:r>
      <w:r w:rsidR="004D0299">
        <w:rPr>
          <w:lang w:bidi="en-US"/>
        </w:rPr>
        <w:t>W</w:t>
      </w:r>
      <w:r w:rsidRPr="00D91CA7">
        <w:rPr>
          <w:lang w:bidi="en-US"/>
        </w:rPr>
        <w:t>hen speaking to pre-teens and teens</w:t>
      </w:r>
      <w:r w:rsidR="004D0299">
        <w:rPr>
          <w:lang w:bidi="en-US"/>
        </w:rPr>
        <w:t>,</w:t>
      </w:r>
      <w:r w:rsidRPr="00D91CA7">
        <w:rPr>
          <w:lang w:bidi="en-US"/>
        </w:rPr>
        <w:t xml:space="preserve"> school personnel</w:t>
      </w:r>
      <w:r w:rsidR="004D0299">
        <w:rPr>
          <w:lang w:bidi="en-US"/>
        </w:rPr>
        <w:t xml:space="preserve"> should</w:t>
      </w:r>
      <w:r w:rsidRPr="00D91CA7">
        <w:rPr>
          <w:lang w:bidi="en-US"/>
        </w:rPr>
        <w:t xml:space="preserve"> ask them how they talk about and define these relationships</w:t>
      </w:r>
      <w:r w:rsidR="008C561C">
        <w:rPr>
          <w:lang w:bidi="en-US"/>
        </w:rPr>
        <w:t>.</w:t>
      </w:r>
    </w:p>
    <w:p w:rsidR="00324017" w:rsidRPr="00D91CA7" w:rsidRDefault="00324017" w:rsidP="00324017">
      <w:pPr>
        <w:autoSpaceDE w:val="0"/>
        <w:autoSpaceDN w:val="0"/>
        <w:adjustRightInd w:val="0"/>
      </w:pPr>
      <w:r w:rsidRPr="00D91CA7">
        <w:rPr>
          <w:b/>
        </w:rPr>
        <w:lastRenderedPageBreak/>
        <w:t>Warning Signs</w:t>
      </w:r>
      <w:r>
        <w:rPr>
          <w:b/>
        </w:rPr>
        <w:t xml:space="preserve"> </w:t>
      </w:r>
      <w:r w:rsidRPr="00D91CA7">
        <w:t>include the following:</w:t>
      </w:r>
      <w:r w:rsidRPr="00D91CA7">
        <w:br/>
      </w:r>
    </w:p>
    <w:p w:rsidR="00324017" w:rsidRPr="00D91CA7" w:rsidRDefault="00324017" w:rsidP="00324017">
      <w:pPr>
        <w:pStyle w:val="ListParagraph"/>
        <w:numPr>
          <w:ilvl w:val="0"/>
          <w:numId w:val="12"/>
        </w:numPr>
        <w:autoSpaceDE w:val="0"/>
        <w:autoSpaceDN w:val="0"/>
        <w:adjustRightInd w:val="0"/>
        <w:ind w:left="360"/>
      </w:pPr>
      <w:r w:rsidRPr="00D91CA7">
        <w:t>Low self</w:t>
      </w:r>
      <w:r w:rsidRPr="00D91CA7">
        <w:rPr>
          <w:rFonts w:ascii="Calibri" w:hAnsi="Calibri"/>
        </w:rPr>
        <w:t>‐</w:t>
      </w:r>
      <w:r w:rsidRPr="00D91CA7">
        <w:t>esteem</w:t>
      </w:r>
    </w:p>
    <w:p w:rsidR="00324017" w:rsidRPr="00D91CA7" w:rsidRDefault="00324017" w:rsidP="00324017">
      <w:pPr>
        <w:pStyle w:val="ListParagraph"/>
        <w:numPr>
          <w:ilvl w:val="0"/>
          <w:numId w:val="12"/>
        </w:numPr>
        <w:autoSpaceDE w:val="0"/>
        <w:autoSpaceDN w:val="0"/>
        <w:adjustRightInd w:val="0"/>
        <w:ind w:left="360"/>
      </w:pPr>
      <w:r w:rsidRPr="00D91CA7">
        <w:t>Views violence as a means of problem solving</w:t>
      </w:r>
    </w:p>
    <w:p w:rsidR="00324017" w:rsidRPr="00D91CA7" w:rsidRDefault="00324017" w:rsidP="00324017">
      <w:pPr>
        <w:pStyle w:val="ListParagraph"/>
        <w:numPr>
          <w:ilvl w:val="0"/>
          <w:numId w:val="12"/>
        </w:numPr>
        <w:tabs>
          <w:tab w:val="left" w:pos="720"/>
          <w:tab w:val="left" w:pos="2160"/>
        </w:tabs>
        <w:autoSpaceDE w:val="0"/>
        <w:autoSpaceDN w:val="0"/>
        <w:adjustRightInd w:val="0"/>
        <w:ind w:left="360"/>
      </w:pPr>
      <w:r w:rsidRPr="00D91CA7">
        <w:t>Belief that assault is normal</w:t>
      </w:r>
    </w:p>
    <w:p w:rsidR="00324017" w:rsidRPr="00D91CA7" w:rsidRDefault="00324017" w:rsidP="00324017">
      <w:pPr>
        <w:pStyle w:val="ListParagraph"/>
        <w:numPr>
          <w:ilvl w:val="0"/>
          <w:numId w:val="12"/>
        </w:numPr>
        <w:tabs>
          <w:tab w:val="left" w:pos="720"/>
          <w:tab w:val="left" w:pos="2160"/>
        </w:tabs>
        <w:autoSpaceDE w:val="0"/>
        <w:autoSpaceDN w:val="0"/>
        <w:adjustRightInd w:val="0"/>
        <w:ind w:left="360"/>
      </w:pPr>
      <w:r w:rsidRPr="00D91CA7">
        <w:t>Difficulty in establishing positive relationships with women or girls</w:t>
      </w:r>
    </w:p>
    <w:p w:rsidR="00324017" w:rsidRPr="00D91CA7" w:rsidRDefault="00324017" w:rsidP="00324017">
      <w:pPr>
        <w:pStyle w:val="ListParagraph"/>
        <w:numPr>
          <w:ilvl w:val="0"/>
          <w:numId w:val="12"/>
        </w:numPr>
        <w:tabs>
          <w:tab w:val="left" w:pos="720"/>
          <w:tab w:val="left" w:pos="2160"/>
        </w:tabs>
        <w:autoSpaceDE w:val="0"/>
        <w:autoSpaceDN w:val="0"/>
        <w:adjustRightInd w:val="0"/>
        <w:ind w:left="360"/>
      </w:pPr>
      <w:r w:rsidRPr="00D91CA7">
        <w:t>Lack of empathy toward others</w:t>
      </w:r>
    </w:p>
    <w:p w:rsidR="00324017" w:rsidRPr="00D91CA7" w:rsidRDefault="00324017" w:rsidP="00324017">
      <w:pPr>
        <w:pStyle w:val="ListParagraph"/>
        <w:numPr>
          <w:ilvl w:val="0"/>
          <w:numId w:val="12"/>
        </w:numPr>
        <w:tabs>
          <w:tab w:val="left" w:pos="720"/>
          <w:tab w:val="left" w:pos="2160"/>
        </w:tabs>
        <w:autoSpaceDE w:val="0"/>
        <w:autoSpaceDN w:val="0"/>
        <w:adjustRightInd w:val="0"/>
        <w:ind w:left="360"/>
      </w:pPr>
      <w:r w:rsidRPr="00D91CA7">
        <w:t>Difficulty with social interactions</w:t>
      </w:r>
    </w:p>
    <w:p w:rsidR="00324017" w:rsidRPr="00D91CA7" w:rsidRDefault="00324017" w:rsidP="00324017">
      <w:pPr>
        <w:pStyle w:val="ListParagraph"/>
        <w:numPr>
          <w:ilvl w:val="0"/>
          <w:numId w:val="12"/>
        </w:numPr>
        <w:tabs>
          <w:tab w:val="left" w:pos="720"/>
          <w:tab w:val="left" w:pos="2160"/>
        </w:tabs>
        <w:autoSpaceDE w:val="0"/>
        <w:autoSpaceDN w:val="0"/>
        <w:adjustRightInd w:val="0"/>
        <w:ind w:left="360"/>
      </w:pPr>
      <w:r w:rsidRPr="00D91CA7">
        <w:t>Need for instant gratification</w:t>
      </w:r>
    </w:p>
    <w:p w:rsidR="00324017" w:rsidRPr="00D91CA7" w:rsidRDefault="00324017" w:rsidP="00324017">
      <w:pPr>
        <w:pStyle w:val="ListParagraph"/>
        <w:numPr>
          <w:ilvl w:val="0"/>
          <w:numId w:val="12"/>
        </w:numPr>
        <w:tabs>
          <w:tab w:val="left" w:pos="720"/>
          <w:tab w:val="left" w:pos="2160"/>
        </w:tabs>
        <w:autoSpaceDE w:val="0"/>
        <w:autoSpaceDN w:val="0"/>
        <w:adjustRightInd w:val="0"/>
        <w:ind w:left="360"/>
      </w:pPr>
      <w:r w:rsidRPr="00D91CA7">
        <w:t>Low impulse control</w:t>
      </w:r>
    </w:p>
    <w:p w:rsidR="00324017" w:rsidRPr="00D91CA7" w:rsidRDefault="00324017" w:rsidP="00324017">
      <w:pPr>
        <w:pStyle w:val="ListParagraph"/>
        <w:numPr>
          <w:ilvl w:val="0"/>
          <w:numId w:val="12"/>
        </w:numPr>
        <w:tabs>
          <w:tab w:val="left" w:pos="720"/>
          <w:tab w:val="left" w:pos="2160"/>
        </w:tabs>
        <w:autoSpaceDE w:val="0"/>
        <w:autoSpaceDN w:val="0"/>
        <w:adjustRightInd w:val="0"/>
        <w:ind w:left="360"/>
      </w:pPr>
      <w:r w:rsidRPr="00D91CA7">
        <w:t>Angry outbursts</w:t>
      </w:r>
    </w:p>
    <w:p w:rsidR="00324017" w:rsidRPr="00D91CA7" w:rsidRDefault="00324017" w:rsidP="00324017">
      <w:pPr>
        <w:pStyle w:val="ListParagraph"/>
        <w:numPr>
          <w:ilvl w:val="0"/>
          <w:numId w:val="12"/>
        </w:numPr>
        <w:tabs>
          <w:tab w:val="left" w:pos="720"/>
          <w:tab w:val="left" w:pos="2160"/>
        </w:tabs>
        <w:autoSpaceDE w:val="0"/>
        <w:autoSpaceDN w:val="0"/>
        <w:adjustRightInd w:val="0"/>
        <w:ind w:left="360"/>
      </w:pPr>
      <w:r w:rsidRPr="00D91CA7">
        <w:t>Difficulty with dating relationships</w:t>
      </w:r>
    </w:p>
    <w:p w:rsidR="00324017" w:rsidRPr="00D91CA7" w:rsidRDefault="00324017" w:rsidP="00324017">
      <w:pPr>
        <w:pStyle w:val="ListParagraph"/>
        <w:numPr>
          <w:ilvl w:val="0"/>
          <w:numId w:val="12"/>
        </w:numPr>
        <w:tabs>
          <w:tab w:val="left" w:pos="720"/>
          <w:tab w:val="left" w:pos="2160"/>
        </w:tabs>
        <w:autoSpaceDE w:val="0"/>
        <w:autoSpaceDN w:val="0"/>
        <w:adjustRightInd w:val="0"/>
        <w:ind w:left="360"/>
      </w:pPr>
      <w:r w:rsidRPr="00D91CA7">
        <w:t>Very degrading toward females</w:t>
      </w:r>
    </w:p>
    <w:p w:rsidR="00324017" w:rsidRPr="00D91CA7" w:rsidRDefault="00324017" w:rsidP="00324017">
      <w:pPr>
        <w:pStyle w:val="ListParagraph"/>
        <w:numPr>
          <w:ilvl w:val="0"/>
          <w:numId w:val="12"/>
        </w:numPr>
        <w:tabs>
          <w:tab w:val="left" w:pos="720"/>
          <w:tab w:val="left" w:pos="2160"/>
        </w:tabs>
        <w:autoSpaceDE w:val="0"/>
        <w:autoSpaceDN w:val="0"/>
        <w:adjustRightInd w:val="0"/>
        <w:ind w:left="360"/>
      </w:pPr>
      <w:r w:rsidRPr="00D91CA7">
        <w:t>Victim stance</w:t>
      </w:r>
    </w:p>
    <w:p w:rsidR="00324017" w:rsidRPr="00D91CA7" w:rsidRDefault="00324017" w:rsidP="00324017">
      <w:pPr>
        <w:pStyle w:val="ListParagraph"/>
        <w:numPr>
          <w:ilvl w:val="0"/>
          <w:numId w:val="12"/>
        </w:numPr>
        <w:tabs>
          <w:tab w:val="left" w:pos="720"/>
          <w:tab w:val="left" w:pos="2160"/>
        </w:tabs>
        <w:autoSpaceDE w:val="0"/>
        <w:autoSpaceDN w:val="0"/>
        <w:adjustRightInd w:val="0"/>
        <w:ind w:left="360"/>
      </w:pPr>
      <w:r w:rsidRPr="00D91CA7">
        <w:t>Difficulty with authority figures</w:t>
      </w:r>
    </w:p>
    <w:p w:rsidR="00324017" w:rsidRPr="00D91CA7" w:rsidRDefault="00324017" w:rsidP="00324017">
      <w:pPr>
        <w:pStyle w:val="ListParagraph"/>
        <w:numPr>
          <w:ilvl w:val="0"/>
          <w:numId w:val="12"/>
        </w:numPr>
        <w:tabs>
          <w:tab w:val="left" w:pos="720"/>
          <w:tab w:val="left" w:pos="2160"/>
        </w:tabs>
        <w:autoSpaceDE w:val="0"/>
        <w:autoSpaceDN w:val="0"/>
        <w:adjustRightInd w:val="0"/>
        <w:ind w:left="360"/>
      </w:pPr>
      <w:r w:rsidRPr="00D91CA7">
        <w:t>Inappropriate physical contact</w:t>
      </w:r>
    </w:p>
    <w:p w:rsidR="00324017" w:rsidRPr="00D91CA7" w:rsidRDefault="00324017" w:rsidP="00324017">
      <w:pPr>
        <w:pStyle w:val="ListParagraph"/>
        <w:numPr>
          <w:ilvl w:val="0"/>
          <w:numId w:val="12"/>
        </w:numPr>
        <w:tabs>
          <w:tab w:val="left" w:pos="720"/>
          <w:tab w:val="left" w:pos="2160"/>
        </w:tabs>
        <w:autoSpaceDE w:val="0"/>
        <w:autoSpaceDN w:val="0"/>
        <w:adjustRightInd w:val="0"/>
        <w:ind w:left="360"/>
      </w:pPr>
      <w:r w:rsidRPr="00D91CA7">
        <w:t>Inability to set goals for the future</w:t>
      </w:r>
    </w:p>
    <w:p w:rsidR="00324017" w:rsidRPr="00D91CA7" w:rsidRDefault="00324017" w:rsidP="00324017">
      <w:pPr>
        <w:pStyle w:val="ListParagraph"/>
        <w:numPr>
          <w:ilvl w:val="0"/>
          <w:numId w:val="12"/>
        </w:numPr>
        <w:tabs>
          <w:tab w:val="left" w:pos="720"/>
          <w:tab w:val="left" w:pos="2160"/>
        </w:tabs>
        <w:autoSpaceDE w:val="0"/>
        <w:autoSpaceDN w:val="0"/>
        <w:adjustRightInd w:val="0"/>
        <w:ind w:left="360"/>
      </w:pPr>
      <w:r w:rsidRPr="00D91CA7">
        <w:t>Has witnessed domestic violence toward their mother</w:t>
      </w:r>
    </w:p>
    <w:p w:rsidR="00324017" w:rsidRPr="00D91CA7" w:rsidRDefault="00324017" w:rsidP="00324017">
      <w:pPr>
        <w:pStyle w:val="ListParagraph"/>
        <w:numPr>
          <w:ilvl w:val="0"/>
          <w:numId w:val="12"/>
        </w:numPr>
        <w:tabs>
          <w:tab w:val="left" w:pos="720"/>
          <w:tab w:val="left" w:pos="2160"/>
        </w:tabs>
        <w:autoSpaceDE w:val="0"/>
        <w:autoSpaceDN w:val="0"/>
        <w:adjustRightInd w:val="0"/>
        <w:ind w:left="360"/>
      </w:pPr>
      <w:r w:rsidRPr="00D91CA7">
        <w:t>Difficulty with accepting responsibility for own actions</w:t>
      </w:r>
    </w:p>
    <w:p w:rsidR="00324017" w:rsidRPr="00D91CA7" w:rsidRDefault="00324017" w:rsidP="00324017">
      <w:pPr>
        <w:pStyle w:val="ListParagraph"/>
        <w:numPr>
          <w:ilvl w:val="0"/>
          <w:numId w:val="12"/>
        </w:numPr>
        <w:tabs>
          <w:tab w:val="left" w:pos="720"/>
          <w:tab w:val="left" w:pos="2160"/>
        </w:tabs>
        <w:autoSpaceDE w:val="0"/>
        <w:autoSpaceDN w:val="0"/>
        <w:adjustRightInd w:val="0"/>
        <w:ind w:left="360"/>
      </w:pPr>
      <w:r w:rsidRPr="00D91CA7">
        <w:t>Hopelessness</w:t>
      </w:r>
    </w:p>
    <w:p w:rsidR="00324017" w:rsidRPr="00D91CA7" w:rsidRDefault="00324017" w:rsidP="00324017">
      <w:pPr>
        <w:pStyle w:val="ListParagraph"/>
        <w:numPr>
          <w:ilvl w:val="0"/>
          <w:numId w:val="12"/>
        </w:numPr>
        <w:tabs>
          <w:tab w:val="left" w:pos="720"/>
          <w:tab w:val="left" w:pos="2160"/>
        </w:tabs>
        <w:autoSpaceDE w:val="0"/>
        <w:autoSpaceDN w:val="0"/>
        <w:adjustRightInd w:val="0"/>
        <w:ind w:left="360"/>
      </w:pPr>
      <w:r w:rsidRPr="00D91CA7">
        <w:t>Depression</w:t>
      </w:r>
    </w:p>
    <w:p w:rsidR="00324017" w:rsidRPr="00D91CA7" w:rsidRDefault="00324017" w:rsidP="00324017">
      <w:pPr>
        <w:pStyle w:val="ListParagraph"/>
        <w:numPr>
          <w:ilvl w:val="0"/>
          <w:numId w:val="12"/>
        </w:numPr>
        <w:tabs>
          <w:tab w:val="left" w:pos="720"/>
          <w:tab w:val="left" w:pos="2160"/>
        </w:tabs>
        <w:autoSpaceDE w:val="0"/>
        <w:autoSpaceDN w:val="0"/>
        <w:adjustRightInd w:val="0"/>
        <w:ind w:left="360"/>
      </w:pPr>
      <w:r w:rsidRPr="00D91CA7">
        <w:t>Poor decision making/problem solving skills</w:t>
      </w:r>
    </w:p>
    <w:p w:rsidR="00324017" w:rsidRPr="00D91CA7" w:rsidRDefault="00324017" w:rsidP="00324017">
      <w:pPr>
        <w:pStyle w:val="ListParagraph"/>
        <w:numPr>
          <w:ilvl w:val="0"/>
          <w:numId w:val="12"/>
        </w:numPr>
        <w:tabs>
          <w:tab w:val="left" w:pos="720"/>
          <w:tab w:val="left" w:pos="2160"/>
        </w:tabs>
        <w:autoSpaceDE w:val="0"/>
        <w:autoSpaceDN w:val="0"/>
        <w:adjustRightInd w:val="0"/>
        <w:ind w:left="360"/>
      </w:pPr>
      <w:r w:rsidRPr="00D91CA7">
        <w:t>Sexual harassing behavior</w:t>
      </w:r>
    </w:p>
    <w:p w:rsidR="00324017" w:rsidRPr="00D91CA7" w:rsidRDefault="00324017" w:rsidP="00324017">
      <w:pPr>
        <w:pStyle w:val="ListParagraph"/>
        <w:numPr>
          <w:ilvl w:val="0"/>
          <w:numId w:val="12"/>
        </w:numPr>
        <w:tabs>
          <w:tab w:val="left" w:pos="720"/>
          <w:tab w:val="left" w:pos="2160"/>
        </w:tabs>
        <w:autoSpaceDE w:val="0"/>
        <w:autoSpaceDN w:val="0"/>
        <w:adjustRightInd w:val="0"/>
        <w:ind w:left="360"/>
      </w:pPr>
      <w:r w:rsidRPr="00D91CA7">
        <w:t>Difficulty with following directions</w:t>
      </w:r>
    </w:p>
    <w:p w:rsidR="00324017" w:rsidRPr="00D91CA7" w:rsidRDefault="00324017" w:rsidP="00324017">
      <w:pPr>
        <w:pStyle w:val="ListParagraph"/>
        <w:numPr>
          <w:ilvl w:val="0"/>
          <w:numId w:val="12"/>
        </w:numPr>
        <w:tabs>
          <w:tab w:val="left" w:pos="720"/>
          <w:tab w:val="left" w:pos="2160"/>
        </w:tabs>
        <w:autoSpaceDE w:val="0"/>
        <w:autoSpaceDN w:val="0"/>
        <w:adjustRightInd w:val="0"/>
        <w:ind w:left="360"/>
      </w:pPr>
      <w:r w:rsidRPr="00D91CA7">
        <w:t>Little or no investment in learning life skills</w:t>
      </w:r>
    </w:p>
    <w:p w:rsidR="00324017" w:rsidRPr="00D91CA7" w:rsidRDefault="00324017" w:rsidP="00324017">
      <w:pPr>
        <w:pStyle w:val="ListParagraph"/>
        <w:numPr>
          <w:ilvl w:val="0"/>
          <w:numId w:val="12"/>
        </w:numPr>
        <w:tabs>
          <w:tab w:val="left" w:pos="720"/>
          <w:tab w:val="left" w:pos="2160"/>
        </w:tabs>
        <w:ind w:left="360"/>
        <w:rPr>
          <w:b/>
          <w:i/>
        </w:rPr>
      </w:pPr>
      <w:r w:rsidRPr="00D91CA7">
        <w:t>Fear of failure/anxiety</w:t>
      </w:r>
    </w:p>
    <w:p w:rsidR="00D91CA7" w:rsidRDefault="00D91CA7">
      <w:pPr>
        <w:rPr>
          <w:b/>
          <w:bCs/>
        </w:rPr>
      </w:pPr>
    </w:p>
    <w:p w:rsidR="0041410F" w:rsidRPr="00D91CA7" w:rsidRDefault="0041410F" w:rsidP="00BB23E1">
      <w:pPr>
        <w:pStyle w:val="Heading3"/>
        <w:numPr>
          <w:ilvl w:val="0"/>
          <w:numId w:val="15"/>
        </w:numPr>
        <w:ind w:left="360" w:hanging="360"/>
        <w:rPr>
          <w:rFonts w:ascii="Times New Roman" w:hAnsi="Times New Roman" w:cs="Times New Roman"/>
        </w:rPr>
      </w:pPr>
      <w:bookmarkStart w:id="15" w:name="_Toc345082259"/>
      <w:r w:rsidRPr="00D91CA7">
        <w:rPr>
          <w:rFonts w:ascii="Times New Roman" w:hAnsi="Times New Roman" w:cs="Times New Roman"/>
        </w:rPr>
        <w:t>RELATIONSHIPS TO OTHER LAWS</w:t>
      </w:r>
      <w:bookmarkEnd w:id="15"/>
    </w:p>
    <w:p w:rsidR="0041410F" w:rsidRPr="00D91CA7" w:rsidRDefault="0041410F" w:rsidP="0041410F">
      <w:pPr>
        <w:pStyle w:val="ListParagraph"/>
        <w:jc w:val="both"/>
        <w:rPr>
          <w:b/>
          <w:bCs/>
        </w:rPr>
      </w:pPr>
    </w:p>
    <w:p w:rsidR="0041410F" w:rsidRPr="00D91CA7" w:rsidRDefault="0041410F" w:rsidP="00CD3DEF">
      <w:pPr>
        <w:pStyle w:val="ListParagraph"/>
        <w:widowControl w:val="0"/>
        <w:autoSpaceDE w:val="0"/>
        <w:autoSpaceDN w:val="0"/>
        <w:adjustRightInd w:val="0"/>
        <w:spacing w:after="280"/>
        <w:ind w:left="360"/>
        <w:rPr>
          <w:bCs/>
        </w:rPr>
      </w:pPr>
      <w:r w:rsidRPr="00D91CA7">
        <w:rPr>
          <w:b/>
          <w:bCs/>
        </w:rPr>
        <w:t>The Bullying Intervention and Prevention Law</w:t>
      </w:r>
      <w:r w:rsidRPr="00D91CA7">
        <w:rPr>
          <w:rStyle w:val="FootnoteReference"/>
          <w:bCs/>
        </w:rPr>
        <w:footnoteReference w:id="3"/>
      </w:r>
      <w:r w:rsidRPr="00D91CA7">
        <w:rPr>
          <w:bCs/>
        </w:rPr>
        <w:t xml:space="preserve"> addresses bullying in public and non-public schools.  It requires school leaders to create and implement strategies to prevent bullying, and to address bullying promptly and effectively when it occurs.   </w:t>
      </w:r>
    </w:p>
    <w:p w:rsidR="0041410F" w:rsidRPr="00D91CA7" w:rsidRDefault="0041410F" w:rsidP="00CD3DEF">
      <w:pPr>
        <w:pStyle w:val="ListParagraph"/>
        <w:widowControl w:val="0"/>
        <w:autoSpaceDE w:val="0"/>
        <w:autoSpaceDN w:val="0"/>
        <w:adjustRightInd w:val="0"/>
        <w:spacing w:after="280"/>
        <w:ind w:left="360"/>
        <w:rPr>
          <w:bCs/>
        </w:rPr>
      </w:pPr>
      <w:r w:rsidRPr="00D91CA7">
        <w:rPr>
          <w:b/>
          <w:bCs/>
        </w:rPr>
        <w:t>An Act Relative to Harassment Prevention Orders</w:t>
      </w:r>
      <w:r w:rsidR="00A7419E">
        <w:rPr>
          <w:rStyle w:val="FootnoteReference"/>
          <w:b/>
          <w:bCs/>
        </w:rPr>
        <w:footnoteReference w:id="4"/>
      </w:r>
      <w:r w:rsidRPr="00D91CA7">
        <w:rPr>
          <w:bCs/>
        </w:rPr>
        <w:t xml:space="preserve"> allows a victim of stalking, sexual assault</w:t>
      </w:r>
      <w:r w:rsidR="006022ED">
        <w:rPr>
          <w:bCs/>
        </w:rPr>
        <w:t>,</w:t>
      </w:r>
      <w:r w:rsidRPr="00D91CA7">
        <w:rPr>
          <w:bCs/>
        </w:rPr>
        <w:t xml:space="preserve"> and/or harassment to obtain a harassment order against his/her perpetrator.   Unlike M.G.L. c. 209A, the domestic violence restraining order law, the </w:t>
      </w:r>
      <w:r w:rsidR="00CC0132">
        <w:rPr>
          <w:bCs/>
        </w:rPr>
        <w:t>2010</w:t>
      </w:r>
      <w:r w:rsidRPr="00D91CA7">
        <w:rPr>
          <w:bCs/>
        </w:rPr>
        <w:t xml:space="preserve"> law does not require the victim to have a domestic relationship with the perpetrator to obtain the harassment order.  The law also makes violation of a harassment order criminally enforceable, and does not require either a filing fee or legal representation to </w:t>
      </w:r>
      <w:r w:rsidR="00CC0132">
        <w:rPr>
          <w:bCs/>
        </w:rPr>
        <w:t>petition</w:t>
      </w:r>
      <w:r w:rsidRPr="00D91CA7">
        <w:rPr>
          <w:bCs/>
        </w:rPr>
        <w:t xml:space="preserve"> the </w:t>
      </w:r>
      <w:r w:rsidR="00CC0132">
        <w:rPr>
          <w:bCs/>
        </w:rPr>
        <w:t xml:space="preserve">court for an </w:t>
      </w:r>
      <w:r w:rsidRPr="00D91CA7">
        <w:rPr>
          <w:bCs/>
        </w:rPr>
        <w:t xml:space="preserve">order.  </w:t>
      </w:r>
    </w:p>
    <w:p w:rsidR="0041410F" w:rsidRPr="00D91CA7" w:rsidRDefault="0041410F" w:rsidP="00CD3DEF">
      <w:pPr>
        <w:pStyle w:val="ListParagraph"/>
        <w:widowControl w:val="0"/>
        <w:autoSpaceDE w:val="0"/>
        <w:autoSpaceDN w:val="0"/>
        <w:adjustRightInd w:val="0"/>
        <w:spacing w:after="280"/>
        <w:ind w:left="360"/>
        <w:rPr>
          <w:bCs/>
        </w:rPr>
      </w:pPr>
      <w:r w:rsidRPr="00D91CA7">
        <w:rPr>
          <w:b/>
          <w:bCs/>
        </w:rPr>
        <w:t xml:space="preserve">An Act </w:t>
      </w:r>
      <w:r w:rsidR="00D9315F" w:rsidRPr="00D91CA7">
        <w:rPr>
          <w:b/>
          <w:bCs/>
        </w:rPr>
        <w:t>R</w:t>
      </w:r>
      <w:r w:rsidRPr="00D91CA7">
        <w:rPr>
          <w:b/>
          <w:bCs/>
        </w:rPr>
        <w:t xml:space="preserve">elative to </w:t>
      </w:r>
      <w:r w:rsidR="00D9315F" w:rsidRPr="00D91CA7">
        <w:rPr>
          <w:b/>
          <w:bCs/>
        </w:rPr>
        <w:t>G</w:t>
      </w:r>
      <w:r w:rsidRPr="00D91CA7">
        <w:rPr>
          <w:b/>
          <w:bCs/>
        </w:rPr>
        <w:t xml:space="preserve">ender </w:t>
      </w:r>
      <w:r w:rsidR="00D9315F" w:rsidRPr="00D91CA7">
        <w:rPr>
          <w:b/>
          <w:bCs/>
        </w:rPr>
        <w:t>I</w:t>
      </w:r>
      <w:r w:rsidRPr="00D91CA7">
        <w:rPr>
          <w:b/>
          <w:bCs/>
        </w:rPr>
        <w:t>dentity</w:t>
      </w:r>
      <w:r w:rsidRPr="00D91CA7">
        <w:rPr>
          <w:rStyle w:val="FootnoteReference"/>
          <w:bCs/>
        </w:rPr>
        <w:footnoteReference w:id="5"/>
      </w:r>
      <w:r w:rsidRPr="00D91CA7">
        <w:rPr>
          <w:b/>
          <w:bCs/>
        </w:rPr>
        <w:t xml:space="preserve"> </w:t>
      </w:r>
      <w:r w:rsidRPr="00D91CA7">
        <w:rPr>
          <w:bCs/>
        </w:rPr>
        <w:t>prevents discrimination against a person’s gender-</w:t>
      </w:r>
      <w:r w:rsidRPr="00D91CA7">
        <w:rPr>
          <w:bCs/>
        </w:rPr>
        <w:lastRenderedPageBreak/>
        <w:t>related identity, appearance or behavior, whether or not that gender-related identity, appearance</w:t>
      </w:r>
      <w:r w:rsidR="006022ED">
        <w:rPr>
          <w:bCs/>
        </w:rPr>
        <w:t>,</w:t>
      </w:r>
      <w:r w:rsidRPr="00D91CA7">
        <w:rPr>
          <w:bCs/>
        </w:rPr>
        <w:t xml:space="preserve"> or behavior is different from that traditionally associated with the person’s physiology or assigned sex at birth.</w:t>
      </w:r>
    </w:p>
    <w:p w:rsidR="0041410F" w:rsidRPr="00D91CA7" w:rsidRDefault="0041410F" w:rsidP="00CD3DEF">
      <w:pPr>
        <w:widowControl w:val="0"/>
        <w:autoSpaceDE w:val="0"/>
        <w:autoSpaceDN w:val="0"/>
        <w:adjustRightInd w:val="0"/>
        <w:spacing w:after="280"/>
        <w:ind w:left="360"/>
      </w:pPr>
      <w:r w:rsidRPr="00D91CA7">
        <w:rPr>
          <w:bCs/>
        </w:rPr>
        <w:t>In 2010, the U.S. Department of Education’s Office for Civil Rights issued a “</w:t>
      </w:r>
      <w:r w:rsidRPr="00D91CA7">
        <w:rPr>
          <w:b/>
          <w:bCs/>
        </w:rPr>
        <w:t xml:space="preserve">Dear Colleague” </w:t>
      </w:r>
      <w:r w:rsidRPr="00D91CA7">
        <w:rPr>
          <w:b/>
        </w:rPr>
        <w:t>Harassment and Bullying Letter</w:t>
      </w:r>
      <w:r w:rsidRPr="00D91CA7">
        <w:t>.  The purpose of the letter is to “clarify the relationship between bullying and discriminatory harassment, and to remind schools that by limiting their responses to a specific application of an anti-bullying or other disciplinary policy, they may fail to properly consider whether the student misconduct also results in discrimination in violation of students’ federal civil rights.” This letter addresses issues and examples directly relevant to teen dating violence.</w:t>
      </w:r>
    </w:p>
    <w:p w:rsidR="0041410F" w:rsidRPr="00D91CA7" w:rsidRDefault="0041410F" w:rsidP="0041410F"/>
    <w:sectPr w:rsidR="0041410F" w:rsidRPr="00D91CA7" w:rsidSect="00A15A24">
      <w:headerReference w:type="even" r:id="rId17"/>
      <w:headerReference w:type="default" r:id="rId18"/>
      <w:footerReference w:type="default" r:id="rId19"/>
      <w:headerReference w:type="first" r:id="rId20"/>
      <w:pgSz w:w="12240" w:h="15840"/>
      <w:pgMar w:top="1350" w:right="1440" w:bottom="446"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AAC" w:rsidRDefault="00554AAC" w:rsidP="00FD2C86">
      <w:r>
        <w:separator/>
      </w:r>
    </w:p>
  </w:endnote>
  <w:endnote w:type="continuationSeparator" w:id="0">
    <w:p w:rsidR="00554AAC" w:rsidRDefault="00554AAC"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AC" w:rsidRDefault="00554AAC" w:rsidP="00D674EF">
    <w:pPr>
      <w:pStyle w:val="Footer"/>
    </w:pPr>
    <w:r>
      <w:tab/>
    </w:r>
    <w:fldSimple w:instr=" PAGE   \* MERGEFORMAT ">
      <w:r w:rsidR="00C515AB">
        <w:rPr>
          <w:noProof/>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AAC" w:rsidRDefault="00554AAC" w:rsidP="00FD2C86">
      <w:r>
        <w:separator/>
      </w:r>
    </w:p>
  </w:footnote>
  <w:footnote w:type="continuationSeparator" w:id="0">
    <w:p w:rsidR="00554AAC" w:rsidRDefault="00554AAC" w:rsidP="00FD2C86">
      <w:r>
        <w:continuationSeparator/>
      </w:r>
    </w:p>
  </w:footnote>
  <w:footnote w:id="1">
    <w:p w:rsidR="00554AAC" w:rsidRPr="002027E5" w:rsidRDefault="00554AAC" w:rsidP="0041410F">
      <w:pPr>
        <w:pStyle w:val="FootnoteText"/>
      </w:pPr>
      <w:r w:rsidRPr="002027E5">
        <w:rPr>
          <w:rStyle w:val="FootnoteReference"/>
        </w:rPr>
        <w:footnoteRef/>
      </w:r>
      <w:r w:rsidRPr="002027E5">
        <w:t xml:space="preserve"> See </w:t>
      </w:r>
      <w:hyperlink r:id="rId1" w:history="1">
        <w:r w:rsidRPr="002027E5">
          <w:rPr>
            <w:rStyle w:val="Hyperlink"/>
          </w:rPr>
          <w:t>http://www.mass.gov/eohhs/docs/dph/behavioral-risk/2011-yhs.pdf</w:t>
        </w:r>
      </w:hyperlink>
      <w:r w:rsidRPr="002027E5">
        <w:t xml:space="preserve"> for the full report, </w:t>
      </w:r>
      <w:r w:rsidRPr="002027E5">
        <w:rPr>
          <w:i/>
        </w:rPr>
        <w:t xml:space="preserve">Health and Risk Behaviors of Massachusetts Youth, 2009. </w:t>
      </w:r>
      <w:r w:rsidRPr="002027E5">
        <w:t xml:space="preserve">In February 2011, the Massachusetts Departments of Elementary and Secondary Education </w:t>
      </w:r>
      <w:r>
        <w:t xml:space="preserve">(ESE) </w:t>
      </w:r>
      <w:r w:rsidRPr="002027E5">
        <w:t xml:space="preserve">and Public Health (DPH) presented the results of the two coordinated surveys of Massachusetts adolescents: the 2009 Massachusetts Youth Risk Behavior Survey (ESE) and the Massachusetts Youth Health Survey (DPH). These two surveys were supported by funding from the Centers for Disease Control and Prevention (CDC) and administered in a random sample of 121 public secondary schools by the University </w:t>
      </w:r>
      <w:proofErr w:type="gramStart"/>
      <w:r w:rsidRPr="002027E5">
        <w:t>of</w:t>
      </w:r>
      <w:proofErr w:type="gramEnd"/>
      <w:r w:rsidRPr="002027E5">
        <w:t xml:space="preserve"> Massachusetts Center for Survey Research in the spring of 2009. </w:t>
      </w:r>
      <w:r>
        <w:br/>
      </w:r>
    </w:p>
  </w:footnote>
  <w:footnote w:id="2">
    <w:p w:rsidR="00554AAC" w:rsidRDefault="00554AAC" w:rsidP="00316415">
      <w:pPr>
        <w:pStyle w:val="FootnoteText"/>
      </w:pPr>
      <w:r>
        <w:rPr>
          <w:rStyle w:val="FootnoteReference"/>
        </w:rPr>
        <w:footnoteRef/>
      </w:r>
      <w:r>
        <w:t xml:space="preserve"> When used in this document, the term “parent” includes legal guardian as well.</w:t>
      </w:r>
    </w:p>
  </w:footnote>
  <w:footnote w:id="3">
    <w:p w:rsidR="00554AAC" w:rsidRPr="002027E5" w:rsidRDefault="00554AAC" w:rsidP="0041410F">
      <w:pPr>
        <w:pStyle w:val="FootnoteText"/>
      </w:pPr>
      <w:r w:rsidRPr="002027E5">
        <w:rPr>
          <w:rStyle w:val="FootnoteReference"/>
        </w:rPr>
        <w:footnoteRef/>
      </w:r>
      <w:r w:rsidRPr="002027E5">
        <w:t xml:space="preserve"> M.G.L. c. 71, § 37, as added by Chapter 92 of the Acts of 2010</w:t>
      </w:r>
      <w:r w:rsidRPr="002027E5">
        <w:rPr>
          <w:bCs/>
        </w:rPr>
        <w:t xml:space="preserve">, An Act Relative to Bullying in Schools.  Implementing regulations may be found at 603 CMR 49.00.  An ESE advisory on the requirements of this law may be found at </w:t>
      </w:r>
      <w:hyperlink r:id="rId2" w:history="1">
        <w:r w:rsidRPr="009E6D1D">
          <w:rPr>
            <w:rStyle w:val="Hyperlink"/>
            <w:bCs/>
          </w:rPr>
          <w:t>http://www.doe.mass.edu/bullying/news10/0604memo.html</w:t>
        </w:r>
      </w:hyperlink>
      <w:r>
        <w:rPr>
          <w:bCs/>
        </w:rPr>
        <w:t>.</w:t>
      </w:r>
    </w:p>
  </w:footnote>
  <w:footnote w:id="4">
    <w:p w:rsidR="00554AAC" w:rsidRDefault="00554AAC">
      <w:pPr>
        <w:pStyle w:val="FootnoteText"/>
      </w:pPr>
      <w:r>
        <w:rPr>
          <w:rStyle w:val="FootnoteReference"/>
        </w:rPr>
        <w:footnoteRef/>
      </w:r>
      <w:r>
        <w:t xml:space="preserve"> Chapter 23 of the Acts of 2010 added chapter 258E to the Massachusetts General Laws.</w:t>
      </w:r>
    </w:p>
  </w:footnote>
  <w:footnote w:id="5">
    <w:p w:rsidR="00554AAC" w:rsidRPr="002D6AFF" w:rsidRDefault="00554AAC" w:rsidP="0041410F">
      <w:pPr>
        <w:pStyle w:val="Default"/>
        <w:rPr>
          <w:rFonts w:ascii="Times New Roman" w:hAnsi="Times New Roman" w:cs="Times New Roman"/>
          <w:sz w:val="20"/>
          <w:szCs w:val="20"/>
        </w:rPr>
      </w:pPr>
      <w:r w:rsidRPr="002027E5">
        <w:rPr>
          <w:rStyle w:val="FootnoteReference"/>
          <w:rFonts w:ascii="Times New Roman" w:hAnsi="Times New Roman"/>
          <w:sz w:val="20"/>
          <w:szCs w:val="20"/>
        </w:rPr>
        <w:footnoteRef/>
      </w:r>
      <w:r w:rsidRPr="002027E5">
        <w:rPr>
          <w:rFonts w:ascii="Times New Roman" w:hAnsi="Times New Roman" w:cs="Times New Roman"/>
          <w:sz w:val="20"/>
          <w:szCs w:val="20"/>
        </w:rPr>
        <w:t xml:space="preserve"> </w:t>
      </w:r>
      <w:hyperlink r:id="rId3" w:history="1">
        <w:r w:rsidRPr="002D6AFF">
          <w:rPr>
            <w:rStyle w:val="Hyperlink"/>
            <w:rFonts w:ascii="Times New Roman" w:hAnsi="Times New Roman" w:cs="Times New Roman"/>
            <w:sz w:val="20"/>
            <w:szCs w:val="20"/>
          </w:rPr>
          <w:t>http://www.doe.mass.edu/ssce/GenderIdentity.docx</w:t>
        </w:r>
      </w:hyperlink>
    </w:p>
    <w:p w:rsidR="00554AAC" w:rsidRPr="002027E5" w:rsidRDefault="00554AAC" w:rsidP="0041410F">
      <w:pPr>
        <w:pStyle w:val="Default"/>
        <w:rPr>
          <w:rFonts w:ascii="Times New Roman" w:hAnsi="Times New Roman" w:cs="Times New Roman"/>
          <w:sz w:val="20"/>
          <w:szCs w:val="20"/>
        </w:rPr>
      </w:pPr>
      <w:r w:rsidRPr="002D6AFF">
        <w:rPr>
          <w:rFonts w:ascii="Times New Roman" w:hAnsi="Times New Roman" w:cs="Times New Roman"/>
          <w:sz w:val="20"/>
          <w:szCs w:val="20"/>
        </w:rPr>
        <w:b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AC" w:rsidRDefault="00554A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AC" w:rsidRDefault="00554AAC">
    <w:pPr>
      <w:pStyle w:val="Header"/>
    </w:pPr>
    <w:r w:rsidRPr="00CE2791">
      <w:t>Updated Guidance for Schools and Districts on Addressing Teen Dating Violence (2013)</w:t>
    </w:r>
  </w:p>
  <w:p w:rsidR="00554AAC" w:rsidRDefault="00554A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AC" w:rsidRDefault="00554AA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AC" w:rsidRDefault="00554AA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AC" w:rsidRPr="00B56D50" w:rsidRDefault="00554AAC">
    <w:pPr>
      <w:pStyle w:val="Header"/>
      <w:rPr>
        <w:b/>
      </w:rPr>
    </w:pPr>
    <w:r w:rsidRPr="00B56D50">
      <w:rPr>
        <w:b/>
      </w:rPr>
      <w:t>Updated Guidance for Schools and Districts on Addressing Teen Dating Violence (2013)</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AC" w:rsidRDefault="00554A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3825026"/>
    <w:multiLevelType w:val="hybridMultilevel"/>
    <w:tmpl w:val="982C40B4"/>
    <w:lvl w:ilvl="0" w:tplc="E09EBD06">
      <w:start w:val="1"/>
      <w:numFmt w:val="upperRoman"/>
      <w:lvlText w:val="%1."/>
      <w:lvlJc w:val="left"/>
      <w:pPr>
        <w:tabs>
          <w:tab w:val="num" w:pos="1080"/>
        </w:tabs>
        <w:ind w:left="1080" w:hanging="720"/>
      </w:pPr>
      <w:rPr>
        <w:rFonts w:cs="Times New Roman" w:hint="default"/>
      </w:rPr>
    </w:lvl>
    <w:lvl w:ilvl="1" w:tplc="A3F22728">
      <w:start w:val="1"/>
      <w:numFmt w:val="lowerRoman"/>
      <w:lvlText w:val="%2."/>
      <w:lvlJc w:val="right"/>
      <w:pPr>
        <w:tabs>
          <w:tab w:val="num" w:pos="1440"/>
        </w:tabs>
        <w:ind w:left="1440" w:hanging="360"/>
      </w:pPr>
      <w:rPr>
        <w:rFonts w:cs="Times New Roman"/>
        <w:b w:val="0"/>
        <w:i w:val="0"/>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8236656"/>
    <w:multiLevelType w:val="hybridMultilevel"/>
    <w:tmpl w:val="E4FE9B98"/>
    <w:lvl w:ilvl="0" w:tplc="04090001">
      <w:start w:val="1"/>
      <w:numFmt w:val="bullet"/>
      <w:lvlText w:val=""/>
      <w:lvlJc w:val="left"/>
      <w:pPr>
        <w:ind w:left="720" w:hanging="360"/>
      </w:pPr>
      <w:rPr>
        <w:rFonts w:ascii="Symbol" w:hAnsi="Symbol" w:hint="default"/>
      </w:rPr>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A114CD3"/>
    <w:multiLevelType w:val="hybridMultilevel"/>
    <w:tmpl w:val="7E46D4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DA04CE"/>
    <w:multiLevelType w:val="hybridMultilevel"/>
    <w:tmpl w:val="4D3A32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8E0269"/>
    <w:multiLevelType w:val="hybridMultilevel"/>
    <w:tmpl w:val="D1CE5C4C"/>
    <w:lvl w:ilvl="0" w:tplc="A3F22728">
      <w:start w:val="1"/>
      <w:numFmt w:val="lowerRoman"/>
      <w:lvlText w:val="%1."/>
      <w:lvlJc w:val="right"/>
      <w:pPr>
        <w:tabs>
          <w:tab w:val="num" w:pos="1440"/>
        </w:tabs>
        <w:ind w:left="1440" w:hanging="360"/>
      </w:pPr>
      <w:rPr>
        <w:rFonts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880D5D"/>
    <w:multiLevelType w:val="hybridMultilevel"/>
    <w:tmpl w:val="E97610BC"/>
    <w:lvl w:ilvl="0" w:tplc="C40CB5AA">
      <w:start w:val="1"/>
      <w:numFmt w:val="upperRoman"/>
      <w:lvlText w:val="%1."/>
      <w:lvlJc w:val="left"/>
      <w:pPr>
        <w:tabs>
          <w:tab w:val="num" w:pos="720"/>
        </w:tabs>
        <w:ind w:left="720" w:hanging="720"/>
      </w:pPr>
      <w:rPr>
        <w:rFonts w:cs="Times New Roman" w:hint="default"/>
        <w:b/>
      </w:rPr>
    </w:lvl>
    <w:lvl w:ilvl="1" w:tplc="76F879C6">
      <w:start w:val="1"/>
      <w:numFmt w:val="lowerLetter"/>
      <w:lvlText w:val="%2."/>
      <w:lvlJc w:val="left"/>
      <w:pPr>
        <w:tabs>
          <w:tab w:val="num" w:pos="1170"/>
        </w:tabs>
        <w:ind w:left="1170" w:hanging="360"/>
      </w:pPr>
      <w:rPr>
        <w:rFonts w:cs="Times New Roman"/>
        <w:b w:val="0"/>
        <w:i w:val="0"/>
      </w:rPr>
    </w:lvl>
    <w:lvl w:ilvl="2" w:tplc="0409001B">
      <w:start w:val="1"/>
      <w:numFmt w:val="lowerRoman"/>
      <w:lvlText w:val="%3."/>
      <w:lvlJc w:val="right"/>
      <w:pPr>
        <w:tabs>
          <w:tab w:val="num" w:pos="1890"/>
        </w:tabs>
        <w:ind w:left="1890" w:hanging="180"/>
      </w:pPr>
      <w:rPr>
        <w:rFonts w:cs="Times New Roman"/>
      </w:rPr>
    </w:lvl>
    <w:lvl w:ilvl="3" w:tplc="0409000F">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7">
    <w:nsid w:val="2AB473DE"/>
    <w:multiLevelType w:val="hybridMultilevel"/>
    <w:tmpl w:val="93FA7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3D2816"/>
    <w:multiLevelType w:val="hybridMultilevel"/>
    <w:tmpl w:val="71926872"/>
    <w:lvl w:ilvl="0" w:tplc="6C928AFC">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0">
    <w:nsid w:val="3B0163E8"/>
    <w:multiLevelType w:val="hybridMultilevel"/>
    <w:tmpl w:val="1646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37232A"/>
    <w:multiLevelType w:val="hybridMultilevel"/>
    <w:tmpl w:val="830A9648"/>
    <w:lvl w:ilvl="0" w:tplc="76F879C6">
      <w:start w:val="1"/>
      <w:numFmt w:val="lowerLetter"/>
      <w:lvlText w:val="%1."/>
      <w:lvlJc w:val="left"/>
      <w:pPr>
        <w:tabs>
          <w:tab w:val="num" w:pos="1170"/>
        </w:tabs>
        <w:ind w:left="1170" w:hanging="360"/>
      </w:pPr>
      <w:rPr>
        <w:rFonts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FC50FE"/>
    <w:multiLevelType w:val="hybridMultilevel"/>
    <w:tmpl w:val="DAC2FD6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463112"/>
    <w:multiLevelType w:val="hybridMultilevel"/>
    <w:tmpl w:val="66C8872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DE5A9B"/>
    <w:multiLevelType w:val="hybridMultilevel"/>
    <w:tmpl w:val="4F1EB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6">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EE736C2"/>
    <w:multiLevelType w:val="hybridMultilevel"/>
    <w:tmpl w:val="3C5ACF8A"/>
    <w:lvl w:ilvl="0" w:tplc="0409001B">
      <w:start w:val="1"/>
      <w:numFmt w:val="lowerRoman"/>
      <w:lvlText w:val="%1."/>
      <w:lvlJc w:val="right"/>
      <w:pPr>
        <w:tabs>
          <w:tab w:val="num" w:pos="1440"/>
        </w:tabs>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65756C"/>
    <w:multiLevelType w:val="hybridMultilevel"/>
    <w:tmpl w:val="87625F1C"/>
    <w:lvl w:ilvl="0" w:tplc="0A001D96">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C212E7D"/>
    <w:multiLevelType w:val="hybridMultilevel"/>
    <w:tmpl w:val="7A00C2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7FE5A99"/>
    <w:multiLevelType w:val="hybridMultilevel"/>
    <w:tmpl w:val="E2CC29B2"/>
    <w:lvl w:ilvl="0" w:tplc="E09EBD06">
      <w:start w:val="1"/>
      <w:numFmt w:val="upperRoman"/>
      <w:lvlText w:val="%1."/>
      <w:lvlJc w:val="left"/>
      <w:pPr>
        <w:ind w:left="720" w:hanging="360"/>
      </w:pPr>
      <w:rPr>
        <w:rFonts w:cs="Times New Roman" w:hint="default"/>
      </w:rPr>
    </w:lvl>
    <w:lvl w:ilvl="1" w:tplc="A3F22728">
      <w:start w:val="1"/>
      <w:numFmt w:val="lowerRoman"/>
      <w:lvlText w:val="%2."/>
      <w:lvlJc w:val="right"/>
      <w:pPr>
        <w:ind w:left="1440" w:hanging="360"/>
      </w:pPr>
      <w:rPr>
        <w:rFonts w:cs="Times New Roman"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2B6562"/>
    <w:multiLevelType w:val="hybridMultilevel"/>
    <w:tmpl w:val="2466B52C"/>
    <w:lvl w:ilvl="0" w:tplc="04090011">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72921E89"/>
    <w:multiLevelType w:val="hybridMultilevel"/>
    <w:tmpl w:val="543CF01A"/>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04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48C777C"/>
    <w:multiLevelType w:val="hybridMultilevel"/>
    <w:tmpl w:val="D1CE5C4C"/>
    <w:lvl w:ilvl="0" w:tplc="A3F22728">
      <w:start w:val="1"/>
      <w:numFmt w:val="lowerRoman"/>
      <w:lvlText w:val="%1."/>
      <w:lvlJc w:val="right"/>
      <w:pPr>
        <w:tabs>
          <w:tab w:val="num" w:pos="1440"/>
        </w:tabs>
        <w:ind w:left="1440" w:hanging="360"/>
      </w:pPr>
      <w:rPr>
        <w:rFonts w:cs="Times New Roman"/>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532DFE"/>
    <w:multiLevelType w:val="hybridMultilevel"/>
    <w:tmpl w:val="4B4E78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172DFC"/>
    <w:multiLevelType w:val="hybridMultilevel"/>
    <w:tmpl w:val="D2549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1"/>
  </w:num>
  <w:num w:numId="3">
    <w:abstractNumId w:val="16"/>
  </w:num>
  <w:num w:numId="4">
    <w:abstractNumId w:val="15"/>
  </w:num>
  <w:num w:numId="5">
    <w:abstractNumId w:val="9"/>
  </w:num>
  <w:num w:numId="6">
    <w:abstractNumId w:val="19"/>
  </w:num>
  <w:num w:numId="7">
    <w:abstractNumId w:val="14"/>
  </w:num>
  <w:num w:numId="8">
    <w:abstractNumId w:val="23"/>
  </w:num>
  <w:num w:numId="9">
    <w:abstractNumId w:val="6"/>
  </w:num>
  <w:num w:numId="10">
    <w:abstractNumId w:val="1"/>
  </w:num>
  <w:num w:numId="11">
    <w:abstractNumId w:val="4"/>
  </w:num>
  <w:num w:numId="12">
    <w:abstractNumId w:val="20"/>
  </w:num>
  <w:num w:numId="13">
    <w:abstractNumId w:val="2"/>
  </w:num>
  <w:num w:numId="14">
    <w:abstractNumId w:val="3"/>
  </w:num>
  <w:num w:numId="15">
    <w:abstractNumId w:val="18"/>
  </w:num>
  <w:num w:numId="16">
    <w:abstractNumId w:val="11"/>
  </w:num>
  <w:num w:numId="17">
    <w:abstractNumId w:val="17"/>
  </w:num>
  <w:num w:numId="18">
    <w:abstractNumId w:val="25"/>
  </w:num>
  <w:num w:numId="19">
    <w:abstractNumId w:val="5"/>
  </w:num>
  <w:num w:numId="20">
    <w:abstractNumId w:val="27"/>
  </w:num>
  <w:num w:numId="21">
    <w:abstractNumId w:val="10"/>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2"/>
  </w:num>
  <w:num w:numId="25">
    <w:abstractNumId w:val="22"/>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4"/>
  </w:num>
  <w:num w:numId="29">
    <w:abstractNumId w:val="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documentProtection w:formatting="1" w:enforcement="1"/>
  <w:defaultTabStop w:val="720"/>
  <w:drawingGridHorizontalSpacing w:val="120"/>
  <w:displayHorizontalDrawingGridEvery w:val="0"/>
  <w:displayVerticalDrawingGridEvery w:val="0"/>
  <w:noPunctuationKerning/>
  <w:characterSpacingControl w:val="doNotCompress"/>
  <w:hdrShapeDefaults>
    <o:shapedefaults v:ext="edit" spidmax="19457"/>
  </w:hdrShapeDefaults>
  <w:footnotePr>
    <w:footnote w:id="-1"/>
    <w:footnote w:id="0"/>
  </w:footnotePr>
  <w:endnotePr>
    <w:endnote w:id="-1"/>
    <w:endnote w:id="0"/>
  </w:endnotePr>
  <w:compat>
    <w:applyBreakingRules/>
  </w:compat>
  <w:rsids>
    <w:rsidRoot w:val="0041410F"/>
    <w:rsid w:val="00001AD6"/>
    <w:rsid w:val="000126B5"/>
    <w:rsid w:val="00042277"/>
    <w:rsid w:val="00044C22"/>
    <w:rsid w:val="000506EE"/>
    <w:rsid w:val="00055258"/>
    <w:rsid w:val="00055A73"/>
    <w:rsid w:val="0005600A"/>
    <w:rsid w:val="000711BA"/>
    <w:rsid w:val="00081E58"/>
    <w:rsid w:val="00092A27"/>
    <w:rsid w:val="000A6360"/>
    <w:rsid w:val="000A7B23"/>
    <w:rsid w:val="000B7C03"/>
    <w:rsid w:val="000C3509"/>
    <w:rsid w:val="000C3B85"/>
    <w:rsid w:val="000C5AF1"/>
    <w:rsid w:val="000D0E81"/>
    <w:rsid w:val="000D1FA5"/>
    <w:rsid w:val="000D6568"/>
    <w:rsid w:val="000E3368"/>
    <w:rsid w:val="000F4F08"/>
    <w:rsid w:val="00104A8D"/>
    <w:rsid w:val="00115360"/>
    <w:rsid w:val="001205E5"/>
    <w:rsid w:val="001225F3"/>
    <w:rsid w:val="00122DFA"/>
    <w:rsid w:val="00126151"/>
    <w:rsid w:val="001272BD"/>
    <w:rsid w:val="00131671"/>
    <w:rsid w:val="00147F76"/>
    <w:rsid w:val="00150398"/>
    <w:rsid w:val="00152CC8"/>
    <w:rsid w:val="001568F8"/>
    <w:rsid w:val="00167A2C"/>
    <w:rsid w:val="0017022D"/>
    <w:rsid w:val="00176F55"/>
    <w:rsid w:val="00180B9E"/>
    <w:rsid w:val="001826F0"/>
    <w:rsid w:val="001A028D"/>
    <w:rsid w:val="001A565C"/>
    <w:rsid w:val="001B0849"/>
    <w:rsid w:val="001B25AC"/>
    <w:rsid w:val="001C14AD"/>
    <w:rsid w:val="001C1CF3"/>
    <w:rsid w:val="001E4EF1"/>
    <w:rsid w:val="001F35ED"/>
    <w:rsid w:val="001F626B"/>
    <w:rsid w:val="001F65B2"/>
    <w:rsid w:val="00203262"/>
    <w:rsid w:val="002034A0"/>
    <w:rsid w:val="0020780F"/>
    <w:rsid w:val="00234396"/>
    <w:rsid w:val="00240E9C"/>
    <w:rsid w:val="00246F58"/>
    <w:rsid w:val="002547FF"/>
    <w:rsid w:val="00262B73"/>
    <w:rsid w:val="00265D2C"/>
    <w:rsid w:val="002671C1"/>
    <w:rsid w:val="00274356"/>
    <w:rsid w:val="002853D5"/>
    <w:rsid w:val="002A38F4"/>
    <w:rsid w:val="002B1DAD"/>
    <w:rsid w:val="002B51B3"/>
    <w:rsid w:val="002C120B"/>
    <w:rsid w:val="002D3073"/>
    <w:rsid w:val="002D6AFF"/>
    <w:rsid w:val="002F4C9D"/>
    <w:rsid w:val="00316415"/>
    <w:rsid w:val="00322780"/>
    <w:rsid w:val="00324017"/>
    <w:rsid w:val="003244A6"/>
    <w:rsid w:val="00343E5C"/>
    <w:rsid w:val="00345DE2"/>
    <w:rsid w:val="00377013"/>
    <w:rsid w:val="003774BA"/>
    <w:rsid w:val="003B235F"/>
    <w:rsid w:val="003C2E93"/>
    <w:rsid w:val="003F18F1"/>
    <w:rsid w:val="003F3636"/>
    <w:rsid w:val="0040049F"/>
    <w:rsid w:val="00400F9B"/>
    <w:rsid w:val="0041373D"/>
    <w:rsid w:val="0041410F"/>
    <w:rsid w:val="00417D64"/>
    <w:rsid w:val="00434F30"/>
    <w:rsid w:val="00440BAB"/>
    <w:rsid w:val="00441979"/>
    <w:rsid w:val="00443627"/>
    <w:rsid w:val="004463C2"/>
    <w:rsid w:val="00464491"/>
    <w:rsid w:val="004750A0"/>
    <w:rsid w:val="00484A33"/>
    <w:rsid w:val="00493F02"/>
    <w:rsid w:val="00495A82"/>
    <w:rsid w:val="004B63EE"/>
    <w:rsid w:val="004C3EBC"/>
    <w:rsid w:val="004C3FA9"/>
    <w:rsid w:val="004D0299"/>
    <w:rsid w:val="004D45D4"/>
    <w:rsid w:val="004E0CA6"/>
    <w:rsid w:val="004E5D3B"/>
    <w:rsid w:val="004F1C4B"/>
    <w:rsid w:val="00514A80"/>
    <w:rsid w:val="005152E7"/>
    <w:rsid w:val="0052600F"/>
    <w:rsid w:val="00545657"/>
    <w:rsid w:val="00554AAC"/>
    <w:rsid w:val="00570362"/>
    <w:rsid w:val="005A367D"/>
    <w:rsid w:val="005C65C1"/>
    <w:rsid w:val="005D3539"/>
    <w:rsid w:val="005E1E9D"/>
    <w:rsid w:val="005E2358"/>
    <w:rsid w:val="005F037D"/>
    <w:rsid w:val="005F152D"/>
    <w:rsid w:val="005F1897"/>
    <w:rsid w:val="005F23F5"/>
    <w:rsid w:val="005F4F2D"/>
    <w:rsid w:val="006022ED"/>
    <w:rsid w:val="00606DCD"/>
    <w:rsid w:val="00627EFC"/>
    <w:rsid w:val="006328F5"/>
    <w:rsid w:val="00633B21"/>
    <w:rsid w:val="0063451E"/>
    <w:rsid w:val="00646E2B"/>
    <w:rsid w:val="006512BF"/>
    <w:rsid w:val="00671FB9"/>
    <w:rsid w:val="00673224"/>
    <w:rsid w:val="00675B1B"/>
    <w:rsid w:val="00676D16"/>
    <w:rsid w:val="006848F3"/>
    <w:rsid w:val="00685218"/>
    <w:rsid w:val="0069558B"/>
    <w:rsid w:val="00695F05"/>
    <w:rsid w:val="006A1E50"/>
    <w:rsid w:val="006A276E"/>
    <w:rsid w:val="006A666A"/>
    <w:rsid w:val="006B2890"/>
    <w:rsid w:val="006C5ACA"/>
    <w:rsid w:val="006C6F88"/>
    <w:rsid w:val="006D1B5E"/>
    <w:rsid w:val="006F4CF2"/>
    <w:rsid w:val="0070162A"/>
    <w:rsid w:val="00706286"/>
    <w:rsid w:val="00731A10"/>
    <w:rsid w:val="00740C0D"/>
    <w:rsid w:val="007441DA"/>
    <w:rsid w:val="00755977"/>
    <w:rsid w:val="0075645B"/>
    <w:rsid w:val="00764096"/>
    <w:rsid w:val="00765318"/>
    <w:rsid w:val="007661E1"/>
    <w:rsid w:val="0077336E"/>
    <w:rsid w:val="007771D5"/>
    <w:rsid w:val="00782BEB"/>
    <w:rsid w:val="007860D8"/>
    <w:rsid w:val="007A2BA4"/>
    <w:rsid w:val="007D378F"/>
    <w:rsid w:val="007E31B2"/>
    <w:rsid w:val="007F52B9"/>
    <w:rsid w:val="008204EC"/>
    <w:rsid w:val="00825C83"/>
    <w:rsid w:val="00832115"/>
    <w:rsid w:val="008331B9"/>
    <w:rsid w:val="008373CE"/>
    <w:rsid w:val="00842A72"/>
    <w:rsid w:val="008525BB"/>
    <w:rsid w:val="00871349"/>
    <w:rsid w:val="008734A6"/>
    <w:rsid w:val="00873BFA"/>
    <w:rsid w:val="00881DFE"/>
    <w:rsid w:val="0088258A"/>
    <w:rsid w:val="008873A5"/>
    <w:rsid w:val="008A3C99"/>
    <w:rsid w:val="008A45F9"/>
    <w:rsid w:val="008A63B4"/>
    <w:rsid w:val="008A680D"/>
    <w:rsid w:val="008A7E6D"/>
    <w:rsid w:val="008B04F1"/>
    <w:rsid w:val="008B38D4"/>
    <w:rsid w:val="008B528E"/>
    <w:rsid w:val="008C561C"/>
    <w:rsid w:val="008C575C"/>
    <w:rsid w:val="008D3F49"/>
    <w:rsid w:val="008D5967"/>
    <w:rsid w:val="008F0AFD"/>
    <w:rsid w:val="008F4D2B"/>
    <w:rsid w:val="00901891"/>
    <w:rsid w:val="00902F9E"/>
    <w:rsid w:val="00905ABD"/>
    <w:rsid w:val="00907BC7"/>
    <w:rsid w:val="00914F7E"/>
    <w:rsid w:val="00917329"/>
    <w:rsid w:val="00923220"/>
    <w:rsid w:val="00935893"/>
    <w:rsid w:val="00940995"/>
    <w:rsid w:val="00947238"/>
    <w:rsid w:val="00950048"/>
    <w:rsid w:val="009638F0"/>
    <w:rsid w:val="00967446"/>
    <w:rsid w:val="00970405"/>
    <w:rsid w:val="00976882"/>
    <w:rsid w:val="00986D6D"/>
    <w:rsid w:val="009A3016"/>
    <w:rsid w:val="009A3130"/>
    <w:rsid w:val="009A39E1"/>
    <w:rsid w:val="009B301F"/>
    <w:rsid w:val="009C4322"/>
    <w:rsid w:val="009C550C"/>
    <w:rsid w:val="009D6C24"/>
    <w:rsid w:val="009D7BA2"/>
    <w:rsid w:val="009E45FA"/>
    <w:rsid w:val="009E5BA2"/>
    <w:rsid w:val="009F0CF4"/>
    <w:rsid w:val="00A07B13"/>
    <w:rsid w:val="00A11174"/>
    <w:rsid w:val="00A15A24"/>
    <w:rsid w:val="00A4576F"/>
    <w:rsid w:val="00A5157F"/>
    <w:rsid w:val="00A73051"/>
    <w:rsid w:val="00A7419E"/>
    <w:rsid w:val="00A80245"/>
    <w:rsid w:val="00A961A5"/>
    <w:rsid w:val="00AA2AF8"/>
    <w:rsid w:val="00AA40B3"/>
    <w:rsid w:val="00AB5D59"/>
    <w:rsid w:val="00AB75AB"/>
    <w:rsid w:val="00AC403B"/>
    <w:rsid w:val="00AD0A1F"/>
    <w:rsid w:val="00AD298F"/>
    <w:rsid w:val="00AD2CC3"/>
    <w:rsid w:val="00AD72FC"/>
    <w:rsid w:val="00AE4760"/>
    <w:rsid w:val="00AE53BE"/>
    <w:rsid w:val="00B048B1"/>
    <w:rsid w:val="00B129CE"/>
    <w:rsid w:val="00B17931"/>
    <w:rsid w:val="00B316B3"/>
    <w:rsid w:val="00B42CA2"/>
    <w:rsid w:val="00B44E7E"/>
    <w:rsid w:val="00B53F5F"/>
    <w:rsid w:val="00B56D50"/>
    <w:rsid w:val="00B57C23"/>
    <w:rsid w:val="00B601E6"/>
    <w:rsid w:val="00B616AF"/>
    <w:rsid w:val="00B80CB9"/>
    <w:rsid w:val="00B856C1"/>
    <w:rsid w:val="00B87F39"/>
    <w:rsid w:val="00B9061D"/>
    <w:rsid w:val="00B94962"/>
    <w:rsid w:val="00BA0222"/>
    <w:rsid w:val="00BB23E1"/>
    <w:rsid w:val="00BB290E"/>
    <w:rsid w:val="00BB3937"/>
    <w:rsid w:val="00BC227D"/>
    <w:rsid w:val="00BC6A7D"/>
    <w:rsid w:val="00BD29EC"/>
    <w:rsid w:val="00BE39EF"/>
    <w:rsid w:val="00BE72A9"/>
    <w:rsid w:val="00BF3479"/>
    <w:rsid w:val="00BF680B"/>
    <w:rsid w:val="00C052D1"/>
    <w:rsid w:val="00C0643C"/>
    <w:rsid w:val="00C10CFD"/>
    <w:rsid w:val="00C118B2"/>
    <w:rsid w:val="00C27083"/>
    <w:rsid w:val="00C3184F"/>
    <w:rsid w:val="00C50D52"/>
    <w:rsid w:val="00C515AB"/>
    <w:rsid w:val="00C66ABF"/>
    <w:rsid w:val="00C71D93"/>
    <w:rsid w:val="00C818F5"/>
    <w:rsid w:val="00C9463A"/>
    <w:rsid w:val="00C95ACC"/>
    <w:rsid w:val="00CA02C5"/>
    <w:rsid w:val="00CA0D48"/>
    <w:rsid w:val="00CA5F8E"/>
    <w:rsid w:val="00CB14C0"/>
    <w:rsid w:val="00CC0132"/>
    <w:rsid w:val="00CC22F1"/>
    <w:rsid w:val="00CC295A"/>
    <w:rsid w:val="00CD3DEF"/>
    <w:rsid w:val="00CE1085"/>
    <w:rsid w:val="00CE2791"/>
    <w:rsid w:val="00CE5C67"/>
    <w:rsid w:val="00CE5D73"/>
    <w:rsid w:val="00CF0001"/>
    <w:rsid w:val="00CF6B07"/>
    <w:rsid w:val="00CF72D6"/>
    <w:rsid w:val="00D05366"/>
    <w:rsid w:val="00D15C9A"/>
    <w:rsid w:val="00D21116"/>
    <w:rsid w:val="00D32CD0"/>
    <w:rsid w:val="00D40A4A"/>
    <w:rsid w:val="00D4127E"/>
    <w:rsid w:val="00D4716C"/>
    <w:rsid w:val="00D53B5E"/>
    <w:rsid w:val="00D55EFB"/>
    <w:rsid w:val="00D56FC3"/>
    <w:rsid w:val="00D660B4"/>
    <w:rsid w:val="00D66D50"/>
    <w:rsid w:val="00D674EF"/>
    <w:rsid w:val="00D72BD5"/>
    <w:rsid w:val="00D801A6"/>
    <w:rsid w:val="00D91043"/>
    <w:rsid w:val="00D91CA7"/>
    <w:rsid w:val="00D9315F"/>
    <w:rsid w:val="00D96296"/>
    <w:rsid w:val="00DA17A7"/>
    <w:rsid w:val="00DA60F8"/>
    <w:rsid w:val="00DB3807"/>
    <w:rsid w:val="00DC0BEF"/>
    <w:rsid w:val="00DC32E0"/>
    <w:rsid w:val="00DD1147"/>
    <w:rsid w:val="00DD41F1"/>
    <w:rsid w:val="00DD4A21"/>
    <w:rsid w:val="00DD7E8A"/>
    <w:rsid w:val="00DE0201"/>
    <w:rsid w:val="00DF54B4"/>
    <w:rsid w:val="00E0143A"/>
    <w:rsid w:val="00E04B8E"/>
    <w:rsid w:val="00E115C3"/>
    <w:rsid w:val="00E21AF5"/>
    <w:rsid w:val="00E3096A"/>
    <w:rsid w:val="00E34296"/>
    <w:rsid w:val="00E54E99"/>
    <w:rsid w:val="00E77891"/>
    <w:rsid w:val="00E83408"/>
    <w:rsid w:val="00E914E5"/>
    <w:rsid w:val="00E92D20"/>
    <w:rsid w:val="00E96E5F"/>
    <w:rsid w:val="00EA48E0"/>
    <w:rsid w:val="00EA7207"/>
    <w:rsid w:val="00EB1F6F"/>
    <w:rsid w:val="00EB4D3F"/>
    <w:rsid w:val="00EB7F04"/>
    <w:rsid w:val="00EC2EED"/>
    <w:rsid w:val="00EC35A5"/>
    <w:rsid w:val="00ED59D0"/>
    <w:rsid w:val="00EE5611"/>
    <w:rsid w:val="00F026FA"/>
    <w:rsid w:val="00F0491A"/>
    <w:rsid w:val="00F13965"/>
    <w:rsid w:val="00F24629"/>
    <w:rsid w:val="00F346C5"/>
    <w:rsid w:val="00F35C70"/>
    <w:rsid w:val="00F36062"/>
    <w:rsid w:val="00F42C7E"/>
    <w:rsid w:val="00F44C7B"/>
    <w:rsid w:val="00F47C49"/>
    <w:rsid w:val="00F6624F"/>
    <w:rsid w:val="00F66EB7"/>
    <w:rsid w:val="00F7387F"/>
    <w:rsid w:val="00F81DDE"/>
    <w:rsid w:val="00F8635B"/>
    <w:rsid w:val="00FA49CF"/>
    <w:rsid w:val="00FB7387"/>
    <w:rsid w:val="00FD2C86"/>
    <w:rsid w:val="00FD69E2"/>
    <w:rsid w:val="00FD72F8"/>
    <w:rsid w:val="00FF074C"/>
    <w:rsid w:val="00FF3B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711BA"/>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FF074C"/>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basedOn w:val="DefaultParagraphFont"/>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uiPriority w:val="39"/>
    <w:rsid w:val="00493F02"/>
    <w:pPr>
      <w:tabs>
        <w:tab w:val="right" w:leader="dot" w:pos="9350"/>
      </w:tabs>
      <w:ind w:left="720" w:hanging="36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uiPriority w:val="99"/>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7860D8"/>
    <w:rPr>
      <w:rFonts w:ascii="Tahoma" w:hAnsi="Tahoma" w:cs="Tahoma"/>
      <w:sz w:val="16"/>
      <w:szCs w:val="16"/>
    </w:rPr>
  </w:style>
  <w:style w:type="character" w:customStyle="1" w:styleId="BalloonTextChar">
    <w:name w:val="Balloon Text Char"/>
    <w:basedOn w:val="DefaultParagraphFont"/>
    <w:link w:val="BalloonText"/>
    <w:rsid w:val="007860D8"/>
    <w:rPr>
      <w:rFonts w:ascii="Tahoma" w:hAnsi="Tahoma" w:cs="Tahoma"/>
      <w:sz w:val="16"/>
      <w:szCs w:val="16"/>
    </w:rPr>
  </w:style>
  <w:style w:type="character" w:styleId="CommentReference">
    <w:name w:val="annotation reference"/>
    <w:basedOn w:val="DefaultParagraphFont"/>
    <w:uiPriority w:val="99"/>
    <w:rsid w:val="0041410F"/>
    <w:rPr>
      <w:rFonts w:cs="Times New Roman"/>
      <w:sz w:val="18"/>
    </w:rPr>
  </w:style>
  <w:style w:type="paragraph" w:styleId="CommentText">
    <w:name w:val="annotation text"/>
    <w:basedOn w:val="Normal"/>
    <w:link w:val="CommentTextChar"/>
    <w:uiPriority w:val="99"/>
    <w:rsid w:val="0041410F"/>
  </w:style>
  <w:style w:type="character" w:customStyle="1" w:styleId="CommentTextChar">
    <w:name w:val="Comment Text Char"/>
    <w:basedOn w:val="DefaultParagraphFont"/>
    <w:link w:val="CommentText"/>
    <w:uiPriority w:val="99"/>
    <w:rsid w:val="0041410F"/>
    <w:rPr>
      <w:sz w:val="24"/>
      <w:szCs w:val="24"/>
    </w:rPr>
  </w:style>
  <w:style w:type="paragraph" w:styleId="FootnoteText">
    <w:name w:val="footnote text"/>
    <w:basedOn w:val="Normal"/>
    <w:link w:val="FootnoteTextChar"/>
    <w:uiPriority w:val="99"/>
    <w:rsid w:val="0041410F"/>
    <w:rPr>
      <w:sz w:val="20"/>
      <w:szCs w:val="20"/>
    </w:rPr>
  </w:style>
  <w:style w:type="character" w:customStyle="1" w:styleId="FootnoteTextChar">
    <w:name w:val="Footnote Text Char"/>
    <w:basedOn w:val="DefaultParagraphFont"/>
    <w:link w:val="FootnoteText"/>
    <w:uiPriority w:val="99"/>
    <w:rsid w:val="0041410F"/>
  </w:style>
  <w:style w:type="character" w:styleId="FootnoteReference">
    <w:name w:val="footnote reference"/>
    <w:basedOn w:val="DefaultParagraphFont"/>
    <w:uiPriority w:val="99"/>
    <w:rsid w:val="0041410F"/>
    <w:rPr>
      <w:rFonts w:cs="Times New Roman"/>
      <w:vertAlign w:val="superscript"/>
    </w:rPr>
  </w:style>
  <w:style w:type="paragraph" w:styleId="NormalWeb">
    <w:name w:val="Normal (Web)"/>
    <w:basedOn w:val="Normal"/>
    <w:uiPriority w:val="99"/>
    <w:rsid w:val="0041410F"/>
    <w:pPr>
      <w:spacing w:before="100" w:beforeAutospacing="1" w:after="100" w:afterAutospacing="1"/>
    </w:pPr>
  </w:style>
  <w:style w:type="character" w:styleId="Strong">
    <w:name w:val="Strong"/>
    <w:basedOn w:val="DefaultParagraphFont"/>
    <w:uiPriority w:val="22"/>
    <w:qFormat/>
    <w:rsid w:val="0041410F"/>
    <w:rPr>
      <w:rFonts w:cs="Times New Roman"/>
      <w:b/>
      <w:bCs/>
    </w:rPr>
  </w:style>
  <w:style w:type="paragraph" w:customStyle="1" w:styleId="Default">
    <w:name w:val="Default"/>
    <w:rsid w:val="0041410F"/>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41410F"/>
    <w:pPr>
      <w:ind w:left="720"/>
    </w:pPr>
  </w:style>
  <w:style w:type="paragraph" w:styleId="PlainText">
    <w:name w:val="Plain Text"/>
    <w:basedOn w:val="Normal"/>
    <w:link w:val="PlainTextChar"/>
    <w:uiPriority w:val="99"/>
    <w:unhideWhenUsed/>
    <w:rsid w:val="0041410F"/>
    <w:rPr>
      <w:rFonts w:eastAsiaTheme="minorHAnsi"/>
      <w:color w:val="0000FF"/>
    </w:rPr>
  </w:style>
  <w:style w:type="character" w:customStyle="1" w:styleId="PlainTextChar">
    <w:name w:val="Plain Text Char"/>
    <w:basedOn w:val="DefaultParagraphFont"/>
    <w:link w:val="PlainText"/>
    <w:uiPriority w:val="99"/>
    <w:rsid w:val="0041410F"/>
    <w:rPr>
      <w:rFonts w:eastAsiaTheme="minorHAnsi"/>
      <w:color w:val="0000FF"/>
      <w:sz w:val="24"/>
      <w:szCs w:val="24"/>
    </w:rPr>
  </w:style>
  <w:style w:type="character" w:styleId="FollowedHyperlink">
    <w:name w:val="FollowedHyperlink"/>
    <w:basedOn w:val="DefaultParagraphFont"/>
    <w:rsid w:val="00FF3BAF"/>
    <w:rPr>
      <w:color w:val="800080" w:themeColor="followedHyperlink"/>
      <w:u w:val="single"/>
    </w:rPr>
  </w:style>
  <w:style w:type="paragraph" w:styleId="CommentSubject">
    <w:name w:val="annotation subject"/>
    <w:basedOn w:val="CommentText"/>
    <w:next w:val="CommentText"/>
    <w:link w:val="CommentSubjectChar"/>
    <w:rsid w:val="00F42C7E"/>
    <w:rPr>
      <w:b/>
      <w:bCs/>
      <w:sz w:val="20"/>
      <w:szCs w:val="20"/>
    </w:rPr>
  </w:style>
  <w:style w:type="character" w:customStyle="1" w:styleId="CommentSubjectChar">
    <w:name w:val="Comment Subject Char"/>
    <w:basedOn w:val="CommentTextChar"/>
    <w:link w:val="CommentSubject"/>
    <w:rsid w:val="00F42C7E"/>
    <w:rPr>
      <w:b/>
      <w:bCs/>
    </w:rPr>
  </w:style>
  <w:style w:type="character" w:customStyle="1" w:styleId="HeaderChar">
    <w:name w:val="Header Char"/>
    <w:basedOn w:val="DefaultParagraphFont"/>
    <w:link w:val="Header"/>
    <w:uiPriority w:val="99"/>
    <w:rsid w:val="00B56D50"/>
    <w:rPr>
      <w:sz w:val="24"/>
      <w:szCs w:val="24"/>
    </w:rPr>
  </w:style>
</w:styles>
</file>

<file path=word/webSettings.xml><?xml version="1.0" encoding="utf-8"?>
<w:webSettings xmlns:r="http://schemas.openxmlformats.org/officeDocument/2006/relationships" xmlns:w="http://schemas.openxmlformats.org/wordprocessingml/2006/main">
  <w:divs>
    <w:div w:id="65035674">
      <w:bodyDiv w:val="1"/>
      <w:marLeft w:val="0"/>
      <w:marRight w:val="0"/>
      <w:marTop w:val="0"/>
      <w:marBottom w:val="0"/>
      <w:divBdr>
        <w:top w:val="none" w:sz="0" w:space="0" w:color="auto"/>
        <w:left w:val="none" w:sz="0" w:space="0" w:color="auto"/>
        <w:bottom w:val="none" w:sz="0" w:space="0" w:color="auto"/>
        <w:right w:val="none" w:sz="0" w:space="0" w:color="auto"/>
      </w:divBdr>
    </w:div>
    <w:div w:id="126628773">
      <w:bodyDiv w:val="1"/>
      <w:marLeft w:val="0"/>
      <w:marRight w:val="0"/>
      <w:marTop w:val="0"/>
      <w:marBottom w:val="0"/>
      <w:divBdr>
        <w:top w:val="none" w:sz="0" w:space="0" w:color="auto"/>
        <w:left w:val="none" w:sz="0" w:space="0" w:color="auto"/>
        <w:bottom w:val="none" w:sz="0" w:space="0" w:color="auto"/>
        <w:right w:val="none" w:sz="0" w:space="0" w:color="auto"/>
      </w:divBdr>
    </w:div>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896013260">
      <w:bodyDiv w:val="1"/>
      <w:marLeft w:val="0"/>
      <w:marRight w:val="0"/>
      <w:marTop w:val="0"/>
      <w:marBottom w:val="0"/>
      <w:divBdr>
        <w:top w:val="none" w:sz="0" w:space="0" w:color="auto"/>
        <w:left w:val="none" w:sz="0" w:space="0" w:color="auto"/>
        <w:bottom w:val="none" w:sz="0" w:space="0" w:color="auto"/>
        <w:right w:val="none" w:sz="0" w:space="0" w:color="auto"/>
      </w:divBdr>
      <w:divsChild>
        <w:div w:id="1085960985">
          <w:marLeft w:val="0"/>
          <w:marRight w:val="0"/>
          <w:marTop w:val="173"/>
          <w:marBottom w:val="0"/>
          <w:divBdr>
            <w:top w:val="single" w:sz="12" w:space="0" w:color="CBAE60"/>
            <w:left w:val="single" w:sz="12" w:space="0" w:color="CBAE60"/>
            <w:bottom w:val="single" w:sz="4" w:space="0" w:color="CBAE60"/>
            <w:right w:val="single" w:sz="12" w:space="0" w:color="CBAE60"/>
          </w:divBdr>
          <w:divsChild>
            <w:div w:id="445850628">
              <w:marLeft w:val="0"/>
              <w:marRight w:val="0"/>
              <w:marTop w:val="0"/>
              <w:marBottom w:val="0"/>
              <w:divBdr>
                <w:top w:val="none" w:sz="0" w:space="0" w:color="auto"/>
                <w:left w:val="none" w:sz="0" w:space="0" w:color="auto"/>
                <w:bottom w:val="none" w:sz="0" w:space="0" w:color="auto"/>
                <w:right w:val="none" w:sz="0" w:space="0" w:color="auto"/>
              </w:divBdr>
              <w:divsChild>
                <w:div w:id="628632419">
                  <w:marLeft w:val="0"/>
                  <w:marRight w:val="0"/>
                  <w:marTop w:val="0"/>
                  <w:marBottom w:val="0"/>
                  <w:divBdr>
                    <w:top w:val="none" w:sz="0" w:space="0" w:color="auto"/>
                    <w:left w:val="none" w:sz="0" w:space="0" w:color="auto"/>
                    <w:bottom w:val="none" w:sz="0" w:space="0" w:color="auto"/>
                    <w:right w:val="none" w:sz="0" w:space="0" w:color="auto"/>
                  </w:divBdr>
                  <w:divsChild>
                    <w:div w:id="1628968515">
                      <w:marLeft w:val="0"/>
                      <w:marRight w:val="0"/>
                      <w:marTop w:val="0"/>
                      <w:marBottom w:val="0"/>
                      <w:divBdr>
                        <w:top w:val="none" w:sz="0" w:space="0" w:color="auto"/>
                        <w:left w:val="none" w:sz="0" w:space="0" w:color="auto"/>
                        <w:bottom w:val="none" w:sz="0" w:space="0" w:color="auto"/>
                        <w:right w:val="none" w:sz="0" w:space="0" w:color="auto"/>
                      </w:divBdr>
                      <w:divsChild>
                        <w:div w:id="3869052">
                          <w:marLeft w:val="0"/>
                          <w:marRight w:val="0"/>
                          <w:marTop w:val="0"/>
                          <w:marBottom w:val="0"/>
                          <w:divBdr>
                            <w:top w:val="none" w:sz="0" w:space="0" w:color="auto"/>
                            <w:left w:val="none" w:sz="0" w:space="0" w:color="auto"/>
                            <w:bottom w:val="none" w:sz="0" w:space="0" w:color="auto"/>
                            <w:right w:val="none" w:sz="0" w:space="0" w:color="auto"/>
                          </w:divBdr>
                          <w:divsChild>
                            <w:div w:id="967004609">
                              <w:marLeft w:val="0"/>
                              <w:marRight w:val="0"/>
                              <w:marTop w:val="0"/>
                              <w:marBottom w:val="0"/>
                              <w:divBdr>
                                <w:top w:val="none" w:sz="0" w:space="0" w:color="auto"/>
                                <w:left w:val="none" w:sz="0" w:space="0" w:color="auto"/>
                                <w:bottom w:val="none" w:sz="0" w:space="0" w:color="auto"/>
                                <w:right w:val="none" w:sz="0" w:space="0" w:color="auto"/>
                              </w:divBdr>
                              <w:divsChild>
                                <w:div w:id="939919515">
                                  <w:marLeft w:val="0"/>
                                  <w:marRight w:val="0"/>
                                  <w:marTop w:val="0"/>
                                  <w:marBottom w:val="0"/>
                                  <w:divBdr>
                                    <w:top w:val="none" w:sz="0" w:space="0" w:color="auto"/>
                                    <w:left w:val="none" w:sz="0" w:space="0" w:color="auto"/>
                                    <w:bottom w:val="none" w:sz="0" w:space="0" w:color="auto"/>
                                    <w:right w:val="none" w:sz="0" w:space="0" w:color="auto"/>
                                  </w:divBdr>
                                  <w:divsChild>
                                    <w:div w:id="523711199">
                                      <w:marLeft w:val="0"/>
                                      <w:marRight w:val="0"/>
                                      <w:marTop w:val="0"/>
                                      <w:marBottom w:val="0"/>
                                      <w:divBdr>
                                        <w:top w:val="none" w:sz="0" w:space="0" w:color="auto"/>
                                        <w:left w:val="none" w:sz="0" w:space="0" w:color="auto"/>
                                        <w:bottom w:val="none" w:sz="0" w:space="0" w:color="auto"/>
                                        <w:right w:val="none" w:sz="0" w:space="0" w:color="auto"/>
                                      </w:divBdr>
                                      <w:divsChild>
                                        <w:div w:id="2046055731">
                                          <w:marLeft w:val="0"/>
                                          <w:marRight w:val="0"/>
                                          <w:marTop w:val="0"/>
                                          <w:marBottom w:val="230"/>
                                          <w:divBdr>
                                            <w:top w:val="none" w:sz="0" w:space="0" w:color="auto"/>
                                            <w:left w:val="none" w:sz="0" w:space="0" w:color="auto"/>
                                            <w:bottom w:val="none" w:sz="0" w:space="0" w:color="auto"/>
                                            <w:right w:val="none" w:sz="0" w:space="0" w:color="auto"/>
                                          </w:divBdr>
                                          <w:divsChild>
                                            <w:div w:id="13609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655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legislature.gov/Laws/GeneralLaws/PartI/TitleXII/Chapter71/Section2C"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mass.gov/eohhs/docs/dph/com-health/violence/ma-has-plan.pdf"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masoc.net/" TargetMode="External"/><Relationship Id="rId10" Type="http://schemas.openxmlformats.org/officeDocument/2006/relationships/header" Target="header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e.mass.edu" TargetMode="External"/><Relationship Id="rId14" Type="http://schemas.openxmlformats.org/officeDocument/2006/relationships/hyperlink" Target="http://www.mass.gov/Eeohhs2/docs/dph/behavioral_risk/2009_yrbs.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ssce/GenderIdentity.docx" TargetMode="External"/><Relationship Id="rId2" Type="http://schemas.openxmlformats.org/officeDocument/2006/relationships/hyperlink" Target="http://www.doe.mass.edu/bullying/news10/0604memo.html" TargetMode="External"/><Relationship Id="rId1" Type="http://schemas.openxmlformats.org/officeDocument/2006/relationships/hyperlink" Target="http://www.mass.gov/eohhs/docs/dph/behavioral-risk/2011-yh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29845-BC89-454D-9EFE-44BFA6CD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3906</Words>
  <Characters>22432</Characters>
  <Application>Microsoft Office Word</Application>
  <DocSecurity>0</DocSecurity>
  <Lines>411</Lines>
  <Paragraphs>135</Paragraphs>
  <ScaleCrop>false</ScaleCrop>
  <HeadingPairs>
    <vt:vector size="2" baseType="variant">
      <vt:variant>
        <vt:lpstr>Title</vt:lpstr>
      </vt:variant>
      <vt:variant>
        <vt:i4>1</vt:i4>
      </vt:variant>
    </vt:vector>
  </HeadingPairs>
  <TitlesOfParts>
    <vt:vector size="1" baseType="lpstr">
      <vt:lpstr>Updated Guidance for Schools and Districts on Addressing Teen Dating Violence (2013</vt:lpstr>
    </vt:vector>
  </TitlesOfParts>
  <Company/>
  <LinksUpToDate>false</LinksUpToDate>
  <CharactersWithSpaces>26260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Guidance for Schools and Districts on Addressing Teen Dating Violence (2013</dc:title>
  <dc:creator>ESE</dc:creator>
  <cp:lastModifiedBy>ESE</cp:lastModifiedBy>
  <cp:revision>2</cp:revision>
  <cp:lastPrinted>2013-05-16T13:48:00Z</cp:lastPrinted>
  <dcterms:created xsi:type="dcterms:W3CDTF">2013-05-22T18:13:00Z</dcterms:created>
  <dcterms:modified xsi:type="dcterms:W3CDTF">2013-05-22T18:13:00Z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2013</vt:lpwstr>
  </property>
</Properties>
</file>