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2826" w14:textId="77777777" w:rsidR="00BF7773" w:rsidRPr="00A1263A" w:rsidRDefault="00716F06" w:rsidP="00A641FB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contextualSpacing/>
        <w:rPr>
          <w:rFonts w:eastAsia="Times New Roman"/>
        </w:rPr>
      </w:pPr>
      <w:r w:rsidRPr="00A1263A">
        <w:rPr>
          <w:rFonts w:eastAsia="Times New Roman"/>
          <w:b/>
        </w:rPr>
        <w:t xml:space="preserve">Directions: </w:t>
      </w:r>
      <w:r w:rsidRPr="00A1263A">
        <w:rPr>
          <w:rFonts w:eastAsia="Times New Roman"/>
        </w:rPr>
        <w:t>For each question, indicate your belief</w:t>
      </w:r>
      <w:r w:rsidR="00BF7773">
        <w:rPr>
          <w:rFonts w:eastAsia="Times New Roman"/>
        </w:rPr>
        <w:t xml:space="preserve"> as you think about a classroom of students.</w:t>
      </w:r>
      <w:r w:rsidRPr="00A1263A">
        <w:rPr>
          <w:rFonts w:eastAsia="Times New Roman"/>
        </w:rPr>
        <w:t xml:space="preserve"> Circle whether you </w:t>
      </w:r>
      <w:r w:rsidRPr="00A1263A">
        <w:rPr>
          <w:rFonts w:eastAsia="Times New Roman"/>
          <w:b/>
        </w:rPr>
        <w:t>agree (A)</w:t>
      </w:r>
      <w:r w:rsidRPr="00A1263A">
        <w:rPr>
          <w:rFonts w:eastAsia="Times New Roman"/>
        </w:rPr>
        <w:t xml:space="preserve">, </w:t>
      </w:r>
      <w:r w:rsidRPr="00A1263A">
        <w:rPr>
          <w:rFonts w:eastAsia="Times New Roman"/>
          <w:b/>
        </w:rPr>
        <w:t>disagree (D)</w:t>
      </w:r>
      <w:r w:rsidRPr="00A1263A">
        <w:rPr>
          <w:rFonts w:eastAsia="Times New Roman"/>
        </w:rPr>
        <w:t xml:space="preserve">, or you are </w:t>
      </w:r>
      <w:r w:rsidRPr="00A1263A">
        <w:rPr>
          <w:rFonts w:eastAsia="Times New Roman"/>
          <w:b/>
        </w:rPr>
        <w:t>unsure (?)</w:t>
      </w:r>
      <w:r w:rsidRPr="00A1263A">
        <w:rPr>
          <w:rFonts w:eastAsia="Times New Roman"/>
          <w:i/>
        </w:rPr>
        <w:t>.</w:t>
      </w:r>
    </w:p>
    <w:p w14:paraId="4D522374" w14:textId="77777777" w:rsidR="00A641FB" w:rsidRPr="00A1263A" w:rsidRDefault="00A641FB" w:rsidP="00A641FB">
      <w:pPr>
        <w:contextualSpacing/>
        <w:rPr>
          <w:b/>
        </w:rPr>
      </w:pP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1700"/>
        <w:gridCol w:w="810"/>
      </w:tblGrid>
      <w:tr w:rsidR="00A641FB" w:rsidRPr="00A1263A" w14:paraId="0287DEAC" w14:textId="77777777">
        <w:tc>
          <w:tcPr>
            <w:tcW w:w="1368" w:type="dxa"/>
          </w:tcPr>
          <w:p w14:paraId="6326F779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68F0D118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 xml:space="preserve">Teachers should teach specific procedures for solving problems before letting students try to solve problems on their own. </w:t>
            </w:r>
          </w:p>
        </w:tc>
        <w:tc>
          <w:tcPr>
            <w:tcW w:w="810" w:type="dxa"/>
          </w:tcPr>
          <w:p w14:paraId="79927462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4CBC90AE" w14:textId="77777777">
        <w:tc>
          <w:tcPr>
            <w:tcW w:w="1368" w:type="dxa"/>
          </w:tcPr>
          <w:p w14:paraId="317624C2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1C6CE9C4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Most students struggle to figure out solution methods for themselves and must be explicitly taught.</w:t>
            </w:r>
          </w:p>
        </w:tc>
        <w:tc>
          <w:tcPr>
            <w:tcW w:w="810" w:type="dxa"/>
          </w:tcPr>
          <w:p w14:paraId="1950D308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540E0DD0" w14:textId="77777777">
        <w:tc>
          <w:tcPr>
            <w:tcW w:w="1368" w:type="dxa"/>
          </w:tcPr>
          <w:p w14:paraId="79073494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24791C03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Allowing students to discuss their thinking helps them to make sense of mathematics</w:t>
            </w:r>
            <w:r w:rsidR="00BF7773">
              <w:t xml:space="preserve"> and is time well spent.</w:t>
            </w:r>
          </w:p>
        </w:tc>
        <w:tc>
          <w:tcPr>
            <w:tcW w:w="810" w:type="dxa"/>
          </w:tcPr>
          <w:p w14:paraId="55345783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455A2111" w14:textId="77777777">
        <w:tc>
          <w:tcPr>
            <w:tcW w:w="1368" w:type="dxa"/>
          </w:tcPr>
          <w:p w14:paraId="3A34BA82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13E3CDD1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It is preferable to teach students how to solve one kind of problem at a time.</w:t>
            </w:r>
          </w:p>
        </w:tc>
        <w:tc>
          <w:tcPr>
            <w:tcW w:w="810" w:type="dxa"/>
          </w:tcPr>
          <w:p w14:paraId="255B946F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5A5674DA" w14:textId="77777777">
        <w:tc>
          <w:tcPr>
            <w:tcW w:w="1368" w:type="dxa"/>
          </w:tcPr>
          <w:p w14:paraId="2DB3729A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58404739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When students explain their solutions to problems, it provides a good indicator of their mathematics learning.</w:t>
            </w:r>
          </w:p>
        </w:tc>
        <w:tc>
          <w:tcPr>
            <w:tcW w:w="810" w:type="dxa"/>
          </w:tcPr>
          <w:p w14:paraId="34F94846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17F208BE" w14:textId="77777777">
        <w:tc>
          <w:tcPr>
            <w:tcW w:w="1368" w:type="dxa"/>
          </w:tcPr>
          <w:p w14:paraId="41CDBDB7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0CF3EC40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Students who have not yet mastered basic facts have effective methods for solving problems.</w:t>
            </w:r>
          </w:p>
        </w:tc>
        <w:tc>
          <w:tcPr>
            <w:tcW w:w="810" w:type="dxa"/>
          </w:tcPr>
          <w:p w14:paraId="04BB13C4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195F40EC" w14:textId="77777777">
        <w:tc>
          <w:tcPr>
            <w:tcW w:w="1368" w:type="dxa"/>
          </w:tcPr>
          <w:p w14:paraId="3B461FE4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0C423085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A</w:t>
            </w:r>
            <w:r>
              <w:t>ny</w:t>
            </w:r>
            <w:r w:rsidRPr="00A1263A">
              <w:t xml:space="preserve"> student can </w:t>
            </w:r>
            <w:r>
              <w:t xml:space="preserve">eventually </w:t>
            </w:r>
            <w:r w:rsidRPr="00A1263A">
              <w:t>be a high-achieving mathematics student.</w:t>
            </w:r>
          </w:p>
        </w:tc>
        <w:tc>
          <w:tcPr>
            <w:tcW w:w="810" w:type="dxa"/>
          </w:tcPr>
          <w:p w14:paraId="624C04C1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2857C7F6" w14:textId="77777777">
        <w:tc>
          <w:tcPr>
            <w:tcW w:w="1368" w:type="dxa"/>
          </w:tcPr>
          <w:p w14:paraId="764A6B48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2002A949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 xml:space="preserve">Teachers can best help students by focusing primarily on </w:t>
            </w:r>
            <w:r>
              <w:t xml:space="preserve">gaps in students’ skills </w:t>
            </w:r>
            <w:r w:rsidRPr="00A1263A">
              <w:t>and addressing those gaps.</w:t>
            </w:r>
          </w:p>
        </w:tc>
        <w:tc>
          <w:tcPr>
            <w:tcW w:w="810" w:type="dxa"/>
          </w:tcPr>
          <w:p w14:paraId="21252060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583417E3" w14:textId="77777777">
        <w:tc>
          <w:tcPr>
            <w:tcW w:w="1368" w:type="dxa"/>
          </w:tcPr>
          <w:p w14:paraId="4A9EEDFA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4E1C5FD8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Providing a resource to help a student complete a problem</w:t>
            </w:r>
            <w:r>
              <w:t xml:space="preserve">, </w:t>
            </w:r>
            <w:r w:rsidRPr="00A1263A">
              <w:t>such as a multipli</w:t>
            </w:r>
            <w:r>
              <w:t>cation chart or reference sheet,</w:t>
            </w:r>
            <w:r w:rsidRPr="00A1263A">
              <w:t xml:space="preserve"> </w:t>
            </w:r>
            <w:r>
              <w:t>will prevent the student from fully learning the necessary mathematics content.</w:t>
            </w:r>
          </w:p>
        </w:tc>
        <w:tc>
          <w:tcPr>
            <w:tcW w:w="810" w:type="dxa"/>
          </w:tcPr>
          <w:p w14:paraId="3195BB02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A641FB" w:rsidRPr="00A1263A" w14:paraId="77A15583" w14:textId="77777777">
        <w:tc>
          <w:tcPr>
            <w:tcW w:w="1368" w:type="dxa"/>
          </w:tcPr>
          <w:p w14:paraId="61854956" w14:textId="77777777" w:rsidR="00A641FB" w:rsidRPr="00A1263A" w:rsidRDefault="00A641FB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515B5B55" w14:textId="77777777" w:rsidR="00A641FB" w:rsidRPr="00A1263A" w:rsidRDefault="00A641FB" w:rsidP="00286896">
            <w:pPr>
              <w:pStyle w:val="category"/>
              <w:spacing w:before="80" w:after="80"/>
            </w:pPr>
            <w:r w:rsidRPr="00A1263A">
              <w:t>Altering a goal or performance criterion for a student so that it is different from those given to other students diminishes the student’s mastery of the skill or understanding of the concept.</w:t>
            </w:r>
          </w:p>
        </w:tc>
        <w:tc>
          <w:tcPr>
            <w:tcW w:w="810" w:type="dxa"/>
          </w:tcPr>
          <w:p w14:paraId="38CBA5B8" w14:textId="77777777" w:rsidR="00A641FB" w:rsidRPr="00A1263A" w:rsidRDefault="00A641FB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BF7773" w:rsidRPr="00A1263A" w14:paraId="48EDEA3D" w14:textId="77777777">
        <w:tc>
          <w:tcPr>
            <w:tcW w:w="1368" w:type="dxa"/>
          </w:tcPr>
          <w:p w14:paraId="035A8259" w14:textId="77777777" w:rsidR="00BF7773" w:rsidRPr="00A1263A" w:rsidRDefault="00BF7773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42473845" w14:textId="77777777" w:rsidR="00BF7773" w:rsidRPr="00A1263A" w:rsidRDefault="00BF7773" w:rsidP="00286896">
            <w:pPr>
              <w:pStyle w:val="category"/>
              <w:spacing w:before="80" w:after="80"/>
            </w:pPr>
            <w:r>
              <w:t>Letting students struggle makes them feel bad about themselves as math learners and diminishes their self-esteem.</w:t>
            </w:r>
          </w:p>
        </w:tc>
        <w:tc>
          <w:tcPr>
            <w:tcW w:w="810" w:type="dxa"/>
          </w:tcPr>
          <w:p w14:paraId="414681CA" w14:textId="77777777" w:rsidR="00BF7773" w:rsidRPr="00A1263A" w:rsidRDefault="00BF7773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BF7773" w:rsidRPr="00A1263A" w14:paraId="2FF03FAD" w14:textId="77777777">
        <w:tc>
          <w:tcPr>
            <w:tcW w:w="1368" w:type="dxa"/>
          </w:tcPr>
          <w:p w14:paraId="6A40076A" w14:textId="77777777" w:rsidR="00BF7773" w:rsidRPr="00A1263A" w:rsidRDefault="00BF7773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356964DF" w14:textId="77777777" w:rsidR="00BF7773" w:rsidRDefault="00433250" w:rsidP="00286896">
            <w:pPr>
              <w:pStyle w:val="category"/>
              <w:spacing w:before="80" w:after="80"/>
            </w:pPr>
            <w:r w:rsidRPr="00433250">
              <w:t>Providing students with a diagram or showing them a representation with manipulatives waters down the math.</w:t>
            </w:r>
          </w:p>
        </w:tc>
        <w:tc>
          <w:tcPr>
            <w:tcW w:w="810" w:type="dxa"/>
          </w:tcPr>
          <w:p w14:paraId="274F800D" w14:textId="77777777" w:rsidR="00BF7773" w:rsidRPr="00A1263A" w:rsidRDefault="00BF7773" w:rsidP="00286896">
            <w:pPr>
              <w:spacing w:before="80" w:after="80"/>
              <w:jc w:val="center"/>
              <w:rPr>
                <w:b/>
              </w:rPr>
            </w:pPr>
          </w:p>
        </w:tc>
      </w:tr>
      <w:tr w:rsidR="00204DC0" w:rsidRPr="00A1263A" w14:paraId="58400CCB" w14:textId="77777777">
        <w:tc>
          <w:tcPr>
            <w:tcW w:w="1368" w:type="dxa"/>
          </w:tcPr>
          <w:p w14:paraId="2EC7983B" w14:textId="77777777" w:rsidR="00204DC0" w:rsidRPr="00A1263A" w:rsidRDefault="00204DC0" w:rsidP="00286896">
            <w:pPr>
              <w:spacing w:before="80" w:after="80"/>
              <w:ind w:right="55"/>
              <w:jc w:val="center"/>
              <w:rPr>
                <w:b/>
              </w:rPr>
            </w:pPr>
            <w:r w:rsidRPr="00A1263A">
              <w:rPr>
                <w:b/>
              </w:rPr>
              <w:t>A     D     ?</w:t>
            </w:r>
          </w:p>
        </w:tc>
        <w:tc>
          <w:tcPr>
            <w:tcW w:w="11700" w:type="dxa"/>
          </w:tcPr>
          <w:p w14:paraId="3A27D4BE" w14:textId="77777777" w:rsidR="00204DC0" w:rsidRDefault="00433250" w:rsidP="00286896">
            <w:pPr>
              <w:pStyle w:val="category"/>
              <w:spacing w:before="80" w:after="80"/>
            </w:pPr>
            <w:r w:rsidRPr="00433250">
              <w:t>Asking students to use a diagram or manipulatives to show their solution is not as rigorous as using math symbols or writing equations.</w:t>
            </w:r>
          </w:p>
        </w:tc>
        <w:tc>
          <w:tcPr>
            <w:tcW w:w="810" w:type="dxa"/>
          </w:tcPr>
          <w:p w14:paraId="2519578A" w14:textId="77777777" w:rsidR="00204DC0" w:rsidRPr="00A1263A" w:rsidRDefault="00204DC0" w:rsidP="00286896">
            <w:pPr>
              <w:spacing w:before="80" w:after="80"/>
              <w:jc w:val="center"/>
              <w:rPr>
                <w:b/>
              </w:rPr>
            </w:pPr>
          </w:p>
        </w:tc>
      </w:tr>
    </w:tbl>
    <w:p w14:paraId="2C37A269" w14:textId="77777777" w:rsidR="00684399" w:rsidRPr="00684399" w:rsidRDefault="00684399" w:rsidP="000A2D05">
      <w:pPr>
        <w:pStyle w:val="PlainText"/>
        <w:tabs>
          <w:tab w:val="center" w:pos="6840"/>
        </w:tabs>
        <w:rPr>
          <w:b/>
          <w:color w:val="FF0000"/>
        </w:rPr>
      </w:pPr>
    </w:p>
    <w:sectPr w:rsidR="00684399" w:rsidRPr="00684399" w:rsidSect="00A37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A2743" w14:textId="77777777" w:rsidR="00AA47A8" w:rsidRDefault="00AA47A8" w:rsidP="00BF7773">
      <w:pPr>
        <w:spacing w:before="0" w:after="0"/>
      </w:pPr>
      <w:r>
        <w:separator/>
      </w:r>
    </w:p>
  </w:endnote>
  <w:endnote w:type="continuationSeparator" w:id="0">
    <w:p w14:paraId="1AADE700" w14:textId="77777777" w:rsidR="00AA47A8" w:rsidRDefault="00AA47A8" w:rsidP="00BF77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8F64A" w14:textId="77777777" w:rsidR="003124C1" w:rsidRDefault="00312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DF373" w14:textId="77777777" w:rsidR="00F34337" w:rsidRDefault="00F34337" w:rsidP="00F34337">
    <w:pPr>
      <w:pStyle w:val="Footer"/>
      <w:tabs>
        <w:tab w:val="clear" w:pos="4320"/>
        <w:tab w:val="clear" w:pos="8640"/>
        <w:tab w:val="right" w:pos="9990"/>
      </w:tabs>
      <w:rPr>
        <w:rFonts w:ascii="Calibri" w:hAnsi="Calibri"/>
        <w:sz w:val="20"/>
        <w:szCs w:val="26"/>
      </w:rPr>
    </w:pPr>
    <w:r>
      <w:rPr>
        <w:rFonts w:ascii="Calibri" w:hAnsi="Calibri"/>
        <w:sz w:val="20"/>
        <w:szCs w:val="26"/>
      </w:rPr>
      <w:t>© 2013 Commonwealth of Massachusetts Department of Elementary and Secondary Education</w:t>
    </w:r>
    <w:r>
      <w:rPr>
        <w:rFonts w:ascii="Calibri" w:hAnsi="Calibri"/>
        <w:sz w:val="20"/>
        <w:szCs w:val="26"/>
      </w:rPr>
      <w:tab/>
      <w:t xml:space="preserve">p. </w:t>
    </w:r>
    <w:r w:rsidR="002F2933">
      <w:rPr>
        <w:rStyle w:val="PageNumber"/>
        <w:rFonts w:ascii="Calibri" w:hAnsi="Calibri"/>
        <w:sz w:val="20"/>
      </w:rPr>
      <w:fldChar w:fldCharType="begin"/>
    </w:r>
    <w:r>
      <w:rPr>
        <w:rStyle w:val="PageNumber"/>
        <w:rFonts w:ascii="Calibri" w:hAnsi="Calibri"/>
        <w:sz w:val="20"/>
      </w:rPr>
      <w:instrText xml:space="preserve"> PAGE </w:instrText>
    </w:r>
    <w:r w:rsidR="002F2933">
      <w:rPr>
        <w:rStyle w:val="PageNumber"/>
        <w:rFonts w:ascii="Calibri" w:hAnsi="Calibri"/>
        <w:sz w:val="20"/>
      </w:rPr>
      <w:fldChar w:fldCharType="separate"/>
    </w:r>
    <w:r w:rsidR="00C46408">
      <w:rPr>
        <w:rStyle w:val="PageNumber"/>
        <w:rFonts w:ascii="Calibri" w:hAnsi="Calibri"/>
        <w:noProof/>
        <w:sz w:val="20"/>
      </w:rPr>
      <w:t>1</w:t>
    </w:r>
    <w:r w:rsidR="002F2933">
      <w:rPr>
        <w:rStyle w:val="PageNumber"/>
        <w:rFonts w:ascii="Calibri" w:hAnsi="Calibri"/>
        <w:sz w:val="20"/>
      </w:rPr>
      <w:fldChar w:fldCharType="end"/>
    </w:r>
    <w:r>
      <w:rPr>
        <w:rFonts w:ascii="Calibri" w:hAnsi="Calibri"/>
        <w:sz w:val="20"/>
        <w:szCs w:val="26"/>
      </w:rPr>
      <w:t xml:space="preserve"> </w:t>
    </w:r>
    <w:r>
      <w:rPr>
        <w:rFonts w:ascii="Calibri" w:hAnsi="Calibri"/>
        <w:sz w:val="20"/>
        <w:szCs w:val="26"/>
      </w:rPr>
      <w:br/>
      <w:t>Reproduction is permitted for all nonprofit academic and educational purposes provided that the copyright notice is included in all copies. These materials were developed with Education Development Center, Inc.</w:t>
    </w:r>
  </w:p>
  <w:p w14:paraId="399135E1" w14:textId="77777777" w:rsidR="00BF7773" w:rsidRPr="009526A5" w:rsidRDefault="00BF7773" w:rsidP="00A37D82">
    <w:pPr>
      <w:pStyle w:val="Footer"/>
      <w:tabs>
        <w:tab w:val="clear" w:pos="4320"/>
        <w:tab w:val="clear" w:pos="8640"/>
        <w:tab w:val="right" w:pos="13680"/>
      </w:tabs>
      <w:rPr>
        <w:rFonts w:asciiTheme="minorHAnsi" w:hAnsiTheme="minorHAnsi"/>
        <w:b/>
        <w:i/>
        <w:sz w:val="20"/>
      </w:rPr>
    </w:pPr>
    <w:r w:rsidRPr="009526A5">
      <w:rPr>
        <w:rStyle w:val="PageNumber"/>
        <w:rFonts w:asciiTheme="minorHAnsi" w:hAnsiTheme="minorHAnsi"/>
        <w:sz w:val="20"/>
      </w:rPr>
      <w:t>This inventory is informed by the work of Elizabeth Fennema, Tom Carpenter and Megan Loef on mathematics beliefs scales, 1990.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8BEB" w14:textId="77777777" w:rsidR="003124C1" w:rsidRDefault="00312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BA96" w14:textId="77777777" w:rsidR="00AA47A8" w:rsidRDefault="00AA47A8" w:rsidP="00BF7773">
      <w:pPr>
        <w:spacing w:before="0" w:after="0"/>
      </w:pPr>
      <w:r>
        <w:separator/>
      </w:r>
    </w:p>
  </w:footnote>
  <w:footnote w:type="continuationSeparator" w:id="0">
    <w:p w14:paraId="5530589D" w14:textId="77777777" w:rsidR="00AA47A8" w:rsidRDefault="00AA47A8" w:rsidP="00BF77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6459" w14:textId="77777777" w:rsidR="003124C1" w:rsidRDefault="00312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312A" w14:textId="77777777" w:rsidR="00BF7773" w:rsidRPr="00460258" w:rsidRDefault="000A2D05" w:rsidP="00C46408">
    <w:pPr>
      <w:tabs>
        <w:tab w:val="center" w:pos="6840"/>
        <w:tab w:val="right" w:pos="13680"/>
      </w:tabs>
      <w:jc w:val="center"/>
      <w:rPr>
        <w:b/>
        <w:sz w:val="28"/>
      </w:rPr>
    </w:pPr>
    <w:r>
      <w:rPr>
        <w:b/>
        <w:sz w:val="28"/>
      </w:rPr>
      <w:tab/>
    </w:r>
    <w:r w:rsidR="00BF7773" w:rsidRPr="00460258">
      <w:rPr>
        <w:b/>
        <w:sz w:val="28"/>
      </w:rPr>
      <w:t xml:space="preserve">Beliefs Inventory – </w:t>
    </w:r>
    <w:r w:rsidR="00D91A15">
      <w:rPr>
        <w:b/>
        <w:sz w:val="28"/>
      </w:rPr>
      <w:t>Protocol</w:t>
    </w:r>
    <w:r w:rsidR="00BF7773">
      <w:rPr>
        <w:b/>
        <w:sz w:val="28"/>
      </w:rPr>
      <w:t xml:space="preserve"> 1</w:t>
    </w:r>
    <w:r w:rsidR="001A7BEE">
      <w:rPr>
        <w:b/>
        <w:sz w:val="28"/>
      </w:rPr>
      <w:tab/>
    </w:r>
    <w:bookmarkStart w:id="0" w:name="_GoBack"/>
    <w:r w:rsidR="00C46408" w:rsidRPr="00B77595">
      <w:rPr>
        <w:bCs/>
        <w:color w:val="595959" w:themeColor="text1" w:themeTint="A6"/>
        <w:sz w:val="28"/>
      </w:rPr>
      <w:t>Handout</w:t>
    </w:r>
    <w:r w:rsidR="00F13A03" w:rsidRPr="00B77595">
      <w:rPr>
        <w:bCs/>
        <w:color w:val="595959" w:themeColor="text1" w:themeTint="A6"/>
        <w:sz w:val="28"/>
      </w:rPr>
      <w:t xml:space="preserve"> 1.</w:t>
    </w:r>
    <w:r w:rsidR="00AB021F" w:rsidRPr="00B77595">
      <w:rPr>
        <w:bCs/>
        <w:color w:val="595959" w:themeColor="text1" w:themeTint="A6"/>
        <w:sz w:val="28"/>
      </w:rPr>
      <w:t>2</w:t>
    </w:r>
    <w:bookmarkEnd w:id="0"/>
    <w:r w:rsidR="001A7BEE">
      <w:rPr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1174" w14:textId="77777777" w:rsidR="003124C1" w:rsidRDefault="00312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811"/>
    <w:multiLevelType w:val="hybridMultilevel"/>
    <w:tmpl w:val="3BA6B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3C2C"/>
    <w:multiLevelType w:val="hybridMultilevel"/>
    <w:tmpl w:val="2BCA5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7DC"/>
    <w:multiLevelType w:val="hybridMultilevel"/>
    <w:tmpl w:val="11A8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20E47"/>
    <w:multiLevelType w:val="hybridMultilevel"/>
    <w:tmpl w:val="DC86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9EA"/>
    <w:multiLevelType w:val="hybridMultilevel"/>
    <w:tmpl w:val="F334BCA2"/>
    <w:lvl w:ilvl="0" w:tplc="FFFFFFFF">
      <w:start w:val="1"/>
      <w:numFmt w:val="decimal"/>
      <w:pStyle w:val="category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D49CB"/>
    <w:multiLevelType w:val="hybridMultilevel"/>
    <w:tmpl w:val="62364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7289C"/>
    <w:multiLevelType w:val="multilevel"/>
    <w:tmpl w:val="8696B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B5C5F"/>
    <w:multiLevelType w:val="multilevel"/>
    <w:tmpl w:val="11A8C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31BF6"/>
    <w:multiLevelType w:val="hybridMultilevel"/>
    <w:tmpl w:val="D57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0C5F"/>
    <w:multiLevelType w:val="multilevel"/>
    <w:tmpl w:val="11A8C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A5"/>
    <w:multiLevelType w:val="hybridMultilevel"/>
    <w:tmpl w:val="869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79"/>
    <w:rsid w:val="00086322"/>
    <w:rsid w:val="000A2D05"/>
    <w:rsid w:val="000F2B1E"/>
    <w:rsid w:val="00107040"/>
    <w:rsid w:val="001A7BEE"/>
    <w:rsid w:val="00204DC0"/>
    <w:rsid w:val="00286896"/>
    <w:rsid w:val="002F2933"/>
    <w:rsid w:val="003124C1"/>
    <w:rsid w:val="00433250"/>
    <w:rsid w:val="00476EB7"/>
    <w:rsid w:val="00684399"/>
    <w:rsid w:val="006C7682"/>
    <w:rsid w:val="00716F06"/>
    <w:rsid w:val="00832385"/>
    <w:rsid w:val="00923B39"/>
    <w:rsid w:val="009526A5"/>
    <w:rsid w:val="00A37D82"/>
    <w:rsid w:val="00A53350"/>
    <w:rsid w:val="00A641FB"/>
    <w:rsid w:val="00AA47A8"/>
    <w:rsid w:val="00AB021F"/>
    <w:rsid w:val="00AD4DA3"/>
    <w:rsid w:val="00AE38FF"/>
    <w:rsid w:val="00B142F1"/>
    <w:rsid w:val="00B25136"/>
    <w:rsid w:val="00B75C24"/>
    <w:rsid w:val="00B77595"/>
    <w:rsid w:val="00BF7773"/>
    <w:rsid w:val="00C13979"/>
    <w:rsid w:val="00C34F40"/>
    <w:rsid w:val="00C46408"/>
    <w:rsid w:val="00D20D88"/>
    <w:rsid w:val="00D2241C"/>
    <w:rsid w:val="00D91A15"/>
    <w:rsid w:val="00D9753F"/>
    <w:rsid w:val="00E501FB"/>
    <w:rsid w:val="00E57949"/>
    <w:rsid w:val="00EA38C7"/>
    <w:rsid w:val="00F13A03"/>
    <w:rsid w:val="00F34337"/>
    <w:rsid w:val="00FB3F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A834"/>
  <w15:docId w15:val="{D6BCF4B2-B3D1-486F-A01F-C1AC1C8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979"/>
    <w:pPr>
      <w:spacing w:before="120" w:after="120"/>
    </w:pPr>
    <w:rPr>
      <w:rFonts w:ascii="Times New Roman" w:eastAsia="Times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03E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3E8"/>
    <w:rPr>
      <w:rFonts w:ascii="Times New Roman" w:eastAsia="Times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903E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03E8"/>
    <w:rPr>
      <w:rFonts w:ascii="Times New Roman" w:eastAsia="Times" w:hAnsi="Times New Roman" w:cs="Times New Roman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11D87"/>
    <w:pPr>
      <w:ind w:left="720"/>
      <w:contextualSpacing/>
    </w:pPr>
  </w:style>
  <w:style w:type="character" w:styleId="PageNumber">
    <w:name w:val="page number"/>
    <w:basedOn w:val="DefaultParagraphFont"/>
    <w:unhideWhenUsed/>
    <w:rsid w:val="00752D86"/>
  </w:style>
  <w:style w:type="paragraph" w:customStyle="1" w:styleId="category">
    <w:name w:val="category"/>
    <w:basedOn w:val="Normal"/>
    <w:rsid w:val="00A1263A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684399"/>
    <w:pPr>
      <w:spacing w:before="0" w:after="0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4399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DESE-231-65712</_dlc_DocId>
    <_dlc_DocIdUrl xmlns="733efe1c-5bbe-4968-87dc-d400e65c879f">
      <Url>https://sharepoint.doemass.org/ese/webteam/cps/_layouts/DocIdRedir.aspx?ID=DESE-231-65712</Url>
      <Description>DESE-231-65712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99816-F6DD-40D6-9F5E-0605012D9E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83373D-84FD-446F-BADB-FA42A3892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253C6-93C5-447A-8DEE-7CB557BB1BA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25D7ADB-8A06-4A96-9098-1D8C5FDD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Beliefs Inventory - Protocol 1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Beliefs Inventory - Protocol 1</dc:title>
  <dc:creator>DESE</dc:creator>
  <cp:lastModifiedBy>Zou, Dong (EOE)</cp:lastModifiedBy>
  <cp:revision>18</cp:revision>
  <cp:lastPrinted>2011-12-13T20:22:00Z</cp:lastPrinted>
  <dcterms:created xsi:type="dcterms:W3CDTF">2012-10-30T15:25:00Z</dcterms:created>
  <dcterms:modified xsi:type="dcterms:W3CDTF">2020-11-04T21:01:00Z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