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FA604" w14:textId="77777777" w:rsidR="009A1CE9" w:rsidRDefault="009A1CE9" w:rsidP="009A1CE9">
      <w:pPr>
        <w:pStyle w:val="Heading2"/>
        <w:rPr>
          <w:noProof/>
        </w:rPr>
      </w:pPr>
      <w:bookmarkStart w:id="0" w:name="_Toc486270432"/>
      <w:bookmarkStart w:id="1" w:name="_GoBack"/>
      <w:bookmarkEnd w:id="1"/>
      <w:r>
        <w:rPr>
          <w:noProof/>
        </w:rPr>
        <w:t xml:space="preserve">The </w:t>
      </w:r>
      <w:r w:rsidRPr="000E33C3">
        <w:rPr>
          <w:noProof/>
        </w:rPr>
        <w:t>Standards for Mathematical Practice</w:t>
      </w:r>
      <w:bookmarkEnd w:id="0"/>
    </w:p>
    <w:p w14:paraId="7D30E6AE" w14:textId="77777777" w:rsidR="009A1CE9" w:rsidRPr="0031133A" w:rsidRDefault="009A1CE9" w:rsidP="009A1CE9">
      <w:pPr>
        <w:spacing w:line="276" w:lineRule="auto"/>
        <w:rPr>
          <w:rFonts w:cs="Arial"/>
        </w:rPr>
      </w:pPr>
      <w:r w:rsidRPr="0031133A">
        <w:rPr>
          <w:rFonts w:cs="Arial"/>
        </w:rPr>
        <w:t>The Standards for Mathematical Practice describe expertise that mathematics educators at all levels should seek to develop in their students. The Standards for Mathematical Practice describe ways in which developing student practitioners of the discipline of mathematics engage with the subject matter as they grow in mathematical maturity and expertise throughout the elementary, middle, and high school years. These practices rest on two sets of important “processes and proficiencies” that have longstanding importance in mathematics education</w:t>
      </w:r>
      <w:r>
        <w:rPr>
          <w:rFonts w:cs="Arial"/>
        </w:rPr>
        <w:t>—</w:t>
      </w:r>
      <w:r w:rsidRPr="0031133A">
        <w:rPr>
          <w:rFonts w:cs="Arial"/>
        </w:rPr>
        <w:t xml:space="preserve">the </w:t>
      </w:r>
      <w:r>
        <w:rPr>
          <w:rFonts w:cs="Arial"/>
        </w:rPr>
        <w:t>National Council of Teachers of Mathematics (</w:t>
      </w:r>
      <w:r w:rsidRPr="0031133A">
        <w:rPr>
          <w:rFonts w:cs="Arial"/>
        </w:rPr>
        <w:t>NCTM</w:t>
      </w:r>
      <w:r>
        <w:rPr>
          <w:rFonts w:cs="Arial"/>
        </w:rPr>
        <w:t>)</w:t>
      </w:r>
      <w:r w:rsidRPr="0031133A">
        <w:rPr>
          <w:rFonts w:cs="Arial"/>
        </w:rPr>
        <w:t xml:space="preserve"> process standards and the strands of mathematical proficiency specified in the National Research Council’s Report “Adding It Up</w:t>
      </w:r>
      <w:r>
        <w:rPr>
          <w:rFonts w:cs="Arial"/>
        </w:rPr>
        <w:t>.”</w:t>
      </w:r>
      <w:r w:rsidRPr="0031133A">
        <w:rPr>
          <w:rFonts w:cs="Arial"/>
        </w:rPr>
        <w:t xml:space="preserve"> </w:t>
      </w:r>
    </w:p>
    <w:p w14:paraId="580E8B88" w14:textId="77777777" w:rsidR="009A1CE9" w:rsidRPr="0031133A" w:rsidRDefault="009A1CE9" w:rsidP="009A1CE9">
      <w:pPr>
        <w:spacing w:line="276" w:lineRule="auto"/>
        <w:rPr>
          <w:rFonts w:cs="Arial"/>
        </w:rPr>
      </w:pPr>
      <w:r w:rsidRPr="0031133A">
        <w:rPr>
          <w:rFonts w:cs="Arial"/>
        </w:rPr>
        <w:t xml:space="preserve">Designers of curricula, assessments, and professional development should </w:t>
      </w:r>
      <w:r>
        <w:rPr>
          <w:rFonts w:cs="Arial"/>
        </w:rPr>
        <w:t>endeavor</w:t>
      </w:r>
      <w:r w:rsidRPr="0031133A">
        <w:rPr>
          <w:rFonts w:cs="Arial"/>
        </w:rPr>
        <w:t xml:space="preserve"> to connect the mathematical practices to mathematical content in instruction.</w:t>
      </w:r>
    </w:p>
    <w:p w14:paraId="410BD705" w14:textId="77777777" w:rsidR="009A1CE9" w:rsidRPr="0031133A" w:rsidRDefault="009A1CE9" w:rsidP="009A1CE9">
      <w:pPr>
        <w:pStyle w:val="New-Normal"/>
      </w:pPr>
      <w:r>
        <w:t xml:space="preserve">1. </w:t>
      </w:r>
      <w:r w:rsidRPr="0031133A">
        <w:t>Make sense of problems and persevere in solving them.</w:t>
      </w:r>
    </w:p>
    <w:p w14:paraId="7E44A2E5" w14:textId="77777777" w:rsidR="009A1CE9" w:rsidRPr="0031133A" w:rsidRDefault="009A1CE9" w:rsidP="009A1CE9">
      <w:pPr>
        <w:tabs>
          <w:tab w:val="left" w:pos="360"/>
        </w:tabs>
        <w:suppressAutoHyphens/>
        <w:spacing w:line="276" w:lineRule="auto"/>
        <w:rPr>
          <w:rFonts w:cs="Arial"/>
        </w:rPr>
      </w:pPr>
      <w:r w:rsidRPr="0031133A">
        <w:rPr>
          <w:rFonts w:cs="Arial"/>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w:t>
      </w:r>
      <w:r>
        <w:rPr>
          <w:rFonts w:cs="Arial"/>
        </w:rPr>
        <w:t>others’</w:t>
      </w:r>
      <w:r w:rsidRPr="0031133A">
        <w:rPr>
          <w:rFonts w:cs="Arial"/>
        </w:rPr>
        <w:t xml:space="preserve"> approaches to solving complex problems and identify correspondences </w:t>
      </w:r>
      <w:r>
        <w:rPr>
          <w:rFonts w:cs="Arial"/>
        </w:rPr>
        <w:t>amo</w:t>
      </w:r>
      <w:r w:rsidRPr="0031133A">
        <w:rPr>
          <w:rFonts w:cs="Arial"/>
        </w:rPr>
        <w:t>n</w:t>
      </w:r>
      <w:r>
        <w:rPr>
          <w:rFonts w:cs="Arial"/>
        </w:rPr>
        <w:t>g</w:t>
      </w:r>
      <w:r w:rsidRPr="0031133A">
        <w:rPr>
          <w:rFonts w:cs="Arial"/>
        </w:rPr>
        <w:t xml:space="preserve"> different approaches. </w:t>
      </w:r>
    </w:p>
    <w:p w14:paraId="2A2A215B" w14:textId="77777777" w:rsidR="009A1CE9" w:rsidRPr="0031133A" w:rsidRDefault="009A1CE9" w:rsidP="009A1CE9">
      <w:pPr>
        <w:pStyle w:val="New-Normal"/>
      </w:pPr>
      <w:r>
        <w:t xml:space="preserve">2. </w:t>
      </w:r>
      <w:r w:rsidRPr="0031133A">
        <w:t>Reason abstractly and quantitatively.</w:t>
      </w:r>
    </w:p>
    <w:p w14:paraId="2D4E64C5" w14:textId="77777777" w:rsidR="009A1CE9" w:rsidRPr="0031133A" w:rsidRDefault="009A1CE9" w:rsidP="009A1CE9">
      <w:pPr>
        <w:spacing w:line="276" w:lineRule="auto"/>
        <w:rPr>
          <w:rFonts w:cs="Arial"/>
        </w:rPr>
      </w:pPr>
      <w:r w:rsidRPr="0031133A">
        <w:rPr>
          <w:rFonts w:cs="Arial"/>
        </w:rPr>
        <w:t xml:space="preserve">Mathematically proficient students make sense of the quantities and their relationships in problem situations. Students bring two complementary abilities to bear on problems involving quantitative relationships: the ability to </w:t>
      </w:r>
      <w:r w:rsidRPr="0031133A">
        <w:rPr>
          <w:rFonts w:cs="Arial"/>
          <w:iCs/>
        </w:rPr>
        <w:t>decontextualize</w:t>
      </w:r>
      <w:r w:rsidRPr="0031133A">
        <w:rPr>
          <w:rFonts w:cs="Arial"/>
        </w:rPr>
        <w:t xml:space="preserve">—to abstract a given situation and represent it symbolically, and manipulate the representing symbols as if they have a life of their own, without necessarily attending to their referents—and the ability to </w:t>
      </w:r>
      <w:r w:rsidRPr="0031133A">
        <w:rPr>
          <w:rFonts w:cs="Arial"/>
          <w:iCs/>
        </w:rPr>
        <w:t>contextualize</w:t>
      </w:r>
      <w:r w:rsidRPr="0031133A">
        <w:rPr>
          <w:rFonts w:cs="Arial"/>
        </w:rPr>
        <w:t xml:space="preserve">, to pause as needed during the manipulation process in order to probe into the referents for the symbols involved. Quantitative reasoning entails habits of creating a </w:t>
      </w:r>
      <w:r w:rsidRPr="0031133A">
        <w:rPr>
          <w:rFonts w:cs="Arial"/>
        </w:rPr>
        <w:lastRenderedPageBreak/>
        <w:t xml:space="preserve">coherent representation of the problem at hand; considering the units involved; attending to the meanings of quantities, not just how to compute them; and knowing and flexibly using different properties of operations and objects. </w:t>
      </w:r>
    </w:p>
    <w:p w14:paraId="337CA2B3" w14:textId="77777777" w:rsidR="009A1CE9" w:rsidRPr="0031133A" w:rsidRDefault="009A1CE9" w:rsidP="009A1CE9">
      <w:pPr>
        <w:pStyle w:val="New-Normal"/>
      </w:pPr>
      <w:r>
        <w:t>3. C</w:t>
      </w:r>
      <w:r w:rsidRPr="0031133A">
        <w:t>onstruct viable arguments and critique the reasoning of others.</w:t>
      </w:r>
    </w:p>
    <w:p w14:paraId="4F7A6B4B" w14:textId="77777777" w:rsidR="009A1CE9" w:rsidRPr="0031133A" w:rsidRDefault="009A1CE9" w:rsidP="009A1CE9">
      <w:pPr>
        <w:tabs>
          <w:tab w:val="left" w:pos="360"/>
        </w:tabs>
        <w:spacing w:line="276" w:lineRule="auto"/>
        <w:rPr>
          <w:rFonts w:cs="Arial"/>
        </w:rPr>
      </w:pPr>
      <w:r w:rsidRPr="0031133A">
        <w:rPr>
          <w:rFonts w:cs="Arial"/>
        </w:rP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w:t>
      </w:r>
      <w:proofErr w:type="gramStart"/>
      <w:r w:rsidRPr="0031133A">
        <w:rPr>
          <w:rFonts w:cs="Arial"/>
        </w:rPr>
        <w:t>take into account</w:t>
      </w:r>
      <w:proofErr w:type="gramEnd"/>
      <w:r w:rsidRPr="0031133A">
        <w:rPr>
          <w:rFonts w:cs="Arial"/>
        </w:rPr>
        <w:t xml:space="preserve">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14:paraId="2672F3EA" w14:textId="77777777" w:rsidR="009A1CE9" w:rsidRPr="0031133A" w:rsidRDefault="009A1CE9" w:rsidP="009A1CE9">
      <w:pPr>
        <w:pStyle w:val="New-Normal"/>
      </w:pPr>
      <w:r>
        <w:t xml:space="preserve">4. </w:t>
      </w:r>
      <w:r w:rsidRPr="0031133A">
        <w:t>Model with mathematics.</w:t>
      </w:r>
    </w:p>
    <w:p w14:paraId="23041F6B" w14:textId="77777777" w:rsidR="009A1CE9" w:rsidRPr="0031133A" w:rsidRDefault="009A1CE9" w:rsidP="009A1CE9">
      <w:pPr>
        <w:tabs>
          <w:tab w:val="left" w:pos="360"/>
        </w:tabs>
        <w:spacing w:line="276" w:lineRule="auto"/>
        <w:rPr>
          <w:rFonts w:cs="Arial"/>
        </w:rPr>
      </w:pPr>
      <w:r w:rsidRPr="0031133A">
        <w:rPr>
          <w:rFonts w:cs="Arial"/>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14:paraId="70360351" w14:textId="77777777" w:rsidR="009A1CE9" w:rsidRPr="0031133A" w:rsidRDefault="009A1CE9" w:rsidP="009A1CE9">
      <w:pPr>
        <w:pStyle w:val="New-Normal"/>
      </w:pPr>
      <w:r>
        <w:t xml:space="preserve">5. </w:t>
      </w:r>
      <w:r w:rsidRPr="0031133A">
        <w:t>Use appropriate tools strategically.</w:t>
      </w:r>
    </w:p>
    <w:p w14:paraId="632A2426" w14:textId="77777777" w:rsidR="009A1CE9" w:rsidRPr="002A7154" w:rsidRDefault="009A1CE9" w:rsidP="009A1CE9">
      <w:pPr>
        <w:tabs>
          <w:tab w:val="left" w:pos="360"/>
        </w:tabs>
        <w:spacing w:line="276" w:lineRule="auto"/>
        <w:rPr>
          <w:rFonts w:cs="Arial"/>
          <w:b/>
        </w:rPr>
      </w:pPr>
      <w:r w:rsidRPr="0031133A">
        <w:rPr>
          <w:rFonts w:cs="Arial"/>
        </w:rPr>
        <w:t xml:space="preserve">Mathematically proficient students consider the available tools when solving a mathematical problem. These tools might include pencil and paper, concrete models, a ruler, a protractor, a calculator, a spreadsheet, a computer algebra system, a statistical </w:t>
      </w:r>
      <w:r w:rsidRPr="0031133A">
        <w:rPr>
          <w:rFonts w:cs="Arial"/>
        </w:rPr>
        <w:lastRenderedPageBreak/>
        <w:t xml:space="preserve">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 </w:t>
      </w:r>
    </w:p>
    <w:p w14:paraId="62B9AB08" w14:textId="77777777" w:rsidR="009A1CE9" w:rsidRPr="0031133A" w:rsidRDefault="009A1CE9" w:rsidP="009A1CE9">
      <w:pPr>
        <w:pStyle w:val="New-Normal"/>
        <w:rPr>
          <w:spacing w:val="-2"/>
        </w:rPr>
      </w:pPr>
      <w:r>
        <w:t xml:space="preserve">6. </w:t>
      </w:r>
      <w:r w:rsidRPr="0031133A">
        <w:t>Attend to precision.</w:t>
      </w:r>
    </w:p>
    <w:p w14:paraId="07E33AF6" w14:textId="77777777" w:rsidR="009A1CE9" w:rsidRPr="0031133A" w:rsidRDefault="009A1CE9" w:rsidP="009A1CE9">
      <w:pPr>
        <w:tabs>
          <w:tab w:val="left" w:pos="360"/>
        </w:tabs>
        <w:spacing w:line="276" w:lineRule="auto"/>
        <w:rPr>
          <w:rFonts w:cs="Arial"/>
        </w:rPr>
      </w:pPr>
      <w:r w:rsidRPr="0031133A">
        <w:rPr>
          <w:rFonts w:cs="Arial"/>
        </w:rPr>
        <w:t>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w:t>
      </w:r>
      <w:r>
        <w:rPr>
          <w:rFonts w:cs="Arial"/>
        </w:rPr>
        <w:t>out specifying units of measure</w:t>
      </w:r>
      <w:r w:rsidRPr="0031133A">
        <w:rPr>
          <w:rFonts w:cs="Arial"/>
        </w:rPr>
        <w:t xml:space="preserve"> and labeling axes to clarify the correspondence with quantities in a problem. They calculate accurately and efficiently, express</w:t>
      </w:r>
      <w:r>
        <w:rPr>
          <w:rFonts w:cs="Arial"/>
        </w:rPr>
        <w:t>ing</w:t>
      </w:r>
      <w:r w:rsidRPr="0031133A">
        <w:rPr>
          <w:rFonts w:cs="Arial"/>
        </w:rPr>
        <w:t xml:space="preserve"> numerical answers with a degree of precision appropriate for the problem context. In the elementary grades, students give carefully formulated explanations to each other. By the time they reach high school</w:t>
      </w:r>
      <w:r>
        <w:rPr>
          <w:rFonts w:cs="Arial"/>
        </w:rPr>
        <w:t>,</w:t>
      </w:r>
      <w:r w:rsidRPr="0031133A">
        <w:rPr>
          <w:rFonts w:cs="Arial"/>
        </w:rPr>
        <w:t xml:space="preserve"> they have learned to examine claims and make explicit use of definitions. </w:t>
      </w:r>
    </w:p>
    <w:p w14:paraId="335995CE" w14:textId="77777777" w:rsidR="009A1CE9" w:rsidRPr="0031133A" w:rsidRDefault="009A1CE9" w:rsidP="009A1CE9">
      <w:pPr>
        <w:pStyle w:val="New-Normal"/>
      </w:pPr>
      <w:r>
        <w:t xml:space="preserve">7. </w:t>
      </w:r>
      <w:r w:rsidRPr="0031133A">
        <w:t>Look for and make use of structure.</w:t>
      </w:r>
    </w:p>
    <w:p w14:paraId="0ED4E0A6" w14:textId="77777777" w:rsidR="009A1CE9" w:rsidRPr="0031133A" w:rsidRDefault="009A1CE9" w:rsidP="009A1CE9">
      <w:pPr>
        <w:tabs>
          <w:tab w:val="left" w:pos="360"/>
        </w:tabs>
        <w:spacing w:line="276" w:lineRule="auto"/>
        <w:rPr>
          <w:rFonts w:cs="Arial"/>
        </w:rPr>
      </w:pPr>
      <w:r w:rsidRPr="0031133A">
        <w:rPr>
          <w:rFonts w:cs="Arial"/>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w:t>
      </w:r>
      <w:r w:rsidRPr="0031133A">
        <w:rPr>
          <w:rFonts w:cs="Arial"/>
        </w:rPr>
        <w:sym w:font="Symbol" w:char="00B4"/>
      </w:r>
      <w:r w:rsidRPr="0031133A">
        <w:rPr>
          <w:rFonts w:cs="Arial"/>
        </w:rPr>
        <w:t xml:space="preserve"> </w:t>
      </w:r>
      <w:r>
        <w:fldChar w:fldCharType="begin"/>
      </w:r>
      <w:r>
        <w:fldChar w:fldCharType="separate"/>
      </w:r>
      <w:r w:rsidRPr="0031133A">
        <w:rPr>
          <w:rFonts w:cs="Arial"/>
          <w:noProof/>
          <w:position w:val="-2"/>
          <w:lang w:eastAsia="zh-CN"/>
        </w:rPr>
        <w:drawing>
          <wp:inline distT="0" distB="0" distL="0" distR="0" wp14:anchorId="22B4C6D7" wp14:editId="0C3CDD55">
            <wp:extent cx="154305" cy="154305"/>
            <wp:effectExtent l="0" t="0" r="0" b="0"/>
            <wp:docPr id="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flipH="1" flipV="1">
                      <a:off x="0" y="0"/>
                      <a:ext cx="154305" cy="154305"/>
                    </a:xfrm>
                    <a:prstGeom prst="rect">
                      <a:avLst/>
                    </a:prstGeom>
                    <a:noFill/>
                    <a:ln w="9525">
                      <a:noFill/>
                      <a:miter lim="800000"/>
                      <a:headEnd/>
                      <a:tailEnd/>
                    </a:ln>
                  </pic:spPr>
                </pic:pic>
              </a:graphicData>
            </a:graphic>
          </wp:inline>
        </w:drawing>
      </w:r>
      <w:r>
        <w:rPr>
          <w:rFonts w:cs="Arial"/>
          <w:noProof/>
          <w:position w:val="-2"/>
          <w:lang w:eastAsia="zh-CN"/>
        </w:rPr>
        <w:fldChar w:fldCharType="end"/>
      </w:r>
      <w:r w:rsidRPr="0031133A">
        <w:rPr>
          <w:rFonts w:cs="Arial"/>
        </w:rPr>
        <w:t xml:space="preserve">8 equals the well-remembered 7 </w:t>
      </w:r>
      <w:r w:rsidRPr="0031133A">
        <w:rPr>
          <w:rFonts w:cs="Arial"/>
        </w:rPr>
        <w:sym w:font="Symbol" w:char="00B4"/>
      </w:r>
      <w:r w:rsidRPr="0031133A">
        <w:rPr>
          <w:rFonts w:cs="Arial"/>
        </w:rPr>
        <w:t xml:space="preserve"> </w:t>
      </w:r>
      <w:r>
        <w:fldChar w:fldCharType="begin"/>
      </w:r>
      <w:r>
        <w:fldChar w:fldCharType="separate"/>
      </w:r>
      <w:r w:rsidRPr="0031133A">
        <w:rPr>
          <w:rFonts w:cs="Arial"/>
          <w:noProof/>
          <w:position w:val="-2"/>
          <w:lang w:eastAsia="zh-CN"/>
        </w:rPr>
        <w:drawing>
          <wp:inline distT="0" distB="0" distL="0" distR="0" wp14:anchorId="1603B456" wp14:editId="272A1266">
            <wp:extent cx="154305" cy="154305"/>
            <wp:effectExtent l="0" t="0" r="0" b="0"/>
            <wp:docPr id="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flipH="1" flipV="1">
                      <a:off x="0" y="0"/>
                      <a:ext cx="154305" cy="154305"/>
                    </a:xfrm>
                    <a:prstGeom prst="rect">
                      <a:avLst/>
                    </a:prstGeom>
                    <a:noFill/>
                    <a:ln w="9525">
                      <a:noFill/>
                      <a:miter lim="800000"/>
                      <a:headEnd/>
                      <a:tailEnd/>
                    </a:ln>
                  </pic:spPr>
                </pic:pic>
              </a:graphicData>
            </a:graphic>
          </wp:inline>
        </w:drawing>
      </w:r>
      <w:r>
        <w:rPr>
          <w:rFonts w:cs="Arial"/>
          <w:noProof/>
          <w:position w:val="-2"/>
          <w:lang w:eastAsia="zh-CN"/>
        </w:rPr>
        <w:fldChar w:fldCharType="end"/>
      </w:r>
      <w:r w:rsidRPr="0031133A">
        <w:rPr>
          <w:rFonts w:cs="Arial"/>
        </w:rPr>
        <w:t xml:space="preserve">5 + 7 </w:t>
      </w:r>
      <w:r w:rsidRPr="0031133A">
        <w:rPr>
          <w:rFonts w:cs="Arial"/>
        </w:rPr>
        <w:sym w:font="Symbol" w:char="00B4"/>
      </w:r>
      <w:r w:rsidRPr="0031133A">
        <w:rPr>
          <w:rFonts w:cs="Arial"/>
        </w:rPr>
        <w:t xml:space="preserve"> 3, in preparation for learning about the distributive property. In the expression </w:t>
      </w:r>
      <w:r w:rsidRPr="0031133A">
        <w:rPr>
          <w:rFonts w:cs="Arial"/>
          <w:i/>
          <w:iCs/>
        </w:rPr>
        <w:t>x</w:t>
      </w:r>
      <w:r w:rsidRPr="0031133A">
        <w:rPr>
          <w:rFonts w:cs="Arial"/>
          <w:vertAlign w:val="superscript"/>
        </w:rPr>
        <w:t xml:space="preserve">2  </w:t>
      </w:r>
      <w:r w:rsidRPr="0031133A">
        <w:rPr>
          <w:rFonts w:cs="Arial"/>
        </w:rPr>
        <w:t>+ 9</w:t>
      </w:r>
      <w:r w:rsidRPr="0031133A">
        <w:rPr>
          <w:rFonts w:cs="Arial"/>
          <w:i/>
          <w:iCs/>
        </w:rPr>
        <w:t>x</w:t>
      </w:r>
      <w:r w:rsidRPr="0031133A">
        <w:rPr>
          <w:rFonts w:cs="Arial"/>
          <w:iCs/>
        </w:rPr>
        <w:t xml:space="preserve"> </w:t>
      </w:r>
      <w:r w:rsidRPr="0031133A">
        <w:rPr>
          <w:rFonts w:cs="Arial"/>
        </w:rPr>
        <w:t xml:space="preserve">+ 14, older students can see the 14 as 2 </w:t>
      </w:r>
      <w:r w:rsidRPr="0031133A">
        <w:rPr>
          <w:rFonts w:cs="Arial"/>
        </w:rPr>
        <w:sym w:font="Symbol" w:char="00B4"/>
      </w:r>
      <w:r w:rsidRPr="0031133A">
        <w:rPr>
          <w:rFonts w:cs="Arial"/>
        </w:rPr>
        <w:t xml:space="preserve">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31133A">
        <w:rPr>
          <w:rFonts w:cs="Arial"/>
          <w:i/>
          <w:iCs/>
        </w:rPr>
        <w:t>x</w:t>
      </w:r>
      <w:r w:rsidRPr="0031133A">
        <w:rPr>
          <w:rFonts w:cs="Arial"/>
          <w:i/>
        </w:rPr>
        <w:t xml:space="preserve"> </w:t>
      </w:r>
      <w:r w:rsidRPr="0031133A">
        <w:rPr>
          <w:rFonts w:cs="Arial"/>
        </w:rPr>
        <w:t xml:space="preserve">– </w:t>
      </w:r>
      <w:r w:rsidRPr="0031133A">
        <w:rPr>
          <w:rFonts w:cs="Arial"/>
          <w:i/>
          <w:iCs/>
        </w:rPr>
        <w:t>y</w:t>
      </w:r>
      <w:r w:rsidRPr="0031133A">
        <w:rPr>
          <w:rFonts w:cs="Arial"/>
        </w:rPr>
        <w:t>)</w:t>
      </w:r>
      <w:r w:rsidRPr="0031133A">
        <w:rPr>
          <w:rFonts w:cs="Arial"/>
          <w:vertAlign w:val="superscript"/>
        </w:rPr>
        <w:t>2</w:t>
      </w:r>
      <w:r w:rsidRPr="0031133A">
        <w:rPr>
          <w:rFonts w:cs="Arial"/>
        </w:rPr>
        <w:t xml:space="preserve"> as 5 minus a positive number times a square, and use that to realize that its value cannot be more than 5 for any real numbers </w:t>
      </w:r>
      <w:r w:rsidRPr="0031133A">
        <w:rPr>
          <w:rFonts w:cs="Arial"/>
          <w:i/>
          <w:iCs/>
        </w:rPr>
        <w:t>x</w:t>
      </w:r>
      <w:r w:rsidRPr="0031133A">
        <w:rPr>
          <w:rFonts w:cs="Arial"/>
        </w:rPr>
        <w:t xml:space="preserve"> and </w:t>
      </w:r>
      <w:r w:rsidRPr="0031133A">
        <w:rPr>
          <w:rFonts w:cs="Arial"/>
          <w:i/>
          <w:iCs/>
        </w:rPr>
        <w:t>y</w:t>
      </w:r>
      <w:r w:rsidRPr="0031133A">
        <w:rPr>
          <w:rFonts w:cs="Arial"/>
        </w:rPr>
        <w:t xml:space="preserve">. </w:t>
      </w:r>
    </w:p>
    <w:p w14:paraId="17BAE77F" w14:textId="77777777" w:rsidR="009A1CE9" w:rsidRPr="0031133A" w:rsidRDefault="009A1CE9" w:rsidP="009A1CE9">
      <w:pPr>
        <w:pStyle w:val="New-Normal"/>
      </w:pPr>
      <w:r>
        <w:t xml:space="preserve">8. </w:t>
      </w:r>
      <w:r w:rsidRPr="0031133A">
        <w:t>Look for and express regularity in repeated reasoning.</w:t>
      </w:r>
    </w:p>
    <w:p w14:paraId="784FA689" w14:textId="77777777" w:rsidR="009A1CE9" w:rsidRPr="0097386D" w:rsidRDefault="009A1CE9" w:rsidP="009A1CE9">
      <w:pPr>
        <w:tabs>
          <w:tab w:val="left" w:pos="360"/>
        </w:tabs>
        <w:spacing w:line="276" w:lineRule="auto"/>
        <w:rPr>
          <w:rFonts w:cs="Arial"/>
        </w:rPr>
      </w:pPr>
      <w:r w:rsidRPr="0031133A">
        <w:rPr>
          <w:rFonts w:cs="Arial"/>
        </w:rPr>
        <w:t xml:space="preserve">Mathematically proficient students notice if calculations are repeated, and look both for general methods and for shortcuts. Upper elementary students might notice when dividing </w:t>
      </w:r>
      <w:r w:rsidRPr="0031133A">
        <w:rPr>
          <w:rFonts w:cs="Arial"/>
        </w:rPr>
        <w:lastRenderedPageBreak/>
        <w:t>25 by 11 that they are repeating the same calculations over and over again, and conclude they have a repeating decimal. By paying attention to the calculation of slope as they repeatedly check whether points are on the line through (1, 2) with slope 3, middle school students might ab</w:t>
      </w:r>
      <w:r>
        <w:rPr>
          <w:rFonts w:cs="Arial"/>
        </w:rPr>
        <w:t>stract the equation</w:t>
      </w:r>
      <w:r w:rsidRPr="0031133A">
        <w:rPr>
          <w:rFonts w:cs="Arial"/>
        </w:rPr>
        <w:t xml:space="preserve"> </w:t>
      </w:r>
      <w:r w:rsidRPr="0097386D">
        <w:rPr>
          <w:rFonts w:cs="Arial"/>
          <w:vertAlign w:val="superscript"/>
        </w:rPr>
        <w:t>(</w:t>
      </w:r>
      <w:r w:rsidRPr="0097386D">
        <w:rPr>
          <w:rFonts w:cs="Arial"/>
          <w:i/>
          <w:iCs/>
          <w:vertAlign w:val="superscript"/>
        </w:rPr>
        <w:t>y</w:t>
      </w:r>
      <w:r w:rsidRPr="0097386D">
        <w:rPr>
          <w:rFonts w:cs="Arial"/>
          <w:i/>
          <w:vertAlign w:val="superscript"/>
        </w:rPr>
        <w:t> </w:t>
      </w:r>
      <w:r w:rsidRPr="0097386D">
        <w:rPr>
          <w:rFonts w:cs="Arial"/>
          <w:vertAlign w:val="superscript"/>
        </w:rPr>
        <w:t>– 2)</w:t>
      </w:r>
      <w:r>
        <w:rPr>
          <w:rFonts w:cs="Arial"/>
        </w:rPr>
        <w:t>∕</w:t>
      </w:r>
      <w:r w:rsidRPr="0097386D">
        <w:rPr>
          <w:rFonts w:cs="Arial"/>
          <w:vertAlign w:val="subscript"/>
        </w:rPr>
        <w:t>(</w:t>
      </w:r>
      <w:r w:rsidRPr="0097386D">
        <w:rPr>
          <w:rFonts w:cs="Arial"/>
          <w:i/>
          <w:iCs/>
          <w:vertAlign w:val="subscript"/>
        </w:rPr>
        <w:t>x</w:t>
      </w:r>
      <w:r w:rsidRPr="0097386D">
        <w:rPr>
          <w:rFonts w:cs="Arial"/>
          <w:vertAlign w:val="subscript"/>
        </w:rPr>
        <w:t> – 1) </w:t>
      </w:r>
      <w:r w:rsidRPr="0031133A">
        <w:rPr>
          <w:rFonts w:cs="Arial"/>
        </w:rPr>
        <w:t>= 3. Noticing the regularity in the way terms cancel when expanding (</w:t>
      </w:r>
      <w:r w:rsidRPr="0031133A">
        <w:rPr>
          <w:rFonts w:cs="Arial"/>
          <w:i/>
          <w:iCs/>
        </w:rPr>
        <w:t>x</w:t>
      </w:r>
      <w:r w:rsidRPr="0031133A">
        <w:rPr>
          <w:rFonts w:cs="Arial"/>
        </w:rPr>
        <w:t xml:space="preserve"> – 1)(</w:t>
      </w:r>
      <w:r w:rsidRPr="0031133A">
        <w:rPr>
          <w:rFonts w:cs="Arial"/>
          <w:i/>
          <w:iCs/>
        </w:rPr>
        <w:t>x</w:t>
      </w:r>
      <w:r w:rsidRPr="0031133A">
        <w:rPr>
          <w:rFonts w:cs="Arial"/>
          <w:iCs/>
        </w:rPr>
        <w:t xml:space="preserve"> </w:t>
      </w:r>
      <w:r w:rsidRPr="0031133A">
        <w:rPr>
          <w:rFonts w:cs="Arial"/>
        </w:rPr>
        <w:t>+ 1),</w:t>
      </w:r>
      <w:r>
        <w:rPr>
          <w:rFonts w:cs="Arial"/>
        </w:rPr>
        <w:t xml:space="preserve"> </w:t>
      </w:r>
      <w:r w:rsidRPr="0031133A">
        <w:rPr>
          <w:rFonts w:cs="Arial"/>
        </w:rPr>
        <w:t>(</w:t>
      </w:r>
      <w:r w:rsidRPr="0031133A">
        <w:rPr>
          <w:rFonts w:cs="Arial"/>
          <w:i/>
          <w:iCs/>
        </w:rPr>
        <w:t>x</w:t>
      </w:r>
      <w:r w:rsidRPr="0031133A">
        <w:rPr>
          <w:rFonts w:cs="Arial"/>
        </w:rPr>
        <w:t> – 1)(</w:t>
      </w:r>
      <w:r w:rsidRPr="0031133A">
        <w:rPr>
          <w:rFonts w:cs="Arial"/>
          <w:i/>
          <w:iCs/>
        </w:rPr>
        <w:t>x</w:t>
      </w:r>
      <w:r w:rsidRPr="0031133A">
        <w:rPr>
          <w:rFonts w:cs="Arial"/>
          <w:vertAlign w:val="superscript"/>
        </w:rPr>
        <w:t>2 </w:t>
      </w:r>
      <w:r w:rsidRPr="0031133A">
        <w:rPr>
          <w:rFonts w:cs="Arial"/>
        </w:rPr>
        <w:t>+ </w:t>
      </w:r>
      <w:r w:rsidRPr="0031133A">
        <w:rPr>
          <w:rFonts w:cs="Arial"/>
          <w:i/>
          <w:iCs/>
        </w:rPr>
        <w:t>x</w:t>
      </w:r>
      <w:r w:rsidRPr="0031133A">
        <w:rPr>
          <w:rFonts w:cs="Arial"/>
        </w:rPr>
        <w:t> + 1), and (</w:t>
      </w:r>
      <w:r w:rsidRPr="0031133A">
        <w:rPr>
          <w:rFonts w:cs="Arial"/>
          <w:i/>
          <w:iCs/>
        </w:rPr>
        <w:t>x</w:t>
      </w:r>
      <w:r w:rsidRPr="0031133A">
        <w:rPr>
          <w:rFonts w:cs="Arial"/>
        </w:rPr>
        <w:t xml:space="preserve"> – 1)(</w:t>
      </w:r>
      <w:r w:rsidRPr="0031133A">
        <w:rPr>
          <w:rFonts w:cs="Arial"/>
          <w:i/>
          <w:iCs/>
        </w:rPr>
        <w:t>x</w:t>
      </w:r>
      <w:r w:rsidRPr="0031133A">
        <w:rPr>
          <w:rFonts w:cs="Arial"/>
          <w:vertAlign w:val="superscript"/>
        </w:rPr>
        <w:t>3</w:t>
      </w:r>
      <w:r w:rsidRPr="0031133A">
        <w:rPr>
          <w:rFonts w:cs="Arial"/>
        </w:rPr>
        <w:t xml:space="preserve"> + </w:t>
      </w:r>
      <w:r w:rsidRPr="0031133A">
        <w:rPr>
          <w:rFonts w:cs="Arial"/>
          <w:i/>
          <w:iCs/>
        </w:rPr>
        <w:t>x</w:t>
      </w:r>
      <w:r w:rsidRPr="0031133A">
        <w:rPr>
          <w:rFonts w:cs="Arial"/>
          <w:vertAlign w:val="superscript"/>
        </w:rPr>
        <w:t xml:space="preserve">2 </w:t>
      </w:r>
      <w:r w:rsidRPr="0031133A">
        <w:rPr>
          <w:rFonts w:cs="Arial"/>
        </w:rPr>
        <w:t xml:space="preserve">+ </w:t>
      </w:r>
      <w:r w:rsidRPr="0031133A">
        <w:rPr>
          <w:rFonts w:cs="Arial"/>
          <w:i/>
          <w:iCs/>
        </w:rPr>
        <w:t>x</w:t>
      </w:r>
      <w:r w:rsidRPr="0031133A">
        <w:rPr>
          <w:rFonts w:cs="Arial"/>
        </w:rPr>
        <w:t xml:space="preserve">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14:paraId="2F6BB5CE" w14:textId="076977A5" w:rsidR="00673F87" w:rsidRPr="00962CDC" w:rsidRDefault="00673F87" w:rsidP="00673F87">
      <w:pPr>
        <w:pStyle w:val="NormalWeb"/>
        <w:spacing w:before="2" w:after="2"/>
        <w:rPr>
          <w:rFonts w:ascii="Times New Roman" w:hAnsi="Times New Roman"/>
          <w:sz w:val="22"/>
          <w:szCs w:val="22"/>
        </w:rPr>
      </w:pPr>
    </w:p>
    <w:sectPr w:rsidR="00673F87" w:rsidRPr="00962CDC" w:rsidSect="00673F87">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14DC3" w14:textId="77777777" w:rsidR="00635736" w:rsidRDefault="00635736">
      <w:pPr>
        <w:spacing w:after="0"/>
      </w:pPr>
      <w:r>
        <w:separator/>
      </w:r>
    </w:p>
  </w:endnote>
  <w:endnote w:type="continuationSeparator" w:id="0">
    <w:p w14:paraId="5488073F" w14:textId="77777777" w:rsidR="00635736" w:rsidRDefault="00635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CFB4" w14:textId="0B5CD723" w:rsidR="00962CDC" w:rsidRDefault="00962CDC" w:rsidP="00962CDC">
    <w:pPr>
      <w:pStyle w:val="Footer"/>
      <w:tabs>
        <w:tab w:val="clear" w:pos="8640"/>
        <w:tab w:val="right" w:pos="9360"/>
      </w:tabs>
    </w:pPr>
    <w:r>
      <w:rPr>
        <w:rFonts w:ascii="Times New Roman" w:hAnsi="Times New Roman"/>
        <w:sz w:val="18"/>
        <w:szCs w:val="18"/>
      </w:rPr>
      <w:t>201</w:t>
    </w:r>
    <w:r w:rsidR="009A1CE9">
      <w:rPr>
        <w:rFonts w:ascii="Times New Roman" w:hAnsi="Times New Roman"/>
        <w:sz w:val="18"/>
        <w:szCs w:val="18"/>
      </w:rPr>
      <w:t>7</w:t>
    </w:r>
    <w:r>
      <w:rPr>
        <w:rFonts w:ascii="Times New Roman" w:hAnsi="Times New Roman"/>
        <w:sz w:val="18"/>
        <w:szCs w:val="18"/>
      </w:rPr>
      <w:t xml:space="preserve"> Massachusetts Curriculum Framework for Mathematics Pages 16-18</w:t>
    </w:r>
    <w:r>
      <w:rPr>
        <w:rFonts w:ascii="Times New Roman" w:hAnsi="Times New Roman"/>
        <w:sz w:val="18"/>
        <w:szCs w:val="18"/>
      </w:rPr>
      <w:tab/>
      <w:t xml:space="preserve">p. </w:t>
    </w:r>
    <w:r w:rsidR="00753AC6" w:rsidRPr="00962CDC">
      <w:rPr>
        <w:rStyle w:val="PageNumber"/>
        <w:sz w:val="20"/>
      </w:rPr>
      <w:fldChar w:fldCharType="begin"/>
    </w:r>
    <w:r w:rsidRPr="00962CDC">
      <w:rPr>
        <w:rStyle w:val="PageNumber"/>
        <w:sz w:val="20"/>
      </w:rPr>
      <w:instrText xml:space="preserve"> PAGE </w:instrText>
    </w:r>
    <w:r w:rsidR="00753AC6" w:rsidRPr="00962CDC">
      <w:rPr>
        <w:rStyle w:val="PageNumber"/>
        <w:sz w:val="20"/>
      </w:rPr>
      <w:fldChar w:fldCharType="separate"/>
    </w:r>
    <w:r w:rsidR="00B25311">
      <w:rPr>
        <w:rStyle w:val="PageNumber"/>
        <w:noProof/>
        <w:sz w:val="20"/>
      </w:rPr>
      <w:t>1</w:t>
    </w:r>
    <w:r w:rsidR="00753AC6" w:rsidRPr="00962CD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F051B" w14:textId="77777777" w:rsidR="00635736" w:rsidRDefault="00635736">
      <w:pPr>
        <w:spacing w:after="0"/>
      </w:pPr>
      <w:r>
        <w:separator/>
      </w:r>
    </w:p>
  </w:footnote>
  <w:footnote w:type="continuationSeparator" w:id="0">
    <w:p w14:paraId="6AB1C269" w14:textId="77777777" w:rsidR="00635736" w:rsidRDefault="00635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B842E" w14:textId="77777777" w:rsidR="0012157D" w:rsidRPr="006672D8" w:rsidRDefault="0012157D" w:rsidP="0012157D">
    <w:pPr>
      <w:pStyle w:val="Header"/>
      <w:tabs>
        <w:tab w:val="clear" w:pos="4320"/>
        <w:tab w:val="clear" w:pos="8640"/>
        <w:tab w:val="right" w:pos="9360"/>
      </w:tabs>
      <w:rPr>
        <w:rFonts w:ascii="Times New Roman" w:hAnsi="Times New Roman" w:cs="Times New Roman"/>
      </w:rPr>
    </w:pPr>
    <w:r>
      <w:rPr>
        <w:rFonts w:asciiTheme="majorHAnsi" w:hAnsiTheme="majorHAnsi"/>
      </w:rPr>
      <w:tab/>
    </w:r>
    <w:r w:rsidR="006672D8" w:rsidRPr="006672D8">
      <w:rPr>
        <w:rFonts w:ascii="Times New Roman" w:hAnsi="Times New Roman" w:cs="Times New Roman"/>
        <w:sz w:val="28"/>
      </w:rPr>
      <w:t>Handout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87"/>
    <w:rsid w:val="00040A12"/>
    <w:rsid w:val="0012157D"/>
    <w:rsid w:val="00233E25"/>
    <w:rsid w:val="00265C0F"/>
    <w:rsid w:val="003000F4"/>
    <w:rsid w:val="00635736"/>
    <w:rsid w:val="006672D8"/>
    <w:rsid w:val="00673F87"/>
    <w:rsid w:val="006A55B6"/>
    <w:rsid w:val="00753AC6"/>
    <w:rsid w:val="007C1B87"/>
    <w:rsid w:val="008C670F"/>
    <w:rsid w:val="00962CDC"/>
    <w:rsid w:val="00983545"/>
    <w:rsid w:val="009A1CE9"/>
    <w:rsid w:val="009B73C0"/>
    <w:rsid w:val="00A2347C"/>
    <w:rsid w:val="00A65E52"/>
    <w:rsid w:val="00B20EB7"/>
    <w:rsid w:val="00B25311"/>
    <w:rsid w:val="00B2617C"/>
    <w:rsid w:val="00DA60E0"/>
    <w:rsid w:val="00DA6D2B"/>
    <w:rsid w:val="00DF046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7612"/>
  <w15:docId w15:val="{3DF1B63F-6AC4-4491-8079-B523B77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A1"/>
  </w:style>
  <w:style w:type="paragraph" w:styleId="Heading2">
    <w:name w:val="heading 2"/>
    <w:basedOn w:val="Normal"/>
    <w:next w:val="Normal"/>
    <w:link w:val="Heading2Char"/>
    <w:uiPriority w:val="9"/>
    <w:unhideWhenUsed/>
    <w:qFormat/>
    <w:rsid w:val="009A1CE9"/>
    <w:pPr>
      <w:keepNext/>
      <w:keepLines/>
      <w:spacing w:before="120" w:after="0"/>
      <w:outlineLvl w:val="1"/>
    </w:pPr>
    <w:rPr>
      <w:rFonts w:asciiTheme="majorHAnsi" w:eastAsiaTheme="majorEastAsia" w:hAnsiTheme="majorHAnsi" w:cstheme="majorBidi"/>
      <w:b/>
      <w:bCs/>
      <w:color w:val="00438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3F87"/>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962CDC"/>
    <w:pPr>
      <w:tabs>
        <w:tab w:val="center" w:pos="4320"/>
        <w:tab w:val="right" w:pos="8640"/>
      </w:tabs>
      <w:spacing w:after="0"/>
    </w:pPr>
  </w:style>
  <w:style w:type="character" w:customStyle="1" w:styleId="HeaderChar">
    <w:name w:val="Header Char"/>
    <w:basedOn w:val="DefaultParagraphFont"/>
    <w:link w:val="Header"/>
    <w:uiPriority w:val="99"/>
    <w:rsid w:val="00962CDC"/>
  </w:style>
  <w:style w:type="paragraph" w:styleId="Footer">
    <w:name w:val="footer"/>
    <w:basedOn w:val="Normal"/>
    <w:link w:val="FooterChar"/>
    <w:uiPriority w:val="99"/>
    <w:unhideWhenUsed/>
    <w:rsid w:val="00962CDC"/>
    <w:pPr>
      <w:tabs>
        <w:tab w:val="center" w:pos="4320"/>
        <w:tab w:val="right" w:pos="8640"/>
      </w:tabs>
      <w:spacing w:after="0"/>
    </w:pPr>
  </w:style>
  <w:style w:type="character" w:customStyle="1" w:styleId="FooterChar">
    <w:name w:val="Footer Char"/>
    <w:basedOn w:val="DefaultParagraphFont"/>
    <w:link w:val="Footer"/>
    <w:uiPriority w:val="99"/>
    <w:rsid w:val="00962CDC"/>
  </w:style>
  <w:style w:type="character" w:styleId="PageNumber">
    <w:name w:val="page number"/>
    <w:basedOn w:val="DefaultParagraphFont"/>
    <w:uiPriority w:val="99"/>
    <w:semiHidden/>
    <w:unhideWhenUsed/>
    <w:rsid w:val="00962CDC"/>
  </w:style>
  <w:style w:type="character" w:customStyle="1" w:styleId="Heading2Char">
    <w:name w:val="Heading 2 Char"/>
    <w:basedOn w:val="DefaultParagraphFont"/>
    <w:link w:val="Heading2"/>
    <w:uiPriority w:val="9"/>
    <w:rsid w:val="009A1CE9"/>
    <w:rPr>
      <w:rFonts w:asciiTheme="majorHAnsi" w:eastAsiaTheme="majorEastAsia" w:hAnsiTheme="majorHAnsi" w:cstheme="majorBidi"/>
      <w:b/>
      <w:bCs/>
      <w:color w:val="004386"/>
      <w:sz w:val="32"/>
      <w:szCs w:val="26"/>
    </w:rPr>
  </w:style>
  <w:style w:type="paragraph" w:customStyle="1" w:styleId="New-Normal">
    <w:name w:val="New-Normal"/>
    <w:basedOn w:val="Normal"/>
    <w:link w:val="New-NormalChar"/>
    <w:qFormat/>
    <w:rsid w:val="009A1CE9"/>
    <w:pPr>
      <w:spacing w:before="200" w:after="0" w:line="276" w:lineRule="auto"/>
    </w:pPr>
    <w:rPr>
      <w:rFonts w:asciiTheme="majorHAnsi" w:hAnsiTheme="majorHAnsi"/>
      <w:b/>
      <w:color w:val="004386"/>
    </w:rPr>
  </w:style>
  <w:style w:type="character" w:customStyle="1" w:styleId="New-NormalChar">
    <w:name w:val="New-Normal Char"/>
    <w:basedOn w:val="DefaultParagraphFont"/>
    <w:link w:val="New-Normal"/>
    <w:rsid w:val="009A1CE9"/>
    <w:rPr>
      <w:rFonts w:asciiTheme="majorHAnsi" w:hAnsiTheme="majorHAnsi"/>
      <w:b/>
      <w:color w:val="0043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25068">
      <w:bodyDiv w:val="1"/>
      <w:marLeft w:val="0"/>
      <w:marRight w:val="0"/>
      <w:marTop w:val="0"/>
      <w:marBottom w:val="0"/>
      <w:divBdr>
        <w:top w:val="none" w:sz="0" w:space="0" w:color="auto"/>
        <w:left w:val="none" w:sz="0" w:space="0" w:color="auto"/>
        <w:bottom w:val="none" w:sz="0" w:space="0" w:color="auto"/>
        <w:right w:val="none" w:sz="0" w:space="0" w:color="auto"/>
      </w:divBdr>
      <w:divsChild>
        <w:div w:id="256907071">
          <w:marLeft w:val="0"/>
          <w:marRight w:val="0"/>
          <w:marTop w:val="0"/>
          <w:marBottom w:val="0"/>
          <w:divBdr>
            <w:top w:val="none" w:sz="0" w:space="0" w:color="auto"/>
            <w:left w:val="none" w:sz="0" w:space="0" w:color="auto"/>
            <w:bottom w:val="none" w:sz="0" w:space="0" w:color="auto"/>
            <w:right w:val="none" w:sz="0" w:space="0" w:color="auto"/>
          </w:divBdr>
          <w:divsChild>
            <w:div w:id="376244238">
              <w:marLeft w:val="0"/>
              <w:marRight w:val="0"/>
              <w:marTop w:val="0"/>
              <w:marBottom w:val="0"/>
              <w:divBdr>
                <w:top w:val="none" w:sz="0" w:space="0" w:color="auto"/>
                <w:left w:val="none" w:sz="0" w:space="0" w:color="auto"/>
                <w:bottom w:val="none" w:sz="0" w:space="0" w:color="auto"/>
                <w:right w:val="none" w:sz="0" w:space="0" w:color="auto"/>
              </w:divBdr>
              <w:divsChild>
                <w:div w:id="585723178">
                  <w:marLeft w:val="0"/>
                  <w:marRight w:val="0"/>
                  <w:marTop w:val="0"/>
                  <w:marBottom w:val="0"/>
                  <w:divBdr>
                    <w:top w:val="none" w:sz="0" w:space="0" w:color="auto"/>
                    <w:left w:val="none" w:sz="0" w:space="0" w:color="auto"/>
                    <w:bottom w:val="none" w:sz="0" w:space="0" w:color="auto"/>
                    <w:right w:val="none" w:sz="0" w:space="0" w:color="auto"/>
                  </w:divBdr>
                  <w:divsChild>
                    <w:div w:id="1189371234">
                      <w:marLeft w:val="0"/>
                      <w:marRight w:val="0"/>
                      <w:marTop w:val="0"/>
                      <w:marBottom w:val="0"/>
                      <w:divBdr>
                        <w:top w:val="none" w:sz="0" w:space="0" w:color="auto"/>
                        <w:left w:val="none" w:sz="0" w:space="0" w:color="auto"/>
                        <w:bottom w:val="none" w:sz="0" w:space="0" w:color="auto"/>
                        <w:right w:val="none" w:sz="0" w:space="0" w:color="auto"/>
                      </w:divBdr>
                    </w:div>
                  </w:divsChild>
                </w:div>
                <w:div w:id="1761754023">
                  <w:marLeft w:val="0"/>
                  <w:marRight w:val="0"/>
                  <w:marTop w:val="0"/>
                  <w:marBottom w:val="0"/>
                  <w:divBdr>
                    <w:top w:val="none" w:sz="0" w:space="0" w:color="auto"/>
                    <w:left w:val="none" w:sz="0" w:space="0" w:color="auto"/>
                    <w:bottom w:val="none" w:sz="0" w:space="0" w:color="auto"/>
                    <w:right w:val="none" w:sz="0" w:space="0" w:color="auto"/>
                  </w:divBdr>
                  <w:divsChild>
                    <w:div w:id="3225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6764">
          <w:marLeft w:val="0"/>
          <w:marRight w:val="0"/>
          <w:marTop w:val="0"/>
          <w:marBottom w:val="0"/>
          <w:divBdr>
            <w:top w:val="none" w:sz="0" w:space="0" w:color="auto"/>
            <w:left w:val="none" w:sz="0" w:space="0" w:color="auto"/>
            <w:bottom w:val="none" w:sz="0" w:space="0" w:color="auto"/>
            <w:right w:val="none" w:sz="0" w:space="0" w:color="auto"/>
          </w:divBdr>
          <w:divsChild>
            <w:div w:id="686519375">
              <w:marLeft w:val="0"/>
              <w:marRight w:val="0"/>
              <w:marTop w:val="0"/>
              <w:marBottom w:val="0"/>
              <w:divBdr>
                <w:top w:val="none" w:sz="0" w:space="0" w:color="auto"/>
                <w:left w:val="none" w:sz="0" w:space="0" w:color="auto"/>
                <w:bottom w:val="none" w:sz="0" w:space="0" w:color="auto"/>
                <w:right w:val="none" w:sz="0" w:space="0" w:color="auto"/>
              </w:divBdr>
              <w:divsChild>
                <w:div w:id="869031711">
                  <w:marLeft w:val="0"/>
                  <w:marRight w:val="0"/>
                  <w:marTop w:val="0"/>
                  <w:marBottom w:val="0"/>
                  <w:divBdr>
                    <w:top w:val="none" w:sz="0" w:space="0" w:color="auto"/>
                    <w:left w:val="none" w:sz="0" w:space="0" w:color="auto"/>
                    <w:bottom w:val="none" w:sz="0" w:space="0" w:color="auto"/>
                    <w:right w:val="none" w:sz="0" w:space="0" w:color="auto"/>
                  </w:divBdr>
                  <w:divsChild>
                    <w:div w:id="1813595072">
                      <w:marLeft w:val="0"/>
                      <w:marRight w:val="0"/>
                      <w:marTop w:val="0"/>
                      <w:marBottom w:val="0"/>
                      <w:divBdr>
                        <w:top w:val="none" w:sz="0" w:space="0" w:color="auto"/>
                        <w:left w:val="none" w:sz="0" w:space="0" w:color="auto"/>
                        <w:bottom w:val="none" w:sz="0" w:space="0" w:color="auto"/>
                        <w:right w:val="none" w:sz="0" w:space="0" w:color="auto"/>
                      </w:divBdr>
                    </w:div>
                  </w:divsChild>
                </w:div>
                <w:div w:id="1615094635">
                  <w:marLeft w:val="0"/>
                  <w:marRight w:val="0"/>
                  <w:marTop w:val="0"/>
                  <w:marBottom w:val="0"/>
                  <w:divBdr>
                    <w:top w:val="none" w:sz="0" w:space="0" w:color="auto"/>
                    <w:left w:val="none" w:sz="0" w:space="0" w:color="auto"/>
                    <w:bottom w:val="none" w:sz="0" w:space="0" w:color="auto"/>
                    <w:right w:val="none" w:sz="0" w:space="0" w:color="auto"/>
                  </w:divBdr>
                  <w:divsChild>
                    <w:div w:id="10168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922">
          <w:marLeft w:val="0"/>
          <w:marRight w:val="0"/>
          <w:marTop w:val="0"/>
          <w:marBottom w:val="0"/>
          <w:divBdr>
            <w:top w:val="none" w:sz="0" w:space="0" w:color="auto"/>
            <w:left w:val="none" w:sz="0" w:space="0" w:color="auto"/>
            <w:bottom w:val="none" w:sz="0" w:space="0" w:color="auto"/>
            <w:right w:val="none" w:sz="0" w:space="0" w:color="auto"/>
          </w:divBdr>
          <w:divsChild>
            <w:div w:id="331302209">
              <w:marLeft w:val="0"/>
              <w:marRight w:val="0"/>
              <w:marTop w:val="0"/>
              <w:marBottom w:val="0"/>
              <w:divBdr>
                <w:top w:val="none" w:sz="0" w:space="0" w:color="auto"/>
                <w:left w:val="none" w:sz="0" w:space="0" w:color="auto"/>
                <w:bottom w:val="none" w:sz="0" w:space="0" w:color="auto"/>
                <w:right w:val="none" w:sz="0" w:space="0" w:color="auto"/>
              </w:divBdr>
              <w:divsChild>
                <w:div w:id="576482891">
                  <w:marLeft w:val="0"/>
                  <w:marRight w:val="0"/>
                  <w:marTop w:val="0"/>
                  <w:marBottom w:val="0"/>
                  <w:divBdr>
                    <w:top w:val="none" w:sz="0" w:space="0" w:color="auto"/>
                    <w:left w:val="none" w:sz="0" w:space="0" w:color="auto"/>
                    <w:bottom w:val="none" w:sz="0" w:space="0" w:color="auto"/>
                    <w:right w:val="none" w:sz="0" w:space="0" w:color="auto"/>
                  </w:divBdr>
                  <w:divsChild>
                    <w:div w:id="425730358">
                      <w:marLeft w:val="0"/>
                      <w:marRight w:val="0"/>
                      <w:marTop w:val="0"/>
                      <w:marBottom w:val="0"/>
                      <w:divBdr>
                        <w:top w:val="none" w:sz="0" w:space="0" w:color="auto"/>
                        <w:left w:val="none" w:sz="0" w:space="0" w:color="auto"/>
                        <w:bottom w:val="none" w:sz="0" w:space="0" w:color="auto"/>
                        <w:right w:val="none" w:sz="0" w:space="0" w:color="auto"/>
                      </w:divBdr>
                    </w:div>
                  </w:divsChild>
                </w:div>
                <w:div w:id="1745106878">
                  <w:marLeft w:val="0"/>
                  <w:marRight w:val="0"/>
                  <w:marTop w:val="0"/>
                  <w:marBottom w:val="0"/>
                  <w:divBdr>
                    <w:top w:val="none" w:sz="0" w:space="0" w:color="auto"/>
                    <w:left w:val="none" w:sz="0" w:space="0" w:color="auto"/>
                    <w:bottom w:val="none" w:sz="0" w:space="0" w:color="auto"/>
                    <w:right w:val="none" w:sz="0" w:space="0" w:color="auto"/>
                  </w:divBdr>
                  <w:divsChild>
                    <w:div w:id="16690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DESE-231-65733</_dlc_DocId>
    <_dlc_DocIdUrl xmlns="733efe1c-5bbe-4968-87dc-d400e65c879f">
      <Url>https://sharepoint.doemass.org/ese/webteam/cps/_layouts/DocIdRedir.aspx?ID=DESE-231-65733</Url>
      <Description>DESE-231-65733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A949AE-17D6-4FFA-BA0F-869B6574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DFB4-0B60-4D7D-97F9-5E171144AFB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2936012-5A7A-4D39-9D3D-CFA27B721BAA}">
  <ds:schemaRefs>
    <ds:schemaRef ds:uri="http://schemas.microsoft.com/sharepoint/v3/contenttype/forms"/>
  </ds:schemaRefs>
</ds:datastoreItem>
</file>

<file path=customXml/itemProps4.xml><?xml version="1.0" encoding="utf-8"?>
<ds:datastoreItem xmlns:ds="http://schemas.openxmlformats.org/officeDocument/2006/customXml" ds:itemID="{18383DA3-8566-4666-B383-0663601C59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Standards for Mathematical Practice</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for Mathematical Practice</dc:title>
  <dc:creator>DESE</dc:creator>
  <cp:lastModifiedBy>Zou, Dong (EOE)</cp:lastModifiedBy>
  <cp:revision>5</cp:revision>
  <dcterms:created xsi:type="dcterms:W3CDTF">2020-04-13T22:06:00Z</dcterms:created>
  <dcterms:modified xsi:type="dcterms:W3CDTF">2020-11-04T17:32:00Z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