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6BAC2" w14:textId="77777777" w:rsidR="007875CA" w:rsidRPr="00D90DB2" w:rsidRDefault="007875CA">
      <w:pPr>
        <w:rPr>
          <w:rFonts w:ascii="Calibri" w:hAnsi="Calibri"/>
        </w:rPr>
      </w:pPr>
      <w:bookmarkStart w:id="0" w:name="_GoBack"/>
      <w:bookmarkEnd w:id="0"/>
      <w:r w:rsidRPr="00D90DB2">
        <w:rPr>
          <w:rFonts w:ascii="Calibri" w:hAnsi="Calibri"/>
        </w:rPr>
        <w:t>Note: Not all slides have talking points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730"/>
      </w:tblGrid>
      <w:tr w:rsidR="000E34FD" w:rsidRPr="003159BC" w14:paraId="31760780" w14:textId="77777777">
        <w:tc>
          <w:tcPr>
            <w:tcW w:w="1188" w:type="dxa"/>
          </w:tcPr>
          <w:p w14:paraId="61D77612" w14:textId="77777777" w:rsidR="007875CA" w:rsidRPr="003159BC" w:rsidRDefault="007875CA" w:rsidP="000E34FD">
            <w:pPr>
              <w:spacing w:before="80" w:after="80"/>
              <w:jc w:val="center"/>
              <w:rPr>
                <w:rFonts w:ascii="Calibri" w:hAnsi="Calibri"/>
                <w:b/>
              </w:rPr>
            </w:pPr>
            <w:r w:rsidRPr="003159BC">
              <w:rPr>
                <w:rFonts w:ascii="Calibri" w:hAnsi="Calibri"/>
                <w:b/>
              </w:rPr>
              <w:t>Slide</w:t>
            </w:r>
          </w:p>
        </w:tc>
        <w:tc>
          <w:tcPr>
            <w:tcW w:w="8730" w:type="dxa"/>
          </w:tcPr>
          <w:p w14:paraId="21D98953" w14:textId="77777777" w:rsidR="000E34FD" w:rsidRPr="003159BC" w:rsidRDefault="000E34FD" w:rsidP="000E34FD">
            <w:pPr>
              <w:spacing w:before="80" w:after="80"/>
              <w:jc w:val="center"/>
              <w:rPr>
                <w:rFonts w:ascii="Calibri" w:hAnsi="Calibri"/>
                <w:b/>
              </w:rPr>
            </w:pPr>
            <w:r w:rsidRPr="003159BC">
              <w:rPr>
                <w:rFonts w:ascii="Calibri" w:hAnsi="Calibri"/>
                <w:b/>
              </w:rPr>
              <w:t>Talking Points</w:t>
            </w:r>
          </w:p>
        </w:tc>
      </w:tr>
      <w:tr w:rsidR="000E34FD" w14:paraId="02BCA24A" w14:textId="77777777">
        <w:tc>
          <w:tcPr>
            <w:tcW w:w="1188" w:type="dxa"/>
          </w:tcPr>
          <w:p w14:paraId="180A84E1" w14:textId="77777777" w:rsidR="000E34FD" w:rsidRPr="003159BC" w:rsidRDefault="000E34FD" w:rsidP="000E34FD">
            <w:pPr>
              <w:spacing w:before="80" w:after="80"/>
              <w:jc w:val="center"/>
              <w:rPr>
                <w:rFonts w:ascii="Calibri" w:hAnsi="Calibri"/>
              </w:rPr>
            </w:pPr>
            <w:r w:rsidRPr="003159BC">
              <w:rPr>
                <w:rFonts w:ascii="Calibri" w:hAnsi="Calibri"/>
              </w:rPr>
              <w:t>1</w:t>
            </w:r>
          </w:p>
        </w:tc>
        <w:tc>
          <w:tcPr>
            <w:tcW w:w="8730" w:type="dxa"/>
          </w:tcPr>
          <w:p w14:paraId="66987B3C" w14:textId="77777777" w:rsidR="000E34FD" w:rsidRPr="003159BC" w:rsidRDefault="000E34FD" w:rsidP="000E34FD">
            <w:pPr>
              <w:spacing w:before="80" w:after="80"/>
              <w:rPr>
                <w:rFonts w:ascii="Calibri" w:hAnsi="Calibri"/>
              </w:rPr>
            </w:pPr>
          </w:p>
        </w:tc>
      </w:tr>
      <w:tr w:rsidR="000E34FD" w14:paraId="0A63E69C" w14:textId="77777777">
        <w:tc>
          <w:tcPr>
            <w:tcW w:w="1188" w:type="dxa"/>
          </w:tcPr>
          <w:p w14:paraId="19AA9D2B" w14:textId="77777777" w:rsidR="000E34FD" w:rsidRPr="003159BC" w:rsidRDefault="000E34FD" w:rsidP="000E34FD">
            <w:pPr>
              <w:spacing w:before="80" w:after="80"/>
              <w:jc w:val="center"/>
              <w:rPr>
                <w:rFonts w:ascii="Calibri" w:hAnsi="Calibri"/>
              </w:rPr>
            </w:pPr>
            <w:r w:rsidRPr="003159BC">
              <w:rPr>
                <w:rFonts w:ascii="Calibri" w:hAnsi="Calibri"/>
              </w:rPr>
              <w:t>2</w:t>
            </w:r>
          </w:p>
        </w:tc>
        <w:tc>
          <w:tcPr>
            <w:tcW w:w="8730" w:type="dxa"/>
          </w:tcPr>
          <w:p w14:paraId="415C3B83" w14:textId="77777777" w:rsidR="000E34FD" w:rsidRPr="003159BC" w:rsidRDefault="000E34FD" w:rsidP="000E34FD">
            <w:pPr>
              <w:spacing w:before="80" w:after="80"/>
              <w:rPr>
                <w:rFonts w:ascii="Calibri" w:hAnsi="Calibri"/>
              </w:rPr>
            </w:pPr>
          </w:p>
        </w:tc>
      </w:tr>
      <w:tr w:rsidR="000E34FD" w14:paraId="51BCC568" w14:textId="77777777">
        <w:tc>
          <w:tcPr>
            <w:tcW w:w="1188" w:type="dxa"/>
          </w:tcPr>
          <w:p w14:paraId="3592B63B" w14:textId="77777777" w:rsidR="000E34FD" w:rsidRPr="003159BC" w:rsidRDefault="000E34FD" w:rsidP="000E34FD">
            <w:pPr>
              <w:spacing w:before="80" w:after="80"/>
              <w:jc w:val="center"/>
              <w:rPr>
                <w:rFonts w:ascii="Calibri" w:hAnsi="Calibri"/>
              </w:rPr>
            </w:pPr>
            <w:r w:rsidRPr="003159BC">
              <w:rPr>
                <w:rFonts w:ascii="Calibri" w:hAnsi="Calibri"/>
              </w:rPr>
              <w:t>3</w:t>
            </w:r>
          </w:p>
        </w:tc>
        <w:tc>
          <w:tcPr>
            <w:tcW w:w="8730" w:type="dxa"/>
          </w:tcPr>
          <w:p w14:paraId="5865BAD1" w14:textId="77777777" w:rsidR="000E34FD" w:rsidRPr="003159BC" w:rsidRDefault="000E34FD" w:rsidP="000E34FD">
            <w:pPr>
              <w:spacing w:before="80" w:after="80"/>
              <w:rPr>
                <w:rFonts w:ascii="Calibri" w:hAnsi="Calibri"/>
              </w:rPr>
            </w:pPr>
          </w:p>
        </w:tc>
      </w:tr>
      <w:tr w:rsidR="000E34FD" w14:paraId="4C12051C" w14:textId="77777777">
        <w:tc>
          <w:tcPr>
            <w:tcW w:w="1188" w:type="dxa"/>
          </w:tcPr>
          <w:p w14:paraId="51EE0CAF" w14:textId="77777777" w:rsidR="000E34FD" w:rsidRPr="003159BC" w:rsidRDefault="000E34FD" w:rsidP="000E34FD">
            <w:pPr>
              <w:spacing w:before="80" w:after="80"/>
              <w:jc w:val="center"/>
              <w:rPr>
                <w:rFonts w:ascii="Calibri" w:hAnsi="Calibri"/>
              </w:rPr>
            </w:pPr>
            <w:r w:rsidRPr="003159BC">
              <w:rPr>
                <w:rFonts w:ascii="Calibri" w:hAnsi="Calibri"/>
              </w:rPr>
              <w:t>4</w:t>
            </w:r>
          </w:p>
        </w:tc>
        <w:tc>
          <w:tcPr>
            <w:tcW w:w="8730" w:type="dxa"/>
          </w:tcPr>
          <w:p w14:paraId="3469709D" w14:textId="77777777" w:rsidR="000E34FD" w:rsidRPr="003159BC" w:rsidRDefault="000E34FD" w:rsidP="000E34FD">
            <w:pPr>
              <w:spacing w:before="80" w:after="80"/>
              <w:rPr>
                <w:rFonts w:ascii="Calibri" w:hAnsi="Calibri"/>
                <w:color w:val="FF0000"/>
              </w:rPr>
            </w:pPr>
          </w:p>
        </w:tc>
      </w:tr>
      <w:tr w:rsidR="000E34FD" w14:paraId="52896024" w14:textId="77777777">
        <w:tc>
          <w:tcPr>
            <w:tcW w:w="1188" w:type="dxa"/>
          </w:tcPr>
          <w:p w14:paraId="6A5AE759" w14:textId="77777777" w:rsidR="000E34FD" w:rsidRPr="003159BC" w:rsidRDefault="000E34FD" w:rsidP="000E34FD">
            <w:pPr>
              <w:spacing w:before="80" w:after="80"/>
              <w:jc w:val="center"/>
              <w:rPr>
                <w:rFonts w:ascii="Calibri" w:hAnsi="Calibri"/>
              </w:rPr>
            </w:pPr>
            <w:r w:rsidRPr="003159BC">
              <w:rPr>
                <w:rFonts w:ascii="Calibri" w:hAnsi="Calibri"/>
              </w:rPr>
              <w:t>5</w:t>
            </w:r>
          </w:p>
        </w:tc>
        <w:tc>
          <w:tcPr>
            <w:tcW w:w="8730" w:type="dxa"/>
          </w:tcPr>
          <w:p w14:paraId="3C6A3BEA" w14:textId="77777777" w:rsidR="000E34FD" w:rsidRPr="003159BC" w:rsidRDefault="000E34FD" w:rsidP="000E34FD">
            <w:pPr>
              <w:spacing w:before="80" w:after="80"/>
              <w:rPr>
                <w:rFonts w:ascii="Calibri" w:hAnsi="Calibri"/>
                <w:bCs/>
                <w:iCs/>
              </w:rPr>
            </w:pPr>
          </w:p>
        </w:tc>
      </w:tr>
      <w:tr w:rsidR="000E34FD" w14:paraId="0FF2D5F3" w14:textId="77777777">
        <w:tc>
          <w:tcPr>
            <w:tcW w:w="1188" w:type="dxa"/>
          </w:tcPr>
          <w:p w14:paraId="7B3A20A3" w14:textId="77777777" w:rsidR="000E34FD" w:rsidRPr="003159BC" w:rsidRDefault="000E34FD" w:rsidP="000E34FD">
            <w:pPr>
              <w:spacing w:before="80" w:after="80"/>
              <w:jc w:val="center"/>
              <w:rPr>
                <w:rFonts w:ascii="Calibri" w:hAnsi="Calibri"/>
              </w:rPr>
            </w:pPr>
            <w:r w:rsidRPr="003159BC">
              <w:rPr>
                <w:rFonts w:ascii="Calibri" w:hAnsi="Calibri"/>
              </w:rPr>
              <w:t>6</w:t>
            </w:r>
          </w:p>
        </w:tc>
        <w:tc>
          <w:tcPr>
            <w:tcW w:w="8730" w:type="dxa"/>
          </w:tcPr>
          <w:p w14:paraId="00030C13" w14:textId="77777777" w:rsidR="000E34FD" w:rsidRPr="003159BC" w:rsidRDefault="000E34FD" w:rsidP="000E34FD">
            <w:pPr>
              <w:spacing w:before="80" w:after="80"/>
              <w:rPr>
                <w:rFonts w:ascii="Calibri" w:hAnsi="Calibri"/>
              </w:rPr>
            </w:pPr>
          </w:p>
        </w:tc>
      </w:tr>
      <w:tr w:rsidR="000E34FD" w14:paraId="5627D3CA" w14:textId="77777777">
        <w:tc>
          <w:tcPr>
            <w:tcW w:w="1188" w:type="dxa"/>
          </w:tcPr>
          <w:p w14:paraId="720682B9" w14:textId="77777777" w:rsidR="000E34FD" w:rsidRPr="003159BC" w:rsidRDefault="000E34FD" w:rsidP="000E34FD">
            <w:pPr>
              <w:spacing w:before="80" w:after="80"/>
              <w:jc w:val="center"/>
              <w:rPr>
                <w:rFonts w:ascii="Calibri" w:hAnsi="Calibri"/>
              </w:rPr>
            </w:pPr>
            <w:r w:rsidRPr="003159BC">
              <w:rPr>
                <w:rFonts w:ascii="Calibri" w:hAnsi="Calibri"/>
              </w:rPr>
              <w:t>7</w:t>
            </w:r>
          </w:p>
        </w:tc>
        <w:tc>
          <w:tcPr>
            <w:tcW w:w="8730" w:type="dxa"/>
          </w:tcPr>
          <w:p w14:paraId="7ED1EAC0" w14:textId="77777777" w:rsidR="000E34FD" w:rsidRPr="003159BC" w:rsidRDefault="000E34FD" w:rsidP="000E34FD">
            <w:pPr>
              <w:spacing w:before="80" w:after="80"/>
              <w:rPr>
                <w:rFonts w:ascii="Calibri" w:hAnsi="Calibri"/>
              </w:rPr>
            </w:pPr>
            <w:r w:rsidRPr="003159BC">
              <w:rPr>
                <w:rFonts w:ascii="Calibri" w:hAnsi="Calibri"/>
              </w:rPr>
              <w:t>We’ll use this “Strategy Cards” activity as a way to explore different accommodation strategies that would best serve this collection of four students.</w:t>
            </w:r>
          </w:p>
        </w:tc>
      </w:tr>
      <w:tr w:rsidR="000E34FD" w14:paraId="4EA6AD4B" w14:textId="77777777">
        <w:tc>
          <w:tcPr>
            <w:tcW w:w="1188" w:type="dxa"/>
          </w:tcPr>
          <w:p w14:paraId="50F4D8F4" w14:textId="77777777" w:rsidR="000E34FD" w:rsidRPr="003159BC" w:rsidRDefault="000E34FD" w:rsidP="000E34FD">
            <w:pPr>
              <w:spacing w:before="80" w:after="80"/>
              <w:jc w:val="center"/>
              <w:rPr>
                <w:rFonts w:ascii="Calibri" w:hAnsi="Calibri"/>
              </w:rPr>
            </w:pPr>
            <w:r w:rsidRPr="003159BC">
              <w:rPr>
                <w:rFonts w:ascii="Calibri" w:hAnsi="Calibri"/>
              </w:rPr>
              <w:t>8</w:t>
            </w:r>
          </w:p>
        </w:tc>
        <w:tc>
          <w:tcPr>
            <w:tcW w:w="8730" w:type="dxa"/>
          </w:tcPr>
          <w:p w14:paraId="5C33EA0C" w14:textId="77777777" w:rsidR="000E34FD" w:rsidRPr="003159BC" w:rsidRDefault="000E34FD" w:rsidP="000E34FD">
            <w:pPr>
              <w:spacing w:before="80" w:after="80"/>
              <w:rPr>
                <w:rFonts w:ascii="Calibri" w:hAnsi="Calibri"/>
              </w:rPr>
            </w:pPr>
            <w:r w:rsidRPr="003159BC">
              <w:rPr>
                <w:rFonts w:ascii="Calibri" w:hAnsi="Calibri"/>
              </w:rPr>
              <w:t>Clarify the rules:</w:t>
            </w:r>
            <w:r w:rsidRPr="003159BC">
              <w:rPr>
                <w:rFonts w:ascii="Calibri" w:hAnsi="Calibri"/>
              </w:rPr>
              <w:br/>
              <w:t>You are looking for strategies that serve multiple students at the same time.  If you can find a strategy that you think serves all four students, that’s the best situation.  However, finding a strategy that serves at least two students is also sufficient for this exercise.</w:t>
            </w:r>
          </w:p>
        </w:tc>
      </w:tr>
      <w:tr w:rsidR="000E34FD" w14:paraId="7924AA75" w14:textId="77777777">
        <w:tc>
          <w:tcPr>
            <w:tcW w:w="1188" w:type="dxa"/>
          </w:tcPr>
          <w:p w14:paraId="6B52F567" w14:textId="77777777" w:rsidR="000E34FD" w:rsidRPr="003159BC" w:rsidRDefault="000E34FD" w:rsidP="000E34FD">
            <w:pPr>
              <w:spacing w:before="80" w:after="80"/>
              <w:jc w:val="center"/>
              <w:rPr>
                <w:rFonts w:ascii="Calibri" w:hAnsi="Calibri"/>
              </w:rPr>
            </w:pPr>
            <w:r w:rsidRPr="003159BC">
              <w:rPr>
                <w:rFonts w:ascii="Calibri" w:hAnsi="Calibri"/>
              </w:rPr>
              <w:t>9</w:t>
            </w:r>
          </w:p>
        </w:tc>
        <w:tc>
          <w:tcPr>
            <w:tcW w:w="8730" w:type="dxa"/>
          </w:tcPr>
          <w:p w14:paraId="689D647B" w14:textId="77777777" w:rsidR="000E34FD" w:rsidRPr="003159BC" w:rsidRDefault="000E34FD" w:rsidP="000E34FD">
            <w:pPr>
              <w:spacing w:before="80" w:after="80"/>
              <w:rPr>
                <w:rFonts w:ascii="Calibri" w:hAnsi="Calibri"/>
              </w:rPr>
            </w:pPr>
          </w:p>
        </w:tc>
      </w:tr>
      <w:tr w:rsidR="000E34FD" w14:paraId="7E113FEE" w14:textId="77777777">
        <w:tc>
          <w:tcPr>
            <w:tcW w:w="1188" w:type="dxa"/>
          </w:tcPr>
          <w:p w14:paraId="0EAC3A4D" w14:textId="77777777" w:rsidR="000E34FD" w:rsidRPr="003159BC" w:rsidRDefault="000E34FD" w:rsidP="000E34FD">
            <w:pPr>
              <w:spacing w:before="80" w:after="80"/>
              <w:jc w:val="center"/>
              <w:rPr>
                <w:rFonts w:ascii="Calibri" w:hAnsi="Calibri"/>
              </w:rPr>
            </w:pPr>
            <w:r w:rsidRPr="003159BC">
              <w:rPr>
                <w:rFonts w:ascii="Calibri" w:hAnsi="Calibri"/>
              </w:rPr>
              <w:t>10</w:t>
            </w:r>
          </w:p>
        </w:tc>
        <w:tc>
          <w:tcPr>
            <w:tcW w:w="8730" w:type="dxa"/>
          </w:tcPr>
          <w:p w14:paraId="00454FC1" w14:textId="77777777" w:rsidR="000E34FD" w:rsidRPr="003159BC" w:rsidRDefault="000E34FD" w:rsidP="000E34FD">
            <w:pPr>
              <w:spacing w:before="80" w:after="80"/>
              <w:rPr>
                <w:rFonts w:ascii="Calibri" w:hAnsi="Calibri"/>
              </w:rPr>
            </w:pPr>
            <w:r w:rsidRPr="003159BC">
              <w:rPr>
                <w:rFonts w:ascii="Calibri" w:hAnsi="Calibri"/>
              </w:rPr>
              <w:t>The text in the white box is a key point to think about when prioritizing and selecting accommodation strategies for a classroom.</w:t>
            </w:r>
          </w:p>
        </w:tc>
      </w:tr>
      <w:tr w:rsidR="000E34FD" w14:paraId="486F952D" w14:textId="77777777">
        <w:tc>
          <w:tcPr>
            <w:tcW w:w="1188" w:type="dxa"/>
          </w:tcPr>
          <w:p w14:paraId="76CE7CBA" w14:textId="77777777" w:rsidR="000E34FD" w:rsidRPr="003159BC" w:rsidRDefault="000E34FD" w:rsidP="000E34FD">
            <w:pPr>
              <w:spacing w:before="80" w:after="80"/>
              <w:jc w:val="center"/>
              <w:rPr>
                <w:rFonts w:ascii="Calibri" w:hAnsi="Calibri"/>
              </w:rPr>
            </w:pPr>
            <w:r w:rsidRPr="003159BC">
              <w:rPr>
                <w:rFonts w:ascii="Calibri" w:hAnsi="Calibri"/>
              </w:rPr>
              <w:t>11</w:t>
            </w:r>
          </w:p>
        </w:tc>
        <w:tc>
          <w:tcPr>
            <w:tcW w:w="8730" w:type="dxa"/>
          </w:tcPr>
          <w:p w14:paraId="6A93F01E" w14:textId="77777777" w:rsidR="000E34FD" w:rsidRPr="003159BC" w:rsidRDefault="000E34FD" w:rsidP="000E34FD">
            <w:pPr>
              <w:spacing w:before="80" w:after="80"/>
              <w:rPr>
                <w:rFonts w:ascii="Calibri" w:hAnsi="Calibri"/>
              </w:rPr>
            </w:pPr>
            <w:r w:rsidRPr="003159BC">
              <w:rPr>
                <w:rFonts w:ascii="Calibri" w:hAnsi="Calibri"/>
              </w:rPr>
              <w:t>Refer back to your handout (4.8) from the last protocol that you read, and look for one other strategy that you feel would benefit a large number of students in this fictitious class.</w:t>
            </w:r>
          </w:p>
        </w:tc>
      </w:tr>
      <w:tr w:rsidR="000E34FD" w14:paraId="56C2DC8B" w14:textId="77777777">
        <w:tc>
          <w:tcPr>
            <w:tcW w:w="1188" w:type="dxa"/>
          </w:tcPr>
          <w:p w14:paraId="7BBAB6DC" w14:textId="77777777" w:rsidR="000E34FD" w:rsidRPr="003159BC" w:rsidRDefault="000E34FD" w:rsidP="000E34FD">
            <w:pPr>
              <w:spacing w:before="80" w:after="80"/>
              <w:jc w:val="center"/>
              <w:rPr>
                <w:rFonts w:ascii="Calibri" w:hAnsi="Calibri"/>
              </w:rPr>
            </w:pPr>
            <w:r w:rsidRPr="003159BC">
              <w:rPr>
                <w:rFonts w:ascii="Calibri" w:hAnsi="Calibri"/>
              </w:rPr>
              <w:t>12</w:t>
            </w:r>
          </w:p>
        </w:tc>
        <w:tc>
          <w:tcPr>
            <w:tcW w:w="8730" w:type="dxa"/>
          </w:tcPr>
          <w:p w14:paraId="45061C1E" w14:textId="77777777" w:rsidR="000E34FD" w:rsidRPr="003159BC" w:rsidRDefault="000E34FD" w:rsidP="000E34FD">
            <w:pPr>
              <w:spacing w:before="80" w:after="80"/>
              <w:rPr>
                <w:rFonts w:ascii="Calibri" w:hAnsi="Calibri"/>
              </w:rPr>
            </w:pPr>
            <w:r w:rsidRPr="003159BC">
              <w:rPr>
                <w:rFonts w:ascii="Calibri" w:hAnsi="Calibri"/>
              </w:rPr>
              <w:t xml:space="preserve">Over the past several protocols, we’ve been working through the various elements of this Math Accessibility Framework.  </w:t>
            </w:r>
          </w:p>
          <w:p w14:paraId="16719107" w14:textId="77777777" w:rsidR="000E34FD" w:rsidRPr="003159BC" w:rsidRDefault="000E34FD" w:rsidP="000E34FD">
            <w:pPr>
              <w:spacing w:before="80" w:after="80"/>
              <w:rPr>
                <w:rFonts w:ascii="Calibri" w:hAnsi="Calibri"/>
              </w:rPr>
            </w:pPr>
            <w:r w:rsidRPr="003159BC">
              <w:rPr>
                <w:rFonts w:ascii="Calibri" w:hAnsi="Calibri"/>
              </w:rPr>
              <w:t>Protocol 2 – the one in which we looked at the 6 areas of demand and difficulty, focused on Language and Memory, and learned more about the IEP – was our work around “Consider the Student.”</w:t>
            </w:r>
          </w:p>
          <w:p w14:paraId="1DD58320" w14:textId="77777777" w:rsidR="000E34FD" w:rsidRPr="003159BC" w:rsidRDefault="000E34FD" w:rsidP="000E34FD">
            <w:pPr>
              <w:spacing w:before="80" w:after="80"/>
              <w:rPr>
                <w:rFonts w:ascii="Calibri" w:hAnsi="Calibri"/>
              </w:rPr>
            </w:pPr>
            <w:r w:rsidRPr="003159BC">
              <w:rPr>
                <w:rFonts w:ascii="Calibri" w:hAnsi="Calibri"/>
              </w:rPr>
              <w:t>Protocol 3 – the one in which we looked at the Standards for Mathematical Practice, watched the video, and focused on math practice #3 (construct viable arguments and critique the reasoning of others) – was our work around “Consider the Math.”</w:t>
            </w:r>
          </w:p>
          <w:p w14:paraId="23142457" w14:textId="77777777" w:rsidR="000E34FD" w:rsidRPr="003159BC" w:rsidRDefault="000E34FD" w:rsidP="000E34FD">
            <w:pPr>
              <w:spacing w:before="80" w:after="80"/>
              <w:rPr>
                <w:rFonts w:ascii="Calibri" w:hAnsi="Calibri"/>
              </w:rPr>
            </w:pPr>
            <w:r w:rsidRPr="003159BC">
              <w:rPr>
                <w:rFonts w:ascii="Calibri" w:hAnsi="Calibri"/>
              </w:rPr>
              <w:t xml:space="preserve">The last two protocols have introduced the last element: considering not only a student’s challenges, but also his or her learning strengths, and using that information in conjunction with information about the demands of the mathematics content to </w:t>
            </w:r>
            <w:r w:rsidRPr="003159BC">
              <w:rPr>
                <w:rFonts w:ascii="Calibri" w:hAnsi="Calibri"/>
              </w:rPr>
              <w:lastRenderedPageBreak/>
              <w:t>identify accessibility strategies that will maintain the rigor of the mathematics – and not water it down.</w:t>
            </w:r>
          </w:p>
        </w:tc>
      </w:tr>
      <w:tr w:rsidR="000E34FD" w14:paraId="72C12B4C" w14:textId="77777777">
        <w:tc>
          <w:tcPr>
            <w:tcW w:w="1188" w:type="dxa"/>
          </w:tcPr>
          <w:p w14:paraId="0C93B084" w14:textId="77777777" w:rsidR="000E34FD" w:rsidRPr="003159BC" w:rsidRDefault="000E34FD" w:rsidP="000E34FD">
            <w:pPr>
              <w:spacing w:before="80" w:after="80"/>
              <w:jc w:val="center"/>
              <w:rPr>
                <w:rFonts w:ascii="Calibri" w:hAnsi="Calibri"/>
              </w:rPr>
            </w:pPr>
            <w:r w:rsidRPr="003159BC">
              <w:rPr>
                <w:rFonts w:ascii="Calibri" w:hAnsi="Calibri"/>
              </w:rPr>
              <w:lastRenderedPageBreak/>
              <w:t>13</w:t>
            </w:r>
          </w:p>
        </w:tc>
        <w:tc>
          <w:tcPr>
            <w:tcW w:w="8730" w:type="dxa"/>
          </w:tcPr>
          <w:p w14:paraId="18E780A3" w14:textId="77777777" w:rsidR="000E34FD" w:rsidRPr="003159BC" w:rsidRDefault="000E34FD" w:rsidP="000E34FD">
            <w:pPr>
              <w:spacing w:before="80" w:after="80"/>
              <w:rPr>
                <w:rFonts w:ascii="Calibri" w:hAnsi="Calibri"/>
              </w:rPr>
            </w:pPr>
            <w:r w:rsidRPr="003159BC">
              <w:rPr>
                <w:rFonts w:ascii="Calibri" w:hAnsi="Calibri"/>
              </w:rPr>
              <w:t>Though this framework is shown initially as being linear, it is more cyclical in nature.  As you plan and implement accessibility strategies, you are constantly reconsidering the math and the students to try other strategies that may be more effective.</w:t>
            </w:r>
          </w:p>
          <w:p w14:paraId="043EA80A" w14:textId="77777777" w:rsidR="000E34FD" w:rsidRPr="003159BC" w:rsidRDefault="000E34FD" w:rsidP="000E34FD">
            <w:pPr>
              <w:spacing w:before="80" w:after="80"/>
              <w:rPr>
                <w:rFonts w:ascii="Calibri" w:hAnsi="Calibri"/>
              </w:rPr>
            </w:pPr>
          </w:p>
        </w:tc>
      </w:tr>
      <w:tr w:rsidR="000E34FD" w14:paraId="5A52084F" w14:textId="77777777">
        <w:tc>
          <w:tcPr>
            <w:tcW w:w="1188" w:type="dxa"/>
          </w:tcPr>
          <w:p w14:paraId="77A6EE21" w14:textId="77777777" w:rsidR="000E34FD" w:rsidRPr="003159BC" w:rsidRDefault="000E34FD" w:rsidP="000E34FD">
            <w:pPr>
              <w:spacing w:before="80" w:after="80"/>
              <w:jc w:val="center"/>
              <w:rPr>
                <w:rFonts w:ascii="Calibri" w:hAnsi="Calibri"/>
              </w:rPr>
            </w:pPr>
            <w:r w:rsidRPr="003159BC">
              <w:rPr>
                <w:rFonts w:ascii="Calibri" w:hAnsi="Calibri"/>
              </w:rPr>
              <w:t>14</w:t>
            </w:r>
          </w:p>
        </w:tc>
        <w:tc>
          <w:tcPr>
            <w:tcW w:w="8730" w:type="dxa"/>
          </w:tcPr>
          <w:p w14:paraId="5A0A5B00" w14:textId="77777777" w:rsidR="000E34FD" w:rsidRPr="003159BC" w:rsidRDefault="000E34FD" w:rsidP="000E34FD">
            <w:pPr>
              <w:spacing w:before="80" w:after="80"/>
              <w:rPr>
                <w:rFonts w:ascii="Calibri" w:hAnsi="Calibri"/>
              </w:rPr>
            </w:pPr>
          </w:p>
        </w:tc>
      </w:tr>
      <w:tr w:rsidR="000E34FD" w14:paraId="7E1754F5" w14:textId="77777777">
        <w:tc>
          <w:tcPr>
            <w:tcW w:w="1188" w:type="dxa"/>
          </w:tcPr>
          <w:p w14:paraId="18159B77" w14:textId="77777777" w:rsidR="000E34FD" w:rsidRPr="003159BC" w:rsidRDefault="000E34FD" w:rsidP="000E34FD">
            <w:pPr>
              <w:spacing w:before="80" w:after="80"/>
              <w:jc w:val="center"/>
              <w:rPr>
                <w:rFonts w:ascii="Calibri" w:hAnsi="Calibri"/>
              </w:rPr>
            </w:pPr>
            <w:r w:rsidRPr="003159BC">
              <w:rPr>
                <w:rFonts w:ascii="Calibri" w:hAnsi="Calibri"/>
              </w:rPr>
              <w:t>15</w:t>
            </w:r>
          </w:p>
        </w:tc>
        <w:tc>
          <w:tcPr>
            <w:tcW w:w="8730" w:type="dxa"/>
          </w:tcPr>
          <w:p w14:paraId="0FF9D2C4" w14:textId="77777777" w:rsidR="000E34FD" w:rsidRPr="003159BC" w:rsidRDefault="000E34FD" w:rsidP="000E34FD">
            <w:pPr>
              <w:spacing w:before="80" w:after="80"/>
              <w:rPr>
                <w:rFonts w:ascii="Calibri" w:hAnsi="Calibri"/>
              </w:rPr>
            </w:pPr>
          </w:p>
        </w:tc>
      </w:tr>
    </w:tbl>
    <w:p w14:paraId="60233E34" w14:textId="77777777" w:rsidR="000E34FD" w:rsidRPr="00D90DB2" w:rsidRDefault="000E34FD" w:rsidP="000E34FD">
      <w:pPr>
        <w:tabs>
          <w:tab w:val="left" w:pos="6512"/>
        </w:tabs>
      </w:pPr>
    </w:p>
    <w:sectPr w:rsidR="000E34FD" w:rsidRPr="00D90DB2">
      <w:headerReference w:type="default" r:id="rId11"/>
      <w:footerReference w:type="defaul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2D28A" w14:textId="77777777" w:rsidR="00AE07B6" w:rsidRDefault="00AE07B6" w:rsidP="007875CA">
      <w:pPr>
        <w:spacing w:before="0" w:after="0"/>
      </w:pPr>
      <w:r>
        <w:separator/>
      </w:r>
    </w:p>
  </w:endnote>
  <w:endnote w:type="continuationSeparator" w:id="0">
    <w:p w14:paraId="0B4F3EC8" w14:textId="77777777" w:rsidR="00AE07B6" w:rsidRDefault="00AE07B6" w:rsidP="007875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0EDC" w14:textId="77777777" w:rsidR="000E34FD" w:rsidRPr="00AF69BB" w:rsidRDefault="00AF69BB" w:rsidP="00AF69BB">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76B87" w14:textId="77777777" w:rsidR="00AE07B6" w:rsidRDefault="00AE07B6" w:rsidP="007875CA">
      <w:pPr>
        <w:spacing w:before="0" w:after="0"/>
      </w:pPr>
      <w:r>
        <w:separator/>
      </w:r>
    </w:p>
  </w:footnote>
  <w:footnote w:type="continuationSeparator" w:id="0">
    <w:p w14:paraId="6F408D2F" w14:textId="77777777" w:rsidR="00AE07B6" w:rsidRDefault="00AE07B6" w:rsidP="007875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8E5E" w14:textId="77777777" w:rsidR="000E34FD" w:rsidRPr="00D90DB2" w:rsidRDefault="000E34FD" w:rsidP="000E34FD">
    <w:pPr>
      <w:pStyle w:val="Header"/>
      <w:tabs>
        <w:tab w:val="clear" w:pos="4320"/>
        <w:tab w:val="clear" w:pos="8640"/>
        <w:tab w:val="center" w:pos="5040"/>
        <w:tab w:val="right" w:pos="9990"/>
      </w:tabs>
      <w:jc w:val="center"/>
      <w:rPr>
        <w:rFonts w:ascii="Calibri" w:hAnsi="Calibri"/>
        <w:b/>
      </w:rPr>
    </w:pPr>
    <w:r>
      <w:rPr>
        <w:rFonts w:ascii="Calibri" w:hAnsi="Calibri"/>
        <w:b/>
      </w:rPr>
      <w:tab/>
    </w:r>
    <w:r w:rsidRPr="00D90DB2">
      <w:rPr>
        <w:rFonts w:ascii="Calibri" w:hAnsi="Calibri"/>
        <w:b/>
      </w:rPr>
      <w:t xml:space="preserve">Talking Points for Protocol </w:t>
    </w:r>
    <w:r>
      <w:rPr>
        <w:rFonts w:ascii="Calibri" w:hAnsi="Calibri"/>
        <w:b/>
      </w:rPr>
      <w:t>5</w:t>
    </w:r>
    <w:r w:rsidRPr="00D90DB2">
      <w:rPr>
        <w:rFonts w:ascii="Calibri" w:hAnsi="Calibri"/>
        <w:b/>
      </w:rPr>
      <w:t xml:space="preserve"> PowerPoint Slides</w:t>
    </w:r>
    <w:r>
      <w:rPr>
        <w:rFonts w:ascii="Calibri" w:hAnsi="Calibri"/>
        <w:b/>
      </w:rPr>
      <w:tab/>
      <w:t>Handout 5.1</w:t>
    </w:r>
    <w:r>
      <w:rPr>
        <w:rFonts w:ascii="Calibri" w:hAnsi="Calibri"/>
        <w:b/>
      </w:rPr>
      <w:br/>
    </w:r>
    <w:r w:rsidRPr="00D90DB2">
      <w:rPr>
        <w:rFonts w:ascii="Calibri" w:hAnsi="Calibri"/>
      </w:rPr>
      <w:t xml:space="preserve">For use by the Protocol </w:t>
    </w:r>
    <w:r>
      <w:rPr>
        <w:rFonts w:ascii="Calibri" w:hAnsi="Calibri"/>
      </w:rPr>
      <w:t>5</w:t>
    </w:r>
    <w:r w:rsidRPr="00D90DB2">
      <w:rPr>
        <w:rFonts w:ascii="Calibri" w:hAnsi="Calibri"/>
      </w:rPr>
      <w:t xml:space="preserve"> facilitator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B2"/>
    <w:rsid w:val="000C3BFF"/>
    <w:rsid w:val="000E34FD"/>
    <w:rsid w:val="002507CA"/>
    <w:rsid w:val="007875CA"/>
    <w:rsid w:val="009417E9"/>
    <w:rsid w:val="009F5159"/>
    <w:rsid w:val="00AE07B6"/>
    <w:rsid w:val="00AF69BB"/>
    <w:rsid w:val="00D01FDE"/>
    <w:rsid w:val="00D90DB2"/>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2DA5A"/>
  <w15:docId w15:val="{013CC49C-874C-4720-A2B1-2B06D32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imes New Roman" w:hAnsi="Times New Roman"/>
      <w:sz w:val="24"/>
    </w:rPr>
  </w:style>
  <w:style w:type="paragraph" w:styleId="Heading1">
    <w:name w:val="heading 1"/>
    <w:basedOn w:val="Normal"/>
    <w:next w:val="Normal"/>
    <w:qFormat/>
    <w:pPr>
      <w:keepNext/>
      <w:spacing w:before="240"/>
      <w:jc w:val="center"/>
      <w:outlineLvl w:val="0"/>
    </w:pPr>
    <w:rPr>
      <w:b/>
      <w:sz w:val="36"/>
    </w:rPr>
  </w:style>
  <w:style w:type="paragraph" w:styleId="Heading2">
    <w:name w:val="heading 2"/>
    <w:basedOn w:val="Normal"/>
    <w:next w:val="Normal"/>
    <w:qFormat/>
    <w:pPr>
      <w:keepNext/>
      <w:spacing w:before="240"/>
      <w:jc w:val="center"/>
      <w:outlineLvl w:val="1"/>
    </w:pPr>
    <w:rPr>
      <w:b/>
      <w:sz w:val="28"/>
    </w:rPr>
  </w:style>
  <w:style w:type="paragraph" w:styleId="Heading3">
    <w:name w:val="heading 3"/>
    <w:basedOn w:val="Normal"/>
    <w:next w:val="Normal"/>
    <w:qFormat/>
    <w:pPr>
      <w:keepNext/>
      <w:spacing w:before="240" w:after="60"/>
      <w:outlineLvl w:val="2"/>
    </w:pPr>
    <w:rPr>
      <w:b/>
      <w:i/>
    </w:rPr>
  </w:style>
  <w:style w:type="paragraph" w:styleId="Heading4">
    <w:name w:val="heading 4"/>
    <w:basedOn w:val="Normal"/>
    <w:next w:val="Normal"/>
    <w:qFormat/>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28"/>
    </w:rPr>
  </w:style>
  <w:style w:type="paragraph" w:styleId="Header">
    <w:name w:val="header"/>
    <w:basedOn w:val="Normal"/>
    <w:link w:val="HeaderChar"/>
    <w:uiPriority w:val="99"/>
    <w:semiHidden/>
    <w:unhideWhenUsed/>
    <w:rsid w:val="00D90DB2"/>
    <w:pPr>
      <w:tabs>
        <w:tab w:val="center" w:pos="4320"/>
        <w:tab w:val="right" w:pos="8640"/>
      </w:tabs>
    </w:pPr>
  </w:style>
  <w:style w:type="paragraph" w:customStyle="1" w:styleId="Notestomyself">
    <w:name w:val="Notes to myself"/>
    <w:basedOn w:val="Normal"/>
    <w:next w:val="Normal"/>
    <w:pPr>
      <w:shd w:val="clear" w:color="auto" w:fill="D9D9D9"/>
      <w:ind w:left="720" w:right="720"/>
    </w:pPr>
    <w:rPr>
      <w:rFonts w:ascii="Monaco" w:hAnsi="Monaco"/>
      <w:sz w:val="18"/>
    </w:rPr>
  </w:style>
  <w:style w:type="character" w:customStyle="1" w:styleId="HeaderChar">
    <w:name w:val="Header Char"/>
    <w:basedOn w:val="DefaultParagraphFont"/>
    <w:link w:val="Header"/>
    <w:uiPriority w:val="99"/>
    <w:semiHidden/>
    <w:rsid w:val="00D90DB2"/>
    <w:rPr>
      <w:rFonts w:ascii="Times New Roman" w:hAnsi="Times New Roman"/>
      <w:sz w:val="24"/>
    </w:rPr>
  </w:style>
  <w:style w:type="paragraph" w:styleId="Footer">
    <w:name w:val="footer"/>
    <w:basedOn w:val="Normal"/>
    <w:link w:val="FooterChar"/>
    <w:uiPriority w:val="99"/>
    <w:unhideWhenUsed/>
    <w:rsid w:val="00D90DB2"/>
    <w:pPr>
      <w:tabs>
        <w:tab w:val="center" w:pos="4320"/>
        <w:tab w:val="right" w:pos="8640"/>
      </w:tabs>
    </w:pPr>
  </w:style>
  <w:style w:type="character" w:customStyle="1" w:styleId="FooterChar">
    <w:name w:val="Footer Char"/>
    <w:basedOn w:val="DefaultParagraphFont"/>
    <w:link w:val="Footer"/>
    <w:uiPriority w:val="99"/>
    <w:rsid w:val="00D90DB2"/>
    <w:rPr>
      <w:rFonts w:ascii="Times New Roman" w:hAnsi="Times New Roman"/>
      <w:sz w:val="24"/>
    </w:rPr>
  </w:style>
  <w:style w:type="character" w:styleId="PageNumber">
    <w:name w:val="page number"/>
    <w:basedOn w:val="DefaultParagraphFont"/>
    <w:unhideWhenUsed/>
    <w:rsid w:val="00D90DB2"/>
  </w:style>
  <w:style w:type="table" w:styleId="TableGrid">
    <w:name w:val="Table Grid"/>
    <w:basedOn w:val="TableNormal"/>
    <w:uiPriority w:val="59"/>
    <w:rsid w:val="00D90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DESE-231-65752</_dlc_DocId>
    <_dlc_DocIdUrl xmlns="733efe1c-5bbe-4968-87dc-d400e65c879f">
      <Url>https://sharepoint.doemass.org/ese/webteam/cps/_layouts/DocIdRedir.aspx?ID=DESE-231-65752</Url>
      <Description>DESE-231-65752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2DB1E-8205-4596-AD3B-FBF0DFC8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BC40D-878A-48B4-85CE-0C75F6204C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47D25F6-EB9B-4E84-8DA7-80060DB5C667}">
  <ds:schemaRefs>
    <ds:schemaRef ds:uri="http://schemas.microsoft.com/sharepoint/v3/contenttype/forms"/>
  </ds:schemaRefs>
</ds:datastoreItem>
</file>

<file path=customXml/itemProps4.xml><?xml version="1.0" encoding="utf-8"?>
<ds:datastoreItem xmlns:ds="http://schemas.openxmlformats.org/officeDocument/2006/customXml" ds:itemID="{ED59C122-BE6C-4526-8E01-C8E12BAA8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Talking Points for Protocol 5</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for Protocol 5</dc:title>
  <dc:creator>DESE</dc:creator>
  <cp:lastModifiedBy>Zou, Dong (EOE)</cp:lastModifiedBy>
  <cp:revision>5</cp:revision>
  <dcterms:created xsi:type="dcterms:W3CDTF">2013-11-18T15:47:00Z</dcterms:created>
  <dcterms:modified xsi:type="dcterms:W3CDTF">2020-11-04T20:56:00Z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