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6" w:tblpY="-554"/>
        <w:tblW w:w="12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0790"/>
      </w:tblGrid>
      <w:tr w:rsidR="00E26F64" w14:paraId="45435120" w14:textId="77777777" w:rsidTr="00E26F64">
        <w:trPr>
          <w:trHeight w:val="1324"/>
        </w:trPr>
        <w:tc>
          <w:tcPr>
            <w:tcW w:w="1435" w:type="dxa"/>
          </w:tcPr>
          <w:p w14:paraId="582819B3" w14:textId="77777777" w:rsidR="00F84270" w:rsidRDefault="00F84270" w:rsidP="00F84270">
            <w:pPr>
              <w:widowControl w:val="0"/>
              <w:jc w:val="right"/>
              <w:rPr>
                <w:noProof/>
              </w:rPr>
            </w:pPr>
            <w:bookmarkStart w:id="0" w:name="_GoBack"/>
            <w:bookmarkEnd w:id="0"/>
          </w:p>
          <w:p w14:paraId="05336C1B" w14:textId="6748350D" w:rsidR="00E26F64" w:rsidRDefault="00E26F64" w:rsidP="00F84270">
            <w:pPr>
              <w:widowControl w:val="0"/>
              <w:jc w:val="right"/>
              <w:rPr>
                <w:rFonts w:ascii="Quicksand" w:eastAsia="Quicksand" w:hAnsi="Quicksand" w:cs="Quicksand"/>
                <w:color w:val="172439"/>
                <w:sz w:val="40"/>
                <w:szCs w:val="40"/>
              </w:rPr>
            </w:pPr>
            <w:r>
              <w:rPr>
                <w:noProof/>
              </w:rPr>
              <w:drawing>
                <wp:inline distT="0" distB="0" distL="0" distR="0" wp14:anchorId="428C08B9" wp14:editId="39795E20">
                  <wp:extent cx="661988" cy="595045"/>
                  <wp:effectExtent l="0" t="0" r="5080" b="0"/>
                  <wp:docPr id="3" name="image4.png" descr="MTSS Logo&#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661988" cy="595045"/>
                          </a:xfrm>
                          <a:prstGeom prst="rect">
                            <a:avLst/>
                          </a:prstGeom>
                          <a:ln/>
                        </pic:spPr>
                      </pic:pic>
                    </a:graphicData>
                  </a:graphic>
                </wp:inline>
              </w:drawing>
            </w:r>
          </w:p>
        </w:tc>
        <w:tc>
          <w:tcPr>
            <w:tcW w:w="10790" w:type="dxa"/>
          </w:tcPr>
          <w:p w14:paraId="1B4E626E" w14:textId="77777777" w:rsidR="00E26F64" w:rsidRDefault="00E26F64" w:rsidP="00E26F64">
            <w:pPr>
              <w:widowControl w:val="0"/>
              <w:rPr>
                <w:rFonts w:ascii="Quicksand" w:eastAsia="Quicksand" w:hAnsi="Quicksand" w:cs="Quicksand"/>
                <w:color w:val="984806" w:themeColor="accent6" w:themeShade="80"/>
                <w:sz w:val="24"/>
                <w:szCs w:val="24"/>
              </w:rPr>
            </w:pPr>
            <w:r>
              <w:rPr>
                <w:rFonts w:ascii="Quicksand" w:eastAsia="Quicksand" w:hAnsi="Quicksand" w:cs="Quicksand"/>
                <w:color w:val="984806" w:themeColor="accent6" w:themeShade="80"/>
                <w:sz w:val="24"/>
                <w:szCs w:val="24"/>
              </w:rPr>
              <w:t>MTSS RESOURCE</w:t>
            </w:r>
          </w:p>
          <w:p w14:paraId="20C6F90B" w14:textId="456DAB38" w:rsidR="00E26F64" w:rsidRDefault="00E26F64" w:rsidP="00E26F64">
            <w:pPr>
              <w:widowControl w:val="0"/>
              <w:rPr>
                <w:rFonts w:ascii="Quicksand" w:eastAsia="Quicksand" w:hAnsi="Quicksand" w:cs="Quicksand"/>
                <w:color w:val="E49F13"/>
                <w:sz w:val="24"/>
                <w:szCs w:val="24"/>
              </w:rPr>
            </w:pPr>
            <w:r w:rsidRPr="0034339A">
              <w:rPr>
                <w:rFonts w:ascii="Quicksand" w:eastAsia="Quicksand" w:hAnsi="Quicksand" w:cs="Quicksand"/>
                <w:color w:val="984806" w:themeColor="accent6" w:themeShade="80"/>
                <w:sz w:val="24"/>
                <w:szCs w:val="24"/>
              </w:rPr>
              <w:t xml:space="preserve"> </w:t>
            </w:r>
          </w:p>
          <w:p w14:paraId="793D71CA" w14:textId="001CB3B7" w:rsidR="00E26F64" w:rsidRDefault="00E26F64" w:rsidP="00E26F64">
            <w:pPr>
              <w:widowControl w:val="0"/>
              <w:rPr>
                <w:rFonts w:ascii="Quicksand" w:eastAsia="Quicksand" w:hAnsi="Quicksand" w:cs="Quicksand"/>
                <w:color w:val="172439"/>
                <w:sz w:val="40"/>
                <w:szCs w:val="40"/>
              </w:rPr>
            </w:pPr>
            <w:r>
              <w:rPr>
                <w:rFonts w:ascii="Quicksand" w:eastAsia="Quicksand" w:hAnsi="Quicksand" w:cs="Quicksand"/>
                <w:color w:val="172439"/>
                <w:sz w:val="40"/>
                <w:szCs w:val="40"/>
              </w:rPr>
              <w:t xml:space="preserve">MTSS &amp; SPECIAL EDUCATION </w:t>
            </w:r>
          </w:p>
        </w:tc>
      </w:tr>
    </w:tbl>
    <w:p w14:paraId="661DAA3B" w14:textId="3536F0D3" w:rsidR="000B7CE9" w:rsidRDefault="000B7CE9">
      <w:pPr>
        <w:widowControl w:val="0"/>
        <w:spacing w:line="240" w:lineRule="auto"/>
        <w:rPr>
          <w:rFonts w:ascii="Quicksand" w:eastAsia="Quicksand" w:hAnsi="Quicksand" w:cs="Quicksand"/>
          <w:color w:val="E49F13"/>
          <w:sz w:val="24"/>
          <w:szCs w:val="24"/>
        </w:rPr>
      </w:pPr>
    </w:p>
    <w:p w14:paraId="69226588" w14:textId="77777777" w:rsidR="004C1C5E" w:rsidRDefault="004C1C5E">
      <w:pPr>
        <w:rPr>
          <w:rFonts w:ascii="Quicksand" w:eastAsia="Quicksand" w:hAnsi="Quicksand" w:cs="Quicksand"/>
          <w:b/>
          <w:color w:val="EE306F"/>
          <w:sz w:val="36"/>
          <w:szCs w:val="36"/>
        </w:rPr>
      </w:pPr>
    </w:p>
    <w:p w14:paraId="517A1480" w14:textId="00662191" w:rsidR="000B7CE9" w:rsidRDefault="00F84270">
      <w:pPr>
        <w:rPr>
          <w:rFonts w:ascii="Quicksand" w:eastAsia="Quicksand" w:hAnsi="Quicksand" w:cs="Quicksand"/>
        </w:rPr>
      </w:pPr>
      <w:r>
        <w:rPr>
          <w:rFonts w:ascii="Quicksand" w:eastAsia="Quicksand" w:hAnsi="Quicksand" w:cs="Quicksand"/>
          <w:b/>
          <w:color w:val="EE306F"/>
          <w:sz w:val="36"/>
          <w:szCs w:val="36"/>
        </w:rPr>
        <w:t>6 GUIDING PRINCIPLES OF IDEA</w:t>
      </w:r>
    </w:p>
    <w:p w14:paraId="5371607E" w14:textId="1BA04825" w:rsidR="000B7CE9" w:rsidRDefault="000B7CE9">
      <w:pPr>
        <w:rPr>
          <w:rFonts w:ascii="Quicksand" w:eastAsia="Quicksand" w:hAnsi="Quicksand" w:cs="Quicksand"/>
        </w:rPr>
      </w:pPr>
    </w:p>
    <w:p w14:paraId="3F8FB47D" w14:textId="77777777" w:rsidR="000B7CE9" w:rsidRDefault="00F84270">
      <w:pPr>
        <w:rPr>
          <w:rFonts w:ascii="Quicksand" w:eastAsia="Quicksand" w:hAnsi="Quicksand" w:cs="Quicksand"/>
        </w:rPr>
      </w:pPr>
      <w:r>
        <w:rPr>
          <w:rFonts w:ascii="Quicksand" w:eastAsia="Quicksand" w:hAnsi="Quicksand" w:cs="Quicksand"/>
        </w:rPr>
        <w:t>Free Appropriate Public Education — IDEA guarantees that each child with a disability, eligible for special education, will be entitled to a free appropriate public education (FAPE).</w:t>
      </w:r>
    </w:p>
    <w:p w14:paraId="070BFCC6" w14:textId="77777777" w:rsidR="000B7CE9" w:rsidRDefault="000B7CE9">
      <w:pPr>
        <w:rPr>
          <w:rFonts w:ascii="Quicksand" w:eastAsia="Quicksand" w:hAnsi="Quicksand" w:cs="Quicksand"/>
        </w:rPr>
      </w:pPr>
    </w:p>
    <w:p w14:paraId="71ECF7D7" w14:textId="77777777" w:rsidR="000B7CE9" w:rsidRDefault="00F84270">
      <w:pPr>
        <w:numPr>
          <w:ilvl w:val="0"/>
          <w:numId w:val="2"/>
        </w:numPr>
        <w:rPr>
          <w:rFonts w:ascii="Quicksand" w:eastAsia="Quicksand" w:hAnsi="Quicksand" w:cs="Quicksand"/>
        </w:rPr>
      </w:pPr>
      <w:r>
        <w:rPr>
          <w:rFonts w:ascii="Quicksand" w:eastAsia="Quicksand" w:hAnsi="Quicksand" w:cs="Quicksand"/>
        </w:rPr>
        <w:t xml:space="preserve">Free requires that the education of each child with a disability must be provided at public expense and at no cost to the child’s parents. </w:t>
      </w:r>
    </w:p>
    <w:p w14:paraId="2AECF0FD" w14:textId="77777777" w:rsidR="000B7CE9" w:rsidRDefault="00F84270">
      <w:pPr>
        <w:numPr>
          <w:ilvl w:val="0"/>
          <w:numId w:val="2"/>
        </w:numPr>
        <w:rPr>
          <w:rFonts w:ascii="Quicksand" w:eastAsia="Quicksand" w:hAnsi="Quicksand" w:cs="Quicksand"/>
        </w:rPr>
      </w:pPr>
      <w:r>
        <w:rPr>
          <w:rFonts w:ascii="Quicksand" w:eastAsia="Quicksand" w:hAnsi="Quicksand" w:cs="Quicksand"/>
        </w:rPr>
        <w:t xml:space="preserve">Appropriate means that each child with a disability is entitled to an education that is “appropriate” for his or her needs. </w:t>
      </w:r>
    </w:p>
    <w:p w14:paraId="5EE5D361" w14:textId="045C76AE" w:rsidR="000B7CE9" w:rsidRDefault="00F84270">
      <w:pPr>
        <w:numPr>
          <w:ilvl w:val="0"/>
          <w:numId w:val="2"/>
        </w:numPr>
        <w:rPr>
          <w:rFonts w:ascii="Quicksand" w:eastAsia="Quicksand" w:hAnsi="Quicksand" w:cs="Quicksand"/>
        </w:rPr>
      </w:pPr>
      <w:r>
        <w:rPr>
          <w:rFonts w:ascii="Quicksand" w:eastAsia="Quicksand" w:hAnsi="Quicksand" w:cs="Quicksand"/>
        </w:rPr>
        <w:t>Public refers to the</w:t>
      </w:r>
      <w:r w:rsidR="00CD0D83">
        <w:rPr>
          <w:rFonts w:ascii="Quicksand" w:eastAsia="Quicksand" w:hAnsi="Quicksand" w:cs="Quicksand"/>
        </w:rPr>
        <w:t xml:space="preserve"> </w:t>
      </w:r>
      <w:r>
        <w:rPr>
          <w:rFonts w:ascii="Quicksand" w:eastAsia="Quicksand" w:hAnsi="Quicksand" w:cs="Quicksand"/>
        </w:rPr>
        <w:t>public</w:t>
      </w:r>
      <w:r w:rsidR="00CD0D83">
        <w:rPr>
          <w:rFonts w:ascii="Quicksand" w:eastAsia="Quicksand" w:hAnsi="Quicksand" w:cs="Quicksand"/>
        </w:rPr>
        <w:t xml:space="preserve"> </w:t>
      </w:r>
      <w:r>
        <w:rPr>
          <w:rFonts w:ascii="Quicksand" w:eastAsia="Quicksand" w:hAnsi="Quicksand" w:cs="Quicksand"/>
        </w:rPr>
        <w:t>school system. The public school system must educate students with disabilities, respond to their individual needs, and help them plan for their future.</w:t>
      </w:r>
    </w:p>
    <w:p w14:paraId="31EB164B" w14:textId="77777777" w:rsidR="000B7CE9" w:rsidRDefault="00F84270">
      <w:pPr>
        <w:numPr>
          <w:ilvl w:val="0"/>
          <w:numId w:val="2"/>
        </w:numPr>
        <w:rPr>
          <w:rFonts w:ascii="Quicksand" w:eastAsia="Quicksand" w:hAnsi="Quicksand" w:cs="Quicksand"/>
        </w:rPr>
      </w:pPr>
      <w:r>
        <w:rPr>
          <w:rFonts w:ascii="Quicksand" w:eastAsia="Quicksand" w:hAnsi="Quicksand" w:cs="Quicksand"/>
        </w:rPr>
        <w:t>Education - IDEA is an education act that guarantees that eligible children with disabilities will receive a public education that includes special education and related services as directed by the child's Individualized Education Program (IEP).</w:t>
      </w:r>
    </w:p>
    <w:p w14:paraId="22C2FDDC" w14:textId="77777777" w:rsidR="000B7CE9" w:rsidRDefault="00F84270">
      <w:pPr>
        <w:rPr>
          <w:rFonts w:ascii="Quicksand" w:eastAsia="Quicksand" w:hAnsi="Quicksand" w:cs="Quicksand"/>
        </w:rPr>
      </w:pPr>
      <w:r>
        <w:rPr>
          <w:rFonts w:ascii="Quicksand" w:eastAsia="Quicksand" w:hAnsi="Quicksand" w:cs="Quicksand"/>
        </w:rPr>
        <w:t xml:space="preserve"> </w:t>
      </w:r>
    </w:p>
    <w:p w14:paraId="2D91A6C2" w14:textId="77777777" w:rsidR="000B7CE9" w:rsidRDefault="00F84270">
      <w:pPr>
        <w:rPr>
          <w:rFonts w:ascii="Quicksand" w:eastAsia="Quicksand" w:hAnsi="Quicksand" w:cs="Quicksand"/>
        </w:rPr>
      </w:pPr>
      <w:r>
        <w:rPr>
          <w:rFonts w:ascii="Quicksand" w:eastAsia="Quicksand" w:hAnsi="Quicksand" w:cs="Quicksand"/>
          <w:b/>
          <w:color w:val="172439"/>
        </w:rPr>
        <w:t>Appropriate Evaluation</w:t>
      </w:r>
      <w:r>
        <w:rPr>
          <w:rFonts w:ascii="Quicksand" w:eastAsia="Quicksand" w:hAnsi="Quicksand" w:cs="Quicksand"/>
        </w:rPr>
        <w:t xml:space="preserve"> — IDEA requires that each child suspected of having a disability receive an appropriate evaluation. An appropriate evaluation provides information to be used to determine the child’s eligibility for special education and related services and the educational needs of the child.</w:t>
      </w:r>
    </w:p>
    <w:p w14:paraId="47B71F0B" w14:textId="77777777" w:rsidR="000B7CE9" w:rsidRDefault="000B7CE9">
      <w:pPr>
        <w:rPr>
          <w:rFonts w:ascii="Quicksand" w:eastAsia="Quicksand" w:hAnsi="Quicksand" w:cs="Quicksand"/>
        </w:rPr>
      </w:pPr>
    </w:p>
    <w:p w14:paraId="572EB62C" w14:textId="77777777" w:rsidR="000B7CE9" w:rsidRDefault="00F84270">
      <w:pPr>
        <w:rPr>
          <w:rFonts w:ascii="Quicksand" w:eastAsia="Quicksand" w:hAnsi="Quicksand" w:cs="Quicksand"/>
        </w:rPr>
      </w:pPr>
      <w:r>
        <w:rPr>
          <w:rFonts w:ascii="Quicksand" w:eastAsia="Quicksand" w:hAnsi="Quicksand" w:cs="Quicksand"/>
          <w:b/>
          <w:color w:val="172439"/>
        </w:rPr>
        <w:t>Individualized Education Program (IEP)</w:t>
      </w:r>
      <w:r>
        <w:rPr>
          <w:rFonts w:ascii="Quicksand" w:eastAsia="Quicksand" w:hAnsi="Quicksand" w:cs="Quicksand"/>
        </w:rPr>
        <w:t xml:space="preserve"> — In order to ensure that students with disabilities receive an appropriate and individualized education, IDEA requires that, after drawing upon current evaluation information, the IEP team develop a written document, the IEP, designed to meet the unique educational needs of each student with disabilities. </w:t>
      </w:r>
    </w:p>
    <w:p w14:paraId="360F9345" w14:textId="77777777" w:rsidR="000B7CE9" w:rsidRDefault="000B7CE9">
      <w:pPr>
        <w:rPr>
          <w:rFonts w:ascii="Quicksand" w:eastAsia="Quicksand" w:hAnsi="Quicksand" w:cs="Quicksand"/>
        </w:rPr>
      </w:pPr>
    </w:p>
    <w:p w14:paraId="0E919D61" w14:textId="77777777" w:rsidR="000B7CE9" w:rsidRDefault="00F84270">
      <w:pPr>
        <w:rPr>
          <w:rFonts w:ascii="Quicksand" w:eastAsia="Quicksand" w:hAnsi="Quicksand" w:cs="Quicksand"/>
        </w:rPr>
      </w:pPr>
      <w:r>
        <w:rPr>
          <w:rFonts w:ascii="Quicksand" w:eastAsia="Quicksand" w:hAnsi="Quicksand" w:cs="Quicksand"/>
          <w:b/>
          <w:color w:val="172439"/>
        </w:rPr>
        <w:t>Least Restrictive Environment (LRE)</w:t>
      </w:r>
      <w:r>
        <w:rPr>
          <w:rFonts w:ascii="Quicksand" w:eastAsia="Quicksand" w:hAnsi="Quicksand" w:cs="Quicksand"/>
        </w:rPr>
        <w:t xml:space="preserve"> — IDEA guarantees that a child with a disability will receive a free appropriate public education in the least restrictive environment (LRE) appropriate. This principle reflects IDEA’s strong preference for educating students with disabilities in general education classes with the access to general education curriculum. Placement in the general education classroom is the first placement option the IEP team must consider.</w:t>
      </w:r>
    </w:p>
    <w:p w14:paraId="034F4784" w14:textId="77777777" w:rsidR="000B7CE9" w:rsidRDefault="00F84270">
      <w:pPr>
        <w:rPr>
          <w:rFonts w:ascii="Quicksand" w:eastAsia="Quicksand" w:hAnsi="Quicksand" w:cs="Quicksand"/>
        </w:rPr>
      </w:pPr>
      <w:r>
        <w:rPr>
          <w:rFonts w:ascii="Quicksand" w:eastAsia="Quicksand" w:hAnsi="Quicksand" w:cs="Quicksand"/>
        </w:rPr>
        <w:t xml:space="preserve"> </w:t>
      </w:r>
    </w:p>
    <w:p w14:paraId="13774C0D" w14:textId="77777777" w:rsidR="000B7CE9" w:rsidRDefault="00F84270">
      <w:pPr>
        <w:rPr>
          <w:rFonts w:ascii="Quicksand" w:eastAsia="Quicksand" w:hAnsi="Quicksand" w:cs="Quicksand"/>
        </w:rPr>
      </w:pPr>
      <w:r>
        <w:rPr>
          <w:rFonts w:ascii="Quicksand" w:eastAsia="Quicksand" w:hAnsi="Quicksand" w:cs="Quicksand"/>
        </w:rPr>
        <w:t xml:space="preserve">Parent and Student Participation in Decision Making — This principle reinforces the belief that the education of children with disabilities is made more effective by strengthening the role of parents in the special education process. IDEA requires that parents (and students, as appropriate) participate in each step of the special education process. Students must be invited to participate in IEP meetings where transition services are to be discussed. </w:t>
      </w:r>
    </w:p>
    <w:p w14:paraId="62AD51EF" w14:textId="77777777" w:rsidR="000B7CE9" w:rsidRDefault="000B7CE9">
      <w:pPr>
        <w:rPr>
          <w:rFonts w:ascii="Quicksand" w:eastAsia="Quicksand" w:hAnsi="Quicksand" w:cs="Quicksand"/>
        </w:rPr>
      </w:pPr>
    </w:p>
    <w:p w14:paraId="2E2D2C0C" w14:textId="77777777" w:rsidR="000B7CE9" w:rsidRDefault="00F84270">
      <w:pPr>
        <w:rPr>
          <w:rFonts w:ascii="Quicksand" w:eastAsia="Quicksand" w:hAnsi="Quicksand" w:cs="Quicksand"/>
        </w:rPr>
      </w:pPr>
      <w:r>
        <w:rPr>
          <w:rFonts w:ascii="Quicksand" w:eastAsia="Quicksand" w:hAnsi="Quicksand" w:cs="Quicksand"/>
          <w:b/>
          <w:color w:val="172439"/>
        </w:rPr>
        <w:t xml:space="preserve">Procedural Safeguards </w:t>
      </w:r>
      <w:r>
        <w:rPr>
          <w:rFonts w:ascii="Quicksand" w:eastAsia="Quicksand" w:hAnsi="Quicksand" w:cs="Quicksand"/>
        </w:rPr>
        <w:t>— Procedural safeguards are a set of activities whose purpose is to ensure that:</w:t>
      </w:r>
    </w:p>
    <w:p w14:paraId="15FF8342" w14:textId="77777777" w:rsidR="000B7CE9" w:rsidRDefault="000B7CE9">
      <w:pPr>
        <w:rPr>
          <w:rFonts w:ascii="Quicksand" w:eastAsia="Quicksand" w:hAnsi="Quicksand" w:cs="Quicksand"/>
        </w:rPr>
      </w:pPr>
    </w:p>
    <w:p w14:paraId="065B259D" w14:textId="77777777" w:rsidR="000B7CE9" w:rsidRDefault="00F84270">
      <w:pPr>
        <w:numPr>
          <w:ilvl w:val="0"/>
          <w:numId w:val="1"/>
        </w:numPr>
        <w:rPr>
          <w:rFonts w:ascii="Quicksand" w:eastAsia="Quicksand" w:hAnsi="Quicksand" w:cs="Quicksand"/>
        </w:rPr>
      </w:pPr>
      <w:r>
        <w:rPr>
          <w:rFonts w:ascii="Quicksand" w:eastAsia="Quicksand" w:hAnsi="Quicksand" w:cs="Quicksand"/>
        </w:rPr>
        <w:t>The rights of children with disabilities and their parents are protected.</w:t>
      </w:r>
    </w:p>
    <w:p w14:paraId="71BEB912" w14:textId="77777777" w:rsidR="000B7CE9" w:rsidRDefault="00F84270">
      <w:pPr>
        <w:numPr>
          <w:ilvl w:val="0"/>
          <w:numId w:val="1"/>
        </w:numPr>
        <w:rPr>
          <w:rFonts w:ascii="Quicksand" w:eastAsia="Quicksand" w:hAnsi="Quicksand" w:cs="Quicksand"/>
        </w:rPr>
      </w:pPr>
      <w:r>
        <w:rPr>
          <w:rFonts w:ascii="Quicksand" w:eastAsia="Quicksand" w:hAnsi="Quicksand" w:cs="Quicksand"/>
        </w:rPr>
        <w:t>All information needed to make decisions about the provision of a free appropriate public education to the student is provided to parents of children with disabilities and to the student when appropriate.</w:t>
      </w:r>
    </w:p>
    <w:p w14:paraId="3CCEDADB" w14:textId="77777777" w:rsidR="000B7CE9" w:rsidRDefault="00F84270">
      <w:pPr>
        <w:numPr>
          <w:ilvl w:val="0"/>
          <w:numId w:val="1"/>
        </w:numPr>
        <w:rPr>
          <w:rFonts w:ascii="Quicksand" w:eastAsia="Quicksand" w:hAnsi="Quicksand" w:cs="Quicksand"/>
        </w:rPr>
      </w:pPr>
      <w:r>
        <w:rPr>
          <w:rFonts w:ascii="Quicksand" w:eastAsia="Quicksand" w:hAnsi="Quicksand" w:cs="Quicksand"/>
        </w:rPr>
        <w:t>Procedures (mediation and due process) are in place to resolve disagreements between parties.</w:t>
      </w:r>
    </w:p>
    <w:p w14:paraId="66AECC03" w14:textId="77777777" w:rsidR="000B7CE9" w:rsidRDefault="000B7CE9">
      <w:pPr>
        <w:rPr>
          <w:rFonts w:ascii="Quicksand" w:eastAsia="Quicksand" w:hAnsi="Quicksand" w:cs="Quicksand"/>
        </w:rPr>
      </w:pPr>
    </w:p>
    <w:p w14:paraId="5AD581BB" w14:textId="50A8CBB4" w:rsidR="000B7CE9" w:rsidRDefault="00F84270">
      <w:pPr>
        <w:rPr>
          <w:rFonts w:ascii="Quicksand" w:eastAsia="Quicksand" w:hAnsi="Quicksand" w:cs="Quicksand"/>
        </w:rPr>
      </w:pPr>
      <w:r>
        <w:rPr>
          <w:rFonts w:ascii="Quicksand" w:eastAsia="Quicksand" w:hAnsi="Quicksand" w:cs="Quicksand"/>
        </w:rPr>
        <w:t xml:space="preserve">Want to Extend Your Learning?  </w:t>
      </w:r>
      <w:r w:rsidRPr="007A49CF">
        <w:rPr>
          <w:rFonts w:ascii="Quicksand" w:eastAsia="Quicksand" w:hAnsi="Quicksand" w:cs="Quicksand"/>
          <w:color w:val="000000" w:themeColor="text1"/>
        </w:rPr>
        <w:t>Quizlet</w:t>
      </w:r>
      <w:r>
        <w:rPr>
          <w:rFonts w:ascii="Quicksand" w:eastAsia="Quicksand" w:hAnsi="Quicksand" w:cs="Quicksand"/>
          <w:color w:val="1155CC"/>
          <w:u w:val="single"/>
        </w:rPr>
        <w:t xml:space="preserve"> </w:t>
      </w:r>
      <w:r>
        <w:rPr>
          <w:rFonts w:ascii="Quicksand" w:eastAsia="Quicksand" w:hAnsi="Quicksand" w:cs="Quicksand"/>
        </w:rPr>
        <w:t xml:space="preserve">on 6 Guiding Principles of IDEA. </w:t>
      </w:r>
      <w:r>
        <w:rPr>
          <w:noProof/>
        </w:rPr>
        <w:drawing>
          <wp:inline distT="0" distB="0" distL="0" distR="0" wp14:anchorId="34714416" wp14:editId="28A18439">
            <wp:extent cx="5724525" cy="857250"/>
            <wp:effectExtent l="0" t="0" r="9525" b="0"/>
            <wp:docPr id="4" name="image3.png" descr="a series of icons: Learn, Plashcards, Write, Spell, Test, Match, and Gravit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rcRect t="54085"/>
                    <a:stretch>
                      <a:fillRect/>
                    </a:stretch>
                  </pic:blipFill>
                  <pic:spPr>
                    <a:xfrm>
                      <a:off x="0" y="0"/>
                      <a:ext cx="5724525" cy="857250"/>
                    </a:xfrm>
                    <a:prstGeom prst="rect">
                      <a:avLst/>
                    </a:prstGeom>
                    <a:ln/>
                  </pic:spPr>
                </pic:pic>
              </a:graphicData>
            </a:graphic>
          </wp:inline>
        </w:drawing>
      </w:r>
    </w:p>
    <w:p w14:paraId="4BDEB953" w14:textId="77777777" w:rsidR="000B7CE9" w:rsidRDefault="00F84270">
      <w:pPr>
        <w:rPr>
          <w:rFonts w:ascii="Quicksand" w:eastAsia="Quicksand" w:hAnsi="Quicksand" w:cs="Quicksand"/>
        </w:rPr>
      </w:pPr>
      <w:r>
        <w:rPr>
          <w:rFonts w:ascii="Quicksand" w:eastAsia="Quicksand" w:hAnsi="Quicksand" w:cs="Quicksand"/>
        </w:rPr>
        <w:t>https://quizlet.com/45728212/six-principles-of-idea-flash-cards</w:t>
      </w:r>
    </w:p>
    <w:p w14:paraId="3A788F8D" w14:textId="77777777" w:rsidR="000B7CE9" w:rsidRDefault="000B7CE9">
      <w:pPr>
        <w:rPr>
          <w:rFonts w:ascii="Quicksand" w:eastAsia="Quicksand" w:hAnsi="Quicksand" w:cs="Quicksand"/>
        </w:rPr>
      </w:pPr>
    </w:p>
    <w:p w14:paraId="3E27EB5D" w14:textId="77777777" w:rsidR="000B7CE9" w:rsidRDefault="000B7CE9">
      <w:pPr>
        <w:rPr>
          <w:rFonts w:ascii="Quicksand" w:eastAsia="Quicksand" w:hAnsi="Quicksand" w:cs="Quicksand"/>
          <w:b/>
          <w:color w:val="EE306F"/>
          <w:sz w:val="36"/>
          <w:szCs w:val="36"/>
        </w:rPr>
      </w:pPr>
    </w:p>
    <w:p w14:paraId="3F661A9D" w14:textId="77777777" w:rsidR="000B7CE9" w:rsidRDefault="00F84270">
      <w:pPr>
        <w:rPr>
          <w:rFonts w:ascii="Quicksand" w:eastAsia="Quicksand" w:hAnsi="Quicksand" w:cs="Quicksand"/>
          <w:color w:val="E49F13"/>
          <w:sz w:val="24"/>
          <w:szCs w:val="24"/>
        </w:rPr>
      </w:pPr>
      <w:r w:rsidRPr="0034339A">
        <w:rPr>
          <w:rFonts w:ascii="Quicksand" w:eastAsia="Quicksand" w:hAnsi="Quicksand" w:cs="Quicksand"/>
          <w:color w:val="984806" w:themeColor="accent6" w:themeShade="80"/>
          <w:sz w:val="24"/>
          <w:szCs w:val="24"/>
        </w:rPr>
        <w:t>ACTIVITY</w:t>
      </w:r>
    </w:p>
    <w:p w14:paraId="4B17D07A" w14:textId="77777777" w:rsidR="000B7CE9" w:rsidRDefault="00F84270">
      <w:pPr>
        <w:rPr>
          <w:rFonts w:ascii="Quicksand" w:eastAsia="Quicksand" w:hAnsi="Quicksand" w:cs="Quicksand"/>
          <w:sz w:val="32"/>
          <w:szCs w:val="32"/>
        </w:rPr>
      </w:pPr>
      <w:r>
        <w:rPr>
          <w:rFonts w:ascii="Quicksand" w:eastAsia="Quicksand" w:hAnsi="Quicksand" w:cs="Quicksand"/>
          <w:b/>
          <w:color w:val="EE306F"/>
          <w:sz w:val="32"/>
          <w:szCs w:val="32"/>
        </w:rPr>
        <w:t>OPTION 1: Explore Connections Between IDEA and MTSS</w:t>
      </w:r>
    </w:p>
    <w:p w14:paraId="6BA5B12F" w14:textId="77777777" w:rsidR="000B7CE9" w:rsidRDefault="000B7CE9">
      <w:pPr>
        <w:rPr>
          <w:rFonts w:ascii="Quicksand" w:eastAsia="Quicksand" w:hAnsi="Quicksand" w:cs="Quicksand"/>
        </w:rPr>
      </w:pPr>
    </w:p>
    <w:p w14:paraId="4E8B423F" w14:textId="7F724921" w:rsidR="000B7CE9" w:rsidRDefault="00F84270">
      <w:pPr>
        <w:rPr>
          <w:rFonts w:ascii="Quicksand" w:eastAsia="Quicksand" w:hAnsi="Quicksand" w:cs="Quicksand"/>
        </w:rPr>
      </w:pPr>
      <w:r>
        <w:rPr>
          <w:rFonts w:ascii="Quicksand" w:eastAsia="Quicksand" w:hAnsi="Quicksand" w:cs="Quicksand"/>
        </w:rPr>
        <w:t xml:space="preserve">1. Conceptualize the MTSS Framework.  Consider the following drivers articulated in the </w:t>
      </w:r>
      <w:hyperlink r:id="rId13">
        <w:r>
          <w:rPr>
            <w:rFonts w:ascii="Quicksand" w:eastAsia="Quicksand" w:hAnsi="Quicksand" w:cs="Quicksand"/>
            <w:color w:val="1155CC"/>
            <w:u w:val="single"/>
          </w:rPr>
          <w:t>Blueprint (Section 4, pgs 11-20):</w:t>
        </w:r>
      </w:hyperlink>
    </w:p>
    <w:p w14:paraId="4F795390" w14:textId="77777777" w:rsidR="000B7CE9" w:rsidRDefault="00F84270">
      <w:pPr>
        <w:numPr>
          <w:ilvl w:val="0"/>
          <w:numId w:val="4"/>
        </w:numPr>
        <w:rPr>
          <w:rFonts w:ascii="Quicksand" w:eastAsia="Quicksand" w:hAnsi="Quicksand" w:cs="Quicksand"/>
        </w:rPr>
      </w:pPr>
      <w:r>
        <w:rPr>
          <w:rFonts w:ascii="Quicksand" w:eastAsia="Quicksand" w:hAnsi="Quicksand" w:cs="Quicksand"/>
        </w:rPr>
        <w:t>Leadership Drivers</w:t>
      </w:r>
    </w:p>
    <w:p w14:paraId="7C878BA2" w14:textId="77777777" w:rsidR="000B7CE9" w:rsidRDefault="00F84270">
      <w:pPr>
        <w:numPr>
          <w:ilvl w:val="0"/>
          <w:numId w:val="4"/>
        </w:numPr>
        <w:rPr>
          <w:rFonts w:ascii="Quicksand" w:eastAsia="Quicksand" w:hAnsi="Quicksand" w:cs="Quicksand"/>
        </w:rPr>
      </w:pPr>
      <w:r>
        <w:rPr>
          <w:rFonts w:ascii="Quicksand" w:eastAsia="Quicksand" w:hAnsi="Quicksand" w:cs="Quicksand"/>
        </w:rPr>
        <w:t>Competency Drivers</w:t>
      </w:r>
    </w:p>
    <w:p w14:paraId="7704BB43" w14:textId="77777777" w:rsidR="000B7CE9" w:rsidRDefault="00F84270">
      <w:pPr>
        <w:numPr>
          <w:ilvl w:val="0"/>
          <w:numId w:val="4"/>
        </w:numPr>
        <w:rPr>
          <w:rFonts w:ascii="Quicksand" w:eastAsia="Quicksand" w:hAnsi="Quicksand" w:cs="Quicksand"/>
        </w:rPr>
      </w:pPr>
      <w:r>
        <w:rPr>
          <w:rFonts w:ascii="Quicksand" w:eastAsia="Quicksand" w:hAnsi="Quicksand" w:cs="Quicksand"/>
        </w:rPr>
        <w:t>Implementation Drivers</w:t>
      </w:r>
    </w:p>
    <w:p w14:paraId="0B90EB76" w14:textId="77777777" w:rsidR="000B7CE9" w:rsidRDefault="000B7CE9">
      <w:pPr>
        <w:rPr>
          <w:rFonts w:ascii="Quicksand" w:eastAsia="Quicksand" w:hAnsi="Quicksand" w:cs="Quicksand"/>
        </w:rPr>
      </w:pPr>
    </w:p>
    <w:p w14:paraId="51A5B38E" w14:textId="77777777" w:rsidR="000B7CE9" w:rsidRDefault="00F84270">
      <w:pPr>
        <w:rPr>
          <w:rFonts w:ascii="Quicksand" w:eastAsia="Quicksand" w:hAnsi="Quicksand" w:cs="Quicksand"/>
        </w:rPr>
      </w:pPr>
      <w:r>
        <w:rPr>
          <w:rFonts w:ascii="Quicksand" w:eastAsia="Quicksand" w:hAnsi="Quicksand" w:cs="Quicksand"/>
        </w:rPr>
        <w:t>2. Review the IDEA Guiding Principles</w:t>
      </w:r>
    </w:p>
    <w:p w14:paraId="5CE6366F" w14:textId="77777777" w:rsidR="000B7CE9" w:rsidRDefault="000B7CE9">
      <w:pPr>
        <w:rPr>
          <w:rFonts w:ascii="Quicksand" w:eastAsia="Quicksand" w:hAnsi="Quicksand" w:cs="Quicksand"/>
        </w:rPr>
      </w:pPr>
    </w:p>
    <w:p w14:paraId="06C33717" w14:textId="77777777" w:rsidR="000B7CE9" w:rsidRDefault="00F84270">
      <w:pPr>
        <w:rPr>
          <w:rFonts w:ascii="Quicksand" w:eastAsia="Quicksand" w:hAnsi="Quicksand" w:cs="Quicksand"/>
        </w:rPr>
      </w:pPr>
      <w:r>
        <w:rPr>
          <w:rFonts w:ascii="Quicksand" w:eastAsia="Quicksand" w:hAnsi="Quicksand" w:cs="Quicksand"/>
        </w:rPr>
        <w:t xml:space="preserve">3.  Where might the IDEA guiding principles fit into the MTSS framework?  </w:t>
      </w:r>
    </w:p>
    <w:p w14:paraId="0A251D03" w14:textId="77777777" w:rsidR="000B7CE9" w:rsidRDefault="000B7CE9">
      <w:pPr>
        <w:rPr>
          <w:rFonts w:ascii="Quicksand" w:eastAsia="Quicksand" w:hAnsi="Quicksand" w:cs="Quicksand"/>
        </w:rPr>
      </w:pPr>
    </w:p>
    <w:p w14:paraId="4CD6C3A5" w14:textId="77777777" w:rsidR="000B7CE9" w:rsidRDefault="00F84270">
      <w:pPr>
        <w:rPr>
          <w:rFonts w:ascii="Quicksand" w:eastAsia="Quicksand" w:hAnsi="Quicksand" w:cs="Quicksand"/>
        </w:rPr>
      </w:pPr>
      <w:r>
        <w:rPr>
          <w:rFonts w:ascii="Quicksand" w:eastAsia="Quicksand" w:hAnsi="Quicksand" w:cs="Quicksand"/>
        </w:rPr>
        <w:t xml:space="preserve">For example, consider the following data suggestions from the MTSS Blueprint and discuss how they may support the IEP development process. </w:t>
      </w:r>
    </w:p>
    <w:p w14:paraId="661C7CB0" w14:textId="77777777" w:rsidR="000B7CE9" w:rsidRDefault="000B7CE9">
      <w:pPr>
        <w:rPr>
          <w:rFonts w:ascii="Quicksand" w:eastAsia="Quicksand" w:hAnsi="Quicksand" w:cs="Quicksand"/>
        </w:rPr>
      </w:pPr>
    </w:p>
    <w:p w14:paraId="6DE84D6B" w14:textId="77777777" w:rsidR="000B7CE9" w:rsidRDefault="00F84270">
      <w:pPr>
        <w:numPr>
          <w:ilvl w:val="0"/>
          <w:numId w:val="3"/>
        </w:numPr>
        <w:rPr>
          <w:rFonts w:ascii="Quicksand" w:eastAsia="Quicksand" w:hAnsi="Quicksand" w:cs="Quicksand"/>
        </w:rPr>
      </w:pPr>
      <w:r>
        <w:rPr>
          <w:rFonts w:ascii="Quicksand" w:eastAsia="Quicksand" w:hAnsi="Quicksand" w:cs="Quicksand"/>
        </w:rPr>
        <w:t>Teachers use and analyze a variety of student-specific data to assess the effectiveness of their instructional strategies and practices and modify instruction to meet their students’ needs as identified.</w:t>
      </w:r>
    </w:p>
    <w:p w14:paraId="03EEE7C7" w14:textId="77777777" w:rsidR="000B7CE9" w:rsidRDefault="00F84270">
      <w:pPr>
        <w:numPr>
          <w:ilvl w:val="0"/>
          <w:numId w:val="3"/>
        </w:numPr>
        <w:rPr>
          <w:rFonts w:ascii="Quicksand" w:eastAsia="Quicksand" w:hAnsi="Quicksand" w:cs="Quicksand"/>
        </w:rPr>
      </w:pPr>
      <w:r>
        <w:rPr>
          <w:rFonts w:ascii="Quicksand" w:eastAsia="Quicksand" w:hAnsi="Quicksand" w:cs="Quicksand"/>
        </w:rPr>
        <w:t>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14:paraId="7F3E71F7" w14:textId="77777777" w:rsidR="000B7CE9" w:rsidRDefault="00F84270">
      <w:pPr>
        <w:numPr>
          <w:ilvl w:val="0"/>
          <w:numId w:val="3"/>
        </w:numPr>
        <w:rPr>
          <w:rFonts w:ascii="Quicksand" w:eastAsia="Quicksand" w:hAnsi="Quicksand" w:cs="Quicksand"/>
        </w:rPr>
      </w:pPr>
      <w:r>
        <w:rPr>
          <w:rFonts w:ascii="Quicksand" w:eastAsia="Quicksand" w:hAnsi="Quicksand" w:cs="Quicksand"/>
        </w:rPr>
        <w:t>The school engages in ongoing monitoring of the impact of tiered interventions and adjusts school’s structures and resources (e.g., time, staff, schedules) to provide interventions to students throughout the year.</w:t>
      </w:r>
    </w:p>
    <w:p w14:paraId="19A7052C" w14:textId="77777777" w:rsidR="000B7CE9" w:rsidRDefault="000B7CE9">
      <w:pPr>
        <w:rPr>
          <w:rFonts w:ascii="Quicksand" w:eastAsia="Quicksand" w:hAnsi="Quicksand" w:cs="Quicksand"/>
        </w:rPr>
      </w:pPr>
    </w:p>
    <w:p w14:paraId="377E26F3" w14:textId="77777777" w:rsidR="000B7CE9" w:rsidRDefault="000B7CE9">
      <w:pPr>
        <w:rPr>
          <w:rFonts w:ascii="Quicksand" w:eastAsia="Quicksand" w:hAnsi="Quicksand" w:cs="Quicksand"/>
        </w:rPr>
      </w:pPr>
    </w:p>
    <w:p w14:paraId="7DA91A6E" w14:textId="77777777" w:rsidR="000B7CE9" w:rsidRDefault="00F84270">
      <w:pPr>
        <w:rPr>
          <w:rFonts w:ascii="Quicksand" w:eastAsia="Quicksand" w:hAnsi="Quicksand" w:cs="Quicksand"/>
          <w:color w:val="E49F13"/>
          <w:sz w:val="24"/>
          <w:szCs w:val="24"/>
        </w:rPr>
      </w:pPr>
      <w:r w:rsidRPr="0034339A">
        <w:rPr>
          <w:rFonts w:ascii="Quicksand" w:eastAsia="Quicksand" w:hAnsi="Quicksand" w:cs="Quicksand"/>
          <w:color w:val="984806" w:themeColor="accent6" w:themeShade="80"/>
          <w:sz w:val="24"/>
          <w:szCs w:val="24"/>
        </w:rPr>
        <w:t>ACTIVITY</w:t>
      </w:r>
    </w:p>
    <w:p w14:paraId="5B67EC37" w14:textId="4C906904" w:rsidR="000B7CE9" w:rsidRDefault="00F84270">
      <w:pPr>
        <w:rPr>
          <w:rFonts w:ascii="Quicksand" w:eastAsia="Quicksand" w:hAnsi="Quicksand" w:cs="Quicksand"/>
        </w:rPr>
      </w:pPr>
      <w:r>
        <w:rPr>
          <w:rFonts w:ascii="Quicksand" w:eastAsia="Quicksand" w:hAnsi="Quicksand" w:cs="Quicksand"/>
          <w:b/>
          <w:color w:val="EE306F"/>
          <w:sz w:val="32"/>
          <w:szCs w:val="32"/>
        </w:rPr>
        <w:t>OPTION 2: How Can Inclusive Practice Support the Effective Implementation of IDEA?</w:t>
      </w:r>
    </w:p>
    <w:p w14:paraId="3CDDD65E" w14:textId="77777777" w:rsidR="000B7CE9" w:rsidRDefault="000B7CE9">
      <w:pPr>
        <w:rPr>
          <w:rFonts w:ascii="Quicksand" w:eastAsia="Quicksand" w:hAnsi="Quicksand" w:cs="Quicksand"/>
        </w:rPr>
      </w:pPr>
    </w:p>
    <w:p w14:paraId="2575AC91" w14:textId="77777777" w:rsidR="000B7CE9" w:rsidRDefault="00F84270">
      <w:pPr>
        <w:rPr>
          <w:rFonts w:ascii="Quicksand" w:eastAsia="Quicksand" w:hAnsi="Quicksand" w:cs="Quicksand"/>
        </w:rPr>
      </w:pPr>
      <w:r>
        <w:rPr>
          <w:rFonts w:ascii="Quicksand" w:eastAsia="Quicksand" w:hAnsi="Quicksand" w:cs="Quicksand"/>
        </w:rPr>
        <w:t>Universal design for learning (UDL) is a framework that reduces barriers in instruction, proactively provides appropriate accommodations and supports, and allows for high-achievement expectations for all students, regardless of their unique mix of strengths and weaknesses, by providing options and choices for students to personalize their learning. UDL is an educational framework based on research in cognitive neuroscience that guides the development of flexible</w:t>
      </w:r>
    </w:p>
    <w:p w14:paraId="2E69F70A" w14:textId="77777777" w:rsidR="000B7CE9" w:rsidRDefault="00F84270">
      <w:pPr>
        <w:rPr>
          <w:rFonts w:ascii="Quicksand" w:eastAsia="Quicksand" w:hAnsi="Quicksand" w:cs="Quicksand"/>
        </w:rPr>
      </w:pPr>
      <w:r>
        <w:rPr>
          <w:rFonts w:ascii="Quicksand" w:eastAsia="Quicksand" w:hAnsi="Quicksand" w:cs="Quicksand"/>
        </w:rPr>
        <w:t xml:space="preserve">learning environments that can accommodate learner variability. The nine (9) </w:t>
      </w:r>
      <w:hyperlink r:id="rId14">
        <w:r>
          <w:rPr>
            <w:rFonts w:ascii="Quicksand" w:eastAsia="Quicksand" w:hAnsi="Quicksand" w:cs="Quicksand"/>
            <w:color w:val="1155CC"/>
            <w:u w:val="single"/>
          </w:rPr>
          <w:t>UDL Guidelines</w:t>
        </w:r>
      </w:hyperlink>
      <w:r>
        <w:rPr>
          <w:rFonts w:ascii="Quicksand" w:eastAsia="Quicksand" w:hAnsi="Quicksand" w:cs="Quicksand"/>
        </w:rPr>
        <w:t xml:space="preserve"> are a tool used in the implementation of UDL. Guideline 6, specifically, is focused supporting executive function and learning by providing provide scaffolding and strategies that will optimize student success.</w:t>
      </w:r>
    </w:p>
    <w:p w14:paraId="32371599" w14:textId="77777777" w:rsidR="000B7CE9" w:rsidRDefault="000B7CE9">
      <w:pPr>
        <w:rPr>
          <w:rFonts w:ascii="Quicksand" w:eastAsia="Quicksand" w:hAnsi="Quicksand" w:cs="Quicksand"/>
        </w:rPr>
      </w:pPr>
    </w:p>
    <w:p w14:paraId="064455B1" w14:textId="77777777" w:rsidR="000B7CE9" w:rsidRDefault="00F84270">
      <w:pPr>
        <w:rPr>
          <w:rFonts w:ascii="Quicksand" w:eastAsia="Quicksand" w:hAnsi="Quicksand" w:cs="Quicksand"/>
          <w:color w:val="1155CC"/>
          <w:u w:val="single"/>
        </w:rPr>
      </w:pPr>
      <w:r>
        <w:rPr>
          <w:rFonts w:ascii="Quicksand" w:eastAsia="Quicksand" w:hAnsi="Quicksand" w:cs="Quicksand"/>
        </w:rPr>
        <w:t xml:space="preserve">1.  Review  Guideline 6 of the UDL Framework: Provide options for </w:t>
      </w:r>
      <w:r>
        <w:fldChar w:fldCharType="begin"/>
      </w:r>
      <w:r>
        <w:instrText xml:space="preserve"> HYPERLINK "http://udlguidelines.cast.org/action-expression/executive-functions/executive-functions" </w:instrText>
      </w:r>
      <w:r>
        <w:fldChar w:fldCharType="separate"/>
      </w:r>
      <w:r>
        <w:rPr>
          <w:rFonts w:ascii="Quicksand" w:eastAsia="Quicksand" w:hAnsi="Quicksand" w:cs="Quicksand"/>
          <w:color w:val="1155CC"/>
          <w:u w:val="single"/>
        </w:rPr>
        <w:t xml:space="preserve">Executive Functions </w:t>
      </w:r>
    </w:p>
    <w:bookmarkStart w:id="1" w:name="_x9dn2ole7ngh" w:colFirst="0" w:colLast="0"/>
    <w:bookmarkEnd w:id="1"/>
    <w:p w14:paraId="0698293E" w14:textId="77777777" w:rsidR="000B7CE9" w:rsidRDefault="00F84270">
      <w:pPr>
        <w:pStyle w:val="Heading5"/>
        <w:numPr>
          <w:ilvl w:val="0"/>
          <w:numId w:val="5"/>
        </w:numPr>
        <w:spacing w:before="0" w:after="0"/>
        <w:rPr>
          <w:rFonts w:ascii="Quicksand" w:eastAsia="Quicksand" w:hAnsi="Quicksand" w:cs="Quicksand"/>
        </w:rPr>
      </w:pPr>
      <w:r>
        <w:fldChar w:fldCharType="end"/>
      </w:r>
      <w:r>
        <w:fldChar w:fldCharType="begin"/>
      </w:r>
      <w:r>
        <w:instrText xml:space="preserve"> HYPERLINK "http://udlguidelines.cast.org/action-expression/executive-functions/goal-setting/goal-setting" </w:instrText>
      </w:r>
      <w:r>
        <w:fldChar w:fldCharType="separate"/>
      </w:r>
      <w:r>
        <w:rPr>
          <w:rFonts w:ascii="Quicksand" w:eastAsia="Quicksand" w:hAnsi="Quicksand" w:cs="Quicksand"/>
          <w:color w:val="1155CC"/>
          <w:u w:val="single"/>
        </w:rPr>
        <w:t>Guide appropriate goal-setting (checkpoint 6.1)</w:t>
      </w:r>
    </w:p>
    <w:bookmarkStart w:id="2" w:name="_gxaadkmrr9sc" w:colFirst="0" w:colLast="0"/>
    <w:bookmarkEnd w:id="2"/>
    <w:p w14:paraId="1672DD02" w14:textId="77777777" w:rsidR="000B7CE9" w:rsidRDefault="00F84270">
      <w:pPr>
        <w:pStyle w:val="Heading5"/>
        <w:numPr>
          <w:ilvl w:val="0"/>
          <w:numId w:val="5"/>
        </w:numPr>
        <w:spacing w:before="0" w:after="0"/>
        <w:rPr>
          <w:rFonts w:ascii="Quicksand" w:eastAsia="Quicksand" w:hAnsi="Quicksand" w:cs="Quicksand"/>
        </w:rPr>
      </w:pPr>
      <w:r>
        <w:fldChar w:fldCharType="end"/>
      </w:r>
      <w:r>
        <w:fldChar w:fldCharType="begin"/>
      </w:r>
      <w:r>
        <w:instrText xml:space="preserve"> HYPERLINK "http://udlguidelines.cast.org/action-expression/executive-functions/strategy-development/strategy-development" </w:instrText>
      </w:r>
      <w:r>
        <w:fldChar w:fldCharType="separate"/>
      </w:r>
      <w:r>
        <w:rPr>
          <w:rFonts w:ascii="Quicksand" w:eastAsia="Quicksand" w:hAnsi="Quicksand" w:cs="Quicksand"/>
          <w:color w:val="1155CC"/>
          <w:u w:val="single"/>
        </w:rPr>
        <w:t>Support planning and strategy development (checkpoint 6.2)</w:t>
      </w:r>
    </w:p>
    <w:bookmarkStart w:id="3" w:name="_5vsrcnd0pwdf" w:colFirst="0" w:colLast="0"/>
    <w:bookmarkEnd w:id="3"/>
    <w:p w14:paraId="4F955304" w14:textId="77777777" w:rsidR="000B7CE9" w:rsidRDefault="00F84270">
      <w:pPr>
        <w:pStyle w:val="Heading5"/>
        <w:numPr>
          <w:ilvl w:val="0"/>
          <w:numId w:val="5"/>
        </w:numPr>
        <w:spacing w:before="0" w:after="0"/>
        <w:rPr>
          <w:rFonts w:ascii="Quicksand" w:eastAsia="Quicksand" w:hAnsi="Quicksand" w:cs="Quicksand"/>
        </w:rPr>
      </w:pPr>
      <w:r>
        <w:fldChar w:fldCharType="end"/>
      </w:r>
      <w:r>
        <w:fldChar w:fldCharType="begin"/>
      </w:r>
      <w:r>
        <w:instrText xml:space="preserve"> HYPERLINK "http://udlguidelines.cast.org/action-expression/executive-functions/information-resources/information-resources" </w:instrText>
      </w:r>
      <w:r>
        <w:fldChar w:fldCharType="separate"/>
      </w:r>
      <w:r>
        <w:rPr>
          <w:rFonts w:ascii="Quicksand" w:eastAsia="Quicksand" w:hAnsi="Quicksand" w:cs="Quicksand"/>
          <w:color w:val="1155CC"/>
          <w:u w:val="single"/>
        </w:rPr>
        <w:t>Facilitate managing information and resources (checkpoint 6.3)</w:t>
      </w:r>
    </w:p>
    <w:bookmarkStart w:id="4" w:name="_8qtlm6u1lzs7" w:colFirst="0" w:colLast="0"/>
    <w:bookmarkEnd w:id="4"/>
    <w:p w14:paraId="2E9EB09F" w14:textId="77777777" w:rsidR="000B7CE9" w:rsidRDefault="00F84270">
      <w:pPr>
        <w:pStyle w:val="Heading5"/>
        <w:numPr>
          <w:ilvl w:val="0"/>
          <w:numId w:val="5"/>
        </w:numPr>
        <w:spacing w:before="0" w:after="0"/>
        <w:rPr>
          <w:rFonts w:ascii="Quicksand" w:eastAsia="Quicksand" w:hAnsi="Quicksand" w:cs="Quicksand"/>
        </w:rPr>
      </w:pPr>
      <w:r>
        <w:fldChar w:fldCharType="end"/>
      </w:r>
      <w:r>
        <w:fldChar w:fldCharType="begin"/>
      </w:r>
      <w:r>
        <w:instrText xml:space="preserve"> HYPERLINK "http://udlguidelines.cast.org/action-expression/executive-functions/monitoring-progress/monitoring-progress" </w:instrText>
      </w:r>
      <w:r>
        <w:fldChar w:fldCharType="separate"/>
      </w:r>
      <w:r>
        <w:rPr>
          <w:rFonts w:ascii="Quicksand" w:eastAsia="Quicksand" w:hAnsi="Quicksand" w:cs="Quicksand"/>
          <w:color w:val="1155CC"/>
          <w:u w:val="single"/>
        </w:rPr>
        <w:t>Enhance capacity for monitoring progress (checkpoint 6.4)</w:t>
      </w:r>
    </w:p>
    <w:p w14:paraId="18EA9A62" w14:textId="77777777" w:rsidR="000B7CE9" w:rsidRDefault="00F84270">
      <w:pPr>
        <w:rPr>
          <w:rFonts w:ascii="Quicksand" w:eastAsia="Quicksand" w:hAnsi="Quicksand" w:cs="Quicksand"/>
        </w:rPr>
      </w:pPr>
      <w:r>
        <w:fldChar w:fldCharType="end"/>
      </w:r>
    </w:p>
    <w:p w14:paraId="7B31542D" w14:textId="77777777" w:rsidR="000B7CE9" w:rsidRDefault="00F84270">
      <w:pPr>
        <w:rPr>
          <w:rFonts w:ascii="Quicksand" w:eastAsia="Quicksand" w:hAnsi="Quicksand" w:cs="Quicksand"/>
        </w:rPr>
      </w:pPr>
      <w:r>
        <w:rPr>
          <w:rFonts w:ascii="Quicksand" w:eastAsia="Quicksand" w:hAnsi="Quicksand" w:cs="Quicksand"/>
        </w:rPr>
        <w:t xml:space="preserve">2.  Consider the Individualized Education Program (IEP) guideline — In order to ensure that students with disabilities receive an appropriate and individualized education, IDEA requires that, after drawing upon current evaluation information, the IEP team develop a written document, the IEP, designed to meet the unique educational needs of each student with disabilities. </w:t>
      </w:r>
    </w:p>
    <w:p w14:paraId="2E77337E" w14:textId="77777777" w:rsidR="000B7CE9" w:rsidRDefault="000B7CE9">
      <w:pPr>
        <w:rPr>
          <w:rFonts w:ascii="Quicksand" w:eastAsia="Quicksand" w:hAnsi="Quicksand" w:cs="Quicksand"/>
        </w:rPr>
      </w:pPr>
    </w:p>
    <w:p w14:paraId="2DFF270A" w14:textId="77777777" w:rsidR="000B7CE9" w:rsidRDefault="00F84270">
      <w:pPr>
        <w:rPr>
          <w:rFonts w:ascii="Quicksand" w:eastAsia="Quicksand" w:hAnsi="Quicksand" w:cs="Quicksand"/>
        </w:rPr>
      </w:pPr>
      <w:r>
        <w:rPr>
          <w:rFonts w:ascii="Quicksand" w:eastAsia="Quicksand" w:hAnsi="Quicksand" w:cs="Quicksand"/>
        </w:rPr>
        <w:t xml:space="preserve">3. How might effective implementation of Guideline 6 of UDL help prepare robust IEPs to support IDEA? </w:t>
      </w:r>
    </w:p>
    <w:p w14:paraId="3089824D" w14:textId="77777777" w:rsidR="000B7CE9" w:rsidRDefault="000B7CE9">
      <w:pPr>
        <w:rPr>
          <w:rFonts w:ascii="Quicksand" w:eastAsia="Quicksand" w:hAnsi="Quicksand" w:cs="Quicksand"/>
        </w:rPr>
      </w:pPr>
    </w:p>
    <w:sectPr w:rsidR="000B7CE9">
      <w:headerReference w:type="default" r:id="rId15"/>
      <w:footerReference w:type="default" r:id="rId16"/>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1AD4" w14:textId="77777777" w:rsidR="008F6587" w:rsidRDefault="008F6587">
      <w:pPr>
        <w:spacing w:line="240" w:lineRule="auto"/>
      </w:pPr>
      <w:r>
        <w:separator/>
      </w:r>
    </w:p>
  </w:endnote>
  <w:endnote w:type="continuationSeparator" w:id="0">
    <w:p w14:paraId="418F18FE" w14:textId="77777777" w:rsidR="008F6587" w:rsidRDefault="008F6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Calibri"/>
    <w:charset w:val="00"/>
    <w:family w:val="auto"/>
    <w:pitch w:val="default"/>
  </w:font>
  <w:font w:name="Lat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6664" w14:textId="77777777" w:rsidR="000B7CE9" w:rsidRDefault="00F84270">
    <w:r>
      <w:rPr>
        <w:noProof/>
      </w:rPr>
      <mc:AlternateContent>
        <mc:Choice Requires="wpg">
          <w:drawing>
            <wp:anchor distT="0" distB="0" distL="0" distR="0" simplePos="0" relativeHeight="251659264" behindDoc="0" locked="0" layoutInCell="1" hidden="0" allowOverlap="1" wp14:anchorId="22BF427F" wp14:editId="713CF771">
              <wp:simplePos x="0" y="0"/>
              <wp:positionH relativeFrom="column">
                <wp:posOffset>-914399</wp:posOffset>
              </wp:positionH>
              <wp:positionV relativeFrom="paragraph">
                <wp:posOffset>342900</wp:posOffset>
              </wp:positionV>
              <wp:extent cx="7881938" cy="504534"/>
              <wp:effectExtent l="0" t="0" r="0" b="0"/>
              <wp:wrapSquare wrapText="bothSides" distT="0" distB="0" distL="0" distR="0"/>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81938" cy="504534"/>
                        <a:chOff x="171450" y="516125"/>
                        <a:chExt cx="8345425" cy="407800"/>
                      </a:xfrm>
                    </wpg:grpSpPr>
                    <wps:wsp>
                      <wps:cNvPr id="5" name="Rectangle 5"/>
                      <wps:cNvSpPr/>
                      <wps:spPr>
                        <a:xfrm>
                          <a:off x="171450" y="542925"/>
                          <a:ext cx="6610500" cy="381000"/>
                        </a:xfrm>
                        <a:prstGeom prst="rect">
                          <a:avLst/>
                        </a:prstGeom>
                        <a:solidFill>
                          <a:srgbClr val="0C243E"/>
                        </a:solidFill>
                        <a:ln>
                          <a:noFill/>
                        </a:ln>
                      </wps:spPr>
                      <wps:txbx>
                        <w:txbxContent>
                          <w:p w14:paraId="40517FE3" w14:textId="77777777" w:rsidR="000B7CE9" w:rsidRDefault="000B7CE9">
                            <w:pPr>
                              <w:spacing w:line="240" w:lineRule="auto"/>
                              <w:textDirection w:val="btLr"/>
                            </w:pPr>
                          </w:p>
                        </w:txbxContent>
                      </wps:txbx>
                      <wps:bodyPr spcFirstLastPara="1" wrap="square" lIns="91425" tIns="91425" rIns="91425" bIns="91425" anchor="ctr" anchorCtr="0">
                        <a:noAutofit/>
                      </wps:bodyPr>
                    </wps:wsp>
                    <wps:wsp>
                      <wps:cNvPr id="6" name="Text Box 6"/>
                      <wps:cNvSpPr txBox="1"/>
                      <wps:spPr>
                        <a:xfrm>
                          <a:off x="3295075" y="516125"/>
                          <a:ext cx="5221800" cy="381000"/>
                        </a:xfrm>
                        <a:prstGeom prst="rect">
                          <a:avLst/>
                        </a:prstGeom>
                        <a:noFill/>
                        <a:ln>
                          <a:noFill/>
                        </a:ln>
                      </wps:spPr>
                      <wps:txbx>
                        <w:txbxContent>
                          <w:p w14:paraId="5D7C4BDE" w14:textId="77777777" w:rsidR="000B7CE9" w:rsidRPr="0074441E" w:rsidRDefault="00F84270">
                            <w:pPr>
                              <w:spacing w:line="240" w:lineRule="auto"/>
                              <w:textDirection w:val="btLr"/>
                              <w:rPr>
                                <w:lang w:val="pt-PT"/>
                              </w:rPr>
                            </w:pPr>
                            <w:r w:rsidRPr="0074441E">
                              <w:rPr>
                                <w:rFonts w:ascii="Quicksand" w:eastAsia="Quicksand" w:hAnsi="Quicksand" w:cs="Quicksand"/>
                                <w:color w:val="FFFFFF"/>
                                <w:sz w:val="18"/>
                                <w:lang w:val="pt-PT"/>
                              </w:rPr>
                              <w:t>M U L T I - T I E R E D   S Y S T E M   O F   SUPPORT</w:t>
                            </w:r>
                          </w:p>
                        </w:txbxContent>
                      </wps:txbx>
                      <wps:bodyPr spcFirstLastPara="1" wrap="square" lIns="91425" tIns="91425" rIns="91425" bIns="91425" anchor="t" anchorCtr="0">
                        <a:noAutofit/>
                      </wps:bodyPr>
                    </wps:wsp>
                  </wpg:wgp>
                </a:graphicData>
              </a:graphic>
            </wp:anchor>
          </w:drawing>
        </mc:Choice>
        <mc:Fallback>
          <w:pict>
            <v:group w14:anchorId="22BF427F" id="Group 1" o:spid="_x0000_s1027" style="position:absolute;margin-left:-1in;margin-top:27pt;width:620.65pt;height:39.75pt;z-index:251659264;mso-wrap-distance-left:0;mso-wrap-distance-right:0" coordorigin="1714,5161" coordsize="83454,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">
              <v:rect id="Rectangle 5" o:spid="_x0000_s1028" style="position:absolute;left:1714;top:5429;width:6610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" fillcolor="#0c243e" stroked="f">
                <v:textbox inset="2.53958mm,2.53958mm,2.53958mm,2.53958mm">
                  <w:txbxContent>
                    <w:p w14:paraId="40517FE3" w14:textId="77777777" w:rsidR="000B7CE9" w:rsidRDefault="000B7CE9">
                      <w:pPr>
                        <w:spacing w:line="240" w:lineRule="auto"/>
                        <w:textDirection w:val="btLr"/>
                      </w:pPr>
                    </w:p>
                  </w:txbxContent>
                </v:textbox>
              </v:rect>
              <v:shapetype id="_x0000_t202" coordsize="21600,21600" o:spt="202" path="m,l,21600r21600,l21600,xe">
                <v:stroke joinstyle="miter"/>
                <v:path gradientshapeok="t" o:connecttype="rect"/>
              </v:shapetype>
              <v:shape id="Text Box 6" o:spid="_x0000_s1029" type="#_x0000_t202" style="position:absolute;left:32950;top:5161;width:522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5D7C4BDE" w14:textId="77777777" w:rsidR="000B7CE9" w:rsidRPr="0074441E" w:rsidRDefault="00F84270">
                      <w:pPr>
                        <w:spacing w:line="240" w:lineRule="auto"/>
                        <w:textDirection w:val="btLr"/>
                        <w:rPr>
                          <w:lang w:val="pt-PT"/>
                        </w:rPr>
                      </w:pPr>
                      <w:r w:rsidRPr="0074441E">
                        <w:rPr>
                          <w:rFonts w:ascii="Quicksand" w:eastAsia="Quicksand" w:hAnsi="Quicksand" w:cs="Quicksand"/>
                          <w:color w:val="FFFFFF"/>
                          <w:sz w:val="18"/>
                          <w:lang w:val="pt-PT"/>
                        </w:rPr>
                        <w:t>M U L T I - T I E R E D   S Y S T E M   O F   SUPPORT</w:t>
                      </w: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8526E" w14:textId="77777777" w:rsidR="008F6587" w:rsidRDefault="008F6587">
      <w:pPr>
        <w:spacing w:line="240" w:lineRule="auto"/>
      </w:pPr>
      <w:r>
        <w:separator/>
      </w:r>
    </w:p>
  </w:footnote>
  <w:footnote w:type="continuationSeparator" w:id="0">
    <w:p w14:paraId="007A3AEE" w14:textId="77777777" w:rsidR="008F6587" w:rsidRDefault="008F6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E8DE" w14:textId="77777777" w:rsidR="000B7CE9" w:rsidRDefault="00F84270">
    <w:pPr>
      <w:widowControl w:val="0"/>
      <w:spacing w:line="240" w:lineRule="auto"/>
      <w:rPr>
        <w:rFonts w:ascii="Lato" w:eastAsia="Lato" w:hAnsi="Lato" w:cs="Lato"/>
        <w:i/>
        <w:sz w:val="24"/>
        <w:szCs w:val="24"/>
      </w:rPr>
    </w:pPr>
    <w:r>
      <w:rPr>
        <w:noProof/>
      </w:rPr>
      <mc:AlternateContent>
        <mc:Choice Requires="wps">
          <w:drawing>
            <wp:anchor distT="0" distB="0" distL="0" distR="0" simplePos="0" relativeHeight="251658240" behindDoc="0" locked="0" layoutInCell="1" hidden="0" allowOverlap="1" wp14:anchorId="61CC5B37" wp14:editId="4AED9D4B">
              <wp:simplePos x="0" y="0"/>
              <wp:positionH relativeFrom="column">
                <wp:posOffset>-933449</wp:posOffset>
              </wp:positionH>
              <wp:positionV relativeFrom="paragraph">
                <wp:posOffset>-57149</wp:posOffset>
              </wp:positionV>
              <wp:extent cx="7810500" cy="161925"/>
              <wp:effectExtent l="0" t="0" r="0" b="0"/>
              <wp:wrapSquare wrapText="bothSides" distT="0" distB="0" distL="0" distR="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9600" y="39200"/>
                        <a:ext cx="7620000" cy="156900"/>
                      </a:xfrm>
                      <a:prstGeom prst="rect">
                        <a:avLst/>
                      </a:prstGeom>
                      <a:solidFill>
                        <a:srgbClr val="ED2F6F"/>
                      </a:solidFill>
                      <a:ln>
                        <a:noFill/>
                      </a:ln>
                    </wps:spPr>
                    <wps:txbx>
                      <w:txbxContent>
                        <w:p w14:paraId="66380F5C" w14:textId="77777777" w:rsidR="000B7CE9" w:rsidRDefault="000B7CE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CC5B37" id="Rectangle 2" o:spid="_x0000_s1026" style="position:absolute;margin-left:-73.5pt;margin-top:-4.5pt;width:615pt;height:12.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" fillcolor="#ed2f6f" stroked="f">
              <v:textbox inset="2.53958mm,2.53958mm,2.53958mm,2.53958mm">
                <w:txbxContent>
                  <w:p w14:paraId="66380F5C" w14:textId="77777777" w:rsidR="000B7CE9" w:rsidRDefault="000B7CE9">
                    <w:pPr>
                      <w:spacing w:line="240" w:lineRule="auto"/>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DCF"/>
    <w:multiLevelType w:val="multilevel"/>
    <w:tmpl w:val="EE40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B6A13"/>
    <w:multiLevelType w:val="multilevel"/>
    <w:tmpl w:val="53EE2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6533221"/>
    <w:multiLevelType w:val="multilevel"/>
    <w:tmpl w:val="8CCA9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BB1638"/>
    <w:multiLevelType w:val="multilevel"/>
    <w:tmpl w:val="45E4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1844DE"/>
    <w:multiLevelType w:val="multilevel"/>
    <w:tmpl w:val="8892B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E9"/>
    <w:rsid w:val="000B7CE9"/>
    <w:rsid w:val="00291732"/>
    <w:rsid w:val="0034339A"/>
    <w:rsid w:val="004C1C5E"/>
    <w:rsid w:val="00610EEC"/>
    <w:rsid w:val="0074441E"/>
    <w:rsid w:val="00777497"/>
    <w:rsid w:val="007A49CF"/>
    <w:rsid w:val="008C3FF5"/>
    <w:rsid w:val="008F6587"/>
    <w:rsid w:val="00A145E8"/>
    <w:rsid w:val="00A31EF5"/>
    <w:rsid w:val="00CD0D83"/>
    <w:rsid w:val="00D44FBD"/>
    <w:rsid w:val="00E26F64"/>
    <w:rsid w:val="00F84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92072"/>
  <w15:docId w15:val="{AAFC6A7E-2947-497F-8F9D-ED56178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3433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F64"/>
    <w:pPr>
      <w:tabs>
        <w:tab w:val="center" w:pos="4680"/>
        <w:tab w:val="right" w:pos="9360"/>
      </w:tabs>
      <w:spacing w:line="240" w:lineRule="auto"/>
    </w:pPr>
  </w:style>
  <w:style w:type="character" w:customStyle="1" w:styleId="HeaderChar">
    <w:name w:val="Header Char"/>
    <w:basedOn w:val="DefaultParagraphFont"/>
    <w:link w:val="Header"/>
    <w:uiPriority w:val="99"/>
    <w:rsid w:val="00E26F64"/>
  </w:style>
  <w:style w:type="paragraph" w:styleId="Footer">
    <w:name w:val="footer"/>
    <w:basedOn w:val="Normal"/>
    <w:link w:val="FooterChar"/>
    <w:uiPriority w:val="99"/>
    <w:unhideWhenUsed/>
    <w:rsid w:val="00E26F64"/>
    <w:pPr>
      <w:tabs>
        <w:tab w:val="center" w:pos="4680"/>
        <w:tab w:val="right" w:pos="9360"/>
      </w:tabs>
      <w:spacing w:line="240" w:lineRule="auto"/>
    </w:pPr>
  </w:style>
  <w:style w:type="character" w:customStyle="1" w:styleId="FooterChar">
    <w:name w:val="Footer Char"/>
    <w:basedOn w:val="DefaultParagraphFont"/>
    <w:link w:val="Footer"/>
    <w:uiPriority w:val="99"/>
    <w:rsid w:val="00E26F64"/>
  </w:style>
  <w:style w:type="paragraph" w:styleId="BalloonText">
    <w:name w:val="Balloon Text"/>
    <w:basedOn w:val="Normal"/>
    <w:link w:val="BalloonTextChar"/>
    <w:uiPriority w:val="99"/>
    <w:semiHidden/>
    <w:unhideWhenUsed/>
    <w:rsid w:val="00610E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fss/mtss/bluepri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dlguidelines.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DESE-231-59408</_dlc_DocId>
    <_dlc_DocIdUrl xmlns="733efe1c-5bbe-4968-87dc-d400e65c879f">
      <Url>https://sharepoint.doemass.org/ese/webteam/cps/_layouts/DocIdRedir.aspx?ID=DESE-231-59408</Url>
      <Description>DESE-231-59408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9306F-73BE-451A-BB08-EA27BC6340E8}">
  <ds:schemaRefs>
    <ds:schemaRef ds:uri="http://schemas.microsoft.com/sharepoint/events"/>
  </ds:schemaRefs>
</ds:datastoreItem>
</file>

<file path=customXml/itemProps2.xml><?xml version="1.0" encoding="utf-8"?>
<ds:datastoreItem xmlns:ds="http://schemas.openxmlformats.org/officeDocument/2006/customXml" ds:itemID="{D2BA504B-004C-42F6-8BB8-4335FA096D56}">
  <ds:schemaRefs>
    <ds:schemaRef ds:uri="http://schemas.microsoft.com/sharepoint/v3/contenttype/forms"/>
  </ds:schemaRefs>
</ds:datastoreItem>
</file>

<file path=customXml/itemProps3.xml><?xml version="1.0" encoding="utf-8"?>
<ds:datastoreItem xmlns:ds="http://schemas.openxmlformats.org/officeDocument/2006/customXml" ds:itemID="{1043240C-C912-4183-8565-62B43A0530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581C17C-509E-42F9-90AB-5325C21A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973</Words>
  <Characters>5812</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MTSS Resource: 6 Guiding Principles OF IDEA</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Resource: 6 Guiding Principles OF IDEA</dc:title>
  <dc:creator>DESE</dc:creator>
  <cp:lastModifiedBy>Zou, Dong (EOE)</cp:lastModifiedBy>
  <cp:revision>10</cp:revision>
  <dcterms:created xsi:type="dcterms:W3CDTF">2019-11-18T14:45:00Z</dcterms:created>
  <dcterms:modified xsi:type="dcterms:W3CDTF">2020-04-01T19:43:00Z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