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F6670" w14:textId="77777777" w:rsidR="00F4785F" w:rsidRDefault="00F4785F">
      <w:pPr>
        <w:rPr>
          <w:rFonts w:ascii="Quicksand" w:eastAsia="Quicksand" w:hAnsi="Quicksand" w:cs="Quicksand"/>
          <w:sz w:val="12"/>
          <w:szCs w:val="12"/>
        </w:rPr>
      </w:pPr>
      <w:bookmarkStart w:id="0" w:name="_GoBack"/>
      <w:bookmarkEnd w:id="0"/>
    </w:p>
    <w:p w14:paraId="7ED995A0" w14:textId="77777777" w:rsidR="00F4785F" w:rsidRPr="00AC2254" w:rsidRDefault="00B53355">
      <w:pPr>
        <w:pStyle w:val="Heading1"/>
        <w:rPr>
          <w:color w:val="CC0000"/>
          <w:sz w:val="28"/>
          <w:szCs w:val="28"/>
        </w:rPr>
      </w:pPr>
      <w:bookmarkStart w:id="1" w:name="_vc913kxez1nn" w:colFirst="0" w:colLast="0"/>
      <w:bookmarkEnd w:id="1"/>
      <w:r w:rsidRPr="00AC2254">
        <w:rPr>
          <w:color w:val="CC0000"/>
          <w:sz w:val="28"/>
          <w:szCs w:val="28"/>
        </w:rPr>
        <w:t>Objective</w:t>
      </w:r>
    </w:p>
    <w:p w14:paraId="7C4E0B24" w14:textId="77777777" w:rsidR="00F4785F" w:rsidRDefault="00B53355">
      <w:pPr>
        <w:pStyle w:val="Heading1"/>
        <w:keepNext w:val="0"/>
        <w:keepLines w:val="0"/>
        <w:rPr>
          <w:color w:val="666666"/>
          <w:sz w:val="21"/>
          <w:szCs w:val="21"/>
        </w:rPr>
      </w:pPr>
      <w:bookmarkStart w:id="2" w:name="_is79ru49rsyc" w:colFirst="0" w:colLast="0"/>
      <w:bookmarkEnd w:id="2"/>
      <w:r>
        <w:rPr>
          <w:color w:val="666666"/>
          <w:sz w:val="21"/>
          <w:szCs w:val="21"/>
        </w:rPr>
        <w:t xml:space="preserve">Set the initial vision for the implementation of MTSS in your school/district. </w:t>
      </w:r>
    </w:p>
    <w:p w14:paraId="590E5332" w14:textId="77777777" w:rsidR="00F4785F" w:rsidRPr="00AC2254" w:rsidRDefault="00B53355">
      <w:pPr>
        <w:pStyle w:val="Heading1"/>
        <w:rPr>
          <w:color w:val="CC0000"/>
          <w:sz w:val="28"/>
          <w:szCs w:val="28"/>
        </w:rPr>
      </w:pPr>
      <w:bookmarkStart w:id="3" w:name="_snwe3ydknazy" w:colFirst="0" w:colLast="0"/>
      <w:bookmarkEnd w:id="3"/>
      <w:r w:rsidRPr="00AC2254">
        <w:rPr>
          <w:color w:val="CC0000"/>
          <w:sz w:val="28"/>
          <w:szCs w:val="28"/>
        </w:rPr>
        <w:t>Guidance about Writing Vision Statements</w:t>
      </w:r>
    </w:p>
    <w:p w14:paraId="159A8D64" w14:textId="77777777" w:rsidR="00F4785F" w:rsidRDefault="00B53355">
      <w:pPr>
        <w:tabs>
          <w:tab w:val="left" w:pos="6840"/>
        </w:tabs>
        <w:spacing w:line="240" w:lineRule="auto"/>
        <w:rPr>
          <w:rFonts w:ascii="Quicksand Light" w:eastAsia="Quicksand Light" w:hAnsi="Quicksand Light" w:cs="Quicksand Light"/>
          <w:sz w:val="20"/>
          <w:szCs w:val="20"/>
          <w:highlight w:val="white"/>
        </w:rPr>
      </w:pPr>
      <w:r>
        <w:rPr>
          <w:rFonts w:ascii="Quicksand Light" w:eastAsia="Quicksand Light" w:hAnsi="Quicksand Light" w:cs="Quicksand Light"/>
          <w:sz w:val="20"/>
          <w:szCs w:val="20"/>
          <w:highlight w:val="white"/>
        </w:rPr>
        <w:t xml:space="preserve">The visioning process offers the opportunity to engage a diverse range of stakeholders in the school/district’s planning work and ensure that many voices are heard. Diverse perspectives in the planning process will strengthen the quality and effectiveness of the resulting plan. Participation in the planning process will build ownership and advocacy for the resulting plan among both educators and the community. </w:t>
      </w:r>
    </w:p>
    <w:p w14:paraId="652F0234" w14:textId="77777777" w:rsidR="00F4785F" w:rsidRDefault="00F4785F">
      <w:pPr>
        <w:tabs>
          <w:tab w:val="left" w:pos="6840"/>
        </w:tabs>
        <w:spacing w:line="240" w:lineRule="auto"/>
        <w:rPr>
          <w:rFonts w:ascii="Quicksand Light" w:eastAsia="Quicksand Light" w:hAnsi="Quicksand Light" w:cs="Quicksand Light"/>
          <w:sz w:val="20"/>
          <w:szCs w:val="20"/>
          <w:highlight w:val="white"/>
        </w:rPr>
      </w:pPr>
    </w:p>
    <w:tbl>
      <w:tblPr>
        <w:tblW w:w="10080" w:type="dxa"/>
        <w:tblLayout w:type="fixed"/>
        <w:tblLook w:val="04A0" w:firstRow="1" w:lastRow="0" w:firstColumn="1" w:lastColumn="0" w:noHBand="0" w:noVBand="1"/>
      </w:tblPr>
      <w:tblGrid>
        <w:gridCol w:w="3885"/>
        <w:gridCol w:w="6195"/>
      </w:tblGrid>
      <w:tr w:rsidR="00F4785F" w14:paraId="662F5CFF" w14:textId="77777777" w:rsidTr="00AC2254">
        <w:trPr>
          <w:trHeight w:val="3640"/>
        </w:trPr>
        <w:tc>
          <w:tcPr>
            <w:tcW w:w="3885" w:type="dxa"/>
            <w:shd w:val="clear" w:color="auto" w:fill="DAEEF3" w:themeFill="accent5" w:themeFillTint="33"/>
          </w:tcPr>
          <w:p w14:paraId="57746CAA" w14:textId="77777777" w:rsidR="00F4785F" w:rsidRDefault="00B53355">
            <w:pPr>
              <w:spacing w:before="180" w:after="180"/>
              <w:rPr>
                <w:rFonts w:ascii="Quicksand" w:eastAsia="Quicksand" w:hAnsi="Quicksand" w:cs="Quicksand"/>
                <w:b/>
                <w:color w:val="666666"/>
                <w:sz w:val="20"/>
                <w:szCs w:val="20"/>
              </w:rPr>
            </w:pPr>
            <w:r w:rsidRPr="00AC2254">
              <w:rPr>
                <w:rFonts w:ascii="Quicksand" w:eastAsia="Quicksand" w:hAnsi="Quicksand" w:cs="Quicksand"/>
                <w:b/>
                <w:color w:val="404040" w:themeColor="text1" w:themeTint="BF"/>
                <w:sz w:val="20"/>
                <w:szCs w:val="20"/>
              </w:rPr>
              <w:t>Expectation</w:t>
            </w:r>
          </w:p>
          <w:p w14:paraId="2879A58D" w14:textId="77777777" w:rsidR="00F4785F" w:rsidRDefault="00B53355">
            <w:pPr>
              <w:rPr>
                <w:rFonts w:ascii="Quicksand" w:eastAsia="Quicksand" w:hAnsi="Quicksand" w:cs="Quicksand"/>
                <w:i/>
                <w:color w:val="666666"/>
                <w:sz w:val="20"/>
                <w:szCs w:val="20"/>
              </w:rPr>
            </w:pPr>
            <w:r w:rsidRPr="00AC2254">
              <w:rPr>
                <w:rFonts w:ascii="Quicksand" w:eastAsia="Quicksand" w:hAnsi="Quicksand" w:cs="Quicksand"/>
                <w:color w:val="404040" w:themeColor="text1" w:themeTint="BF"/>
                <w:sz w:val="20"/>
                <w:szCs w:val="20"/>
              </w:rPr>
              <w:t>The vision statement communicates an ideal end result, a vision. It reflects values and beliefs, and should inspire and challenge. A vision statement does not describe what an organization currently does, nor does it describe how your school operates. Rather, a vision statement details an ideal end result, a state of being that the district would like to achieve.</w:t>
            </w:r>
          </w:p>
        </w:tc>
        <w:tc>
          <w:tcPr>
            <w:tcW w:w="6195" w:type="dxa"/>
            <w:shd w:val="clear" w:color="auto" w:fill="DAEEF3" w:themeFill="accent5" w:themeFillTint="33"/>
          </w:tcPr>
          <w:p w14:paraId="5DD0EC5C" w14:textId="77777777" w:rsidR="00F4785F" w:rsidRPr="00AC2254" w:rsidRDefault="00B53355">
            <w:pPr>
              <w:spacing w:before="180" w:after="180"/>
              <w:rPr>
                <w:rFonts w:ascii="Quicksand" w:eastAsia="Quicksand" w:hAnsi="Quicksand" w:cs="Quicksand"/>
                <w:b/>
                <w:color w:val="404040" w:themeColor="text1" w:themeTint="BF"/>
                <w:sz w:val="20"/>
                <w:szCs w:val="20"/>
              </w:rPr>
            </w:pPr>
            <w:r w:rsidRPr="00AC2254">
              <w:rPr>
                <w:rFonts w:ascii="Quicksand" w:eastAsia="Quicksand" w:hAnsi="Quicksand" w:cs="Quicksand"/>
                <w:b/>
                <w:color w:val="404040" w:themeColor="text1" w:themeTint="BF"/>
                <w:sz w:val="20"/>
                <w:szCs w:val="20"/>
              </w:rPr>
              <w:t>Example of a Vision Statement</w:t>
            </w:r>
          </w:p>
          <w:p w14:paraId="330872F8" w14:textId="77777777" w:rsidR="00F4785F" w:rsidRPr="00AC2254" w:rsidRDefault="00B53355">
            <w:pPr>
              <w:spacing w:before="180"/>
              <w:rPr>
                <w:rFonts w:ascii="Quicksand" w:eastAsia="Quicksand" w:hAnsi="Quicksand" w:cs="Quicksand"/>
                <w:i/>
                <w:color w:val="404040" w:themeColor="text1" w:themeTint="BF"/>
                <w:sz w:val="20"/>
                <w:szCs w:val="20"/>
              </w:rPr>
            </w:pPr>
            <w:r w:rsidRPr="00AC2254">
              <w:rPr>
                <w:rFonts w:ascii="Quicksand" w:eastAsia="Quicksand" w:hAnsi="Quicksand" w:cs="Quicksand"/>
                <w:i/>
                <w:color w:val="404040" w:themeColor="text1" w:themeTint="BF"/>
                <w:sz w:val="20"/>
                <w:szCs w:val="20"/>
              </w:rPr>
              <w:t>“Students are curious, engaged learners who are gaining the tools and knowledge to become culturally responsive, positive, contributing members of local and global communities. We have a universally designed, personalized, flexible, inclusive, tiered instructional model that includes a rich, rigorous, comprehensive, and aligned curriculum that is measured by authentic assessments. We employ strong professionals, who are enabled by continuous training and support to make decisions based on expertise, data, and research. The schools are physically and emotionally safe spaces.”</w:t>
            </w:r>
          </w:p>
        </w:tc>
      </w:tr>
    </w:tbl>
    <w:p w14:paraId="420F98B9" w14:textId="77777777" w:rsidR="00F4785F" w:rsidRPr="00AC2254" w:rsidRDefault="00B53355">
      <w:pPr>
        <w:pStyle w:val="Heading1"/>
        <w:spacing w:before="200"/>
        <w:rPr>
          <w:color w:val="CC0000"/>
          <w:sz w:val="28"/>
          <w:szCs w:val="28"/>
        </w:rPr>
      </w:pPr>
      <w:bookmarkStart w:id="4" w:name="_l54obzbzj02m" w:colFirst="0" w:colLast="0"/>
      <w:bookmarkEnd w:id="4"/>
      <w:r w:rsidRPr="00AC2254">
        <w:rPr>
          <w:color w:val="CC0000"/>
          <w:sz w:val="28"/>
          <w:szCs w:val="28"/>
        </w:rPr>
        <w:t>Vision Development Protocol Steps</w:t>
      </w:r>
    </w:p>
    <w:tbl>
      <w:tblPr>
        <w:tblW w:w="10080" w:type="dxa"/>
        <w:tblLayout w:type="fixed"/>
        <w:tblLook w:val="04A0" w:firstRow="1" w:lastRow="0" w:firstColumn="1" w:lastColumn="0" w:noHBand="0" w:noVBand="1"/>
      </w:tblPr>
      <w:tblGrid>
        <w:gridCol w:w="1530"/>
        <w:gridCol w:w="8550"/>
      </w:tblGrid>
      <w:tr w:rsidR="00F4785F" w14:paraId="65AA1693" w14:textId="77777777" w:rsidTr="00AC2254">
        <w:trPr>
          <w:trHeight w:val="432"/>
        </w:trPr>
        <w:tc>
          <w:tcPr>
            <w:tcW w:w="1530" w:type="dxa"/>
            <w:shd w:val="clear" w:color="auto" w:fill="996600"/>
          </w:tcPr>
          <w:p w14:paraId="6B62D53C" w14:textId="77777777" w:rsidR="00F4785F" w:rsidRDefault="00B53355">
            <w:pPr>
              <w:rPr>
                <w:rFonts w:ascii="Quicksand" w:eastAsia="Quicksand" w:hAnsi="Quicksand" w:cs="Quicksand"/>
                <w:b/>
                <w:color w:val="FFFFFF"/>
                <w:sz w:val="24"/>
                <w:szCs w:val="24"/>
              </w:rPr>
            </w:pPr>
            <w:r>
              <w:rPr>
                <w:rFonts w:ascii="Quicksand" w:eastAsia="Quicksand" w:hAnsi="Quicksand" w:cs="Quicksand"/>
                <w:b/>
                <w:color w:val="FFFFFF"/>
                <w:sz w:val="24"/>
                <w:szCs w:val="24"/>
              </w:rPr>
              <w:t>Step 1</w:t>
            </w:r>
          </w:p>
        </w:tc>
        <w:tc>
          <w:tcPr>
            <w:tcW w:w="8550" w:type="dxa"/>
            <w:shd w:val="clear" w:color="auto" w:fill="996600"/>
          </w:tcPr>
          <w:p w14:paraId="499B4B71" w14:textId="77777777" w:rsidR="00F4785F" w:rsidRDefault="00B53355">
            <w:pPr>
              <w:jc w:val="right"/>
              <w:rPr>
                <w:rFonts w:ascii="Quicksand" w:eastAsia="Quicksand" w:hAnsi="Quicksand" w:cs="Quicksand"/>
                <w:color w:val="FFFFFF"/>
                <w:sz w:val="24"/>
                <w:szCs w:val="24"/>
              </w:rPr>
            </w:pPr>
            <w:r>
              <w:rPr>
                <w:rFonts w:ascii="Quicksand" w:eastAsia="Quicksand" w:hAnsi="Quicksand" w:cs="Quicksand"/>
                <w:color w:val="FFFFFF"/>
                <w:sz w:val="24"/>
                <w:szCs w:val="24"/>
              </w:rPr>
              <w:t>15 minutes</w:t>
            </w:r>
          </w:p>
        </w:tc>
      </w:tr>
      <w:tr w:rsidR="00F4785F" w14:paraId="752D2575" w14:textId="77777777" w:rsidTr="00AC2254">
        <w:trPr>
          <w:trHeight w:val="400"/>
        </w:trPr>
        <w:tc>
          <w:tcPr>
            <w:tcW w:w="10080" w:type="dxa"/>
            <w:gridSpan w:val="2"/>
          </w:tcPr>
          <w:p w14:paraId="4930EE27" w14:textId="77777777" w:rsidR="00F4785F" w:rsidRDefault="00B53355">
            <w:pPr>
              <w:rPr>
                <w:rFonts w:ascii="Quicksand" w:eastAsia="Quicksand" w:hAnsi="Quicksand" w:cs="Quicksand"/>
                <w:b/>
                <w:color w:val="666666"/>
                <w:sz w:val="21"/>
                <w:szCs w:val="21"/>
              </w:rPr>
            </w:pPr>
            <w:r>
              <w:rPr>
                <w:rFonts w:ascii="Quicksand" w:eastAsia="Quicksand" w:hAnsi="Quicksand" w:cs="Quicksand"/>
                <w:color w:val="666666"/>
                <w:sz w:val="21"/>
                <w:szCs w:val="21"/>
              </w:rPr>
              <w:t>As a full group, determine the timeframe for the vision. Is this where you want to be in 5 years, 10 years, etc.? Next, break into teams of 2-3 people each and write a draft for the ultimate vision of a school/district that meets the needs of all learners.</w:t>
            </w:r>
          </w:p>
        </w:tc>
      </w:tr>
      <w:tr w:rsidR="00F4785F" w14:paraId="08D3ECC0" w14:textId="77777777" w:rsidTr="00AC2254">
        <w:trPr>
          <w:trHeight w:val="400"/>
        </w:trPr>
        <w:tc>
          <w:tcPr>
            <w:tcW w:w="1530" w:type="dxa"/>
            <w:shd w:val="clear" w:color="auto" w:fill="996600"/>
          </w:tcPr>
          <w:p w14:paraId="6002EACB" w14:textId="77777777" w:rsidR="00F4785F" w:rsidRDefault="00B53355">
            <w:pPr>
              <w:rPr>
                <w:rFonts w:ascii="Quicksand" w:eastAsia="Quicksand" w:hAnsi="Quicksand" w:cs="Quicksand"/>
                <w:b/>
                <w:color w:val="FFFFFF"/>
                <w:sz w:val="24"/>
                <w:szCs w:val="24"/>
              </w:rPr>
            </w:pPr>
            <w:r>
              <w:rPr>
                <w:rFonts w:ascii="Quicksand" w:eastAsia="Quicksand" w:hAnsi="Quicksand" w:cs="Quicksand"/>
                <w:b/>
                <w:color w:val="FFFFFF"/>
                <w:sz w:val="24"/>
                <w:szCs w:val="24"/>
              </w:rPr>
              <w:t>Step 2</w:t>
            </w:r>
          </w:p>
        </w:tc>
        <w:tc>
          <w:tcPr>
            <w:tcW w:w="8550" w:type="dxa"/>
            <w:shd w:val="clear" w:color="auto" w:fill="996600"/>
          </w:tcPr>
          <w:p w14:paraId="6AF66029" w14:textId="77777777" w:rsidR="00F4785F" w:rsidRDefault="00B53355">
            <w:pPr>
              <w:jc w:val="right"/>
              <w:rPr>
                <w:rFonts w:ascii="Quicksand" w:eastAsia="Quicksand" w:hAnsi="Quicksand" w:cs="Quicksand"/>
                <w:color w:val="FFFFFF"/>
                <w:sz w:val="24"/>
                <w:szCs w:val="24"/>
              </w:rPr>
            </w:pPr>
            <w:r>
              <w:rPr>
                <w:rFonts w:ascii="Quicksand" w:eastAsia="Quicksand" w:hAnsi="Quicksand" w:cs="Quicksand"/>
                <w:color w:val="FFFFFF"/>
                <w:sz w:val="24"/>
                <w:szCs w:val="24"/>
              </w:rPr>
              <w:t>30-45 minutes</w:t>
            </w:r>
          </w:p>
        </w:tc>
      </w:tr>
      <w:tr w:rsidR="00F4785F" w14:paraId="175853C8" w14:textId="77777777" w:rsidTr="00AC2254">
        <w:trPr>
          <w:trHeight w:val="400"/>
        </w:trPr>
        <w:tc>
          <w:tcPr>
            <w:tcW w:w="10080" w:type="dxa"/>
            <w:gridSpan w:val="2"/>
          </w:tcPr>
          <w:p w14:paraId="452E2BEF" w14:textId="77777777" w:rsidR="00F4785F" w:rsidRDefault="00B53355">
            <w:pPr>
              <w:rPr>
                <w:rFonts w:ascii="Quicksand" w:eastAsia="Quicksand" w:hAnsi="Quicksand" w:cs="Quicksand"/>
                <w:b/>
                <w:color w:val="666666"/>
                <w:sz w:val="21"/>
                <w:szCs w:val="21"/>
              </w:rPr>
            </w:pPr>
            <w:r>
              <w:rPr>
                <w:rFonts w:ascii="Quicksand" w:eastAsia="Quicksand" w:hAnsi="Quicksand" w:cs="Quicksand"/>
                <w:color w:val="666666"/>
                <w:sz w:val="21"/>
                <w:szCs w:val="21"/>
              </w:rPr>
              <w:t xml:space="preserve">Coming back together as a group, the small groups will share their initial vision statements, and all will combine these into one vision statement.  You may choose to type on a shared doc, project the draft on a screen or use chart paper. </w:t>
            </w:r>
          </w:p>
        </w:tc>
      </w:tr>
    </w:tbl>
    <w:p w14:paraId="3292DEF9" w14:textId="77777777" w:rsidR="00F4785F" w:rsidRPr="00AC2254" w:rsidRDefault="00B53355">
      <w:pPr>
        <w:pStyle w:val="Heading1"/>
        <w:spacing w:before="200"/>
        <w:rPr>
          <w:color w:val="FF0000"/>
          <w:sz w:val="28"/>
          <w:szCs w:val="28"/>
        </w:rPr>
      </w:pPr>
      <w:bookmarkStart w:id="5" w:name="_6ze6ejeucb92" w:colFirst="0" w:colLast="0"/>
      <w:bookmarkEnd w:id="5"/>
      <w:r w:rsidRPr="00AC2254">
        <w:rPr>
          <w:color w:val="C00000"/>
          <w:sz w:val="28"/>
          <w:szCs w:val="28"/>
        </w:rPr>
        <w:t>Next Steps</w:t>
      </w:r>
    </w:p>
    <w:p w14:paraId="4780BC97" w14:textId="77777777" w:rsidR="00F4785F" w:rsidRDefault="00B53355">
      <w:pPr>
        <w:numPr>
          <w:ilvl w:val="0"/>
          <w:numId w:val="1"/>
        </w:numPr>
        <w:rPr>
          <w:rFonts w:ascii="Quicksand Light" w:eastAsia="Quicksand Light" w:hAnsi="Quicksand Light" w:cs="Quicksand Light"/>
          <w:sz w:val="21"/>
          <w:szCs w:val="21"/>
        </w:rPr>
      </w:pPr>
      <w:r>
        <w:rPr>
          <w:rFonts w:ascii="Quicksand Light" w:eastAsia="Quicksand Light" w:hAnsi="Quicksand Light" w:cs="Quicksand Light"/>
          <w:sz w:val="21"/>
          <w:szCs w:val="21"/>
        </w:rPr>
        <w:t>Discuss/plan for how you might engage a wider group of stakeholders in the review/revision of your vision statement.</w:t>
      </w:r>
    </w:p>
    <w:p w14:paraId="30CFC74C" w14:textId="77777777" w:rsidR="00F4785F" w:rsidRDefault="00B53355">
      <w:pPr>
        <w:numPr>
          <w:ilvl w:val="0"/>
          <w:numId w:val="1"/>
        </w:numPr>
        <w:rPr>
          <w:rFonts w:ascii="Quicksand Light" w:eastAsia="Quicksand Light" w:hAnsi="Quicksand Light" w:cs="Quicksand Light"/>
          <w:sz w:val="21"/>
          <w:szCs w:val="21"/>
        </w:rPr>
      </w:pPr>
      <w:r>
        <w:rPr>
          <w:rFonts w:ascii="Quicksand Light" w:eastAsia="Quicksand Light" w:hAnsi="Quicksand Light" w:cs="Quicksand Light"/>
          <w:sz w:val="21"/>
          <w:szCs w:val="21"/>
        </w:rPr>
        <w:t>Brainstorm ways to share the vision with the community once it is finalized (e.g. a one pager to distribute, adding the vision to existing documents, creating a video or visual, etc.).</w:t>
      </w:r>
    </w:p>
    <w:sectPr w:rsidR="00F4785F" w:rsidSect="00AC2254">
      <w:headerReference w:type="default" r:id="rId11"/>
      <w:footerReference w:type="default" r:id="rId12"/>
      <w:pgSz w:w="12240" w:h="15840"/>
      <w:pgMar w:top="0" w:right="1080" w:bottom="360" w:left="1080" w:header="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B70C" w14:textId="77777777" w:rsidR="00866B28" w:rsidRDefault="00B53355">
      <w:pPr>
        <w:spacing w:line="240" w:lineRule="auto"/>
      </w:pPr>
      <w:r>
        <w:separator/>
      </w:r>
    </w:p>
  </w:endnote>
  <w:endnote w:type="continuationSeparator" w:id="0">
    <w:p w14:paraId="2CC9CF65" w14:textId="77777777" w:rsidR="00866B28" w:rsidRDefault="00B53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Quicksand Ligh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148F" w14:textId="77777777" w:rsidR="00F4785F" w:rsidRDefault="00B53355">
    <w:pPr>
      <w:rPr>
        <w:rFonts w:ascii="Quicksand" w:eastAsia="Quicksand" w:hAnsi="Quicksand" w:cs="Quicksand"/>
        <w:color w:val="0F253F"/>
        <w:sz w:val="20"/>
        <w:szCs w:val="20"/>
      </w:rPr>
    </w:pPr>
    <w:r>
      <w:rPr>
        <w:noProof/>
      </w:rPr>
      <w:drawing>
        <wp:inline distT="0" distB="0" distL="0" distR="0" wp14:anchorId="26A4B857" wp14:editId="492544E3">
          <wp:extent cx="1556020" cy="628650"/>
          <wp:effectExtent l="0" t="0" r="6350" b="0"/>
          <wp:docPr id="6" name="image2.png" descr="DESE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56020" cy="628650"/>
                  </a:xfrm>
                  <a:prstGeom prst="rect">
                    <a:avLst/>
                  </a:prstGeom>
                  <a:ln/>
                </pic:spPr>
              </pic:pic>
            </a:graphicData>
          </a:graphic>
        </wp:inline>
      </w:drawing>
    </w:r>
  </w:p>
  <w:p w14:paraId="199E626E" w14:textId="77777777" w:rsidR="00F4785F" w:rsidRDefault="00F4785F">
    <w:pPr>
      <w:rPr>
        <w:rFonts w:ascii="Quicksand" w:eastAsia="Quicksand" w:hAnsi="Quicksand" w:cs="Quicksand"/>
        <w:color w:val="0F253F"/>
        <w:sz w:val="20"/>
        <w:szCs w:val="20"/>
      </w:rPr>
    </w:pPr>
  </w:p>
  <w:p w14:paraId="6C32DD71" w14:textId="77777777" w:rsidR="00F4785F" w:rsidRDefault="00B53355">
    <w:pPr>
      <w:jc w:val="right"/>
    </w:pPr>
    <w:r>
      <w:rPr>
        <w:rFonts w:ascii="Quicksand" w:eastAsia="Quicksand" w:hAnsi="Quicksand" w:cs="Quicksand"/>
        <w:color w:val="0F253F"/>
        <w:sz w:val="20"/>
        <w:szCs w:val="20"/>
      </w:rPr>
      <w:t>Dr. Katie Novak &amp; Dr Kristan Rodriguez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D6B4D" w14:textId="77777777" w:rsidR="00866B28" w:rsidRDefault="00B53355">
      <w:pPr>
        <w:spacing w:line="240" w:lineRule="auto"/>
      </w:pPr>
      <w:r>
        <w:separator/>
      </w:r>
    </w:p>
  </w:footnote>
  <w:footnote w:type="continuationSeparator" w:id="0">
    <w:p w14:paraId="548FAEB3" w14:textId="77777777" w:rsidR="00866B28" w:rsidRDefault="00B533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8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568"/>
    </w:tblGrid>
    <w:tr w:rsidR="00AC2254" w14:paraId="0567D38F" w14:textId="77777777" w:rsidTr="00B53355">
      <w:trPr>
        <w:trHeight w:val="291"/>
      </w:trPr>
      <w:tc>
        <w:tcPr>
          <w:tcW w:w="12188" w:type="dxa"/>
          <w:gridSpan w:val="2"/>
          <w:shd w:val="clear" w:color="auto" w:fill="C00000"/>
        </w:tcPr>
        <w:p w14:paraId="02620509" w14:textId="1913DA7A" w:rsidR="00AC2254" w:rsidRDefault="00AC2254">
          <w:pPr>
            <w:spacing w:line="271" w:lineRule="auto"/>
          </w:pPr>
        </w:p>
      </w:tc>
    </w:tr>
    <w:tr w:rsidR="00AC2254" w14:paraId="11C64931" w14:textId="77777777" w:rsidTr="00B53355">
      <w:trPr>
        <w:trHeight w:val="1733"/>
      </w:trPr>
      <w:tc>
        <w:tcPr>
          <w:tcW w:w="1620" w:type="dxa"/>
        </w:tcPr>
        <w:p w14:paraId="0117C3CD" w14:textId="77777777" w:rsidR="00B53355" w:rsidRDefault="00B53355">
          <w:pPr>
            <w:spacing w:line="271" w:lineRule="auto"/>
            <w:rPr>
              <w:noProof/>
            </w:rPr>
          </w:pPr>
        </w:p>
        <w:p w14:paraId="43BEE361" w14:textId="0D25E03A" w:rsidR="00AC2254" w:rsidRDefault="00AC2254">
          <w:pPr>
            <w:spacing w:line="271" w:lineRule="auto"/>
          </w:pPr>
          <w:r>
            <w:rPr>
              <w:noProof/>
            </w:rPr>
            <w:drawing>
              <wp:inline distT="0" distB="0" distL="0" distR="0" wp14:anchorId="5CBA2411" wp14:editId="1FC5C56F">
                <wp:extent cx="724049" cy="661988"/>
                <wp:effectExtent l="0" t="0" r="0" b="5080"/>
                <wp:docPr id="5" name="image3.png" descr="MTSS log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4049" cy="661988"/>
                        </a:xfrm>
                        <a:prstGeom prst="rect">
                          <a:avLst/>
                        </a:prstGeom>
                        <a:ln/>
                      </pic:spPr>
                    </pic:pic>
                  </a:graphicData>
                </a:graphic>
              </wp:inline>
            </w:drawing>
          </w:r>
        </w:p>
        <w:p w14:paraId="7B2BCBA5" w14:textId="01340560" w:rsidR="00B53355" w:rsidRDefault="00B53355">
          <w:pPr>
            <w:spacing w:line="271" w:lineRule="auto"/>
          </w:pPr>
        </w:p>
      </w:tc>
      <w:tc>
        <w:tcPr>
          <w:tcW w:w="10568" w:type="dxa"/>
        </w:tcPr>
        <w:p w14:paraId="1682BE26" w14:textId="77777777" w:rsidR="00B53355" w:rsidRDefault="00B53355" w:rsidP="00AC2254">
          <w:pPr>
            <w:spacing w:before="200"/>
            <w:rPr>
              <w:rFonts w:ascii="Quicksand" w:eastAsia="Quicksand" w:hAnsi="Quicksand" w:cs="Quicksand"/>
              <w:color w:val="984806" w:themeColor="accent6" w:themeShade="80"/>
              <w:sz w:val="24"/>
              <w:szCs w:val="24"/>
            </w:rPr>
          </w:pPr>
        </w:p>
        <w:p w14:paraId="4C5A8701" w14:textId="72BB4CEB" w:rsidR="00AC2254" w:rsidRDefault="00AC2254" w:rsidP="00AC2254">
          <w:pPr>
            <w:spacing w:before="200"/>
            <w:rPr>
              <w:rFonts w:ascii="Quicksand" w:eastAsia="Quicksand" w:hAnsi="Quicksand" w:cs="Quicksand"/>
              <w:color w:val="E8A50F"/>
              <w:sz w:val="24"/>
              <w:szCs w:val="24"/>
            </w:rPr>
          </w:pPr>
          <w:r w:rsidRPr="00AC2254">
            <w:rPr>
              <w:rFonts w:ascii="Quicksand" w:eastAsia="Quicksand" w:hAnsi="Quicksand" w:cs="Quicksand"/>
              <w:color w:val="984806" w:themeColor="accent6" w:themeShade="80"/>
              <w:sz w:val="24"/>
              <w:szCs w:val="24"/>
            </w:rPr>
            <w:t>MTSS RESOURCE</w:t>
          </w:r>
        </w:p>
        <w:p w14:paraId="47FA1671" w14:textId="77777777" w:rsidR="00AC2254" w:rsidRDefault="00AC2254" w:rsidP="00AC2254">
          <w:pPr>
            <w:spacing w:line="271" w:lineRule="auto"/>
            <w:rPr>
              <w:rFonts w:ascii="Quicksand" w:eastAsia="Quicksand" w:hAnsi="Quicksand" w:cs="Quicksand"/>
              <w:color w:val="0F253F"/>
              <w:sz w:val="40"/>
              <w:szCs w:val="40"/>
            </w:rPr>
          </w:pPr>
          <w:r>
            <w:rPr>
              <w:rFonts w:ascii="Quicksand" w:eastAsia="Quicksand" w:hAnsi="Quicksand" w:cs="Quicksand"/>
              <w:color w:val="0F253F"/>
              <w:sz w:val="40"/>
              <w:szCs w:val="40"/>
            </w:rPr>
            <w:t>VISION PROTOCOL</w:t>
          </w:r>
        </w:p>
        <w:p w14:paraId="5A3080B3" w14:textId="77777777" w:rsidR="00AC2254" w:rsidRDefault="00AC2254">
          <w:pPr>
            <w:spacing w:line="271" w:lineRule="auto"/>
          </w:pPr>
        </w:p>
      </w:tc>
    </w:tr>
  </w:tbl>
  <w:p w14:paraId="2DDA459C" w14:textId="77777777" w:rsidR="00AC2254" w:rsidRDefault="00AC2254">
    <w:pPr>
      <w:spacing w:line="271"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C2B17"/>
    <w:multiLevelType w:val="multilevel"/>
    <w:tmpl w:val="B4F80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5F"/>
    <w:rsid w:val="00866B28"/>
    <w:rsid w:val="0094662A"/>
    <w:rsid w:val="00AC2254"/>
    <w:rsid w:val="00B53355"/>
    <w:rsid w:val="00F47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03770"/>
  <w15:docId w15:val="{6ECAEB80-B0C8-4C2D-8097-22F420AD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60" w:lineRule="auto"/>
      <w:outlineLvl w:val="0"/>
    </w:pPr>
    <w:rPr>
      <w:rFonts w:ascii="Quicksand" w:eastAsia="Quicksand" w:hAnsi="Quicksand" w:cs="Quicksand"/>
      <w:color w:val="ED2F6F"/>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2254"/>
    <w:pPr>
      <w:tabs>
        <w:tab w:val="center" w:pos="4680"/>
        <w:tab w:val="right" w:pos="9360"/>
      </w:tabs>
      <w:spacing w:line="240" w:lineRule="auto"/>
    </w:pPr>
  </w:style>
  <w:style w:type="character" w:customStyle="1" w:styleId="HeaderChar">
    <w:name w:val="Header Char"/>
    <w:basedOn w:val="DefaultParagraphFont"/>
    <w:link w:val="Header"/>
    <w:uiPriority w:val="99"/>
    <w:rsid w:val="00AC2254"/>
  </w:style>
  <w:style w:type="paragraph" w:styleId="Footer">
    <w:name w:val="footer"/>
    <w:basedOn w:val="Normal"/>
    <w:link w:val="FooterChar"/>
    <w:uiPriority w:val="99"/>
    <w:unhideWhenUsed/>
    <w:rsid w:val="00AC2254"/>
    <w:pPr>
      <w:tabs>
        <w:tab w:val="center" w:pos="4680"/>
        <w:tab w:val="right" w:pos="9360"/>
      </w:tabs>
      <w:spacing w:line="240" w:lineRule="auto"/>
    </w:pPr>
  </w:style>
  <w:style w:type="character" w:customStyle="1" w:styleId="FooterChar">
    <w:name w:val="Footer Char"/>
    <w:basedOn w:val="DefaultParagraphFont"/>
    <w:link w:val="Footer"/>
    <w:uiPriority w:val="99"/>
    <w:rsid w:val="00AC2254"/>
  </w:style>
  <w:style w:type="table" w:styleId="TableGrid">
    <w:name w:val="Table Grid"/>
    <w:basedOn w:val="TableNormal"/>
    <w:uiPriority w:val="39"/>
    <w:rsid w:val="00AC2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DESE-231-59424</_dlc_DocId>
    <_dlc_DocIdUrl xmlns="733efe1c-5bbe-4968-87dc-d400e65c879f">
      <Url>https://sharepoint.doemass.org/ese/webteam/cps/_layouts/DocIdRedir.aspx?ID=DESE-231-59424</Url>
      <Description>DESE-231-59424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822C0-9245-4E83-8FB6-2239600C7C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7803B60-5A25-48EA-B420-A249872DED11}">
  <ds:schemaRefs>
    <ds:schemaRef ds:uri="http://schemas.microsoft.com/sharepoint/v3/contenttype/forms"/>
  </ds:schemaRefs>
</ds:datastoreItem>
</file>

<file path=customXml/itemProps3.xml><?xml version="1.0" encoding="utf-8"?>
<ds:datastoreItem xmlns:ds="http://schemas.openxmlformats.org/officeDocument/2006/customXml" ds:itemID="{A54F4731-51BB-4EF2-97E1-53A5FD40E7AF}">
  <ds:schemaRefs>
    <ds:schemaRef ds:uri="http://schemas.microsoft.com/sharepoint/events"/>
  </ds:schemaRefs>
</ds:datastoreItem>
</file>

<file path=customXml/itemProps4.xml><?xml version="1.0" encoding="utf-8"?>
<ds:datastoreItem xmlns:ds="http://schemas.openxmlformats.org/officeDocument/2006/customXml" ds:itemID="{A914CF2C-5AE4-49C9-B8D3-C597A0B2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380</Words>
  <Characters>2046</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MTSS Vision Statement Protocol</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Vision Statement Protocol</dc:title>
  <dc:creator>DESE</dc:creator>
  <cp:lastModifiedBy>Zou, Dong (EOE)</cp:lastModifiedBy>
  <cp:revision>3</cp:revision>
  <dcterms:created xsi:type="dcterms:W3CDTF">2019-12-06T18:05:00Z</dcterms:created>
  <dcterms:modified xsi:type="dcterms:W3CDTF">2020-04-01T19:44:00Z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