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AD8D" w14:textId="77777777" w:rsidR="00317989" w:rsidRDefault="00317989">
      <w:pPr>
        <w:pStyle w:val="BodyText"/>
        <w:rPr>
          <w:rFonts w:ascii="Times New Roman"/>
          <w:sz w:val="15"/>
        </w:rPr>
      </w:pPr>
    </w:p>
    <w:p w14:paraId="3295B9EA" w14:textId="6C925DAA" w:rsidR="00317989" w:rsidRDefault="008408EE" w:rsidP="00B96D3B">
      <w:pPr>
        <w:spacing w:before="40"/>
        <w:ind w:left="332"/>
        <w:jc w:val="center"/>
        <w:rPr>
          <w:b/>
          <w:color w:val="1F3762"/>
          <w:sz w:val="30"/>
        </w:rPr>
      </w:pPr>
      <w:r>
        <w:rPr>
          <w:b/>
          <w:color w:val="1F3762"/>
          <w:sz w:val="30"/>
        </w:rPr>
        <w:t>Student Opportunity Act Plan: SY 2021-2023</w:t>
      </w:r>
    </w:p>
    <w:p w14:paraId="46203553" w14:textId="5CAA80A6" w:rsidR="00B96D3B" w:rsidRPr="00795CB4" w:rsidRDefault="00B96D3B" w:rsidP="00B96D3B">
      <w:pPr>
        <w:spacing w:before="40"/>
        <w:ind w:left="332"/>
        <w:jc w:val="center"/>
        <w:rPr>
          <w:b/>
          <w:i/>
          <w:iCs/>
          <w:sz w:val="30"/>
        </w:rPr>
      </w:pPr>
      <w:r w:rsidRPr="00795CB4">
        <w:rPr>
          <w:b/>
          <w:i/>
          <w:iCs/>
          <w:color w:val="0070C0"/>
          <w:sz w:val="30"/>
        </w:rPr>
        <w:t>Academy of the Pacific Rim Charter School</w:t>
      </w:r>
    </w:p>
    <w:p w14:paraId="350A141F" w14:textId="77777777" w:rsidR="00317989" w:rsidRDefault="00317989">
      <w:pPr>
        <w:pStyle w:val="BodyText"/>
        <w:spacing w:before="4"/>
        <w:rPr>
          <w:b/>
          <w:sz w:val="36"/>
        </w:rPr>
      </w:pPr>
    </w:p>
    <w:p w14:paraId="5EB2BDBE" w14:textId="77777777" w:rsidR="00317989" w:rsidRDefault="008408EE">
      <w:pPr>
        <w:pStyle w:val="Heading1"/>
      </w:pPr>
      <w:r>
        <w:rPr>
          <w:color w:val="2D73B4"/>
        </w:rPr>
        <w:t>Commitment 1: Focusing on Student Subgroups</w:t>
      </w:r>
    </w:p>
    <w:p w14:paraId="0A26075E" w14:textId="77777777" w:rsidR="00317989" w:rsidRDefault="00317989">
      <w:pPr>
        <w:pStyle w:val="BodyText"/>
        <w:spacing w:before="4"/>
        <w:rPr>
          <w:b/>
          <w:sz w:val="24"/>
        </w:rPr>
      </w:pPr>
    </w:p>
    <w:p w14:paraId="6FF55B24" w14:textId="77777777" w:rsidR="00317989" w:rsidRDefault="008408EE">
      <w:pPr>
        <w:pStyle w:val="BodyText"/>
        <w:spacing w:line="254" w:lineRule="auto"/>
        <w:ind w:left="120" w:right="54"/>
      </w:pPr>
      <w:r>
        <w:t xml:space="preserve">The majority of APR students are students of color (93.3%) and just under 50% of our students come from low income backgrounds. </w:t>
      </w:r>
      <w:proofErr w:type="gramStart"/>
      <w:r>
        <w:t>Thus</w:t>
      </w:r>
      <w:proofErr w:type="gramEnd"/>
      <w:r>
        <w:t xml:space="preserve"> there are opportunity gaps for the majority of our students, and we look to close such gaps first with our deeper learning instructional program for all. There are also programs which look to close the opportunity gap for all students in both the middle and high school. In the middle school, for example, we look to provide tutoring, supports and opportunities such as Breakthrough Collaborative. In the high school there are similar supports along with programs such as offering dual enrollment for juniors and seniors.</w:t>
      </w:r>
    </w:p>
    <w:p w14:paraId="32B6648C" w14:textId="77777777" w:rsidR="00317989" w:rsidRDefault="008408EE">
      <w:pPr>
        <w:pStyle w:val="BodyText"/>
        <w:spacing w:before="120" w:line="254" w:lineRule="auto"/>
        <w:ind w:left="120" w:right="538"/>
      </w:pPr>
      <w:r>
        <w:t>There are also achievement gaps within our population. For example, the 2019 MCAS shows: English Learners (middle school comparison because of small numbers in high school):</w:t>
      </w:r>
    </w:p>
    <w:p w14:paraId="1A3C1B10" w14:textId="77777777" w:rsidR="00317989" w:rsidRDefault="008408EE">
      <w:pPr>
        <w:pStyle w:val="ListParagraph"/>
        <w:numPr>
          <w:ilvl w:val="0"/>
          <w:numId w:val="4"/>
        </w:numPr>
        <w:tabs>
          <w:tab w:val="left" w:pos="874"/>
          <w:tab w:val="left" w:pos="875"/>
        </w:tabs>
        <w:ind w:firstLine="360"/>
      </w:pPr>
      <w:r>
        <w:t>the</w:t>
      </w:r>
      <w:r>
        <w:rPr>
          <w:spacing w:val="-7"/>
        </w:rPr>
        <w:t xml:space="preserve"> </w:t>
      </w:r>
      <w:r>
        <w:t>scaled</w:t>
      </w:r>
      <w:r>
        <w:rPr>
          <w:spacing w:val="-7"/>
        </w:rPr>
        <w:t xml:space="preserve"> </w:t>
      </w:r>
      <w:r>
        <w:t>score</w:t>
      </w:r>
      <w:r>
        <w:rPr>
          <w:spacing w:val="-7"/>
        </w:rPr>
        <w:t xml:space="preserve"> </w:t>
      </w:r>
      <w:r>
        <w:t>of</w:t>
      </w:r>
      <w:r>
        <w:rPr>
          <w:spacing w:val="-7"/>
        </w:rPr>
        <w:t xml:space="preserve"> </w:t>
      </w:r>
      <w:r>
        <w:t>English</w:t>
      </w:r>
      <w:r>
        <w:rPr>
          <w:spacing w:val="-7"/>
        </w:rPr>
        <w:t xml:space="preserve"> </w:t>
      </w:r>
      <w:r>
        <w:t>Learners</w:t>
      </w:r>
      <w:r>
        <w:rPr>
          <w:spacing w:val="-7"/>
        </w:rPr>
        <w:t xml:space="preserve"> </w:t>
      </w:r>
      <w:r>
        <w:t>for</w:t>
      </w:r>
      <w:r>
        <w:rPr>
          <w:spacing w:val="-7"/>
        </w:rPr>
        <w:t xml:space="preserve"> </w:t>
      </w:r>
      <w:r>
        <w:t>grades</w:t>
      </w:r>
      <w:r>
        <w:rPr>
          <w:spacing w:val="-7"/>
        </w:rPr>
        <w:t xml:space="preserve"> </w:t>
      </w:r>
      <w:r>
        <w:t>3-8</w:t>
      </w:r>
      <w:r>
        <w:rPr>
          <w:spacing w:val="-7"/>
        </w:rPr>
        <w:t xml:space="preserve"> </w:t>
      </w:r>
      <w:r>
        <w:t>ELA</w:t>
      </w:r>
      <w:r>
        <w:rPr>
          <w:spacing w:val="-7"/>
        </w:rPr>
        <w:t xml:space="preserve"> </w:t>
      </w:r>
      <w:r>
        <w:t>was</w:t>
      </w:r>
      <w:r>
        <w:rPr>
          <w:spacing w:val="-7"/>
        </w:rPr>
        <w:t xml:space="preserve"> </w:t>
      </w:r>
      <w:r>
        <w:t>480.9</w:t>
      </w:r>
      <w:r>
        <w:rPr>
          <w:spacing w:val="-7"/>
        </w:rPr>
        <w:t xml:space="preserve"> </w:t>
      </w:r>
      <w:r>
        <w:t>vs.</w:t>
      </w:r>
      <w:r>
        <w:rPr>
          <w:spacing w:val="-7"/>
        </w:rPr>
        <w:t xml:space="preserve"> </w:t>
      </w:r>
      <w:r>
        <w:t>496.5</w:t>
      </w:r>
      <w:r>
        <w:rPr>
          <w:spacing w:val="-7"/>
        </w:rPr>
        <w:t xml:space="preserve"> </w:t>
      </w:r>
      <w:r>
        <w:t>for</w:t>
      </w:r>
      <w:r>
        <w:rPr>
          <w:spacing w:val="-7"/>
        </w:rPr>
        <w:t xml:space="preserve"> </w:t>
      </w:r>
      <w:r>
        <w:t>all</w:t>
      </w:r>
      <w:r>
        <w:rPr>
          <w:spacing w:val="-7"/>
        </w:rPr>
        <w:t xml:space="preserve"> </w:t>
      </w:r>
      <w:r>
        <w:t>students.</w:t>
      </w:r>
    </w:p>
    <w:p w14:paraId="0EE7043D" w14:textId="77777777" w:rsidR="00317989" w:rsidRDefault="008408EE">
      <w:pPr>
        <w:pStyle w:val="ListParagraph"/>
        <w:numPr>
          <w:ilvl w:val="0"/>
          <w:numId w:val="4"/>
        </w:numPr>
        <w:tabs>
          <w:tab w:val="left" w:pos="874"/>
          <w:tab w:val="left" w:pos="875"/>
        </w:tabs>
        <w:spacing w:before="16" w:line="254" w:lineRule="auto"/>
        <w:ind w:right="495" w:firstLine="360"/>
      </w:pPr>
      <w:r>
        <w:t>the</w:t>
      </w:r>
      <w:r>
        <w:rPr>
          <w:spacing w:val="-7"/>
        </w:rPr>
        <w:t xml:space="preserve"> </w:t>
      </w:r>
      <w:r>
        <w:t>scaled</w:t>
      </w:r>
      <w:r>
        <w:rPr>
          <w:spacing w:val="-7"/>
        </w:rPr>
        <w:t xml:space="preserve"> </w:t>
      </w:r>
      <w:r>
        <w:t>score</w:t>
      </w:r>
      <w:r>
        <w:rPr>
          <w:spacing w:val="-7"/>
        </w:rPr>
        <w:t xml:space="preserve"> </w:t>
      </w:r>
      <w:r>
        <w:t>of</w:t>
      </w:r>
      <w:r>
        <w:rPr>
          <w:spacing w:val="-7"/>
        </w:rPr>
        <w:t xml:space="preserve"> </w:t>
      </w:r>
      <w:r>
        <w:t>English</w:t>
      </w:r>
      <w:r>
        <w:rPr>
          <w:spacing w:val="-7"/>
        </w:rPr>
        <w:t xml:space="preserve"> </w:t>
      </w:r>
      <w:r>
        <w:t>Learners</w:t>
      </w:r>
      <w:r>
        <w:rPr>
          <w:spacing w:val="-7"/>
        </w:rPr>
        <w:t xml:space="preserve"> </w:t>
      </w:r>
      <w:r>
        <w:t>for</w:t>
      </w:r>
      <w:r>
        <w:rPr>
          <w:spacing w:val="-7"/>
        </w:rPr>
        <w:t xml:space="preserve"> </w:t>
      </w:r>
      <w:r>
        <w:t>grades</w:t>
      </w:r>
      <w:r>
        <w:rPr>
          <w:spacing w:val="-7"/>
        </w:rPr>
        <w:t xml:space="preserve"> </w:t>
      </w:r>
      <w:r>
        <w:t>3-8</w:t>
      </w:r>
      <w:r>
        <w:rPr>
          <w:spacing w:val="-7"/>
        </w:rPr>
        <w:t xml:space="preserve"> </w:t>
      </w:r>
      <w:r>
        <w:t>math</w:t>
      </w:r>
      <w:r>
        <w:rPr>
          <w:spacing w:val="-7"/>
        </w:rPr>
        <w:t xml:space="preserve"> </w:t>
      </w:r>
      <w:r>
        <w:t>was</w:t>
      </w:r>
      <w:r>
        <w:rPr>
          <w:spacing w:val="-7"/>
        </w:rPr>
        <w:t xml:space="preserve"> </w:t>
      </w:r>
      <w:r>
        <w:t>480.9</w:t>
      </w:r>
      <w:r>
        <w:rPr>
          <w:spacing w:val="-7"/>
        </w:rPr>
        <w:t xml:space="preserve"> </w:t>
      </w:r>
      <w:r>
        <w:t>vs.</w:t>
      </w:r>
      <w:r>
        <w:rPr>
          <w:spacing w:val="-7"/>
        </w:rPr>
        <w:t xml:space="preserve"> </w:t>
      </w:r>
      <w:r>
        <w:t>491.4</w:t>
      </w:r>
      <w:r>
        <w:rPr>
          <w:spacing w:val="-7"/>
        </w:rPr>
        <w:t xml:space="preserve"> </w:t>
      </w:r>
      <w:r>
        <w:t>for</w:t>
      </w:r>
      <w:r>
        <w:rPr>
          <w:spacing w:val="-7"/>
        </w:rPr>
        <w:t xml:space="preserve"> </w:t>
      </w:r>
      <w:r>
        <w:t>all</w:t>
      </w:r>
      <w:r>
        <w:rPr>
          <w:spacing w:val="-7"/>
        </w:rPr>
        <w:t xml:space="preserve"> </w:t>
      </w:r>
      <w:r>
        <w:t>students. Special</w:t>
      </w:r>
      <w:r>
        <w:rPr>
          <w:spacing w:val="-8"/>
        </w:rPr>
        <w:t xml:space="preserve"> </w:t>
      </w:r>
      <w:r>
        <w:t>Education:</w:t>
      </w:r>
      <w:r>
        <w:rPr>
          <w:spacing w:val="-8"/>
        </w:rPr>
        <w:t xml:space="preserve"> </w:t>
      </w:r>
      <w:r>
        <w:t>(middle</w:t>
      </w:r>
      <w:r>
        <w:rPr>
          <w:spacing w:val="-8"/>
        </w:rPr>
        <w:t xml:space="preserve"> </w:t>
      </w:r>
      <w:r>
        <w:t>school</w:t>
      </w:r>
      <w:r>
        <w:rPr>
          <w:spacing w:val="-8"/>
        </w:rPr>
        <w:t xml:space="preserve"> </w:t>
      </w:r>
      <w:r>
        <w:t>comparison</w:t>
      </w:r>
      <w:r>
        <w:rPr>
          <w:spacing w:val="-8"/>
        </w:rPr>
        <w:t xml:space="preserve"> </w:t>
      </w:r>
      <w:r>
        <w:t>because</w:t>
      </w:r>
      <w:r>
        <w:rPr>
          <w:spacing w:val="-8"/>
        </w:rPr>
        <w:t xml:space="preserve"> </w:t>
      </w:r>
      <w:r>
        <w:t>of</w:t>
      </w:r>
      <w:r>
        <w:rPr>
          <w:spacing w:val="-8"/>
        </w:rPr>
        <w:t xml:space="preserve"> </w:t>
      </w:r>
      <w:r>
        <w:t>small</w:t>
      </w:r>
      <w:r>
        <w:rPr>
          <w:spacing w:val="-8"/>
        </w:rPr>
        <w:t xml:space="preserve"> </w:t>
      </w:r>
      <w:r>
        <w:t>numbers</w:t>
      </w:r>
      <w:r>
        <w:rPr>
          <w:spacing w:val="-8"/>
        </w:rPr>
        <w:t xml:space="preserve"> </w:t>
      </w:r>
      <w:r>
        <w:t>in</w:t>
      </w:r>
      <w:r>
        <w:rPr>
          <w:spacing w:val="-8"/>
        </w:rPr>
        <w:t xml:space="preserve"> </w:t>
      </w:r>
      <w:r>
        <w:t>high</w:t>
      </w:r>
      <w:r>
        <w:rPr>
          <w:spacing w:val="-8"/>
        </w:rPr>
        <w:t xml:space="preserve"> </w:t>
      </w:r>
      <w:r>
        <w:t>school):</w:t>
      </w:r>
    </w:p>
    <w:p w14:paraId="4F9A6051" w14:textId="77777777" w:rsidR="00317989" w:rsidRDefault="008408EE">
      <w:pPr>
        <w:pStyle w:val="ListParagraph"/>
        <w:numPr>
          <w:ilvl w:val="0"/>
          <w:numId w:val="4"/>
        </w:numPr>
        <w:tabs>
          <w:tab w:val="left" w:pos="839"/>
          <w:tab w:val="left" w:pos="840"/>
        </w:tabs>
        <w:ind w:left="840" w:hanging="360"/>
      </w:pPr>
      <w:r>
        <w:t>the</w:t>
      </w:r>
      <w:r>
        <w:rPr>
          <w:spacing w:val="-7"/>
        </w:rPr>
        <w:t xml:space="preserve"> </w:t>
      </w:r>
      <w:r>
        <w:t>scaled</w:t>
      </w:r>
      <w:r>
        <w:rPr>
          <w:spacing w:val="-7"/>
        </w:rPr>
        <w:t xml:space="preserve"> </w:t>
      </w:r>
      <w:r>
        <w:t>score</w:t>
      </w:r>
      <w:r>
        <w:rPr>
          <w:spacing w:val="-7"/>
        </w:rPr>
        <w:t xml:space="preserve"> </w:t>
      </w:r>
      <w:r>
        <w:t>of</w:t>
      </w:r>
      <w:r>
        <w:rPr>
          <w:spacing w:val="-7"/>
        </w:rPr>
        <w:t xml:space="preserve"> </w:t>
      </w:r>
      <w:r>
        <w:t>students</w:t>
      </w:r>
      <w:r>
        <w:rPr>
          <w:spacing w:val="-7"/>
        </w:rPr>
        <w:t xml:space="preserve"> </w:t>
      </w:r>
      <w:r>
        <w:t>with</w:t>
      </w:r>
      <w:r>
        <w:rPr>
          <w:spacing w:val="-7"/>
        </w:rPr>
        <w:t xml:space="preserve"> </w:t>
      </w:r>
      <w:r>
        <w:t>IEPs</w:t>
      </w:r>
      <w:r>
        <w:rPr>
          <w:spacing w:val="-7"/>
        </w:rPr>
        <w:t xml:space="preserve"> </w:t>
      </w:r>
      <w:r>
        <w:t>for</w:t>
      </w:r>
      <w:r>
        <w:rPr>
          <w:spacing w:val="-7"/>
        </w:rPr>
        <w:t xml:space="preserve"> </w:t>
      </w:r>
      <w:r>
        <w:t>grades</w:t>
      </w:r>
      <w:r>
        <w:rPr>
          <w:spacing w:val="-7"/>
        </w:rPr>
        <w:t xml:space="preserve"> </w:t>
      </w:r>
      <w:r>
        <w:t>3-8</w:t>
      </w:r>
      <w:r>
        <w:rPr>
          <w:spacing w:val="-7"/>
        </w:rPr>
        <w:t xml:space="preserve"> </w:t>
      </w:r>
      <w:r>
        <w:t>ELA</w:t>
      </w:r>
      <w:r>
        <w:rPr>
          <w:spacing w:val="-7"/>
        </w:rPr>
        <w:t xml:space="preserve"> </w:t>
      </w:r>
      <w:r>
        <w:t>was</w:t>
      </w:r>
      <w:r>
        <w:rPr>
          <w:spacing w:val="-7"/>
        </w:rPr>
        <w:t xml:space="preserve"> </w:t>
      </w:r>
      <w:r>
        <w:t>491.0</w:t>
      </w:r>
      <w:r>
        <w:rPr>
          <w:spacing w:val="-7"/>
        </w:rPr>
        <w:t xml:space="preserve"> </w:t>
      </w:r>
      <w:r>
        <w:t>vs.</w:t>
      </w:r>
      <w:r>
        <w:rPr>
          <w:spacing w:val="-7"/>
        </w:rPr>
        <w:t xml:space="preserve"> </w:t>
      </w:r>
      <w:r>
        <w:t>496.5</w:t>
      </w:r>
      <w:r>
        <w:rPr>
          <w:spacing w:val="-7"/>
        </w:rPr>
        <w:t xml:space="preserve"> </w:t>
      </w:r>
      <w:r>
        <w:t>for</w:t>
      </w:r>
      <w:r>
        <w:rPr>
          <w:spacing w:val="-7"/>
        </w:rPr>
        <w:t xml:space="preserve"> </w:t>
      </w:r>
      <w:r>
        <w:t>all</w:t>
      </w:r>
      <w:r>
        <w:rPr>
          <w:spacing w:val="-7"/>
        </w:rPr>
        <w:t xml:space="preserve"> </w:t>
      </w:r>
      <w:r>
        <w:t>students.</w:t>
      </w:r>
    </w:p>
    <w:p w14:paraId="706DDA31" w14:textId="77777777" w:rsidR="00317989" w:rsidRDefault="008408EE">
      <w:pPr>
        <w:pStyle w:val="ListParagraph"/>
        <w:numPr>
          <w:ilvl w:val="0"/>
          <w:numId w:val="4"/>
        </w:numPr>
        <w:tabs>
          <w:tab w:val="left" w:pos="874"/>
          <w:tab w:val="left" w:pos="875"/>
        </w:tabs>
        <w:spacing w:before="16"/>
        <w:ind w:left="875"/>
      </w:pPr>
      <w:r>
        <w:t>the</w:t>
      </w:r>
      <w:r>
        <w:rPr>
          <w:spacing w:val="-7"/>
        </w:rPr>
        <w:t xml:space="preserve"> </w:t>
      </w:r>
      <w:r>
        <w:t>scaled</w:t>
      </w:r>
      <w:r>
        <w:rPr>
          <w:spacing w:val="-7"/>
        </w:rPr>
        <w:t xml:space="preserve"> </w:t>
      </w:r>
      <w:r>
        <w:t>score</w:t>
      </w:r>
      <w:r>
        <w:rPr>
          <w:spacing w:val="-7"/>
        </w:rPr>
        <w:t xml:space="preserve"> </w:t>
      </w:r>
      <w:r>
        <w:t>of</w:t>
      </w:r>
      <w:r>
        <w:rPr>
          <w:spacing w:val="-7"/>
        </w:rPr>
        <w:t xml:space="preserve"> </w:t>
      </w:r>
      <w:r>
        <w:t>students</w:t>
      </w:r>
      <w:r>
        <w:rPr>
          <w:spacing w:val="-7"/>
        </w:rPr>
        <w:t xml:space="preserve"> </w:t>
      </w:r>
      <w:r>
        <w:t>with</w:t>
      </w:r>
      <w:r>
        <w:rPr>
          <w:spacing w:val="-7"/>
        </w:rPr>
        <w:t xml:space="preserve"> </w:t>
      </w:r>
      <w:r>
        <w:t>IEPs</w:t>
      </w:r>
      <w:r>
        <w:rPr>
          <w:spacing w:val="-7"/>
        </w:rPr>
        <w:t xml:space="preserve"> </w:t>
      </w:r>
      <w:r>
        <w:t>for</w:t>
      </w:r>
      <w:r>
        <w:rPr>
          <w:spacing w:val="-7"/>
        </w:rPr>
        <w:t xml:space="preserve"> </w:t>
      </w:r>
      <w:r>
        <w:t>grades</w:t>
      </w:r>
      <w:r>
        <w:rPr>
          <w:spacing w:val="-7"/>
        </w:rPr>
        <w:t xml:space="preserve"> </w:t>
      </w:r>
      <w:r>
        <w:t>3-8</w:t>
      </w:r>
      <w:r>
        <w:rPr>
          <w:spacing w:val="-7"/>
        </w:rPr>
        <w:t xml:space="preserve"> </w:t>
      </w:r>
      <w:r>
        <w:t>math</w:t>
      </w:r>
      <w:r>
        <w:rPr>
          <w:spacing w:val="-7"/>
        </w:rPr>
        <w:t xml:space="preserve"> </w:t>
      </w:r>
      <w:r>
        <w:t>was</w:t>
      </w:r>
      <w:r>
        <w:rPr>
          <w:spacing w:val="-7"/>
        </w:rPr>
        <w:t xml:space="preserve"> </w:t>
      </w:r>
      <w:r>
        <w:t>477.6</w:t>
      </w:r>
      <w:r>
        <w:rPr>
          <w:spacing w:val="-7"/>
        </w:rPr>
        <w:t xml:space="preserve"> </w:t>
      </w:r>
      <w:r>
        <w:t>vs.</w:t>
      </w:r>
      <w:r>
        <w:rPr>
          <w:spacing w:val="-7"/>
        </w:rPr>
        <w:t xml:space="preserve"> </w:t>
      </w:r>
      <w:r>
        <w:t>491.4</w:t>
      </w:r>
      <w:r>
        <w:rPr>
          <w:spacing w:val="-7"/>
        </w:rPr>
        <w:t xml:space="preserve"> </w:t>
      </w:r>
      <w:r>
        <w:t>for</w:t>
      </w:r>
      <w:r>
        <w:rPr>
          <w:spacing w:val="-7"/>
        </w:rPr>
        <w:t xml:space="preserve"> </w:t>
      </w:r>
      <w:r>
        <w:t>all</w:t>
      </w:r>
      <w:r>
        <w:rPr>
          <w:spacing w:val="-7"/>
        </w:rPr>
        <w:t xml:space="preserve"> </w:t>
      </w:r>
      <w:r>
        <w:t>students.</w:t>
      </w:r>
    </w:p>
    <w:p w14:paraId="415870AD" w14:textId="77777777" w:rsidR="00317989" w:rsidRDefault="008408EE">
      <w:pPr>
        <w:pStyle w:val="BodyText"/>
        <w:spacing w:before="136" w:line="254" w:lineRule="auto"/>
        <w:ind w:left="120" w:right="445" w:hanging="15"/>
      </w:pPr>
      <w:r>
        <w:t xml:space="preserve">From student and family surveys we know our deeper learning curriculum and assessment work is showing promise. We know that we are improving the ways that students see themselves and the relevance of the curriculum: 85.1% agree or strongly agree </w:t>
      </w:r>
      <w:proofErr w:type="gramStart"/>
      <w:r>
        <w:t>that,</w:t>
      </w:r>
      <w:proofErr w:type="gramEnd"/>
      <w:r>
        <w:t xml:space="preserve"> “My class readings and materials include people and examples that reflect my race, cultural background and/or identity.” At the same time, our staff is just under 50% BIPOC and our students are over 90% BIPOC.</w:t>
      </w:r>
    </w:p>
    <w:p w14:paraId="78E785D2" w14:textId="77777777" w:rsidR="00317989" w:rsidRDefault="00317989">
      <w:pPr>
        <w:pStyle w:val="BodyText"/>
        <w:spacing w:before="4"/>
        <w:rPr>
          <w:sz w:val="23"/>
        </w:rPr>
      </w:pPr>
    </w:p>
    <w:p w14:paraId="6505B57C" w14:textId="77777777" w:rsidR="00317989" w:rsidRDefault="008408EE">
      <w:pPr>
        <w:pStyle w:val="Heading1"/>
        <w:spacing w:before="1"/>
      </w:pPr>
      <w:r>
        <w:rPr>
          <w:color w:val="2D73B4"/>
        </w:rPr>
        <w:t>Commitment 2: Using Evidence-Based Programs to Close Gaps</w:t>
      </w:r>
    </w:p>
    <w:p w14:paraId="27103AFA" w14:textId="77777777" w:rsidR="00317989" w:rsidRDefault="00317989">
      <w:pPr>
        <w:pStyle w:val="BodyText"/>
        <w:spacing w:before="6"/>
        <w:rPr>
          <w:b/>
          <w:sz w:val="30"/>
        </w:rPr>
      </w:pPr>
    </w:p>
    <w:p w14:paraId="34B355FF" w14:textId="77777777" w:rsidR="00317989" w:rsidRDefault="008408EE">
      <w:pPr>
        <w:pStyle w:val="Heading2"/>
        <w:numPr>
          <w:ilvl w:val="0"/>
          <w:numId w:val="3"/>
        </w:numPr>
        <w:tabs>
          <w:tab w:val="left" w:pos="340"/>
        </w:tabs>
        <w:ind w:hanging="219"/>
      </w:pPr>
      <w:r>
        <w:t xml:space="preserve">Supporting </w:t>
      </w:r>
      <w:r>
        <w:rPr>
          <w:spacing w:val="-2"/>
        </w:rPr>
        <w:t xml:space="preserve">Educators </w:t>
      </w:r>
      <w:r>
        <w:t>in Deeper</w:t>
      </w:r>
      <w:r>
        <w:rPr>
          <w:spacing w:val="-24"/>
        </w:rPr>
        <w:t xml:space="preserve"> </w:t>
      </w:r>
      <w:r>
        <w:t>Learning</w:t>
      </w:r>
    </w:p>
    <w:p w14:paraId="5EF6F4EC" w14:textId="77777777" w:rsidR="00317989" w:rsidRDefault="008408EE">
      <w:pPr>
        <w:pStyle w:val="BodyText"/>
        <w:spacing w:before="16" w:line="254" w:lineRule="auto"/>
        <w:ind w:left="120" w:right="114"/>
      </w:pPr>
      <w:r>
        <w:t>In</w:t>
      </w:r>
      <w:r>
        <w:rPr>
          <w:spacing w:val="-6"/>
        </w:rPr>
        <w:t xml:space="preserve"> </w:t>
      </w:r>
      <w:r>
        <w:t>the</w:t>
      </w:r>
      <w:r>
        <w:rPr>
          <w:spacing w:val="-6"/>
        </w:rPr>
        <w:t xml:space="preserve"> </w:t>
      </w:r>
      <w:r>
        <w:t>2017-18</w:t>
      </w:r>
      <w:r>
        <w:rPr>
          <w:spacing w:val="-6"/>
        </w:rPr>
        <w:t xml:space="preserve"> </w:t>
      </w:r>
      <w:r>
        <w:t>school</w:t>
      </w:r>
      <w:r>
        <w:rPr>
          <w:spacing w:val="-6"/>
        </w:rPr>
        <w:t xml:space="preserve"> </w:t>
      </w:r>
      <w:r>
        <w:t>year</w:t>
      </w:r>
      <w:r>
        <w:rPr>
          <w:spacing w:val="-6"/>
        </w:rPr>
        <w:t xml:space="preserve"> </w:t>
      </w:r>
      <w:r>
        <w:t>we</w:t>
      </w:r>
      <w:r>
        <w:rPr>
          <w:spacing w:val="-6"/>
        </w:rPr>
        <w:t xml:space="preserve"> </w:t>
      </w:r>
      <w:r>
        <w:t>adopted</w:t>
      </w:r>
      <w:r>
        <w:rPr>
          <w:spacing w:val="-6"/>
        </w:rPr>
        <w:t xml:space="preserve"> </w:t>
      </w:r>
      <w:r>
        <w:t>a</w:t>
      </w:r>
      <w:r>
        <w:rPr>
          <w:spacing w:val="-6"/>
        </w:rPr>
        <w:t xml:space="preserve"> </w:t>
      </w:r>
      <w:r>
        <w:t>three-year</w:t>
      </w:r>
      <w:r>
        <w:rPr>
          <w:spacing w:val="-6"/>
        </w:rPr>
        <w:t xml:space="preserve"> </w:t>
      </w:r>
      <w:r>
        <w:t>strategic</w:t>
      </w:r>
      <w:r>
        <w:rPr>
          <w:spacing w:val="-6"/>
        </w:rPr>
        <w:t xml:space="preserve"> </w:t>
      </w:r>
      <w:r>
        <w:t>plan,</w:t>
      </w:r>
      <w:r>
        <w:rPr>
          <w:spacing w:val="-6"/>
        </w:rPr>
        <w:t xml:space="preserve"> </w:t>
      </w:r>
      <w:r>
        <w:t>built</w:t>
      </w:r>
      <w:r>
        <w:rPr>
          <w:spacing w:val="-6"/>
        </w:rPr>
        <w:t xml:space="preserve"> </w:t>
      </w:r>
      <w:r>
        <w:t>upon</w:t>
      </w:r>
      <w:r>
        <w:rPr>
          <w:spacing w:val="-6"/>
        </w:rPr>
        <w:t xml:space="preserve"> </w:t>
      </w:r>
      <w:r>
        <w:t>input</w:t>
      </w:r>
      <w:r>
        <w:rPr>
          <w:spacing w:val="-6"/>
        </w:rPr>
        <w:t xml:space="preserve"> </w:t>
      </w:r>
      <w:r>
        <w:t>from</w:t>
      </w:r>
      <w:r>
        <w:rPr>
          <w:spacing w:val="-6"/>
        </w:rPr>
        <w:t xml:space="preserve"> </w:t>
      </w:r>
      <w:r>
        <w:t>all</w:t>
      </w:r>
      <w:r>
        <w:rPr>
          <w:spacing w:val="-6"/>
        </w:rPr>
        <w:t xml:space="preserve"> </w:t>
      </w:r>
      <w:r>
        <w:rPr>
          <w:spacing w:val="-3"/>
        </w:rPr>
        <w:t xml:space="preserve">stakeholders </w:t>
      </w:r>
      <w:r>
        <w:t xml:space="preserve">(students, parents, teachers, </w:t>
      </w:r>
      <w:proofErr w:type="gramStart"/>
      <w:r>
        <w:t>administrators</w:t>
      </w:r>
      <w:proofErr w:type="gramEnd"/>
      <w:r>
        <w:t xml:space="preserve"> and board members). </w:t>
      </w:r>
      <w:r>
        <w:rPr>
          <w:spacing w:val="-5"/>
        </w:rPr>
        <w:t xml:space="preserve">We </w:t>
      </w:r>
      <w:r>
        <w:t xml:space="preserve">revisit this plan annually and assess against benchmarks throughout the </w:t>
      </w:r>
      <w:r>
        <w:rPr>
          <w:spacing w:val="-6"/>
        </w:rPr>
        <w:t xml:space="preserve">year. </w:t>
      </w:r>
      <w:r>
        <w:t xml:space="preserve">Our choice of evidence-based programs is built upon our work over the past three years to build out deeper learning as our instructional model. </w:t>
      </w:r>
      <w:r>
        <w:rPr>
          <w:spacing w:val="-5"/>
        </w:rPr>
        <w:t xml:space="preserve">We </w:t>
      </w:r>
      <w:r>
        <w:t>have found</w:t>
      </w:r>
      <w:r>
        <w:rPr>
          <w:spacing w:val="-10"/>
        </w:rPr>
        <w:t xml:space="preserve"> </w:t>
      </w:r>
      <w:r>
        <w:t>that</w:t>
      </w:r>
      <w:r>
        <w:rPr>
          <w:spacing w:val="-10"/>
        </w:rPr>
        <w:t xml:space="preserve"> </w:t>
      </w:r>
      <w:r>
        <w:t>teachers</w:t>
      </w:r>
      <w:r>
        <w:rPr>
          <w:spacing w:val="-10"/>
        </w:rPr>
        <w:t xml:space="preserve"> </w:t>
      </w:r>
      <w:r>
        <w:t>have</w:t>
      </w:r>
      <w:r>
        <w:rPr>
          <w:spacing w:val="-10"/>
        </w:rPr>
        <w:t xml:space="preserve"> </w:t>
      </w:r>
      <w:r>
        <w:t>fully</w:t>
      </w:r>
      <w:r>
        <w:rPr>
          <w:spacing w:val="-10"/>
        </w:rPr>
        <w:t xml:space="preserve"> </w:t>
      </w:r>
      <w:r>
        <w:t>engaged</w:t>
      </w:r>
      <w:r>
        <w:rPr>
          <w:spacing w:val="-10"/>
        </w:rPr>
        <w:t xml:space="preserve"> </w:t>
      </w:r>
      <w:r>
        <w:t>in</w:t>
      </w:r>
      <w:r>
        <w:rPr>
          <w:spacing w:val="-10"/>
        </w:rPr>
        <w:t xml:space="preserve"> </w:t>
      </w:r>
      <w:r>
        <w:t>summer</w:t>
      </w:r>
      <w:r>
        <w:rPr>
          <w:spacing w:val="-10"/>
        </w:rPr>
        <w:t xml:space="preserve"> </w:t>
      </w:r>
      <w:r>
        <w:t>professional</w:t>
      </w:r>
      <w:r>
        <w:rPr>
          <w:spacing w:val="-10"/>
        </w:rPr>
        <w:t xml:space="preserve"> </w:t>
      </w:r>
      <w:r>
        <w:t>development,</w:t>
      </w:r>
      <w:r>
        <w:rPr>
          <w:spacing w:val="-10"/>
        </w:rPr>
        <w:t xml:space="preserve"> </w:t>
      </w:r>
      <w:r>
        <w:t>both</w:t>
      </w:r>
      <w:r>
        <w:rPr>
          <w:spacing w:val="-10"/>
        </w:rPr>
        <w:t xml:space="preserve"> </w:t>
      </w:r>
      <w:r>
        <w:t>on-line</w:t>
      </w:r>
      <w:r>
        <w:rPr>
          <w:spacing w:val="-10"/>
        </w:rPr>
        <w:t xml:space="preserve"> </w:t>
      </w:r>
      <w:r>
        <w:t>and</w:t>
      </w:r>
    </w:p>
    <w:p w14:paraId="431EE10B" w14:textId="77777777" w:rsidR="00317989" w:rsidRDefault="008408EE">
      <w:pPr>
        <w:pStyle w:val="BodyText"/>
        <w:spacing w:line="254" w:lineRule="auto"/>
        <w:ind w:left="120" w:right="33"/>
      </w:pPr>
      <w:r>
        <w:t>in-person, and that they have spent extra time developing new curriculum units over the course of the year. In year two of the plan (last year) teachers were provided a $500 stipend each semester for roughly 10+ hours of work to build deeper learning tasks and then units.</w:t>
      </w:r>
    </w:p>
    <w:p w14:paraId="12AC3EA3" w14:textId="77777777" w:rsidR="00317989" w:rsidRDefault="00317989">
      <w:pPr>
        <w:spacing w:line="254" w:lineRule="auto"/>
        <w:sectPr w:rsidR="00317989" w:rsidSect="004F6278">
          <w:headerReference w:type="default" r:id="rId7"/>
          <w:footerReference w:type="default" r:id="rId8"/>
          <w:type w:val="continuous"/>
          <w:pgSz w:w="12240" w:h="15840"/>
          <w:pgMar w:top="630" w:right="1360" w:bottom="280" w:left="1320" w:header="750" w:footer="720" w:gutter="0"/>
          <w:cols w:space="720"/>
        </w:sectPr>
      </w:pPr>
    </w:p>
    <w:p w14:paraId="74EBAC4F" w14:textId="77777777" w:rsidR="00317989" w:rsidRDefault="00317989">
      <w:pPr>
        <w:pStyle w:val="BodyText"/>
        <w:rPr>
          <w:sz w:val="20"/>
        </w:rPr>
      </w:pPr>
    </w:p>
    <w:p w14:paraId="103E3C47" w14:textId="77777777" w:rsidR="00317989" w:rsidRDefault="00317989">
      <w:pPr>
        <w:pStyle w:val="BodyText"/>
        <w:spacing w:before="6"/>
        <w:rPr>
          <w:sz w:val="18"/>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60"/>
        <w:gridCol w:w="1200"/>
        <w:gridCol w:w="4400"/>
      </w:tblGrid>
      <w:tr w:rsidR="00317989" w14:paraId="207F2D0E" w14:textId="77777777">
        <w:trPr>
          <w:trHeight w:hRule="exact" w:val="500"/>
        </w:trPr>
        <w:tc>
          <w:tcPr>
            <w:tcW w:w="3760" w:type="dxa"/>
            <w:shd w:val="clear" w:color="auto" w:fill="D9D9D9"/>
          </w:tcPr>
          <w:p w14:paraId="3E9B20B9" w14:textId="77777777" w:rsidR="00317989" w:rsidRDefault="008408EE">
            <w:pPr>
              <w:pStyle w:val="TableParagraph"/>
              <w:spacing w:before="6"/>
              <w:ind w:left="294"/>
              <w:rPr>
                <w:b/>
                <w:sz w:val="20"/>
              </w:rPr>
            </w:pPr>
            <w:r>
              <w:rPr>
                <w:b/>
                <w:sz w:val="20"/>
              </w:rPr>
              <w:t>FY21 budget item</w:t>
            </w:r>
          </w:p>
        </w:tc>
        <w:tc>
          <w:tcPr>
            <w:tcW w:w="1200" w:type="dxa"/>
            <w:shd w:val="clear" w:color="auto" w:fill="D9D9D9"/>
          </w:tcPr>
          <w:p w14:paraId="60432422" w14:textId="77777777" w:rsidR="00317989" w:rsidRDefault="008408EE">
            <w:pPr>
              <w:pStyle w:val="TableParagraph"/>
              <w:spacing w:before="6"/>
              <w:ind w:left="90"/>
              <w:rPr>
                <w:b/>
                <w:sz w:val="20"/>
              </w:rPr>
            </w:pPr>
            <w:r>
              <w:rPr>
                <w:b/>
                <w:sz w:val="20"/>
              </w:rPr>
              <w:t>Amount</w:t>
            </w:r>
          </w:p>
        </w:tc>
        <w:tc>
          <w:tcPr>
            <w:tcW w:w="4400" w:type="dxa"/>
            <w:shd w:val="clear" w:color="auto" w:fill="D9D9D9"/>
          </w:tcPr>
          <w:p w14:paraId="0ACE1EC5" w14:textId="77777777" w:rsidR="00317989" w:rsidRDefault="008408EE">
            <w:pPr>
              <w:pStyle w:val="TableParagraph"/>
              <w:spacing w:before="6"/>
              <w:ind w:left="299"/>
              <w:rPr>
                <w:b/>
                <w:sz w:val="20"/>
              </w:rPr>
            </w:pPr>
            <w:r>
              <w:rPr>
                <w:b/>
                <w:sz w:val="20"/>
              </w:rPr>
              <w:t xml:space="preserve">Foundation </w:t>
            </w:r>
            <w:proofErr w:type="gramStart"/>
            <w:r>
              <w:rPr>
                <w:b/>
                <w:sz w:val="20"/>
              </w:rPr>
              <w:t>Category[</w:t>
            </w:r>
            <w:proofErr w:type="gramEnd"/>
            <w:r>
              <w:rPr>
                <w:b/>
                <w:sz w:val="20"/>
              </w:rPr>
              <w:t>1]</w:t>
            </w:r>
          </w:p>
        </w:tc>
      </w:tr>
      <w:tr w:rsidR="00317989" w14:paraId="13F765AF" w14:textId="77777777">
        <w:trPr>
          <w:trHeight w:hRule="exact" w:val="560"/>
        </w:trPr>
        <w:tc>
          <w:tcPr>
            <w:tcW w:w="3760" w:type="dxa"/>
          </w:tcPr>
          <w:p w14:paraId="49F0427C" w14:textId="77777777" w:rsidR="00317989" w:rsidRDefault="008408EE">
            <w:pPr>
              <w:pStyle w:val="TableParagraph"/>
              <w:ind w:left="189"/>
              <w:rPr>
                <w:sz w:val="20"/>
              </w:rPr>
            </w:pPr>
            <w:r>
              <w:rPr>
                <w:sz w:val="20"/>
              </w:rPr>
              <w:t>Summer PD on Deeper Learning</w:t>
            </w:r>
          </w:p>
        </w:tc>
        <w:tc>
          <w:tcPr>
            <w:tcW w:w="1200" w:type="dxa"/>
          </w:tcPr>
          <w:p w14:paraId="21336511" w14:textId="77777777" w:rsidR="00317989" w:rsidRDefault="008408EE">
            <w:pPr>
              <w:pStyle w:val="TableParagraph"/>
              <w:ind w:left="0" w:right="325"/>
              <w:jc w:val="right"/>
              <w:rPr>
                <w:sz w:val="20"/>
              </w:rPr>
            </w:pPr>
            <w:r>
              <w:rPr>
                <w:sz w:val="20"/>
              </w:rPr>
              <w:t>$22,000</w:t>
            </w:r>
          </w:p>
        </w:tc>
        <w:tc>
          <w:tcPr>
            <w:tcW w:w="4400" w:type="dxa"/>
          </w:tcPr>
          <w:p w14:paraId="4BB904BB" w14:textId="77777777" w:rsidR="00317989" w:rsidRDefault="008408EE">
            <w:pPr>
              <w:pStyle w:val="TableParagraph"/>
              <w:spacing w:line="266" w:lineRule="auto"/>
              <w:rPr>
                <w:sz w:val="20"/>
              </w:rPr>
            </w:pPr>
            <w:r>
              <w:rPr>
                <w:sz w:val="20"/>
              </w:rPr>
              <w:t>Classroom and Specialist Teachers, Employee Benefits</w:t>
            </w:r>
          </w:p>
        </w:tc>
      </w:tr>
      <w:tr w:rsidR="00317989" w14:paraId="0BDD6E9D" w14:textId="77777777">
        <w:trPr>
          <w:trHeight w:hRule="exact" w:val="540"/>
        </w:trPr>
        <w:tc>
          <w:tcPr>
            <w:tcW w:w="3760" w:type="dxa"/>
          </w:tcPr>
          <w:p w14:paraId="1504A5B2" w14:textId="77777777" w:rsidR="00317989" w:rsidRDefault="008408EE">
            <w:pPr>
              <w:pStyle w:val="TableParagraph"/>
              <w:spacing w:before="0" w:line="241" w:lineRule="exact"/>
              <w:ind w:left="189"/>
              <w:rPr>
                <w:sz w:val="20"/>
              </w:rPr>
            </w:pPr>
            <w:r>
              <w:rPr>
                <w:sz w:val="20"/>
              </w:rPr>
              <w:t xml:space="preserve">Stipends for developing </w:t>
            </w:r>
            <w:proofErr w:type="spellStart"/>
            <w:r>
              <w:rPr>
                <w:sz w:val="20"/>
              </w:rPr>
              <w:t>curric</w:t>
            </w:r>
            <w:proofErr w:type="spellEnd"/>
            <w:r>
              <w:rPr>
                <w:sz w:val="20"/>
              </w:rPr>
              <w:t xml:space="preserve"> units</w:t>
            </w:r>
          </w:p>
        </w:tc>
        <w:tc>
          <w:tcPr>
            <w:tcW w:w="1200" w:type="dxa"/>
          </w:tcPr>
          <w:p w14:paraId="6E555D33" w14:textId="77777777" w:rsidR="00317989" w:rsidRDefault="008408EE">
            <w:pPr>
              <w:pStyle w:val="TableParagraph"/>
              <w:spacing w:before="0" w:line="241" w:lineRule="exact"/>
              <w:ind w:left="0" w:right="325"/>
              <w:jc w:val="right"/>
              <w:rPr>
                <w:sz w:val="20"/>
              </w:rPr>
            </w:pPr>
            <w:r>
              <w:rPr>
                <w:sz w:val="20"/>
              </w:rPr>
              <w:t>$54,000</w:t>
            </w:r>
          </w:p>
        </w:tc>
        <w:tc>
          <w:tcPr>
            <w:tcW w:w="4400" w:type="dxa"/>
          </w:tcPr>
          <w:p w14:paraId="5BE56EED" w14:textId="77777777" w:rsidR="00317989" w:rsidRDefault="008408EE">
            <w:pPr>
              <w:pStyle w:val="TableParagraph"/>
              <w:spacing w:before="0" w:line="266" w:lineRule="auto"/>
              <w:rPr>
                <w:sz w:val="20"/>
              </w:rPr>
            </w:pPr>
            <w:r>
              <w:rPr>
                <w:sz w:val="20"/>
              </w:rPr>
              <w:t>Classroom and Specialist Teachers, Employee Benefits</w:t>
            </w:r>
          </w:p>
        </w:tc>
      </w:tr>
      <w:tr w:rsidR="00317989" w14:paraId="0002E77A" w14:textId="77777777">
        <w:trPr>
          <w:trHeight w:hRule="exact" w:val="560"/>
        </w:trPr>
        <w:tc>
          <w:tcPr>
            <w:tcW w:w="4960" w:type="dxa"/>
            <w:gridSpan w:val="2"/>
            <w:shd w:val="clear" w:color="auto" w:fill="D9D9D9"/>
          </w:tcPr>
          <w:p w14:paraId="48E941D2" w14:textId="77777777" w:rsidR="00317989" w:rsidRDefault="008408EE">
            <w:pPr>
              <w:pStyle w:val="TableParagraph"/>
              <w:spacing w:before="11"/>
              <w:ind w:left="174"/>
              <w:rPr>
                <w:b/>
                <w:sz w:val="20"/>
              </w:rPr>
            </w:pPr>
            <w:r>
              <w:rPr>
                <w:b/>
                <w:sz w:val="20"/>
              </w:rPr>
              <w:t>Evidence-based program identified by the Department:</w:t>
            </w:r>
          </w:p>
        </w:tc>
        <w:tc>
          <w:tcPr>
            <w:tcW w:w="4400" w:type="dxa"/>
          </w:tcPr>
          <w:p w14:paraId="378EE563" w14:textId="77777777" w:rsidR="00317989" w:rsidRDefault="008408EE">
            <w:pPr>
              <w:pStyle w:val="TableParagraph"/>
              <w:spacing w:before="11" w:line="266" w:lineRule="auto"/>
              <w:rPr>
                <w:sz w:val="20"/>
              </w:rPr>
            </w:pPr>
            <w:r>
              <w:rPr>
                <w:sz w:val="20"/>
              </w:rPr>
              <w:t>Supporting Educators to implement high-quality aligned curriculum</w:t>
            </w:r>
          </w:p>
        </w:tc>
      </w:tr>
      <w:tr w:rsidR="00317989" w14:paraId="2D2E7F81" w14:textId="77777777">
        <w:trPr>
          <w:trHeight w:hRule="exact" w:val="360"/>
        </w:trPr>
        <w:tc>
          <w:tcPr>
            <w:tcW w:w="4960" w:type="dxa"/>
            <w:gridSpan w:val="2"/>
            <w:shd w:val="clear" w:color="auto" w:fill="D9D9D9"/>
          </w:tcPr>
          <w:p w14:paraId="0A76E500" w14:textId="77777777" w:rsidR="00317989" w:rsidRDefault="008408EE">
            <w:pPr>
              <w:pStyle w:val="TableParagraph"/>
              <w:spacing w:before="6"/>
              <w:ind w:left="174"/>
              <w:rPr>
                <w:b/>
                <w:sz w:val="20"/>
              </w:rPr>
            </w:pPr>
            <w:r>
              <w:rPr>
                <w:b/>
                <w:sz w:val="20"/>
              </w:rPr>
              <w:t>SOA program categories:</w:t>
            </w:r>
          </w:p>
        </w:tc>
        <w:tc>
          <w:tcPr>
            <w:tcW w:w="4400" w:type="dxa"/>
          </w:tcPr>
          <w:p w14:paraId="0E3BF4E4" w14:textId="77777777" w:rsidR="00317989" w:rsidRDefault="008408EE">
            <w:pPr>
              <w:pStyle w:val="TableParagraph"/>
              <w:spacing w:before="6"/>
              <w:rPr>
                <w:sz w:val="20"/>
              </w:rPr>
            </w:pPr>
            <w:r>
              <w:rPr>
                <w:sz w:val="20"/>
              </w:rPr>
              <w:t>E and F</w:t>
            </w:r>
          </w:p>
        </w:tc>
      </w:tr>
    </w:tbl>
    <w:p w14:paraId="6BDE4CD4" w14:textId="77777777" w:rsidR="00317989" w:rsidRDefault="00317989">
      <w:pPr>
        <w:pStyle w:val="BodyText"/>
        <w:spacing w:before="1"/>
        <w:rPr>
          <w:sz w:val="18"/>
        </w:rPr>
      </w:pPr>
    </w:p>
    <w:p w14:paraId="4A366078" w14:textId="77777777" w:rsidR="00317989" w:rsidRDefault="008408EE">
      <w:pPr>
        <w:pStyle w:val="Heading2"/>
        <w:numPr>
          <w:ilvl w:val="0"/>
          <w:numId w:val="3"/>
        </w:numPr>
        <w:tabs>
          <w:tab w:val="left" w:pos="320"/>
        </w:tabs>
        <w:spacing w:before="56"/>
        <w:ind w:left="319" w:hanging="219"/>
      </w:pPr>
      <w:r>
        <w:t>Dual</w:t>
      </w:r>
      <w:r>
        <w:rPr>
          <w:spacing w:val="-8"/>
        </w:rPr>
        <w:t xml:space="preserve"> </w:t>
      </w:r>
      <w:r>
        <w:t>Enrollment</w:t>
      </w:r>
      <w:r>
        <w:rPr>
          <w:spacing w:val="-8"/>
        </w:rPr>
        <w:t xml:space="preserve"> </w:t>
      </w:r>
      <w:r>
        <w:rPr>
          <w:spacing w:val="-3"/>
        </w:rPr>
        <w:t>Pathways</w:t>
      </w:r>
      <w:r>
        <w:rPr>
          <w:spacing w:val="-8"/>
        </w:rPr>
        <w:t xml:space="preserve"> </w:t>
      </w:r>
      <w:r>
        <w:t>for</w:t>
      </w:r>
      <w:r>
        <w:rPr>
          <w:spacing w:val="-8"/>
        </w:rPr>
        <w:t xml:space="preserve"> </w:t>
      </w:r>
      <w:r>
        <w:t>Struggling</w:t>
      </w:r>
      <w:r>
        <w:rPr>
          <w:spacing w:val="-8"/>
        </w:rPr>
        <w:t xml:space="preserve"> </w:t>
      </w:r>
      <w:r>
        <w:t>Students</w:t>
      </w:r>
    </w:p>
    <w:p w14:paraId="231FB463" w14:textId="124F2695" w:rsidR="00317989" w:rsidRDefault="008408EE">
      <w:pPr>
        <w:pStyle w:val="BodyText"/>
        <w:spacing w:before="16" w:line="254" w:lineRule="auto"/>
        <w:ind w:left="100" w:right="116"/>
      </w:pPr>
      <w:r>
        <w:t xml:space="preserve">Over the past four years we have created “pathways” in our high school that are designed to meet student interest and needs and encourage opportunities for dual enrollment. We have built partnerships with Ben Franklin </w:t>
      </w:r>
      <w:r w:rsidR="00B96D3B">
        <w:t>Institute</w:t>
      </w:r>
      <w:r>
        <w:t xml:space="preserve"> of Technology, Wentworth University, and Bunker Hill Community College.</w:t>
      </w:r>
    </w:p>
    <w:p w14:paraId="1257F6CF" w14:textId="77777777" w:rsidR="00317989" w:rsidRDefault="008408EE">
      <w:pPr>
        <w:pStyle w:val="BodyText"/>
        <w:spacing w:line="254" w:lineRule="auto"/>
        <w:ind w:left="100" w:right="122"/>
      </w:pPr>
      <w:r>
        <w:t>These pathways meet individual student needs and encourage credits and college readiness, particularly for students who have historically struggled at APR. While many students continue to take AP coursework or advanced Mandarin courses, there are some students who need early college exposure and a better onramp (financially and programmatically) to higher education. Adding two teachers to our high school would allow us to schedule robust dual enrollment and thus better meet the needs of our students, particularly those who struggle.</w:t>
      </w:r>
    </w:p>
    <w:p w14:paraId="53A4298E" w14:textId="77777777" w:rsidR="00317989" w:rsidRDefault="00317989">
      <w:pPr>
        <w:pStyle w:val="BodyText"/>
        <w:spacing w:before="5"/>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0"/>
        <w:gridCol w:w="1220"/>
        <w:gridCol w:w="4460"/>
      </w:tblGrid>
      <w:tr w:rsidR="00317989" w14:paraId="58DE6DEC" w14:textId="77777777">
        <w:trPr>
          <w:trHeight w:hRule="exact" w:val="460"/>
        </w:trPr>
        <w:tc>
          <w:tcPr>
            <w:tcW w:w="3680" w:type="dxa"/>
            <w:shd w:val="clear" w:color="auto" w:fill="D9D9D9"/>
          </w:tcPr>
          <w:p w14:paraId="5BDB1BEE" w14:textId="77777777" w:rsidR="00317989" w:rsidRDefault="008408EE">
            <w:pPr>
              <w:pStyle w:val="TableParagraph"/>
              <w:spacing w:before="6"/>
              <w:ind w:left="294"/>
              <w:rPr>
                <w:b/>
                <w:sz w:val="20"/>
              </w:rPr>
            </w:pPr>
            <w:r>
              <w:rPr>
                <w:b/>
                <w:sz w:val="20"/>
              </w:rPr>
              <w:t>FY21 budget item</w:t>
            </w:r>
          </w:p>
        </w:tc>
        <w:tc>
          <w:tcPr>
            <w:tcW w:w="1220" w:type="dxa"/>
            <w:shd w:val="clear" w:color="auto" w:fill="D9D9D9"/>
          </w:tcPr>
          <w:p w14:paraId="7FCB5026" w14:textId="77777777" w:rsidR="00317989" w:rsidRDefault="008408EE">
            <w:pPr>
              <w:pStyle w:val="TableParagraph"/>
              <w:spacing w:before="6"/>
              <w:ind w:left="94"/>
              <w:rPr>
                <w:b/>
                <w:sz w:val="20"/>
              </w:rPr>
            </w:pPr>
            <w:r>
              <w:rPr>
                <w:b/>
                <w:sz w:val="20"/>
              </w:rPr>
              <w:t>Amount</w:t>
            </w:r>
          </w:p>
        </w:tc>
        <w:tc>
          <w:tcPr>
            <w:tcW w:w="4460" w:type="dxa"/>
            <w:shd w:val="clear" w:color="auto" w:fill="D9D9D9"/>
          </w:tcPr>
          <w:p w14:paraId="35CEC814" w14:textId="77777777" w:rsidR="00317989" w:rsidRDefault="008408EE">
            <w:pPr>
              <w:pStyle w:val="TableParagraph"/>
              <w:spacing w:before="6"/>
              <w:ind w:left="299"/>
              <w:rPr>
                <w:b/>
                <w:sz w:val="20"/>
              </w:rPr>
            </w:pPr>
            <w:r>
              <w:rPr>
                <w:b/>
                <w:sz w:val="20"/>
              </w:rPr>
              <w:t>Foundation Category</w:t>
            </w:r>
          </w:p>
        </w:tc>
      </w:tr>
      <w:tr w:rsidR="00317989" w14:paraId="4BF63447" w14:textId="77777777">
        <w:trPr>
          <w:trHeight w:hRule="exact" w:val="560"/>
        </w:trPr>
        <w:tc>
          <w:tcPr>
            <w:tcW w:w="3680" w:type="dxa"/>
          </w:tcPr>
          <w:p w14:paraId="682BDB96" w14:textId="77777777" w:rsidR="00317989" w:rsidRDefault="008408EE">
            <w:pPr>
              <w:pStyle w:val="TableParagraph"/>
              <w:spacing w:before="11"/>
              <w:ind w:left="189"/>
              <w:rPr>
                <w:sz w:val="20"/>
              </w:rPr>
            </w:pPr>
            <w:r>
              <w:rPr>
                <w:sz w:val="20"/>
              </w:rPr>
              <w:t>2 HS Teachers (math and ELA)</w:t>
            </w:r>
          </w:p>
        </w:tc>
        <w:tc>
          <w:tcPr>
            <w:tcW w:w="1220" w:type="dxa"/>
          </w:tcPr>
          <w:p w14:paraId="7593F60F" w14:textId="77777777" w:rsidR="00317989" w:rsidRDefault="008408EE">
            <w:pPr>
              <w:pStyle w:val="TableParagraph"/>
              <w:spacing w:before="11"/>
              <w:ind w:left="199"/>
              <w:rPr>
                <w:sz w:val="20"/>
              </w:rPr>
            </w:pPr>
            <w:r>
              <w:rPr>
                <w:sz w:val="20"/>
              </w:rPr>
              <w:t>$240,000</w:t>
            </w:r>
          </w:p>
        </w:tc>
        <w:tc>
          <w:tcPr>
            <w:tcW w:w="4460" w:type="dxa"/>
          </w:tcPr>
          <w:p w14:paraId="4853A538" w14:textId="77777777" w:rsidR="00317989" w:rsidRDefault="008408EE">
            <w:pPr>
              <w:pStyle w:val="TableParagraph"/>
              <w:spacing w:before="11" w:line="266" w:lineRule="auto"/>
              <w:rPr>
                <w:sz w:val="20"/>
              </w:rPr>
            </w:pPr>
            <w:r>
              <w:rPr>
                <w:sz w:val="20"/>
              </w:rPr>
              <w:t>Classroom and Specialist Teachers, Employee Benefits</w:t>
            </w:r>
          </w:p>
        </w:tc>
      </w:tr>
      <w:tr w:rsidR="00317989" w14:paraId="1EDB2D4F" w14:textId="77777777">
        <w:trPr>
          <w:trHeight w:hRule="exact" w:val="560"/>
        </w:trPr>
        <w:tc>
          <w:tcPr>
            <w:tcW w:w="4900" w:type="dxa"/>
            <w:gridSpan w:val="2"/>
            <w:shd w:val="clear" w:color="auto" w:fill="D9D9D9"/>
          </w:tcPr>
          <w:p w14:paraId="3F4066F4" w14:textId="77777777" w:rsidR="00317989" w:rsidRDefault="008408EE">
            <w:pPr>
              <w:pStyle w:val="TableParagraph"/>
              <w:spacing w:before="6"/>
              <w:ind w:left="174"/>
              <w:rPr>
                <w:b/>
                <w:sz w:val="20"/>
              </w:rPr>
            </w:pPr>
            <w:r>
              <w:rPr>
                <w:b/>
                <w:sz w:val="20"/>
              </w:rPr>
              <w:t>Evidence-based program identified by the Department:</w:t>
            </w:r>
          </w:p>
        </w:tc>
        <w:tc>
          <w:tcPr>
            <w:tcW w:w="4460" w:type="dxa"/>
          </w:tcPr>
          <w:p w14:paraId="24BA6C58" w14:textId="77777777" w:rsidR="00317989" w:rsidRDefault="008408EE">
            <w:pPr>
              <w:pStyle w:val="TableParagraph"/>
              <w:spacing w:before="6" w:line="266" w:lineRule="auto"/>
              <w:rPr>
                <w:sz w:val="20"/>
              </w:rPr>
            </w:pPr>
            <w:r>
              <w:rPr>
                <w:sz w:val="20"/>
              </w:rPr>
              <w:t>Early College programs focused primarily on students under-represented in higher education</w:t>
            </w:r>
          </w:p>
        </w:tc>
      </w:tr>
      <w:tr w:rsidR="00317989" w14:paraId="4621DE57" w14:textId="77777777">
        <w:trPr>
          <w:trHeight w:hRule="exact" w:val="460"/>
        </w:trPr>
        <w:tc>
          <w:tcPr>
            <w:tcW w:w="4900" w:type="dxa"/>
            <w:gridSpan w:val="2"/>
            <w:shd w:val="clear" w:color="auto" w:fill="D9D9D9"/>
          </w:tcPr>
          <w:p w14:paraId="5965F229" w14:textId="77777777" w:rsidR="00317989" w:rsidRDefault="008408EE">
            <w:pPr>
              <w:pStyle w:val="TableParagraph"/>
              <w:ind w:left="174"/>
              <w:rPr>
                <w:b/>
                <w:sz w:val="20"/>
              </w:rPr>
            </w:pPr>
            <w:r>
              <w:rPr>
                <w:b/>
                <w:sz w:val="20"/>
              </w:rPr>
              <w:t>SOA program categories:</w:t>
            </w:r>
          </w:p>
        </w:tc>
        <w:tc>
          <w:tcPr>
            <w:tcW w:w="4460" w:type="dxa"/>
          </w:tcPr>
          <w:p w14:paraId="3707ED28" w14:textId="77777777" w:rsidR="00317989" w:rsidRDefault="008408EE">
            <w:pPr>
              <w:pStyle w:val="TableParagraph"/>
              <w:rPr>
                <w:sz w:val="20"/>
              </w:rPr>
            </w:pPr>
            <w:r>
              <w:rPr>
                <w:sz w:val="20"/>
              </w:rPr>
              <w:t>H and I</w:t>
            </w:r>
          </w:p>
        </w:tc>
      </w:tr>
    </w:tbl>
    <w:p w14:paraId="1C5B7C09" w14:textId="77777777" w:rsidR="00317989" w:rsidRDefault="00317989">
      <w:pPr>
        <w:pStyle w:val="BodyText"/>
        <w:spacing w:before="10"/>
        <w:rPr>
          <w:sz w:val="23"/>
        </w:rPr>
      </w:pPr>
    </w:p>
    <w:p w14:paraId="7CB2233B" w14:textId="77777777" w:rsidR="00317989" w:rsidRDefault="008408EE">
      <w:pPr>
        <w:pStyle w:val="Heading2"/>
        <w:numPr>
          <w:ilvl w:val="0"/>
          <w:numId w:val="3"/>
        </w:numPr>
        <w:tabs>
          <w:tab w:val="left" w:pos="320"/>
        </w:tabs>
        <w:spacing w:before="1"/>
        <w:ind w:left="319" w:hanging="219"/>
      </w:pPr>
      <w:r>
        <w:t>Special</w:t>
      </w:r>
      <w:r>
        <w:rPr>
          <w:spacing w:val="-11"/>
        </w:rPr>
        <w:t xml:space="preserve"> </w:t>
      </w:r>
      <w:r>
        <w:t>Education</w:t>
      </w:r>
      <w:r>
        <w:rPr>
          <w:spacing w:val="-11"/>
        </w:rPr>
        <w:t xml:space="preserve"> </w:t>
      </w:r>
      <w:r>
        <w:t>and</w:t>
      </w:r>
      <w:r>
        <w:rPr>
          <w:spacing w:val="-11"/>
        </w:rPr>
        <w:t xml:space="preserve"> </w:t>
      </w:r>
      <w:r>
        <w:t>English</w:t>
      </w:r>
      <w:r>
        <w:rPr>
          <w:spacing w:val="-11"/>
        </w:rPr>
        <w:t xml:space="preserve"> </w:t>
      </w:r>
      <w:r>
        <w:t>Learners</w:t>
      </w:r>
    </w:p>
    <w:p w14:paraId="58FE96F4" w14:textId="77777777" w:rsidR="00317989" w:rsidRDefault="008408EE">
      <w:pPr>
        <w:pStyle w:val="BodyText"/>
        <w:spacing w:before="16" w:line="254" w:lineRule="auto"/>
        <w:ind w:left="100" w:right="281"/>
      </w:pPr>
      <w:r>
        <w:t>Our Special Education Program Self-Assessment as well as our annual review of our English Learner program has resulted in shifts to our program and an intentional grade-level focus by special educators and English Learner Educators. In order to fully build out our system of supports and provide inclusion services within our program we need to add two inclusion teachers. In addition, adding an ELE teacher would allow us to fully build out the middle and high school programming for these students.</w:t>
      </w:r>
    </w:p>
    <w:p w14:paraId="39F1E6AF" w14:textId="77777777" w:rsidR="00317989" w:rsidRDefault="00317989">
      <w:pPr>
        <w:spacing w:line="254" w:lineRule="auto"/>
        <w:sectPr w:rsidR="00317989">
          <w:pgSz w:w="12240" w:h="15840"/>
          <w:pgMar w:top="1940" w:right="1300" w:bottom="280" w:left="1340" w:header="750" w:footer="0" w:gutter="0"/>
          <w:cols w:space="720"/>
        </w:sectPr>
      </w:pPr>
    </w:p>
    <w:p w14:paraId="7191F712" w14:textId="77777777" w:rsidR="00317989" w:rsidRDefault="00317989">
      <w:pPr>
        <w:pStyle w:val="BodyText"/>
        <w:spacing w:before="1"/>
        <w:rPr>
          <w:sz w:val="20"/>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0"/>
        <w:gridCol w:w="1420"/>
        <w:gridCol w:w="4500"/>
      </w:tblGrid>
      <w:tr w:rsidR="00317989" w14:paraId="234BA8B4" w14:textId="77777777">
        <w:trPr>
          <w:trHeight w:hRule="exact" w:val="460"/>
        </w:trPr>
        <w:tc>
          <w:tcPr>
            <w:tcW w:w="3440" w:type="dxa"/>
            <w:shd w:val="clear" w:color="auto" w:fill="D9D9D9"/>
          </w:tcPr>
          <w:p w14:paraId="07C05924" w14:textId="77777777" w:rsidR="00317989" w:rsidRDefault="008408EE">
            <w:pPr>
              <w:pStyle w:val="TableParagraph"/>
              <w:ind w:left="294"/>
              <w:rPr>
                <w:b/>
                <w:sz w:val="20"/>
              </w:rPr>
            </w:pPr>
            <w:r>
              <w:rPr>
                <w:b/>
                <w:sz w:val="20"/>
              </w:rPr>
              <w:t>FY21 budget item</w:t>
            </w:r>
          </w:p>
        </w:tc>
        <w:tc>
          <w:tcPr>
            <w:tcW w:w="1420" w:type="dxa"/>
            <w:shd w:val="clear" w:color="auto" w:fill="D9D9D9"/>
          </w:tcPr>
          <w:p w14:paraId="79286742" w14:textId="77777777" w:rsidR="00317989" w:rsidRDefault="008408EE">
            <w:pPr>
              <w:pStyle w:val="TableParagraph"/>
              <w:ind w:left="184"/>
              <w:rPr>
                <w:b/>
                <w:sz w:val="20"/>
              </w:rPr>
            </w:pPr>
            <w:r>
              <w:rPr>
                <w:b/>
                <w:sz w:val="20"/>
              </w:rPr>
              <w:t>Amount</w:t>
            </w:r>
          </w:p>
        </w:tc>
        <w:tc>
          <w:tcPr>
            <w:tcW w:w="4500" w:type="dxa"/>
            <w:shd w:val="clear" w:color="auto" w:fill="D9D9D9"/>
          </w:tcPr>
          <w:p w14:paraId="1E0E3D20" w14:textId="77777777" w:rsidR="00317989" w:rsidRDefault="008408EE">
            <w:pPr>
              <w:pStyle w:val="TableParagraph"/>
              <w:ind w:left="310"/>
              <w:rPr>
                <w:b/>
                <w:sz w:val="20"/>
              </w:rPr>
            </w:pPr>
            <w:r>
              <w:rPr>
                <w:b/>
                <w:sz w:val="20"/>
              </w:rPr>
              <w:t>Foundation Category</w:t>
            </w:r>
          </w:p>
        </w:tc>
      </w:tr>
      <w:tr w:rsidR="00317989" w14:paraId="1701BCE1" w14:textId="77777777">
        <w:trPr>
          <w:trHeight w:hRule="exact" w:val="480"/>
        </w:trPr>
        <w:tc>
          <w:tcPr>
            <w:tcW w:w="3440" w:type="dxa"/>
          </w:tcPr>
          <w:p w14:paraId="2893BE16" w14:textId="77777777" w:rsidR="00317989" w:rsidRDefault="008408EE">
            <w:pPr>
              <w:pStyle w:val="TableParagraph"/>
              <w:spacing w:before="6"/>
              <w:ind w:left="189"/>
              <w:rPr>
                <w:sz w:val="20"/>
              </w:rPr>
            </w:pPr>
            <w:r>
              <w:rPr>
                <w:sz w:val="20"/>
              </w:rPr>
              <w:t>+ 2 Inclusion Teachers</w:t>
            </w:r>
          </w:p>
        </w:tc>
        <w:tc>
          <w:tcPr>
            <w:tcW w:w="1420" w:type="dxa"/>
          </w:tcPr>
          <w:p w14:paraId="46F00A6A" w14:textId="77777777" w:rsidR="00317989" w:rsidRDefault="008408EE">
            <w:pPr>
              <w:pStyle w:val="TableParagraph"/>
              <w:spacing w:before="6"/>
              <w:ind w:left="199"/>
              <w:rPr>
                <w:sz w:val="20"/>
              </w:rPr>
            </w:pPr>
            <w:r>
              <w:rPr>
                <w:sz w:val="20"/>
              </w:rPr>
              <w:t>$160,000</w:t>
            </w:r>
          </w:p>
        </w:tc>
        <w:tc>
          <w:tcPr>
            <w:tcW w:w="4500" w:type="dxa"/>
          </w:tcPr>
          <w:p w14:paraId="01CC55BC" w14:textId="77777777" w:rsidR="00317989" w:rsidRDefault="008408EE">
            <w:pPr>
              <w:pStyle w:val="TableParagraph"/>
              <w:spacing w:before="6"/>
              <w:ind w:left="205"/>
              <w:rPr>
                <w:sz w:val="20"/>
              </w:rPr>
            </w:pPr>
            <w:r>
              <w:rPr>
                <w:sz w:val="20"/>
              </w:rPr>
              <w:t>Classroom &amp; Specialist Teachers, Employee Benefits</w:t>
            </w:r>
          </w:p>
        </w:tc>
      </w:tr>
      <w:tr w:rsidR="00317989" w14:paraId="0ED797AC" w14:textId="77777777">
        <w:trPr>
          <w:trHeight w:hRule="exact" w:val="620"/>
        </w:trPr>
        <w:tc>
          <w:tcPr>
            <w:tcW w:w="3440" w:type="dxa"/>
          </w:tcPr>
          <w:p w14:paraId="38B7C454" w14:textId="77777777" w:rsidR="00317989" w:rsidRDefault="008408EE">
            <w:pPr>
              <w:pStyle w:val="TableParagraph"/>
              <w:spacing w:before="6"/>
              <w:ind w:left="189"/>
              <w:rPr>
                <w:sz w:val="20"/>
              </w:rPr>
            </w:pPr>
            <w:r>
              <w:rPr>
                <w:sz w:val="20"/>
              </w:rPr>
              <w:t>+ 1 ELE Teacher</w:t>
            </w:r>
          </w:p>
        </w:tc>
        <w:tc>
          <w:tcPr>
            <w:tcW w:w="1420" w:type="dxa"/>
          </w:tcPr>
          <w:p w14:paraId="7CF3AB05" w14:textId="77777777" w:rsidR="00317989" w:rsidRDefault="008408EE">
            <w:pPr>
              <w:pStyle w:val="TableParagraph"/>
              <w:spacing w:before="6"/>
              <w:ind w:left="199"/>
              <w:rPr>
                <w:sz w:val="20"/>
              </w:rPr>
            </w:pPr>
            <w:r>
              <w:rPr>
                <w:sz w:val="20"/>
              </w:rPr>
              <w:t>$80,000</w:t>
            </w:r>
          </w:p>
        </w:tc>
        <w:tc>
          <w:tcPr>
            <w:tcW w:w="4500" w:type="dxa"/>
          </w:tcPr>
          <w:p w14:paraId="2AF4DD39" w14:textId="77777777" w:rsidR="00317989" w:rsidRDefault="008408EE">
            <w:pPr>
              <w:pStyle w:val="TableParagraph"/>
              <w:spacing w:before="6"/>
              <w:ind w:left="205"/>
              <w:rPr>
                <w:sz w:val="20"/>
              </w:rPr>
            </w:pPr>
            <w:r>
              <w:rPr>
                <w:sz w:val="20"/>
              </w:rPr>
              <w:t>Classroom &amp; Specialist Teachers, Employee Benefits</w:t>
            </w:r>
          </w:p>
        </w:tc>
      </w:tr>
      <w:tr w:rsidR="00317989" w14:paraId="77518433" w14:textId="77777777">
        <w:trPr>
          <w:trHeight w:hRule="exact" w:val="600"/>
        </w:trPr>
        <w:tc>
          <w:tcPr>
            <w:tcW w:w="4860" w:type="dxa"/>
            <w:gridSpan w:val="2"/>
            <w:shd w:val="clear" w:color="auto" w:fill="D9D9D9"/>
          </w:tcPr>
          <w:p w14:paraId="7FE24B4A" w14:textId="77777777" w:rsidR="00317989" w:rsidRDefault="008408EE">
            <w:pPr>
              <w:pStyle w:val="TableParagraph"/>
              <w:spacing w:before="0" w:line="240" w:lineRule="exact"/>
              <w:ind w:left="294" w:right="24"/>
              <w:rPr>
                <w:b/>
                <w:sz w:val="20"/>
              </w:rPr>
            </w:pPr>
            <w:r>
              <w:rPr>
                <w:b/>
                <w:sz w:val="20"/>
              </w:rPr>
              <w:t>Evidence-based program identified by the Department:</w:t>
            </w:r>
          </w:p>
        </w:tc>
        <w:tc>
          <w:tcPr>
            <w:tcW w:w="4500" w:type="dxa"/>
          </w:tcPr>
          <w:p w14:paraId="276F63B9" w14:textId="77777777" w:rsidR="00317989" w:rsidRDefault="008408EE">
            <w:pPr>
              <w:pStyle w:val="TableParagraph"/>
              <w:spacing w:before="0" w:line="240" w:lineRule="exact"/>
              <w:ind w:left="205"/>
              <w:rPr>
                <w:sz w:val="20"/>
              </w:rPr>
            </w:pPr>
            <w:r>
              <w:rPr>
                <w:sz w:val="20"/>
              </w:rPr>
              <w:t>Inclusion/co-teaching for students with disabilities and English Learners</w:t>
            </w:r>
          </w:p>
        </w:tc>
      </w:tr>
      <w:tr w:rsidR="00317989" w14:paraId="3541DE05" w14:textId="77777777">
        <w:trPr>
          <w:trHeight w:hRule="exact" w:val="460"/>
        </w:trPr>
        <w:tc>
          <w:tcPr>
            <w:tcW w:w="4860" w:type="dxa"/>
            <w:gridSpan w:val="2"/>
            <w:shd w:val="clear" w:color="auto" w:fill="D9D9D9"/>
          </w:tcPr>
          <w:p w14:paraId="0D498A1F" w14:textId="77777777" w:rsidR="00317989" w:rsidRDefault="008408EE">
            <w:pPr>
              <w:pStyle w:val="TableParagraph"/>
              <w:ind w:left="294"/>
              <w:rPr>
                <w:b/>
                <w:sz w:val="20"/>
              </w:rPr>
            </w:pPr>
            <w:r>
              <w:rPr>
                <w:b/>
                <w:sz w:val="20"/>
              </w:rPr>
              <w:t>SOA program categories:</w:t>
            </w:r>
          </w:p>
        </w:tc>
        <w:tc>
          <w:tcPr>
            <w:tcW w:w="4500" w:type="dxa"/>
          </w:tcPr>
          <w:p w14:paraId="594488D3" w14:textId="77777777" w:rsidR="00317989" w:rsidRDefault="008408EE">
            <w:pPr>
              <w:pStyle w:val="TableParagraph"/>
              <w:ind w:left="205"/>
              <w:rPr>
                <w:sz w:val="20"/>
              </w:rPr>
            </w:pPr>
            <w:r>
              <w:rPr>
                <w:sz w:val="20"/>
              </w:rPr>
              <w:t>D</w:t>
            </w:r>
          </w:p>
        </w:tc>
      </w:tr>
    </w:tbl>
    <w:p w14:paraId="3AEF37B7" w14:textId="77777777" w:rsidR="00317989" w:rsidRDefault="00317989">
      <w:pPr>
        <w:pStyle w:val="BodyText"/>
        <w:spacing w:before="4"/>
        <w:rPr>
          <w:sz w:val="19"/>
        </w:rPr>
      </w:pPr>
    </w:p>
    <w:p w14:paraId="06392F6A" w14:textId="77777777" w:rsidR="00317989" w:rsidRDefault="008408EE">
      <w:pPr>
        <w:pStyle w:val="Heading2"/>
        <w:numPr>
          <w:ilvl w:val="0"/>
          <w:numId w:val="3"/>
        </w:numPr>
        <w:tabs>
          <w:tab w:val="left" w:pos="320"/>
        </w:tabs>
        <w:spacing w:before="55"/>
        <w:ind w:left="319" w:hanging="219"/>
      </w:pPr>
      <w:r>
        <w:rPr>
          <w:spacing w:val="-4"/>
        </w:rPr>
        <w:t>Teaching</w:t>
      </w:r>
      <w:r>
        <w:rPr>
          <w:spacing w:val="-5"/>
        </w:rPr>
        <w:t xml:space="preserve"> </w:t>
      </w:r>
      <w:r>
        <w:t>Fellows</w:t>
      </w:r>
    </w:p>
    <w:p w14:paraId="5ADCB75E" w14:textId="77777777" w:rsidR="00317989" w:rsidRDefault="008408EE">
      <w:pPr>
        <w:pStyle w:val="BodyText"/>
        <w:spacing w:before="15" w:line="254" w:lineRule="auto"/>
        <w:ind w:left="100" w:right="122"/>
      </w:pPr>
      <w:r>
        <w:t xml:space="preserve">In the 2017-18 school year we adopted a three-year strategic plan, built upon input from all </w:t>
      </w:r>
      <w:r>
        <w:rPr>
          <w:spacing w:val="-3"/>
        </w:rPr>
        <w:t xml:space="preserve">stakeholders </w:t>
      </w:r>
      <w:r>
        <w:t xml:space="preserve">(students, parents, teachers, </w:t>
      </w:r>
      <w:proofErr w:type="gramStart"/>
      <w:r>
        <w:t>administrators</w:t>
      </w:r>
      <w:proofErr w:type="gramEnd"/>
      <w:r>
        <w:t xml:space="preserve"> and board members). </w:t>
      </w:r>
      <w:r>
        <w:rPr>
          <w:spacing w:val="-5"/>
        </w:rPr>
        <w:t xml:space="preserve">We </w:t>
      </w:r>
      <w:r>
        <w:t xml:space="preserve">revisit this plan annually and assess against benchmarks throughout the </w:t>
      </w:r>
      <w:r>
        <w:rPr>
          <w:spacing w:val="-6"/>
        </w:rPr>
        <w:t xml:space="preserve">year. </w:t>
      </w:r>
      <w:r>
        <w:t xml:space="preserve">From our strategic </w:t>
      </w:r>
      <w:r>
        <w:rPr>
          <w:spacing w:val="-4"/>
        </w:rPr>
        <w:t xml:space="preserve">“diversity, </w:t>
      </w:r>
      <w:r>
        <w:t xml:space="preserve">equity and inclusion” goals we have created a teaching </w:t>
      </w:r>
      <w:proofErr w:type="gramStart"/>
      <w:r>
        <w:t>fellows</w:t>
      </w:r>
      <w:proofErr w:type="gramEnd"/>
      <w:r>
        <w:t xml:space="preserve"> program for four teachers. This program is also designed to build support for students and teachers during a year of assumed remote and hybrid instruction.</w:t>
      </w:r>
    </w:p>
    <w:p w14:paraId="60738463" w14:textId="77777777" w:rsidR="00317989" w:rsidRDefault="00317989">
      <w:pPr>
        <w:pStyle w:val="BodyText"/>
        <w:spacing w:before="9"/>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0"/>
        <w:gridCol w:w="1220"/>
        <w:gridCol w:w="4460"/>
      </w:tblGrid>
      <w:tr w:rsidR="00317989" w14:paraId="2BB7A457" w14:textId="77777777">
        <w:trPr>
          <w:trHeight w:hRule="exact" w:val="460"/>
        </w:trPr>
        <w:tc>
          <w:tcPr>
            <w:tcW w:w="3680" w:type="dxa"/>
            <w:shd w:val="clear" w:color="auto" w:fill="D9D9D9"/>
          </w:tcPr>
          <w:p w14:paraId="4AAAB1BD" w14:textId="77777777" w:rsidR="00317989" w:rsidRDefault="008408EE">
            <w:pPr>
              <w:pStyle w:val="TableParagraph"/>
              <w:ind w:left="294"/>
              <w:rPr>
                <w:b/>
                <w:sz w:val="20"/>
              </w:rPr>
            </w:pPr>
            <w:r>
              <w:rPr>
                <w:b/>
                <w:sz w:val="20"/>
              </w:rPr>
              <w:t>FY21 budget item</w:t>
            </w:r>
          </w:p>
        </w:tc>
        <w:tc>
          <w:tcPr>
            <w:tcW w:w="1220" w:type="dxa"/>
            <w:shd w:val="clear" w:color="auto" w:fill="D9D9D9"/>
          </w:tcPr>
          <w:p w14:paraId="11718F75" w14:textId="77777777" w:rsidR="00317989" w:rsidRDefault="008408EE">
            <w:pPr>
              <w:pStyle w:val="TableParagraph"/>
              <w:ind w:left="94"/>
              <w:rPr>
                <w:b/>
                <w:sz w:val="20"/>
              </w:rPr>
            </w:pPr>
            <w:r>
              <w:rPr>
                <w:b/>
                <w:sz w:val="20"/>
              </w:rPr>
              <w:t>Amount</w:t>
            </w:r>
          </w:p>
        </w:tc>
        <w:tc>
          <w:tcPr>
            <w:tcW w:w="4460" w:type="dxa"/>
            <w:shd w:val="clear" w:color="auto" w:fill="D9D9D9"/>
          </w:tcPr>
          <w:p w14:paraId="4C992F47" w14:textId="77777777" w:rsidR="00317989" w:rsidRDefault="008408EE">
            <w:pPr>
              <w:pStyle w:val="TableParagraph"/>
              <w:ind w:left="299"/>
              <w:rPr>
                <w:b/>
                <w:sz w:val="20"/>
              </w:rPr>
            </w:pPr>
            <w:r>
              <w:rPr>
                <w:b/>
                <w:sz w:val="20"/>
              </w:rPr>
              <w:t>Foundation Category</w:t>
            </w:r>
          </w:p>
        </w:tc>
      </w:tr>
      <w:tr w:rsidR="00317989" w14:paraId="10DFD301" w14:textId="77777777">
        <w:trPr>
          <w:trHeight w:hRule="exact" w:val="480"/>
        </w:trPr>
        <w:tc>
          <w:tcPr>
            <w:tcW w:w="3680" w:type="dxa"/>
          </w:tcPr>
          <w:p w14:paraId="3F286683" w14:textId="77777777" w:rsidR="00317989" w:rsidRDefault="008408EE">
            <w:pPr>
              <w:pStyle w:val="TableParagraph"/>
              <w:spacing w:before="6"/>
              <w:ind w:left="189"/>
              <w:rPr>
                <w:sz w:val="20"/>
              </w:rPr>
            </w:pPr>
            <w:r>
              <w:rPr>
                <w:sz w:val="20"/>
              </w:rPr>
              <w:t>4 Teaching Fellows</w:t>
            </w:r>
          </w:p>
        </w:tc>
        <w:tc>
          <w:tcPr>
            <w:tcW w:w="1220" w:type="dxa"/>
          </w:tcPr>
          <w:p w14:paraId="0BF17F51" w14:textId="77777777" w:rsidR="00317989" w:rsidRDefault="008408EE">
            <w:pPr>
              <w:pStyle w:val="TableParagraph"/>
              <w:spacing w:before="6"/>
              <w:ind w:left="199"/>
              <w:rPr>
                <w:sz w:val="20"/>
              </w:rPr>
            </w:pPr>
            <w:r>
              <w:rPr>
                <w:sz w:val="20"/>
              </w:rPr>
              <w:t>$240,000</w:t>
            </w:r>
          </w:p>
        </w:tc>
        <w:tc>
          <w:tcPr>
            <w:tcW w:w="4460" w:type="dxa"/>
          </w:tcPr>
          <w:p w14:paraId="4AAE0417" w14:textId="77777777" w:rsidR="00317989" w:rsidRDefault="008408EE">
            <w:pPr>
              <w:pStyle w:val="TableParagraph"/>
              <w:spacing w:before="6"/>
              <w:rPr>
                <w:sz w:val="20"/>
              </w:rPr>
            </w:pPr>
            <w:r>
              <w:rPr>
                <w:sz w:val="20"/>
              </w:rPr>
              <w:t>Other Teaching Services, Employee Benefits</w:t>
            </w:r>
          </w:p>
        </w:tc>
      </w:tr>
      <w:tr w:rsidR="00317989" w14:paraId="75BBAF78" w14:textId="77777777">
        <w:trPr>
          <w:trHeight w:hRule="exact" w:val="460"/>
        </w:trPr>
        <w:tc>
          <w:tcPr>
            <w:tcW w:w="4900" w:type="dxa"/>
            <w:gridSpan w:val="2"/>
            <w:shd w:val="clear" w:color="auto" w:fill="D9D9D9"/>
          </w:tcPr>
          <w:p w14:paraId="75AE8F5F" w14:textId="77777777" w:rsidR="00317989" w:rsidRDefault="008408EE">
            <w:pPr>
              <w:pStyle w:val="TableParagraph"/>
              <w:spacing w:before="6"/>
              <w:ind w:left="174"/>
              <w:rPr>
                <w:b/>
                <w:sz w:val="20"/>
              </w:rPr>
            </w:pPr>
            <w:r>
              <w:rPr>
                <w:b/>
                <w:sz w:val="20"/>
              </w:rPr>
              <w:t>Evidence-based program identified by the Department:</w:t>
            </w:r>
          </w:p>
        </w:tc>
        <w:tc>
          <w:tcPr>
            <w:tcW w:w="4460" w:type="dxa"/>
          </w:tcPr>
          <w:p w14:paraId="44BF30B0" w14:textId="77777777" w:rsidR="00317989" w:rsidRDefault="008408EE">
            <w:pPr>
              <w:pStyle w:val="TableParagraph"/>
              <w:spacing w:before="6"/>
              <w:rPr>
                <w:sz w:val="20"/>
              </w:rPr>
            </w:pPr>
            <w:r>
              <w:rPr>
                <w:sz w:val="20"/>
              </w:rPr>
              <w:t>Diversifying Educator Workforce</w:t>
            </w:r>
          </w:p>
        </w:tc>
      </w:tr>
      <w:tr w:rsidR="00317989" w14:paraId="7D2D93A3" w14:textId="77777777">
        <w:trPr>
          <w:trHeight w:hRule="exact" w:val="480"/>
        </w:trPr>
        <w:tc>
          <w:tcPr>
            <w:tcW w:w="4900" w:type="dxa"/>
            <w:gridSpan w:val="2"/>
            <w:shd w:val="clear" w:color="auto" w:fill="D9D9D9"/>
          </w:tcPr>
          <w:p w14:paraId="3C477F23" w14:textId="77777777" w:rsidR="00317989" w:rsidRDefault="008408EE">
            <w:pPr>
              <w:pStyle w:val="TableParagraph"/>
              <w:spacing w:before="11"/>
              <w:ind w:left="174"/>
              <w:rPr>
                <w:b/>
                <w:sz w:val="20"/>
              </w:rPr>
            </w:pPr>
            <w:r>
              <w:rPr>
                <w:b/>
                <w:sz w:val="20"/>
              </w:rPr>
              <w:t>SOA program categories:</w:t>
            </w:r>
          </w:p>
        </w:tc>
        <w:tc>
          <w:tcPr>
            <w:tcW w:w="4460" w:type="dxa"/>
          </w:tcPr>
          <w:p w14:paraId="1DE534F6" w14:textId="77777777" w:rsidR="00317989" w:rsidRDefault="008408EE">
            <w:pPr>
              <w:pStyle w:val="TableParagraph"/>
              <w:spacing w:before="11"/>
              <w:rPr>
                <w:sz w:val="20"/>
              </w:rPr>
            </w:pPr>
            <w:r>
              <w:rPr>
                <w:sz w:val="20"/>
              </w:rPr>
              <w:t>D and H</w:t>
            </w:r>
          </w:p>
        </w:tc>
      </w:tr>
    </w:tbl>
    <w:p w14:paraId="5885BEFD" w14:textId="77777777" w:rsidR="00317989" w:rsidRDefault="00317989">
      <w:pPr>
        <w:pStyle w:val="BodyText"/>
        <w:rPr>
          <w:sz w:val="23"/>
        </w:rPr>
      </w:pPr>
    </w:p>
    <w:p w14:paraId="1DFCC39C" w14:textId="77777777" w:rsidR="00317989" w:rsidRDefault="008408EE">
      <w:pPr>
        <w:pStyle w:val="Heading2"/>
        <w:numPr>
          <w:ilvl w:val="0"/>
          <w:numId w:val="3"/>
        </w:numPr>
        <w:tabs>
          <w:tab w:val="left" w:pos="320"/>
        </w:tabs>
        <w:spacing w:before="1"/>
        <w:ind w:left="319" w:hanging="219"/>
      </w:pPr>
      <w:r>
        <w:t>Summer Academic and Enrichment</w:t>
      </w:r>
      <w:r>
        <w:rPr>
          <w:spacing w:val="-33"/>
        </w:rPr>
        <w:t xml:space="preserve"> </w:t>
      </w:r>
      <w:r>
        <w:t>Camp</w:t>
      </w:r>
    </w:p>
    <w:p w14:paraId="04E8E708" w14:textId="77777777" w:rsidR="00317989" w:rsidRDefault="008408EE">
      <w:pPr>
        <w:pStyle w:val="BodyText"/>
        <w:spacing w:before="16" w:line="254" w:lineRule="auto"/>
        <w:ind w:left="100" w:right="220"/>
      </w:pPr>
      <w:r>
        <w:t xml:space="preserve">In 2020 we were supported by a state grant to provide FEV Tutors to students and these students made </w:t>
      </w:r>
      <w:proofErr w:type="spellStart"/>
      <w:r>
        <w:t>significan</w:t>
      </w:r>
      <w:proofErr w:type="spellEnd"/>
      <w:r>
        <w:t xml:space="preserve"> gains in reading and math. We would like to rebuild the summer program which allowed students to complete remediation, acceleration and 1:2 tutoring for 3-4 weeks during the summer.</w:t>
      </w:r>
    </w:p>
    <w:p w14:paraId="75F3C996" w14:textId="77777777" w:rsidR="00317989" w:rsidRDefault="00317989">
      <w:pPr>
        <w:pStyle w:val="BodyText"/>
        <w:spacing w:before="9"/>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00"/>
        <w:gridCol w:w="1240"/>
        <w:gridCol w:w="4320"/>
      </w:tblGrid>
      <w:tr w:rsidR="00317989" w14:paraId="3E16031D" w14:textId="77777777">
        <w:trPr>
          <w:trHeight w:hRule="exact" w:val="300"/>
        </w:trPr>
        <w:tc>
          <w:tcPr>
            <w:tcW w:w="3800" w:type="dxa"/>
            <w:shd w:val="clear" w:color="auto" w:fill="D9D9D9"/>
          </w:tcPr>
          <w:p w14:paraId="24897BBA" w14:textId="77777777" w:rsidR="00317989" w:rsidRDefault="008408EE">
            <w:pPr>
              <w:pStyle w:val="TableParagraph"/>
              <w:ind w:left="294"/>
              <w:rPr>
                <w:b/>
                <w:sz w:val="20"/>
              </w:rPr>
            </w:pPr>
            <w:r>
              <w:rPr>
                <w:b/>
                <w:sz w:val="20"/>
              </w:rPr>
              <w:t>FY21 budget item</w:t>
            </w:r>
          </w:p>
        </w:tc>
        <w:tc>
          <w:tcPr>
            <w:tcW w:w="1240" w:type="dxa"/>
            <w:shd w:val="clear" w:color="auto" w:fill="D9D9D9"/>
          </w:tcPr>
          <w:p w14:paraId="495C4857" w14:textId="77777777" w:rsidR="00317989" w:rsidRDefault="008408EE">
            <w:pPr>
              <w:pStyle w:val="TableParagraph"/>
              <w:ind w:left="94"/>
              <w:rPr>
                <w:b/>
                <w:sz w:val="20"/>
              </w:rPr>
            </w:pPr>
            <w:r>
              <w:rPr>
                <w:b/>
                <w:sz w:val="20"/>
              </w:rPr>
              <w:t>Amount</w:t>
            </w:r>
          </w:p>
        </w:tc>
        <w:tc>
          <w:tcPr>
            <w:tcW w:w="4320" w:type="dxa"/>
            <w:shd w:val="clear" w:color="auto" w:fill="D9D9D9"/>
          </w:tcPr>
          <w:p w14:paraId="74500D2A" w14:textId="77777777" w:rsidR="00317989" w:rsidRDefault="008408EE">
            <w:pPr>
              <w:pStyle w:val="TableParagraph"/>
              <w:ind w:left="295"/>
              <w:rPr>
                <w:b/>
                <w:sz w:val="20"/>
              </w:rPr>
            </w:pPr>
            <w:r>
              <w:rPr>
                <w:b/>
                <w:sz w:val="20"/>
              </w:rPr>
              <w:t>Foundation Category</w:t>
            </w:r>
          </w:p>
        </w:tc>
      </w:tr>
      <w:tr w:rsidR="00317989" w14:paraId="11D69899" w14:textId="77777777">
        <w:trPr>
          <w:trHeight w:hRule="exact" w:val="300"/>
        </w:trPr>
        <w:tc>
          <w:tcPr>
            <w:tcW w:w="3800" w:type="dxa"/>
          </w:tcPr>
          <w:p w14:paraId="6D8236F0" w14:textId="77777777" w:rsidR="00317989" w:rsidRDefault="008408EE">
            <w:pPr>
              <w:pStyle w:val="TableParagraph"/>
              <w:ind w:left="189"/>
              <w:rPr>
                <w:sz w:val="20"/>
              </w:rPr>
            </w:pPr>
            <w:r>
              <w:rPr>
                <w:sz w:val="20"/>
              </w:rPr>
              <w:t>FEV Tutoring</w:t>
            </w:r>
          </w:p>
        </w:tc>
        <w:tc>
          <w:tcPr>
            <w:tcW w:w="1240" w:type="dxa"/>
          </w:tcPr>
          <w:p w14:paraId="3782995D" w14:textId="77777777" w:rsidR="00317989" w:rsidRDefault="008408EE">
            <w:pPr>
              <w:pStyle w:val="TableParagraph"/>
              <w:ind w:left="199"/>
              <w:rPr>
                <w:sz w:val="20"/>
              </w:rPr>
            </w:pPr>
            <w:r>
              <w:rPr>
                <w:sz w:val="20"/>
              </w:rPr>
              <w:t>$22,000</w:t>
            </w:r>
          </w:p>
        </w:tc>
        <w:tc>
          <w:tcPr>
            <w:tcW w:w="4320" w:type="dxa"/>
          </w:tcPr>
          <w:p w14:paraId="28424826" w14:textId="77777777" w:rsidR="00317989" w:rsidRDefault="008408EE">
            <w:pPr>
              <w:pStyle w:val="TableParagraph"/>
              <w:ind w:left="190"/>
              <w:rPr>
                <w:sz w:val="20"/>
              </w:rPr>
            </w:pPr>
            <w:proofErr w:type="spellStart"/>
            <w:r>
              <w:rPr>
                <w:sz w:val="20"/>
              </w:rPr>
              <w:t>Oter</w:t>
            </w:r>
            <w:proofErr w:type="spellEnd"/>
            <w:r>
              <w:rPr>
                <w:sz w:val="20"/>
              </w:rPr>
              <w:t xml:space="preserve"> Teaching Services</w:t>
            </w:r>
          </w:p>
        </w:tc>
      </w:tr>
      <w:tr w:rsidR="00317989" w14:paraId="7934A732" w14:textId="77777777">
        <w:trPr>
          <w:trHeight w:hRule="exact" w:val="560"/>
        </w:trPr>
        <w:tc>
          <w:tcPr>
            <w:tcW w:w="3800" w:type="dxa"/>
          </w:tcPr>
          <w:p w14:paraId="70A8E14C" w14:textId="77777777" w:rsidR="00317989" w:rsidRDefault="008408EE">
            <w:pPr>
              <w:pStyle w:val="TableParagraph"/>
              <w:ind w:left="189"/>
              <w:rPr>
                <w:sz w:val="20"/>
              </w:rPr>
            </w:pPr>
            <w:r>
              <w:rPr>
                <w:sz w:val="20"/>
              </w:rPr>
              <w:t>Supplies, Materials, Enrichment</w:t>
            </w:r>
          </w:p>
        </w:tc>
        <w:tc>
          <w:tcPr>
            <w:tcW w:w="1240" w:type="dxa"/>
          </w:tcPr>
          <w:p w14:paraId="19D817E6" w14:textId="77777777" w:rsidR="00317989" w:rsidRDefault="008408EE">
            <w:pPr>
              <w:pStyle w:val="TableParagraph"/>
              <w:ind w:left="199"/>
              <w:rPr>
                <w:sz w:val="20"/>
              </w:rPr>
            </w:pPr>
            <w:r>
              <w:rPr>
                <w:sz w:val="20"/>
              </w:rPr>
              <w:t>$2,000</w:t>
            </w:r>
          </w:p>
        </w:tc>
        <w:tc>
          <w:tcPr>
            <w:tcW w:w="4320" w:type="dxa"/>
          </w:tcPr>
          <w:p w14:paraId="12198CA1" w14:textId="77777777" w:rsidR="00317989" w:rsidRDefault="008408EE">
            <w:pPr>
              <w:pStyle w:val="TableParagraph"/>
              <w:spacing w:line="266" w:lineRule="auto"/>
              <w:ind w:left="190"/>
              <w:rPr>
                <w:sz w:val="20"/>
              </w:rPr>
            </w:pPr>
            <w:r>
              <w:rPr>
                <w:sz w:val="20"/>
              </w:rPr>
              <w:t>Instructional Materials, Equipment, and Technology</w:t>
            </w:r>
          </w:p>
        </w:tc>
      </w:tr>
      <w:tr w:rsidR="00317989" w14:paraId="7864DBA5" w14:textId="77777777">
        <w:trPr>
          <w:trHeight w:hRule="exact" w:val="540"/>
        </w:trPr>
        <w:tc>
          <w:tcPr>
            <w:tcW w:w="5040" w:type="dxa"/>
            <w:gridSpan w:val="2"/>
            <w:shd w:val="clear" w:color="auto" w:fill="D9D9D9"/>
          </w:tcPr>
          <w:p w14:paraId="73FF1788" w14:textId="77777777" w:rsidR="00317989" w:rsidRDefault="008408EE">
            <w:pPr>
              <w:pStyle w:val="TableParagraph"/>
              <w:spacing w:before="0" w:line="241" w:lineRule="exact"/>
              <w:ind w:left="174"/>
              <w:rPr>
                <w:b/>
                <w:sz w:val="20"/>
              </w:rPr>
            </w:pPr>
            <w:r>
              <w:rPr>
                <w:b/>
                <w:sz w:val="20"/>
              </w:rPr>
              <w:t>Evidence-based program identified by the Department:</w:t>
            </w:r>
          </w:p>
        </w:tc>
        <w:tc>
          <w:tcPr>
            <w:tcW w:w="4320" w:type="dxa"/>
          </w:tcPr>
          <w:p w14:paraId="1C36ABAD" w14:textId="77777777" w:rsidR="00317989" w:rsidRDefault="008408EE">
            <w:pPr>
              <w:pStyle w:val="TableParagraph"/>
              <w:spacing w:before="0" w:line="266" w:lineRule="auto"/>
              <w:ind w:left="190"/>
              <w:rPr>
                <w:sz w:val="20"/>
              </w:rPr>
            </w:pPr>
            <w:r>
              <w:rPr>
                <w:sz w:val="20"/>
              </w:rPr>
              <w:t>Acceleration Academies and/or Summer Programming</w:t>
            </w:r>
          </w:p>
        </w:tc>
      </w:tr>
      <w:tr w:rsidR="00317989" w14:paraId="59B53CDE" w14:textId="77777777">
        <w:trPr>
          <w:trHeight w:hRule="exact" w:val="300"/>
        </w:trPr>
        <w:tc>
          <w:tcPr>
            <w:tcW w:w="5040" w:type="dxa"/>
            <w:gridSpan w:val="2"/>
            <w:shd w:val="clear" w:color="auto" w:fill="D9D9D9"/>
          </w:tcPr>
          <w:p w14:paraId="504B33F0" w14:textId="77777777" w:rsidR="00317989" w:rsidRDefault="008408EE">
            <w:pPr>
              <w:pStyle w:val="TableParagraph"/>
              <w:spacing w:before="11"/>
              <w:ind w:left="174"/>
              <w:rPr>
                <w:b/>
                <w:sz w:val="20"/>
              </w:rPr>
            </w:pPr>
            <w:r>
              <w:rPr>
                <w:b/>
                <w:sz w:val="20"/>
              </w:rPr>
              <w:t>SOA program categories:</w:t>
            </w:r>
          </w:p>
        </w:tc>
        <w:tc>
          <w:tcPr>
            <w:tcW w:w="4320" w:type="dxa"/>
          </w:tcPr>
          <w:p w14:paraId="701466B6" w14:textId="77777777" w:rsidR="00317989" w:rsidRDefault="008408EE">
            <w:pPr>
              <w:pStyle w:val="TableParagraph"/>
              <w:spacing w:before="11"/>
              <w:ind w:left="190"/>
              <w:rPr>
                <w:sz w:val="20"/>
              </w:rPr>
            </w:pPr>
            <w:r>
              <w:rPr>
                <w:sz w:val="20"/>
              </w:rPr>
              <w:t>A, D, F</w:t>
            </w:r>
          </w:p>
        </w:tc>
      </w:tr>
    </w:tbl>
    <w:p w14:paraId="18ECE818" w14:textId="77777777" w:rsidR="00317989" w:rsidRDefault="00317989">
      <w:pPr>
        <w:rPr>
          <w:sz w:val="20"/>
        </w:rPr>
        <w:sectPr w:rsidR="00317989">
          <w:pgSz w:w="12240" w:h="15840"/>
          <w:pgMar w:top="1940" w:right="1300" w:bottom="280" w:left="1340" w:header="750" w:footer="0" w:gutter="0"/>
          <w:cols w:space="720"/>
        </w:sectPr>
      </w:pPr>
    </w:p>
    <w:p w14:paraId="6C6CB584" w14:textId="77777777" w:rsidR="00317989" w:rsidRDefault="008408EE">
      <w:pPr>
        <w:pStyle w:val="Heading1"/>
        <w:spacing w:before="48"/>
      </w:pPr>
      <w:r>
        <w:rPr>
          <w:color w:val="2D73B4"/>
        </w:rPr>
        <w:lastRenderedPageBreak/>
        <w:t>Commitment 3: Monitoring Success with Outcome Metrics and Targets</w:t>
      </w:r>
    </w:p>
    <w:p w14:paraId="217C718E" w14:textId="1DD2235B" w:rsidR="00317989" w:rsidRDefault="004F6278">
      <w:pPr>
        <w:pStyle w:val="BodyText"/>
        <w:spacing w:before="10"/>
        <w:rPr>
          <w:b/>
          <w:sz w:val="23"/>
        </w:rPr>
      </w:pPr>
      <w:r>
        <w:rPr>
          <w:noProof/>
        </w:rPr>
        <mc:AlternateContent>
          <mc:Choice Requires="wpg">
            <w:drawing>
              <wp:anchor distT="0" distB="0" distL="0" distR="0" simplePos="0" relativeHeight="1072" behindDoc="0" locked="0" layoutInCell="1" allowOverlap="1" wp14:anchorId="05A75416" wp14:editId="1CA99233">
                <wp:simplePos x="0" y="0"/>
                <wp:positionH relativeFrom="page">
                  <wp:posOffset>908050</wp:posOffset>
                </wp:positionH>
                <wp:positionV relativeFrom="paragraph">
                  <wp:posOffset>209550</wp:posOffset>
                </wp:positionV>
                <wp:extent cx="5473700" cy="1276350"/>
                <wp:effectExtent l="3175" t="5715" r="0" b="3810"/>
                <wp:wrapTopAndBottom/>
                <wp:docPr id="4"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276350"/>
                          <a:chOff x="1430" y="330"/>
                          <a:chExt cx="8620" cy="2010"/>
                        </a:xfrm>
                      </wpg:grpSpPr>
                      <wps:wsp>
                        <wps:cNvPr id="6" name="Line 10"/>
                        <wps:cNvCnPr>
                          <a:cxnSpLocks noChangeShapeType="1"/>
                        </wps:cNvCnPr>
                        <wps:spPr bwMode="auto">
                          <a:xfrm>
                            <a:off x="1450" y="340"/>
                            <a:ext cx="0" cy="19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5670" y="340"/>
                            <a:ext cx="0" cy="19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030" y="340"/>
                            <a:ext cx="0" cy="19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440" y="350"/>
                            <a:ext cx="8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440" y="2330"/>
                            <a:ext cx="8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5"/>
                        <wps:cNvSpPr txBox="1">
                          <a:spLocks noChangeArrowheads="1"/>
                        </wps:cNvSpPr>
                        <wps:spPr bwMode="auto">
                          <a:xfrm>
                            <a:off x="1450" y="350"/>
                            <a:ext cx="422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B19F" w14:textId="77777777" w:rsidR="00317989" w:rsidRDefault="008408EE">
                              <w:pPr>
                                <w:numPr>
                                  <w:ilvl w:val="0"/>
                                  <w:numId w:val="2"/>
                                </w:numPr>
                                <w:tabs>
                                  <w:tab w:val="left" w:pos="384"/>
                                </w:tabs>
                                <w:spacing w:before="127" w:line="267" w:lineRule="exact"/>
                                <w:ind w:hanging="258"/>
                                <w:rPr>
                                  <w:b/>
                                  <w:sz w:val="23"/>
                                </w:rPr>
                              </w:pPr>
                              <w:r>
                                <w:rPr>
                                  <w:b/>
                                  <w:sz w:val="23"/>
                                </w:rPr>
                                <w:t>Department outcome</w:t>
                              </w:r>
                              <w:r>
                                <w:rPr>
                                  <w:b/>
                                  <w:spacing w:val="-30"/>
                                  <w:sz w:val="23"/>
                                </w:rPr>
                                <w:t xml:space="preserve"> </w:t>
                              </w:r>
                              <w:r>
                                <w:rPr>
                                  <w:b/>
                                  <w:sz w:val="23"/>
                                </w:rPr>
                                <w:t>metrics:</w:t>
                              </w:r>
                            </w:p>
                            <w:p w14:paraId="762AF74D" w14:textId="77777777" w:rsidR="00317989" w:rsidRDefault="008408EE">
                              <w:pPr>
                                <w:numPr>
                                  <w:ilvl w:val="1"/>
                                  <w:numId w:val="2"/>
                                </w:numPr>
                                <w:tabs>
                                  <w:tab w:val="left" w:pos="850"/>
                                </w:tabs>
                                <w:spacing w:before="14" w:line="286" w:lineRule="exact"/>
                                <w:ind w:right="190" w:hanging="240"/>
                              </w:pPr>
                              <w:r>
                                <w:t>First</w:t>
                              </w:r>
                              <w:r>
                                <w:rPr>
                                  <w:spacing w:val="-14"/>
                                </w:rPr>
                                <w:t xml:space="preserve"> </w:t>
                              </w:r>
                              <w:r>
                                <w:t>semester</w:t>
                              </w:r>
                              <w:r>
                                <w:rPr>
                                  <w:spacing w:val="-14"/>
                                </w:rPr>
                                <w:t xml:space="preserve"> </w:t>
                              </w:r>
                              <w:r>
                                <w:t>college</w:t>
                              </w:r>
                              <w:r>
                                <w:rPr>
                                  <w:spacing w:val="-14"/>
                                </w:rPr>
                                <w:t xml:space="preserve"> </w:t>
                              </w:r>
                              <w:r>
                                <w:t xml:space="preserve">matriculation </w:t>
                              </w:r>
                              <w:r>
                                <w:rPr>
                                  <w:spacing w:val="-3"/>
                                </w:rPr>
                                <w:t xml:space="preserve">rate </w:t>
                              </w:r>
                              <w:r>
                                <w:t>higher than</w:t>
                              </w:r>
                              <w:r>
                                <w:rPr>
                                  <w:spacing w:val="-9"/>
                                </w:rPr>
                                <w:t xml:space="preserve"> </w:t>
                              </w:r>
                              <w:r>
                                <w:t>90%</w:t>
                              </w:r>
                            </w:p>
                            <w:p w14:paraId="695E3D4E" w14:textId="77777777" w:rsidR="00317989" w:rsidRDefault="008408EE">
                              <w:pPr>
                                <w:numPr>
                                  <w:ilvl w:val="1"/>
                                  <w:numId w:val="2"/>
                                </w:numPr>
                                <w:tabs>
                                  <w:tab w:val="left" w:pos="850"/>
                                </w:tabs>
                                <w:spacing w:line="287" w:lineRule="exact"/>
                                <w:ind w:left="849" w:hanging="364"/>
                              </w:pPr>
                              <w:r>
                                <w:t>Third</w:t>
                              </w:r>
                              <w:r>
                                <w:rPr>
                                  <w:spacing w:val="-16"/>
                                </w:rPr>
                                <w:t xml:space="preserve"> </w:t>
                              </w:r>
                              <w:r>
                                <w:t>semester</w:t>
                              </w:r>
                              <w:r>
                                <w:rPr>
                                  <w:spacing w:val="-16"/>
                                </w:rPr>
                                <w:t xml:space="preserve"> </w:t>
                              </w:r>
                              <w:r>
                                <w:t>college</w:t>
                              </w:r>
                              <w:r>
                                <w:rPr>
                                  <w:spacing w:val="-16"/>
                                </w:rPr>
                                <w:t xml:space="preserve"> </w:t>
                              </w:r>
                              <w:r>
                                <w:t>persistence</w:t>
                              </w:r>
                            </w:p>
                            <w:p w14:paraId="5F62CEBF" w14:textId="77777777" w:rsidR="00317989" w:rsidRDefault="008408EE">
                              <w:pPr>
                                <w:spacing w:before="16"/>
                                <w:ind w:left="724"/>
                              </w:pPr>
                              <w:r>
                                <w:t>rate higher than 85%.</w:t>
                              </w:r>
                            </w:p>
                          </w:txbxContent>
                        </wps:txbx>
                        <wps:bodyPr rot="0" vert="horz" wrap="square" lIns="0" tIns="0" rIns="0" bIns="0" anchor="t" anchorCtr="0" upright="1">
                          <a:noAutofit/>
                        </wps:bodyPr>
                      </wps:wsp>
                      <wps:wsp>
                        <wps:cNvPr id="12" name="Text Box 4"/>
                        <wps:cNvSpPr txBox="1">
                          <a:spLocks noChangeArrowheads="1"/>
                        </wps:cNvSpPr>
                        <wps:spPr bwMode="auto">
                          <a:xfrm>
                            <a:off x="5670" y="350"/>
                            <a:ext cx="43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6ABF9" w14:textId="77777777" w:rsidR="00317989" w:rsidRDefault="008408EE">
                              <w:pPr>
                                <w:numPr>
                                  <w:ilvl w:val="0"/>
                                  <w:numId w:val="1"/>
                                </w:numPr>
                                <w:tabs>
                                  <w:tab w:val="left" w:pos="465"/>
                                </w:tabs>
                                <w:spacing w:before="127" w:line="256" w:lineRule="auto"/>
                                <w:ind w:right="348" w:hanging="152"/>
                                <w:rPr>
                                  <w:b/>
                                  <w:sz w:val="23"/>
                                </w:rPr>
                              </w:pPr>
                              <w:r>
                                <w:rPr>
                                  <w:b/>
                                  <w:sz w:val="23"/>
                                </w:rPr>
                                <w:t>Custom metrics (must include</w:t>
                              </w:r>
                              <w:r>
                                <w:rPr>
                                  <w:b/>
                                  <w:spacing w:val="-38"/>
                                  <w:sz w:val="23"/>
                                </w:rPr>
                                <w:t xml:space="preserve"> </w:t>
                              </w:r>
                              <w:r>
                                <w:rPr>
                                  <w:b/>
                                  <w:sz w:val="23"/>
                                </w:rPr>
                                <w:t>targets as</w:t>
                              </w:r>
                              <w:r>
                                <w:rPr>
                                  <w:b/>
                                  <w:spacing w:val="-6"/>
                                  <w:sz w:val="23"/>
                                </w:rPr>
                                <w:t xml:space="preserve"> </w:t>
                              </w:r>
                              <w:r>
                                <w:rPr>
                                  <w:b/>
                                  <w:sz w:val="23"/>
                                </w:rPr>
                                <w:t>well):</w:t>
                              </w:r>
                            </w:p>
                            <w:p w14:paraId="56E02E2C" w14:textId="77777777" w:rsidR="00317989" w:rsidRDefault="008408EE">
                              <w:pPr>
                                <w:numPr>
                                  <w:ilvl w:val="1"/>
                                  <w:numId w:val="1"/>
                                </w:numPr>
                                <w:tabs>
                                  <w:tab w:val="left" w:pos="845"/>
                                </w:tabs>
                                <w:spacing w:line="268" w:lineRule="exact"/>
                                <w:ind w:hanging="364"/>
                              </w:pPr>
                              <w:r>
                                <w:t xml:space="preserve">Student VOCAL survey </w:t>
                              </w:r>
                              <w:r>
                                <w:rPr>
                                  <w:spacing w:val="-3"/>
                                </w:rPr>
                                <w:t>average</w:t>
                              </w:r>
                              <w:r>
                                <w:rPr>
                                  <w:spacing w:val="-24"/>
                                </w:rPr>
                                <w:t xml:space="preserve"> </w:t>
                              </w:r>
                              <w:r>
                                <w:t>for</w:t>
                              </w:r>
                            </w:p>
                            <w:p w14:paraId="71582918" w14:textId="77777777" w:rsidR="00317989" w:rsidRDefault="008408EE">
                              <w:pPr>
                                <w:spacing w:before="16" w:line="254" w:lineRule="auto"/>
                                <w:ind w:left="735"/>
                              </w:pPr>
                              <w:r>
                                <w:t>APR higher than the state-wide average in the categories of Engagement, Cultural Competence and Participation.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75416" id="Group 3" o:spid="_x0000_s1026" alt="&quot;&quot;" style="position:absolute;margin-left:71.5pt;margin-top:16.5pt;width:431pt;height:100.5pt;z-index:1072;mso-wrap-distance-left:0;mso-wrap-distance-right:0;mso-position-horizontal-relative:page" coordorigin="1430,330" coordsize="862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">
                <v:line id="Line 10" o:spid="_x0000_s1027" style="position:absolute;visibility:visible;mso-wrap-style:square" from="1450,340" to="1450,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9" o:spid="_x0000_s1028" style="position:absolute;visibility:visible;mso-wrap-style:square" from="5670,340" to="5670,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8" o:spid="_x0000_s1029" style="position:absolute;visibility:visible;mso-wrap-style:square" from="10030,340" to="10030,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7" o:spid="_x0000_s1030" style="position:absolute;visibility:visible;mso-wrap-style:square" from="1440,350" to="1004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6" o:spid="_x0000_s1031" style="position:absolute;visibility:visible;mso-wrap-style:square" from="1440,2330" to="10040,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shapetype id="_x0000_t202" coordsize="21600,21600" o:spt="202" path="m,l,21600r21600,l21600,xe">
                  <v:stroke joinstyle="miter"/>
                  <v:path gradientshapeok="t" o:connecttype="rect"/>
                </v:shapetype>
                <v:shape id="Text Box 5" o:spid="_x0000_s1032" type="#_x0000_t202" style="position:absolute;left:1450;top:350;width:42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A80B19F" w14:textId="77777777" w:rsidR="00317989" w:rsidRDefault="008408EE">
                        <w:pPr>
                          <w:numPr>
                            <w:ilvl w:val="0"/>
                            <w:numId w:val="2"/>
                          </w:numPr>
                          <w:tabs>
                            <w:tab w:val="left" w:pos="384"/>
                          </w:tabs>
                          <w:spacing w:before="127" w:line="267" w:lineRule="exact"/>
                          <w:ind w:hanging="258"/>
                          <w:rPr>
                            <w:b/>
                            <w:sz w:val="23"/>
                          </w:rPr>
                        </w:pPr>
                        <w:r>
                          <w:rPr>
                            <w:b/>
                            <w:sz w:val="23"/>
                          </w:rPr>
                          <w:t>Department outcome</w:t>
                        </w:r>
                        <w:r>
                          <w:rPr>
                            <w:b/>
                            <w:spacing w:val="-30"/>
                            <w:sz w:val="23"/>
                          </w:rPr>
                          <w:t xml:space="preserve"> </w:t>
                        </w:r>
                        <w:r>
                          <w:rPr>
                            <w:b/>
                            <w:sz w:val="23"/>
                          </w:rPr>
                          <w:t>metrics:</w:t>
                        </w:r>
                      </w:p>
                      <w:p w14:paraId="762AF74D" w14:textId="77777777" w:rsidR="00317989" w:rsidRDefault="008408EE">
                        <w:pPr>
                          <w:numPr>
                            <w:ilvl w:val="1"/>
                            <w:numId w:val="2"/>
                          </w:numPr>
                          <w:tabs>
                            <w:tab w:val="left" w:pos="850"/>
                          </w:tabs>
                          <w:spacing w:before="14" w:line="286" w:lineRule="exact"/>
                          <w:ind w:right="190" w:hanging="240"/>
                        </w:pPr>
                        <w:r>
                          <w:t>First</w:t>
                        </w:r>
                        <w:r>
                          <w:rPr>
                            <w:spacing w:val="-14"/>
                          </w:rPr>
                          <w:t xml:space="preserve"> </w:t>
                        </w:r>
                        <w:r>
                          <w:t>semester</w:t>
                        </w:r>
                        <w:r>
                          <w:rPr>
                            <w:spacing w:val="-14"/>
                          </w:rPr>
                          <w:t xml:space="preserve"> </w:t>
                        </w:r>
                        <w:r>
                          <w:t>college</w:t>
                        </w:r>
                        <w:r>
                          <w:rPr>
                            <w:spacing w:val="-14"/>
                          </w:rPr>
                          <w:t xml:space="preserve"> </w:t>
                        </w:r>
                        <w:r>
                          <w:t xml:space="preserve">matriculation </w:t>
                        </w:r>
                        <w:r>
                          <w:rPr>
                            <w:spacing w:val="-3"/>
                          </w:rPr>
                          <w:t xml:space="preserve">rate </w:t>
                        </w:r>
                        <w:r>
                          <w:t>higher than</w:t>
                        </w:r>
                        <w:r>
                          <w:rPr>
                            <w:spacing w:val="-9"/>
                          </w:rPr>
                          <w:t xml:space="preserve"> </w:t>
                        </w:r>
                        <w:r>
                          <w:t>90%</w:t>
                        </w:r>
                      </w:p>
                      <w:p w14:paraId="695E3D4E" w14:textId="77777777" w:rsidR="00317989" w:rsidRDefault="008408EE">
                        <w:pPr>
                          <w:numPr>
                            <w:ilvl w:val="1"/>
                            <w:numId w:val="2"/>
                          </w:numPr>
                          <w:tabs>
                            <w:tab w:val="left" w:pos="850"/>
                          </w:tabs>
                          <w:spacing w:line="287" w:lineRule="exact"/>
                          <w:ind w:left="849" w:hanging="364"/>
                        </w:pPr>
                        <w:r>
                          <w:t>Third</w:t>
                        </w:r>
                        <w:r>
                          <w:rPr>
                            <w:spacing w:val="-16"/>
                          </w:rPr>
                          <w:t xml:space="preserve"> </w:t>
                        </w:r>
                        <w:r>
                          <w:t>semester</w:t>
                        </w:r>
                        <w:r>
                          <w:rPr>
                            <w:spacing w:val="-16"/>
                          </w:rPr>
                          <w:t xml:space="preserve"> </w:t>
                        </w:r>
                        <w:r>
                          <w:t>college</w:t>
                        </w:r>
                        <w:r>
                          <w:rPr>
                            <w:spacing w:val="-16"/>
                          </w:rPr>
                          <w:t xml:space="preserve"> </w:t>
                        </w:r>
                        <w:r>
                          <w:t>persistence</w:t>
                        </w:r>
                      </w:p>
                      <w:p w14:paraId="5F62CEBF" w14:textId="77777777" w:rsidR="00317989" w:rsidRDefault="008408EE">
                        <w:pPr>
                          <w:spacing w:before="16"/>
                          <w:ind w:left="724"/>
                        </w:pPr>
                        <w:r>
                          <w:t>rate higher than 85%.</w:t>
                        </w:r>
                      </w:p>
                    </w:txbxContent>
                  </v:textbox>
                </v:shape>
                <v:shape id="Text Box 4" o:spid="_x0000_s1033" type="#_x0000_t202" style="position:absolute;left:5670;top:350;width:43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D66ABF9" w14:textId="77777777" w:rsidR="00317989" w:rsidRDefault="008408EE">
                        <w:pPr>
                          <w:numPr>
                            <w:ilvl w:val="0"/>
                            <w:numId w:val="1"/>
                          </w:numPr>
                          <w:tabs>
                            <w:tab w:val="left" w:pos="465"/>
                          </w:tabs>
                          <w:spacing w:before="127" w:line="256" w:lineRule="auto"/>
                          <w:ind w:right="348" w:hanging="152"/>
                          <w:rPr>
                            <w:b/>
                            <w:sz w:val="23"/>
                          </w:rPr>
                        </w:pPr>
                        <w:r>
                          <w:rPr>
                            <w:b/>
                            <w:sz w:val="23"/>
                          </w:rPr>
                          <w:t>Custom metrics (must include</w:t>
                        </w:r>
                        <w:r>
                          <w:rPr>
                            <w:b/>
                            <w:spacing w:val="-38"/>
                            <w:sz w:val="23"/>
                          </w:rPr>
                          <w:t xml:space="preserve"> </w:t>
                        </w:r>
                        <w:r>
                          <w:rPr>
                            <w:b/>
                            <w:sz w:val="23"/>
                          </w:rPr>
                          <w:t>targets as</w:t>
                        </w:r>
                        <w:r>
                          <w:rPr>
                            <w:b/>
                            <w:spacing w:val="-6"/>
                            <w:sz w:val="23"/>
                          </w:rPr>
                          <w:t xml:space="preserve"> </w:t>
                        </w:r>
                        <w:r>
                          <w:rPr>
                            <w:b/>
                            <w:sz w:val="23"/>
                          </w:rPr>
                          <w:t>well):</w:t>
                        </w:r>
                      </w:p>
                      <w:p w14:paraId="56E02E2C" w14:textId="77777777" w:rsidR="00317989" w:rsidRDefault="008408EE">
                        <w:pPr>
                          <w:numPr>
                            <w:ilvl w:val="1"/>
                            <w:numId w:val="1"/>
                          </w:numPr>
                          <w:tabs>
                            <w:tab w:val="left" w:pos="845"/>
                          </w:tabs>
                          <w:spacing w:line="268" w:lineRule="exact"/>
                          <w:ind w:hanging="364"/>
                        </w:pPr>
                        <w:r>
                          <w:t xml:space="preserve">Student VOCAL survey </w:t>
                        </w:r>
                        <w:r>
                          <w:rPr>
                            <w:spacing w:val="-3"/>
                          </w:rPr>
                          <w:t>average</w:t>
                        </w:r>
                        <w:r>
                          <w:rPr>
                            <w:spacing w:val="-24"/>
                          </w:rPr>
                          <w:t xml:space="preserve"> </w:t>
                        </w:r>
                        <w:r>
                          <w:t>for</w:t>
                        </w:r>
                      </w:p>
                      <w:p w14:paraId="71582918" w14:textId="77777777" w:rsidR="00317989" w:rsidRDefault="008408EE">
                        <w:pPr>
                          <w:spacing w:before="16" w:line="254" w:lineRule="auto"/>
                          <w:ind w:left="735"/>
                        </w:pPr>
                        <w:r>
                          <w:t>APR higher than the state-wide average in the categories of Engagement, Cultural Competence and Participation.</w:t>
                        </w:r>
                      </w:p>
                    </w:txbxContent>
                  </v:textbox>
                </v:shape>
                <w10:wrap type="topAndBottom" anchorx="page"/>
              </v:group>
            </w:pict>
          </mc:Fallback>
        </mc:AlternateContent>
      </w:r>
    </w:p>
    <w:p w14:paraId="3E1D1DF1" w14:textId="77777777" w:rsidR="00317989" w:rsidRDefault="00317989">
      <w:pPr>
        <w:pStyle w:val="BodyText"/>
        <w:spacing w:before="5"/>
        <w:rPr>
          <w:b/>
          <w:sz w:val="25"/>
        </w:rPr>
      </w:pPr>
    </w:p>
    <w:p w14:paraId="7E1279B8" w14:textId="77777777" w:rsidR="00317989" w:rsidRDefault="008408EE">
      <w:pPr>
        <w:spacing w:before="48"/>
        <w:ind w:left="120"/>
        <w:rPr>
          <w:b/>
          <w:sz w:val="26"/>
        </w:rPr>
      </w:pPr>
      <w:r>
        <w:rPr>
          <w:b/>
          <w:color w:val="2D73B4"/>
          <w:sz w:val="26"/>
        </w:rPr>
        <w:t>Commitment 4: Engaging All Families</w:t>
      </w:r>
    </w:p>
    <w:p w14:paraId="25D47983" w14:textId="77777777" w:rsidR="00317989" w:rsidRDefault="00317989">
      <w:pPr>
        <w:pStyle w:val="BodyText"/>
        <w:spacing w:before="7"/>
        <w:rPr>
          <w:b/>
          <w:sz w:val="25"/>
        </w:rPr>
      </w:pPr>
    </w:p>
    <w:p w14:paraId="63465F32" w14:textId="77777777" w:rsidR="00317989" w:rsidRDefault="008408EE">
      <w:pPr>
        <w:pStyle w:val="BodyText"/>
        <w:spacing w:line="254" w:lineRule="auto"/>
        <w:ind w:left="120" w:right="258"/>
      </w:pPr>
      <w:r>
        <w:t xml:space="preserve">The Academy of the Pacific Rim Charter Public School recognizes that family engagement is critical to ensuring successful outcomes for all students. Given our focus on providing opportunities for all students and in supporting student subgroups, it is important that we find ways to effectively engage all of our families and all of the guardians and caregivers of students across subgroups. We have a parent on our board and have a Family Council that meets monthly to review data and provide input into school programming. We recognize that existing family engagement opportunities at our school may not be effective in reaching all </w:t>
      </w:r>
      <w:proofErr w:type="gramStart"/>
      <w:r>
        <w:t>families, and</w:t>
      </w:r>
      <w:proofErr w:type="gramEnd"/>
      <w:r>
        <w:t xml:space="preserve"> continue to find ways to provide seamless translation for all linguistic subgroups (mainly Spanish and Haitian Creole) as well as informal ways to build connections with the school.</w:t>
      </w:r>
    </w:p>
    <w:p w14:paraId="1DBEDB61" w14:textId="77777777" w:rsidR="00317989" w:rsidRDefault="00317989">
      <w:pPr>
        <w:pStyle w:val="BodyText"/>
        <w:spacing w:before="4"/>
        <w:rPr>
          <w:sz w:val="23"/>
        </w:rPr>
      </w:pPr>
    </w:p>
    <w:p w14:paraId="3DF2E664" w14:textId="77777777" w:rsidR="00317989" w:rsidRDefault="008408EE">
      <w:pPr>
        <w:pStyle w:val="Heading1"/>
        <w:spacing w:line="307" w:lineRule="exact"/>
        <w:ind w:left="225"/>
      </w:pPr>
      <w:r>
        <w:rPr>
          <w:color w:val="2D73B4"/>
        </w:rPr>
        <w:t>Certifications:</w:t>
      </w:r>
    </w:p>
    <w:p w14:paraId="2A7D4F1D" w14:textId="77777777" w:rsidR="00317989" w:rsidRDefault="008408EE">
      <w:pPr>
        <w:pStyle w:val="Heading2"/>
        <w:spacing w:line="252" w:lineRule="auto"/>
        <w:ind w:left="210" w:right="848" w:firstLine="0"/>
      </w:pPr>
      <w:r>
        <w:rPr>
          <w:noProof/>
        </w:rPr>
        <w:drawing>
          <wp:anchor distT="0" distB="0" distL="0" distR="0" simplePos="0" relativeHeight="268426631" behindDoc="1" locked="0" layoutInCell="1" allowOverlap="1" wp14:anchorId="7F517EBE" wp14:editId="305A6F1E">
            <wp:simplePos x="0" y="0"/>
            <wp:positionH relativeFrom="page">
              <wp:posOffset>990103</wp:posOffset>
            </wp:positionH>
            <wp:positionV relativeFrom="paragraph">
              <wp:posOffset>56412</wp:posOffset>
            </wp:positionV>
            <wp:extent cx="108390" cy="108390"/>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08390" cy="108390"/>
                    </a:xfrm>
                    <a:prstGeom prst="rect">
                      <a:avLst/>
                    </a:prstGeom>
                  </pic:spPr>
                </pic:pic>
              </a:graphicData>
            </a:graphic>
          </wp:anchor>
        </w:drawing>
      </w:r>
      <w:r>
        <w:rPr>
          <w:rFonts w:ascii="MS Gothic" w:hAnsi="MS Gothic"/>
          <w:b w:val="0"/>
        </w:rPr>
        <w:t xml:space="preserve">☒ </w:t>
      </w:r>
      <w:r>
        <w:rPr>
          <w:color w:val="1F3762"/>
        </w:rPr>
        <w:t>By checking here, I certify that our charter school has engaged stakeholders in our community in accordance with the Student Opportunity Act.</w:t>
      </w:r>
    </w:p>
    <w:p w14:paraId="2450DBA3" w14:textId="77777777" w:rsidR="00317989" w:rsidRDefault="008408EE">
      <w:pPr>
        <w:spacing w:before="13" w:line="254" w:lineRule="auto"/>
        <w:ind w:left="210" w:right="848"/>
        <w:rPr>
          <w:b/>
        </w:rPr>
      </w:pPr>
      <w:r>
        <w:rPr>
          <w:b/>
          <w:color w:val="1F3762"/>
        </w:rPr>
        <w:t>Please summarize your stakeholder engagement process, including specific groups that were engaged:</w:t>
      </w:r>
    </w:p>
    <w:p w14:paraId="4D06B65C" w14:textId="77777777" w:rsidR="00317989" w:rsidRDefault="008408EE">
      <w:pPr>
        <w:pStyle w:val="BodyText"/>
        <w:spacing w:line="254" w:lineRule="auto"/>
        <w:ind w:left="210" w:right="271"/>
      </w:pPr>
      <w:r>
        <w:t xml:space="preserve">In creating our strategic </w:t>
      </w:r>
      <w:proofErr w:type="gramStart"/>
      <w:r>
        <w:t>plan</w:t>
      </w:r>
      <w:proofErr w:type="gramEnd"/>
      <w:r>
        <w:t xml:space="preserve"> we engaged all stakeholders in our community – students, parents and caregivers, teachers, staff and board. We continue to engage families and board through attention to indicators of progress towards our strategic plan goals. We have added a parent to our board of trustees this year and we work actively with our special education parent advisory council.</w:t>
      </w:r>
    </w:p>
    <w:p w14:paraId="158EBF77" w14:textId="77777777" w:rsidR="00317989" w:rsidRDefault="00317989">
      <w:pPr>
        <w:pStyle w:val="BodyText"/>
        <w:spacing w:before="8"/>
        <w:rPr>
          <w:sz w:val="15"/>
        </w:rPr>
      </w:pPr>
    </w:p>
    <w:p w14:paraId="2053FC1E" w14:textId="77777777" w:rsidR="00317989" w:rsidRDefault="008408EE">
      <w:pPr>
        <w:pStyle w:val="Heading2"/>
        <w:spacing w:before="32" w:line="252" w:lineRule="auto"/>
        <w:ind w:left="210" w:right="374" w:firstLine="0"/>
      </w:pPr>
      <w:r>
        <w:rPr>
          <w:noProof/>
        </w:rPr>
        <w:drawing>
          <wp:anchor distT="0" distB="0" distL="0" distR="0" simplePos="0" relativeHeight="268426655" behindDoc="1" locked="0" layoutInCell="1" allowOverlap="1" wp14:anchorId="46184F0E" wp14:editId="18659B68">
            <wp:simplePos x="0" y="0"/>
            <wp:positionH relativeFrom="page">
              <wp:posOffset>990103</wp:posOffset>
            </wp:positionH>
            <wp:positionV relativeFrom="paragraph">
              <wp:posOffset>76732</wp:posOffset>
            </wp:positionV>
            <wp:extent cx="108390" cy="108390"/>
            <wp:effectExtent l="0" t="0" r="0" b="0"/>
            <wp:wrapNone/>
            <wp:docPr id="5"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08390" cy="108390"/>
                    </a:xfrm>
                    <a:prstGeom prst="rect">
                      <a:avLst/>
                    </a:prstGeom>
                  </pic:spPr>
                </pic:pic>
              </a:graphicData>
            </a:graphic>
          </wp:anchor>
        </w:drawing>
      </w:r>
      <w:r>
        <w:rPr>
          <w:rFonts w:ascii="MS Gothic" w:hAnsi="MS Gothic"/>
          <w:b w:val="0"/>
        </w:rPr>
        <w:t xml:space="preserve">☒ </w:t>
      </w:r>
      <w:r>
        <w:rPr>
          <w:color w:val="1F3762"/>
        </w:rPr>
        <w:t>By checking here, I certify that the Academy of the Pacific Rim Board of Trustees approved our Student Opportunity Act Plan.</w:t>
      </w:r>
    </w:p>
    <w:p w14:paraId="50FBD41A" w14:textId="77777777" w:rsidR="00317989" w:rsidRDefault="008408EE">
      <w:pPr>
        <w:spacing w:before="3"/>
        <w:ind w:left="210"/>
      </w:pPr>
      <w:r>
        <w:rPr>
          <w:b/>
          <w:color w:val="1F3762"/>
        </w:rPr>
        <w:t xml:space="preserve">Date of vote: 1/27/21 Outcome of vote: </w:t>
      </w:r>
      <w:r>
        <w:t>The APR board voted unanimously to approve this plan.</w:t>
      </w:r>
    </w:p>
    <w:p w14:paraId="6804D50A" w14:textId="77777777" w:rsidR="00317989" w:rsidRDefault="00317989">
      <w:pPr>
        <w:pStyle w:val="BodyText"/>
        <w:rPr>
          <w:sz w:val="20"/>
        </w:rPr>
      </w:pPr>
    </w:p>
    <w:p w14:paraId="1C6DDA8B" w14:textId="0D079F87" w:rsidR="00317989" w:rsidRDefault="00317989">
      <w:pPr>
        <w:pStyle w:val="BodyText"/>
        <w:spacing w:before="2"/>
        <w:rPr>
          <w:sz w:val="16"/>
        </w:rPr>
      </w:pPr>
    </w:p>
    <w:p w14:paraId="3D65CE47" w14:textId="77777777" w:rsidR="00317989" w:rsidRPr="004F6278" w:rsidRDefault="008408EE">
      <w:pPr>
        <w:spacing w:before="66" w:line="266" w:lineRule="auto"/>
        <w:ind w:left="120" w:right="489"/>
        <w:rPr>
          <w:sz w:val="16"/>
          <w:szCs w:val="16"/>
        </w:rPr>
      </w:pPr>
      <w:r w:rsidRPr="004F6278">
        <w:rPr>
          <w:rFonts w:ascii="Times New Roman"/>
          <w:sz w:val="16"/>
          <w:szCs w:val="16"/>
        </w:rPr>
        <w:t xml:space="preserve">[1] </w:t>
      </w:r>
      <w:r w:rsidRPr="004F6278">
        <w:rPr>
          <w:sz w:val="16"/>
          <w:szCs w:val="16"/>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sectPr w:rsidR="00317989" w:rsidRPr="004F6278">
      <w:pgSz w:w="12240" w:h="15840"/>
      <w:pgMar w:top="1940" w:right="1380" w:bottom="280" w:left="1320" w:header="7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93CC5" w14:textId="77777777" w:rsidR="001E452D" w:rsidRDefault="001E452D">
      <w:r>
        <w:separator/>
      </w:r>
    </w:p>
  </w:endnote>
  <w:endnote w:type="continuationSeparator" w:id="0">
    <w:p w14:paraId="7D606F5B" w14:textId="77777777" w:rsidR="001E452D" w:rsidRDefault="001E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75922"/>
      <w:docPartObj>
        <w:docPartGallery w:val="Page Numbers (Bottom of Page)"/>
        <w:docPartUnique/>
      </w:docPartObj>
    </w:sdtPr>
    <w:sdtEndPr>
      <w:rPr>
        <w:noProof/>
      </w:rPr>
    </w:sdtEndPr>
    <w:sdtContent>
      <w:p w14:paraId="010069C4" w14:textId="24ED4BA8" w:rsidR="00795CB4" w:rsidRDefault="00795C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36582E" w14:textId="77777777" w:rsidR="00795CB4" w:rsidRDefault="0079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02B12" w14:textId="77777777" w:rsidR="001E452D" w:rsidRDefault="001E452D">
      <w:r>
        <w:separator/>
      </w:r>
    </w:p>
  </w:footnote>
  <w:footnote w:type="continuationSeparator" w:id="0">
    <w:p w14:paraId="67FA212B" w14:textId="77777777" w:rsidR="001E452D" w:rsidRDefault="001E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DF28" w14:textId="4247C757" w:rsidR="00317989" w:rsidRDefault="0031798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B7F10"/>
    <w:multiLevelType w:val="hybridMultilevel"/>
    <w:tmpl w:val="CA9A2552"/>
    <w:lvl w:ilvl="0" w:tplc="48184584">
      <w:start w:val="2"/>
      <w:numFmt w:val="decimal"/>
      <w:lvlText w:val="%1)"/>
      <w:lvlJc w:val="left"/>
      <w:pPr>
        <w:ind w:left="375" w:hanging="241"/>
        <w:jc w:val="left"/>
      </w:pPr>
      <w:rPr>
        <w:rFonts w:ascii="Calibri" w:eastAsia="Calibri" w:hAnsi="Calibri" w:cs="Calibri" w:hint="default"/>
        <w:b/>
        <w:bCs/>
        <w:spacing w:val="-1"/>
        <w:w w:val="100"/>
        <w:sz w:val="23"/>
        <w:szCs w:val="23"/>
      </w:rPr>
    </w:lvl>
    <w:lvl w:ilvl="1" w:tplc="54B2A79E">
      <w:numFmt w:val="bullet"/>
      <w:lvlText w:val="✓"/>
      <w:lvlJc w:val="left"/>
      <w:pPr>
        <w:ind w:left="844" w:hanging="365"/>
      </w:pPr>
      <w:rPr>
        <w:rFonts w:ascii="MS PGothic" w:eastAsia="MS PGothic" w:hAnsi="MS PGothic" w:cs="MS PGothic" w:hint="default"/>
        <w:spacing w:val="-5"/>
        <w:w w:val="100"/>
        <w:sz w:val="22"/>
        <w:szCs w:val="22"/>
      </w:rPr>
    </w:lvl>
    <w:lvl w:ilvl="2" w:tplc="DBBAE8D2">
      <w:numFmt w:val="bullet"/>
      <w:lvlText w:val="•"/>
      <w:lvlJc w:val="left"/>
      <w:pPr>
        <w:ind w:left="1231" w:hanging="365"/>
      </w:pPr>
      <w:rPr>
        <w:rFonts w:hint="default"/>
      </w:rPr>
    </w:lvl>
    <w:lvl w:ilvl="3" w:tplc="7BF4C290">
      <w:numFmt w:val="bullet"/>
      <w:lvlText w:val="•"/>
      <w:lvlJc w:val="left"/>
      <w:pPr>
        <w:ind w:left="1622" w:hanging="365"/>
      </w:pPr>
      <w:rPr>
        <w:rFonts w:hint="default"/>
      </w:rPr>
    </w:lvl>
    <w:lvl w:ilvl="4" w:tplc="92962568">
      <w:numFmt w:val="bullet"/>
      <w:lvlText w:val="•"/>
      <w:lvlJc w:val="left"/>
      <w:pPr>
        <w:ind w:left="2013" w:hanging="365"/>
      </w:pPr>
      <w:rPr>
        <w:rFonts w:hint="default"/>
      </w:rPr>
    </w:lvl>
    <w:lvl w:ilvl="5" w:tplc="7866879E">
      <w:numFmt w:val="bullet"/>
      <w:lvlText w:val="•"/>
      <w:lvlJc w:val="left"/>
      <w:pPr>
        <w:ind w:left="2404" w:hanging="365"/>
      </w:pPr>
      <w:rPr>
        <w:rFonts w:hint="default"/>
      </w:rPr>
    </w:lvl>
    <w:lvl w:ilvl="6" w:tplc="4104AA3A">
      <w:numFmt w:val="bullet"/>
      <w:lvlText w:val="•"/>
      <w:lvlJc w:val="left"/>
      <w:pPr>
        <w:ind w:left="2795" w:hanging="365"/>
      </w:pPr>
      <w:rPr>
        <w:rFonts w:hint="default"/>
      </w:rPr>
    </w:lvl>
    <w:lvl w:ilvl="7" w:tplc="26D4DE86">
      <w:numFmt w:val="bullet"/>
      <w:lvlText w:val="•"/>
      <w:lvlJc w:val="left"/>
      <w:pPr>
        <w:ind w:left="3186" w:hanging="365"/>
      </w:pPr>
      <w:rPr>
        <w:rFonts w:hint="default"/>
      </w:rPr>
    </w:lvl>
    <w:lvl w:ilvl="8" w:tplc="58289124">
      <w:numFmt w:val="bullet"/>
      <w:lvlText w:val="•"/>
      <w:lvlJc w:val="left"/>
      <w:pPr>
        <w:ind w:left="3577" w:hanging="365"/>
      </w:pPr>
      <w:rPr>
        <w:rFonts w:hint="default"/>
      </w:rPr>
    </w:lvl>
  </w:abstractNum>
  <w:abstractNum w:abstractNumId="1" w15:restartNumberingAfterBreak="0">
    <w:nsid w:val="44F40DE5"/>
    <w:multiLevelType w:val="hybridMultilevel"/>
    <w:tmpl w:val="6624DC6C"/>
    <w:lvl w:ilvl="0" w:tplc="DC5079EE">
      <w:start w:val="1"/>
      <w:numFmt w:val="decimal"/>
      <w:lvlText w:val="%1)"/>
      <w:lvlJc w:val="left"/>
      <w:pPr>
        <w:ind w:left="383" w:hanging="259"/>
        <w:jc w:val="left"/>
      </w:pPr>
      <w:rPr>
        <w:rFonts w:ascii="Calibri" w:eastAsia="Calibri" w:hAnsi="Calibri" w:cs="Calibri" w:hint="default"/>
        <w:b/>
        <w:bCs/>
        <w:spacing w:val="-1"/>
        <w:w w:val="100"/>
        <w:sz w:val="23"/>
        <w:szCs w:val="23"/>
      </w:rPr>
    </w:lvl>
    <w:lvl w:ilvl="1" w:tplc="1FAA0C60">
      <w:numFmt w:val="bullet"/>
      <w:lvlText w:val="✓"/>
      <w:lvlJc w:val="left"/>
      <w:pPr>
        <w:ind w:left="725" w:hanging="365"/>
      </w:pPr>
      <w:rPr>
        <w:rFonts w:ascii="MS PGothic" w:eastAsia="MS PGothic" w:hAnsi="MS PGothic" w:cs="MS PGothic" w:hint="default"/>
        <w:spacing w:val="-5"/>
        <w:w w:val="100"/>
        <w:sz w:val="22"/>
        <w:szCs w:val="22"/>
      </w:rPr>
    </w:lvl>
    <w:lvl w:ilvl="2" w:tplc="19485432">
      <w:numFmt w:val="bullet"/>
      <w:lvlText w:val="•"/>
      <w:lvlJc w:val="left"/>
      <w:pPr>
        <w:ind w:left="1108" w:hanging="365"/>
      </w:pPr>
      <w:rPr>
        <w:rFonts w:hint="default"/>
      </w:rPr>
    </w:lvl>
    <w:lvl w:ilvl="3" w:tplc="718EB73E">
      <w:numFmt w:val="bullet"/>
      <w:lvlText w:val="•"/>
      <w:lvlJc w:val="left"/>
      <w:pPr>
        <w:ind w:left="1497" w:hanging="365"/>
      </w:pPr>
      <w:rPr>
        <w:rFonts w:hint="default"/>
      </w:rPr>
    </w:lvl>
    <w:lvl w:ilvl="4" w:tplc="3FAAAE2A">
      <w:numFmt w:val="bullet"/>
      <w:lvlText w:val="•"/>
      <w:lvlJc w:val="left"/>
      <w:pPr>
        <w:ind w:left="1886" w:hanging="365"/>
      </w:pPr>
      <w:rPr>
        <w:rFonts w:hint="default"/>
      </w:rPr>
    </w:lvl>
    <w:lvl w:ilvl="5" w:tplc="0852A640">
      <w:numFmt w:val="bullet"/>
      <w:lvlText w:val="•"/>
      <w:lvlJc w:val="left"/>
      <w:pPr>
        <w:ind w:left="2275" w:hanging="365"/>
      </w:pPr>
      <w:rPr>
        <w:rFonts w:hint="default"/>
      </w:rPr>
    </w:lvl>
    <w:lvl w:ilvl="6" w:tplc="78FCCA2C">
      <w:numFmt w:val="bullet"/>
      <w:lvlText w:val="•"/>
      <w:lvlJc w:val="left"/>
      <w:pPr>
        <w:ind w:left="2664" w:hanging="365"/>
      </w:pPr>
      <w:rPr>
        <w:rFonts w:hint="default"/>
      </w:rPr>
    </w:lvl>
    <w:lvl w:ilvl="7" w:tplc="A606CAD6">
      <w:numFmt w:val="bullet"/>
      <w:lvlText w:val="•"/>
      <w:lvlJc w:val="left"/>
      <w:pPr>
        <w:ind w:left="3053" w:hanging="365"/>
      </w:pPr>
      <w:rPr>
        <w:rFonts w:hint="default"/>
      </w:rPr>
    </w:lvl>
    <w:lvl w:ilvl="8" w:tplc="E8662764">
      <w:numFmt w:val="bullet"/>
      <w:lvlText w:val="•"/>
      <w:lvlJc w:val="left"/>
      <w:pPr>
        <w:ind w:left="3442" w:hanging="365"/>
      </w:pPr>
      <w:rPr>
        <w:rFonts w:hint="default"/>
      </w:rPr>
    </w:lvl>
  </w:abstractNum>
  <w:abstractNum w:abstractNumId="2" w15:restartNumberingAfterBreak="0">
    <w:nsid w:val="51903AC3"/>
    <w:multiLevelType w:val="hybridMultilevel"/>
    <w:tmpl w:val="FE3A8F8E"/>
    <w:lvl w:ilvl="0" w:tplc="ABFA1E08">
      <w:numFmt w:val="bullet"/>
      <w:lvlText w:val="●"/>
      <w:lvlJc w:val="left"/>
      <w:pPr>
        <w:ind w:left="120" w:hanging="395"/>
      </w:pPr>
      <w:rPr>
        <w:rFonts w:ascii="Arial" w:eastAsia="Arial" w:hAnsi="Arial" w:cs="Arial" w:hint="default"/>
        <w:spacing w:val="-5"/>
        <w:w w:val="100"/>
        <w:sz w:val="22"/>
        <w:szCs w:val="22"/>
      </w:rPr>
    </w:lvl>
    <w:lvl w:ilvl="1" w:tplc="96E8D156">
      <w:numFmt w:val="bullet"/>
      <w:lvlText w:val="•"/>
      <w:lvlJc w:val="left"/>
      <w:pPr>
        <w:ind w:left="1064" w:hanging="395"/>
      </w:pPr>
      <w:rPr>
        <w:rFonts w:hint="default"/>
      </w:rPr>
    </w:lvl>
    <w:lvl w:ilvl="2" w:tplc="8EA61EA0">
      <w:numFmt w:val="bullet"/>
      <w:lvlText w:val="•"/>
      <w:lvlJc w:val="left"/>
      <w:pPr>
        <w:ind w:left="2008" w:hanging="395"/>
      </w:pPr>
      <w:rPr>
        <w:rFonts w:hint="default"/>
      </w:rPr>
    </w:lvl>
    <w:lvl w:ilvl="3" w:tplc="57ACE18A">
      <w:numFmt w:val="bullet"/>
      <w:lvlText w:val="•"/>
      <w:lvlJc w:val="left"/>
      <w:pPr>
        <w:ind w:left="2952" w:hanging="395"/>
      </w:pPr>
      <w:rPr>
        <w:rFonts w:hint="default"/>
      </w:rPr>
    </w:lvl>
    <w:lvl w:ilvl="4" w:tplc="03ECE412">
      <w:numFmt w:val="bullet"/>
      <w:lvlText w:val="•"/>
      <w:lvlJc w:val="left"/>
      <w:pPr>
        <w:ind w:left="3896" w:hanging="395"/>
      </w:pPr>
      <w:rPr>
        <w:rFonts w:hint="default"/>
      </w:rPr>
    </w:lvl>
    <w:lvl w:ilvl="5" w:tplc="20944E82">
      <w:numFmt w:val="bullet"/>
      <w:lvlText w:val="•"/>
      <w:lvlJc w:val="left"/>
      <w:pPr>
        <w:ind w:left="4840" w:hanging="395"/>
      </w:pPr>
      <w:rPr>
        <w:rFonts w:hint="default"/>
      </w:rPr>
    </w:lvl>
    <w:lvl w:ilvl="6" w:tplc="517EE776">
      <w:numFmt w:val="bullet"/>
      <w:lvlText w:val="•"/>
      <w:lvlJc w:val="left"/>
      <w:pPr>
        <w:ind w:left="5784" w:hanging="395"/>
      </w:pPr>
      <w:rPr>
        <w:rFonts w:hint="default"/>
      </w:rPr>
    </w:lvl>
    <w:lvl w:ilvl="7" w:tplc="4E488AEA">
      <w:numFmt w:val="bullet"/>
      <w:lvlText w:val="•"/>
      <w:lvlJc w:val="left"/>
      <w:pPr>
        <w:ind w:left="6728" w:hanging="395"/>
      </w:pPr>
      <w:rPr>
        <w:rFonts w:hint="default"/>
      </w:rPr>
    </w:lvl>
    <w:lvl w:ilvl="8" w:tplc="D55A5E2A">
      <w:numFmt w:val="bullet"/>
      <w:lvlText w:val="•"/>
      <w:lvlJc w:val="left"/>
      <w:pPr>
        <w:ind w:left="7672" w:hanging="395"/>
      </w:pPr>
      <w:rPr>
        <w:rFonts w:hint="default"/>
      </w:rPr>
    </w:lvl>
  </w:abstractNum>
  <w:abstractNum w:abstractNumId="3" w15:restartNumberingAfterBreak="0">
    <w:nsid w:val="5AF53196"/>
    <w:multiLevelType w:val="hybridMultilevel"/>
    <w:tmpl w:val="E6F04372"/>
    <w:lvl w:ilvl="0" w:tplc="F4002776">
      <w:start w:val="1"/>
      <w:numFmt w:val="decimal"/>
      <w:lvlText w:val="%1."/>
      <w:lvlJc w:val="left"/>
      <w:pPr>
        <w:ind w:left="339" w:hanging="220"/>
        <w:jc w:val="left"/>
      </w:pPr>
      <w:rPr>
        <w:rFonts w:ascii="Calibri" w:eastAsia="Calibri" w:hAnsi="Calibri" w:cs="Calibri" w:hint="default"/>
        <w:b/>
        <w:bCs/>
        <w:spacing w:val="-1"/>
        <w:w w:val="100"/>
        <w:sz w:val="22"/>
        <w:szCs w:val="22"/>
      </w:rPr>
    </w:lvl>
    <w:lvl w:ilvl="1" w:tplc="48D8150C">
      <w:numFmt w:val="bullet"/>
      <w:lvlText w:val="•"/>
      <w:lvlJc w:val="left"/>
      <w:pPr>
        <w:ind w:left="1262" w:hanging="220"/>
      </w:pPr>
      <w:rPr>
        <w:rFonts w:hint="default"/>
      </w:rPr>
    </w:lvl>
    <w:lvl w:ilvl="2" w:tplc="E6B42362">
      <w:numFmt w:val="bullet"/>
      <w:lvlText w:val="•"/>
      <w:lvlJc w:val="left"/>
      <w:pPr>
        <w:ind w:left="2184" w:hanging="220"/>
      </w:pPr>
      <w:rPr>
        <w:rFonts w:hint="default"/>
      </w:rPr>
    </w:lvl>
    <w:lvl w:ilvl="3" w:tplc="E3F846B8">
      <w:numFmt w:val="bullet"/>
      <w:lvlText w:val="•"/>
      <w:lvlJc w:val="left"/>
      <w:pPr>
        <w:ind w:left="3106" w:hanging="220"/>
      </w:pPr>
      <w:rPr>
        <w:rFonts w:hint="default"/>
      </w:rPr>
    </w:lvl>
    <w:lvl w:ilvl="4" w:tplc="630ADF9E">
      <w:numFmt w:val="bullet"/>
      <w:lvlText w:val="•"/>
      <w:lvlJc w:val="left"/>
      <w:pPr>
        <w:ind w:left="4028" w:hanging="220"/>
      </w:pPr>
      <w:rPr>
        <w:rFonts w:hint="default"/>
      </w:rPr>
    </w:lvl>
    <w:lvl w:ilvl="5" w:tplc="55C84F34">
      <w:numFmt w:val="bullet"/>
      <w:lvlText w:val="•"/>
      <w:lvlJc w:val="left"/>
      <w:pPr>
        <w:ind w:left="4950" w:hanging="220"/>
      </w:pPr>
      <w:rPr>
        <w:rFonts w:hint="default"/>
      </w:rPr>
    </w:lvl>
    <w:lvl w:ilvl="6" w:tplc="CF80DF68">
      <w:numFmt w:val="bullet"/>
      <w:lvlText w:val="•"/>
      <w:lvlJc w:val="left"/>
      <w:pPr>
        <w:ind w:left="5872" w:hanging="220"/>
      </w:pPr>
      <w:rPr>
        <w:rFonts w:hint="default"/>
      </w:rPr>
    </w:lvl>
    <w:lvl w:ilvl="7" w:tplc="26920CD4">
      <w:numFmt w:val="bullet"/>
      <w:lvlText w:val="•"/>
      <w:lvlJc w:val="left"/>
      <w:pPr>
        <w:ind w:left="6794" w:hanging="220"/>
      </w:pPr>
      <w:rPr>
        <w:rFonts w:hint="default"/>
      </w:rPr>
    </w:lvl>
    <w:lvl w:ilvl="8" w:tplc="6C267706">
      <w:numFmt w:val="bullet"/>
      <w:lvlText w:val="•"/>
      <w:lvlJc w:val="left"/>
      <w:pPr>
        <w:ind w:left="7716" w:hanging="22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89"/>
    <w:rsid w:val="001E452D"/>
    <w:rsid w:val="00317989"/>
    <w:rsid w:val="004F6278"/>
    <w:rsid w:val="00795CB4"/>
    <w:rsid w:val="008408EE"/>
    <w:rsid w:val="00B9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6E20"/>
  <w15:docId w15:val="{8CCE55BC-41BB-4E93-A9BB-3776C6C5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6"/>
      <w:szCs w:val="26"/>
    </w:rPr>
  </w:style>
  <w:style w:type="paragraph" w:styleId="Heading2">
    <w:name w:val="heading 2"/>
    <w:basedOn w:val="Normal"/>
    <w:uiPriority w:val="9"/>
    <w:unhideWhenUsed/>
    <w:qFormat/>
    <w:pPr>
      <w:ind w:left="319" w:hanging="2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19" w:hanging="219"/>
    </w:pPr>
  </w:style>
  <w:style w:type="paragraph" w:customStyle="1" w:styleId="TableParagraph">
    <w:name w:val="Table Paragraph"/>
    <w:basedOn w:val="Normal"/>
    <w:uiPriority w:val="1"/>
    <w:qFormat/>
    <w:pPr>
      <w:spacing w:before="1"/>
      <w:ind w:left="194"/>
    </w:pPr>
  </w:style>
  <w:style w:type="paragraph" w:styleId="Header">
    <w:name w:val="header"/>
    <w:basedOn w:val="Normal"/>
    <w:link w:val="HeaderChar"/>
    <w:uiPriority w:val="99"/>
    <w:unhideWhenUsed/>
    <w:rsid w:val="004F6278"/>
    <w:pPr>
      <w:tabs>
        <w:tab w:val="center" w:pos="4680"/>
        <w:tab w:val="right" w:pos="9360"/>
      </w:tabs>
    </w:pPr>
  </w:style>
  <w:style w:type="character" w:customStyle="1" w:styleId="HeaderChar">
    <w:name w:val="Header Char"/>
    <w:basedOn w:val="DefaultParagraphFont"/>
    <w:link w:val="Header"/>
    <w:uiPriority w:val="99"/>
    <w:rsid w:val="004F6278"/>
    <w:rPr>
      <w:rFonts w:ascii="Calibri" w:eastAsia="Calibri" w:hAnsi="Calibri" w:cs="Calibri"/>
    </w:rPr>
  </w:style>
  <w:style w:type="paragraph" w:styleId="Footer">
    <w:name w:val="footer"/>
    <w:basedOn w:val="Normal"/>
    <w:link w:val="FooterChar"/>
    <w:uiPriority w:val="99"/>
    <w:unhideWhenUsed/>
    <w:rsid w:val="004F6278"/>
    <w:pPr>
      <w:tabs>
        <w:tab w:val="center" w:pos="4680"/>
        <w:tab w:val="right" w:pos="9360"/>
      </w:tabs>
    </w:pPr>
  </w:style>
  <w:style w:type="character" w:customStyle="1" w:styleId="FooterChar">
    <w:name w:val="Footer Char"/>
    <w:basedOn w:val="DefaultParagraphFont"/>
    <w:link w:val="Footer"/>
    <w:uiPriority w:val="99"/>
    <w:rsid w:val="004F627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C2B53-010C-462C-974F-E7AA9FE4FF60}"/>
</file>

<file path=customXml/itemProps2.xml><?xml version="1.0" encoding="utf-8"?>
<ds:datastoreItem xmlns:ds="http://schemas.openxmlformats.org/officeDocument/2006/customXml" ds:itemID="{0A76D497-8C12-49EE-9CBE-EB3B0AE3A3C3}"/>
</file>

<file path=customXml/itemProps3.xml><?xml version="1.0" encoding="utf-8"?>
<ds:datastoreItem xmlns:ds="http://schemas.openxmlformats.org/officeDocument/2006/customXml" ds:itemID="{2B02B364-895E-4B31-A397-FF1875019B15}"/>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Academy of the Pacific Rim Student Opportunity Act Plan: SY 2021-2023</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the Pacific Rim Student Opportunity Act Plan: SY 2021-2023</dc:title>
  <cp:lastModifiedBy>DeLorenzo, Lee E (DESE)</cp:lastModifiedBy>
  <cp:revision>4</cp:revision>
  <dcterms:created xsi:type="dcterms:W3CDTF">2021-03-23T14:54:00Z</dcterms:created>
  <dcterms:modified xsi:type="dcterms:W3CDTF">2021-03-24T15:03:00Z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