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E4455" w14:textId="280EC544" w:rsidR="00625226" w:rsidRDefault="00625226" w:rsidP="000070D2">
      <w:pPr>
        <w:rPr>
          <w:rFonts w:ascii="Calibri" w:eastAsia="Calibri" w:hAnsi="Calibri" w:cs="Calibri"/>
          <w:sz w:val="22"/>
          <w:szCs w:val="22"/>
        </w:rPr>
      </w:pPr>
    </w:p>
    <w:p w14:paraId="284E04C1" w14:textId="77777777" w:rsidR="00625226" w:rsidRDefault="00625226" w:rsidP="000070D2">
      <w:pPr>
        <w:rPr>
          <w:rFonts w:ascii="Calibri" w:eastAsia="Calibri" w:hAnsi="Calibri" w:cs="Calibri"/>
          <w:sz w:val="22"/>
          <w:szCs w:val="22"/>
        </w:rPr>
      </w:pPr>
    </w:p>
    <w:p w14:paraId="1E9037BA" w14:textId="0CC6318A" w:rsidR="0076100D" w:rsidRDefault="0076100D" w:rsidP="00192B93">
      <w:pPr>
        <w:widowControl w:val="0"/>
        <w:autoSpaceDE w:val="0"/>
        <w:autoSpaceDN w:val="0"/>
        <w:jc w:val="center"/>
        <w:outlineLvl w:val="1"/>
        <w:rPr>
          <w:rFonts w:ascii="Calibri" w:eastAsia="Calibri" w:hAnsi="Calibri" w:cs="Calibri"/>
          <w:b/>
          <w:color w:val="1F3863"/>
          <w:sz w:val="32"/>
          <w:szCs w:val="22"/>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56006AFC" w14:textId="77777777" w:rsidR="00FC745A" w:rsidRDefault="00FC745A" w:rsidP="00FC745A">
      <w:pPr>
        <w:widowControl w:val="0"/>
        <w:autoSpaceDE w:val="0"/>
        <w:autoSpaceDN w:val="0"/>
        <w:jc w:val="center"/>
        <w:outlineLvl w:val="1"/>
        <w:rPr>
          <w:rFonts w:ascii="Calibri" w:eastAsia="Calibri" w:hAnsi="Calibri" w:cs="Calibri"/>
          <w:b/>
          <w:bCs/>
          <w:i/>
          <w:color w:val="2D74B5"/>
          <w:sz w:val="32"/>
          <w:szCs w:val="32"/>
        </w:rPr>
      </w:pPr>
      <w:r>
        <w:rPr>
          <w:rFonts w:ascii="Calibri" w:eastAsia="Calibri" w:hAnsi="Calibri" w:cs="Calibri"/>
          <w:b/>
          <w:bCs/>
          <w:i/>
          <w:color w:val="2D74B5"/>
          <w:sz w:val="32"/>
          <w:szCs w:val="32"/>
        </w:rPr>
        <w:t>Baystate Academy Charter Public School</w:t>
      </w:r>
    </w:p>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p>
    <w:p w14:paraId="01A79AB0" w14:textId="3718CAC8" w:rsidR="0076100D" w:rsidRDefault="0076100D" w:rsidP="0076100D">
      <w:pPr>
        <w:widowControl w:val="0"/>
        <w:autoSpaceDE w:val="0"/>
        <w:autoSpaceDN w:val="0"/>
        <w:spacing w:before="85"/>
        <w:ind w:left="107"/>
        <w:outlineLvl w:val="2"/>
        <w:rPr>
          <w:rFonts w:ascii="Calibri" w:eastAsia="Calibri" w:hAnsi="Calibri" w:cs="Calibri"/>
          <w:b/>
          <w:bCs/>
          <w:color w:val="2D74B5"/>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4D281B05" w14:textId="7DAE98CC" w:rsidR="00C415A8" w:rsidRDefault="00C415A8" w:rsidP="00C415A8">
      <w:pPr>
        <w:widowControl w:val="0"/>
        <w:autoSpaceDE w:val="0"/>
        <w:autoSpaceDN w:val="0"/>
        <w:spacing w:before="73"/>
        <w:ind w:left="107" w:right="344"/>
        <w:outlineLvl w:val="5"/>
        <w:rPr>
          <w:rFonts w:ascii="Calibri" w:eastAsia="Calibri" w:hAnsi="Calibri" w:cs="Calibri"/>
          <w:b/>
          <w:bCs/>
          <w:color w:val="1F3863"/>
          <w:sz w:val="23"/>
          <w:szCs w:val="23"/>
        </w:rPr>
      </w:pPr>
      <w:r w:rsidRPr="00C415A8">
        <w:rPr>
          <w:rFonts w:ascii="Calibri" w:eastAsia="Calibri" w:hAnsi="Calibri" w:cs="Calibri"/>
          <w:b/>
          <w:bCs/>
          <w:color w:val="1F3863"/>
          <w:sz w:val="23"/>
          <w:szCs w:val="23"/>
        </w:rPr>
        <w:t>Which student subgroups</w:t>
      </w:r>
      <w:r>
        <w:rPr>
          <w:rFonts w:ascii="Calibri" w:eastAsia="Calibri" w:hAnsi="Calibri" w:cs="Calibri"/>
          <w:b/>
          <w:bCs/>
          <w:color w:val="1F3863"/>
          <w:sz w:val="23"/>
          <w:szCs w:val="23"/>
        </w:rPr>
        <w:t xml:space="preserve"> will require focused support to ensure all students achieve at high levels in school and are successfully prepared for life?</w:t>
      </w:r>
    </w:p>
    <w:p w14:paraId="2E28D64D" w14:textId="77777777" w:rsidR="00C415A8" w:rsidRPr="00C415A8" w:rsidRDefault="00C415A8" w:rsidP="00C415A8">
      <w:pPr>
        <w:widowControl w:val="0"/>
        <w:autoSpaceDE w:val="0"/>
        <w:autoSpaceDN w:val="0"/>
        <w:spacing w:before="73"/>
        <w:ind w:left="107" w:right="344"/>
        <w:outlineLvl w:val="5"/>
        <w:rPr>
          <w:rFonts w:ascii="Calibri" w:eastAsia="Calibri" w:hAnsi="Calibri" w:cs="Calibri"/>
          <w:b/>
          <w:bCs/>
          <w:color w:val="1F3863"/>
          <w:sz w:val="23"/>
          <w:szCs w:val="23"/>
        </w:rPr>
      </w:pPr>
    </w:p>
    <w:p w14:paraId="4F8102B3" w14:textId="4EB26646" w:rsidR="00192B93" w:rsidRDefault="00192B93" w:rsidP="00192B93">
      <w:r>
        <w:t xml:space="preserve">As referenced in our annual strategic plan and multi-year goal statements, Baystate Academy has narrowed the work of the district into four major buckets; teaching and learning, culture and climate, social-emotional and mental, and special population student support. It is our belief that if resources (financial/human) are properly allocated in these areas, we will increase student opportunities to meet goals as outlined in the school mission. </w:t>
      </w:r>
    </w:p>
    <w:p w14:paraId="23517F98" w14:textId="77777777" w:rsidR="00192B93" w:rsidRDefault="00192B93" w:rsidP="00192B93"/>
    <w:p w14:paraId="0898B9A5" w14:textId="09D76C21" w:rsidR="00192B93" w:rsidRDefault="00192B93" w:rsidP="00192B93">
      <w:r>
        <w:t xml:space="preserve">Over the last 4 years, the enrolled and retention rate of students in the subgroup special education </w:t>
      </w:r>
      <w:r w:rsidR="00C415A8">
        <w:t xml:space="preserve">has </w:t>
      </w:r>
      <w:r>
        <w:t>averaged</w:t>
      </w:r>
      <w:r w:rsidR="00C415A8">
        <w:t xml:space="preserve"> </w:t>
      </w:r>
      <w:r>
        <w:t xml:space="preserve">20%. This number is above the state four-year average of 17.5 %.  District data reflects not only an increase in student enrollment but a disproportionate proficiency rate as determined by the state annual assessment and internal assessments. (MCAS, NWEA, </w:t>
      </w:r>
      <w:proofErr w:type="spellStart"/>
      <w:r>
        <w:t>iReady</w:t>
      </w:r>
      <w:proofErr w:type="spellEnd"/>
      <w:r>
        <w:t xml:space="preserve">). For the purpose of this plan, efforts will be made to focus on the area targeted student supports, specifically inclusion, and co teaching for special education and English language learners.  Students in these subgroups have difficulty accessing the curriculum and state standards. Baystate Academy has shifted practices to increase exposure and access to grade-level curriculum materials and ensure all staff understands the differences between accommodations and modifications. </w:t>
      </w:r>
    </w:p>
    <w:p w14:paraId="6616B718" w14:textId="77777777" w:rsidR="00192B93" w:rsidRDefault="00192B93" w:rsidP="00192B93"/>
    <w:p w14:paraId="107B10DA" w14:textId="7A73FCB3" w:rsidR="00192B93" w:rsidRDefault="00192B93" w:rsidP="00192B93">
      <w:r>
        <w:t>Special Education MCAS Data /English Language Learners MCAS Data</w:t>
      </w:r>
      <w:r w:rsidR="00C415A8">
        <w:t>:</w:t>
      </w:r>
    </w:p>
    <w:p w14:paraId="5C423BB5" w14:textId="77777777" w:rsidR="00192B93" w:rsidRDefault="00192B93" w:rsidP="00192B93"/>
    <w:p w14:paraId="73F977A7" w14:textId="77777777" w:rsidR="00192B93" w:rsidRDefault="00192B93" w:rsidP="00192B93">
      <w:pPr>
        <w:rPr>
          <w:b/>
        </w:rPr>
      </w:pPr>
      <w:r>
        <w:rPr>
          <w:b/>
        </w:rPr>
        <w:t xml:space="preserve">Special Education Enrollment Data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3795"/>
        <w:gridCol w:w="3645"/>
      </w:tblGrid>
      <w:tr w:rsidR="00192B93" w14:paraId="69975DD9" w14:textId="77777777" w:rsidTr="005F4629">
        <w:tc>
          <w:tcPr>
            <w:tcW w:w="1920" w:type="dxa"/>
            <w:shd w:val="clear" w:color="auto" w:fill="auto"/>
            <w:tcMar>
              <w:top w:w="100" w:type="dxa"/>
              <w:left w:w="100" w:type="dxa"/>
              <w:bottom w:w="100" w:type="dxa"/>
              <w:right w:w="100" w:type="dxa"/>
            </w:tcMar>
          </w:tcPr>
          <w:p w14:paraId="447026E5" w14:textId="77777777" w:rsidR="00192B93" w:rsidRDefault="00192B93" w:rsidP="005F4629">
            <w:pPr>
              <w:widowControl w:val="0"/>
              <w:pBdr>
                <w:top w:val="nil"/>
                <w:left w:val="nil"/>
                <w:bottom w:val="nil"/>
                <w:right w:val="nil"/>
                <w:between w:val="nil"/>
              </w:pBdr>
              <w:jc w:val="center"/>
              <w:rPr>
                <w:b/>
              </w:rPr>
            </w:pPr>
            <w:r>
              <w:rPr>
                <w:b/>
              </w:rPr>
              <w:t xml:space="preserve">Year </w:t>
            </w:r>
          </w:p>
        </w:tc>
        <w:tc>
          <w:tcPr>
            <w:tcW w:w="3795" w:type="dxa"/>
            <w:shd w:val="clear" w:color="auto" w:fill="auto"/>
            <w:tcMar>
              <w:top w:w="100" w:type="dxa"/>
              <w:left w:w="100" w:type="dxa"/>
              <w:bottom w:w="100" w:type="dxa"/>
              <w:right w:w="100" w:type="dxa"/>
            </w:tcMar>
          </w:tcPr>
          <w:p w14:paraId="1D910851" w14:textId="77777777" w:rsidR="00192B93" w:rsidRDefault="00192B93" w:rsidP="005F4629">
            <w:pPr>
              <w:widowControl w:val="0"/>
              <w:pBdr>
                <w:top w:val="nil"/>
                <w:left w:val="nil"/>
                <w:bottom w:val="nil"/>
                <w:right w:val="nil"/>
                <w:between w:val="nil"/>
              </w:pBdr>
              <w:jc w:val="center"/>
              <w:rPr>
                <w:b/>
              </w:rPr>
            </w:pPr>
            <w:r>
              <w:rPr>
                <w:b/>
              </w:rPr>
              <w:t xml:space="preserve">Percentage of Students - BACPS </w:t>
            </w:r>
          </w:p>
        </w:tc>
        <w:tc>
          <w:tcPr>
            <w:tcW w:w="3645" w:type="dxa"/>
            <w:shd w:val="clear" w:color="auto" w:fill="auto"/>
            <w:tcMar>
              <w:top w:w="100" w:type="dxa"/>
              <w:left w:w="100" w:type="dxa"/>
              <w:bottom w:w="100" w:type="dxa"/>
              <w:right w:w="100" w:type="dxa"/>
            </w:tcMar>
          </w:tcPr>
          <w:p w14:paraId="5FF8DF32" w14:textId="77777777" w:rsidR="00192B93" w:rsidRDefault="00192B93" w:rsidP="005F4629">
            <w:pPr>
              <w:widowControl w:val="0"/>
              <w:jc w:val="center"/>
              <w:rPr>
                <w:b/>
              </w:rPr>
            </w:pPr>
            <w:r>
              <w:rPr>
                <w:b/>
              </w:rPr>
              <w:t xml:space="preserve">Percentage of Students - State  </w:t>
            </w:r>
          </w:p>
        </w:tc>
      </w:tr>
      <w:tr w:rsidR="00192B93" w14:paraId="2F05D968" w14:textId="77777777" w:rsidTr="005F4629">
        <w:tc>
          <w:tcPr>
            <w:tcW w:w="1920" w:type="dxa"/>
            <w:shd w:val="clear" w:color="auto" w:fill="auto"/>
            <w:tcMar>
              <w:top w:w="100" w:type="dxa"/>
              <w:left w:w="100" w:type="dxa"/>
              <w:bottom w:w="100" w:type="dxa"/>
              <w:right w:w="100" w:type="dxa"/>
            </w:tcMar>
          </w:tcPr>
          <w:p w14:paraId="6EF8421E" w14:textId="77777777" w:rsidR="00192B93" w:rsidRDefault="00192B93" w:rsidP="005F4629">
            <w:pPr>
              <w:widowControl w:val="0"/>
              <w:pBdr>
                <w:top w:val="nil"/>
                <w:left w:val="nil"/>
                <w:bottom w:val="nil"/>
                <w:right w:val="nil"/>
                <w:between w:val="nil"/>
              </w:pBdr>
              <w:jc w:val="center"/>
              <w:rPr>
                <w:b/>
              </w:rPr>
            </w:pPr>
            <w:r>
              <w:rPr>
                <w:b/>
              </w:rPr>
              <w:t xml:space="preserve">2020- 2021 </w:t>
            </w:r>
          </w:p>
        </w:tc>
        <w:tc>
          <w:tcPr>
            <w:tcW w:w="3795" w:type="dxa"/>
            <w:shd w:val="clear" w:color="auto" w:fill="auto"/>
            <w:tcMar>
              <w:top w:w="100" w:type="dxa"/>
              <w:left w:w="100" w:type="dxa"/>
              <w:bottom w:w="100" w:type="dxa"/>
              <w:right w:w="100" w:type="dxa"/>
            </w:tcMar>
          </w:tcPr>
          <w:p w14:paraId="450D7581" w14:textId="77777777" w:rsidR="00192B93" w:rsidRDefault="00192B93" w:rsidP="005F4629">
            <w:pPr>
              <w:widowControl w:val="0"/>
              <w:pBdr>
                <w:top w:val="nil"/>
                <w:left w:val="nil"/>
                <w:bottom w:val="nil"/>
                <w:right w:val="nil"/>
                <w:between w:val="nil"/>
              </w:pBdr>
              <w:jc w:val="center"/>
              <w:rPr>
                <w:b/>
              </w:rPr>
            </w:pPr>
            <w:r>
              <w:rPr>
                <w:b/>
              </w:rPr>
              <w:t>20.7%</w:t>
            </w:r>
          </w:p>
        </w:tc>
        <w:tc>
          <w:tcPr>
            <w:tcW w:w="3645" w:type="dxa"/>
            <w:shd w:val="clear" w:color="auto" w:fill="auto"/>
            <w:tcMar>
              <w:top w:w="100" w:type="dxa"/>
              <w:left w:w="100" w:type="dxa"/>
              <w:bottom w:w="100" w:type="dxa"/>
              <w:right w:w="100" w:type="dxa"/>
            </w:tcMar>
          </w:tcPr>
          <w:p w14:paraId="3061B267" w14:textId="77777777" w:rsidR="00192B93" w:rsidRDefault="00192B93" w:rsidP="005F4629">
            <w:pPr>
              <w:widowControl w:val="0"/>
              <w:pBdr>
                <w:top w:val="nil"/>
                <w:left w:val="nil"/>
                <w:bottom w:val="nil"/>
                <w:right w:val="nil"/>
                <w:between w:val="nil"/>
              </w:pBdr>
              <w:jc w:val="center"/>
              <w:rPr>
                <w:b/>
              </w:rPr>
            </w:pPr>
            <w:r>
              <w:rPr>
                <w:b/>
              </w:rPr>
              <w:t>18.7%</w:t>
            </w:r>
          </w:p>
        </w:tc>
      </w:tr>
      <w:tr w:rsidR="00192B93" w14:paraId="338D3747" w14:textId="77777777" w:rsidTr="005F4629">
        <w:tc>
          <w:tcPr>
            <w:tcW w:w="1920" w:type="dxa"/>
            <w:shd w:val="clear" w:color="auto" w:fill="auto"/>
            <w:tcMar>
              <w:top w:w="100" w:type="dxa"/>
              <w:left w:w="100" w:type="dxa"/>
              <w:bottom w:w="100" w:type="dxa"/>
              <w:right w:w="100" w:type="dxa"/>
            </w:tcMar>
          </w:tcPr>
          <w:p w14:paraId="0E724945" w14:textId="77777777" w:rsidR="00192B93" w:rsidRDefault="00192B93" w:rsidP="005F4629">
            <w:pPr>
              <w:widowControl w:val="0"/>
              <w:pBdr>
                <w:top w:val="nil"/>
                <w:left w:val="nil"/>
                <w:bottom w:val="nil"/>
                <w:right w:val="nil"/>
                <w:between w:val="nil"/>
              </w:pBdr>
              <w:jc w:val="center"/>
              <w:rPr>
                <w:b/>
              </w:rPr>
            </w:pPr>
            <w:r>
              <w:rPr>
                <w:b/>
              </w:rPr>
              <w:t>2019- 2020</w:t>
            </w:r>
          </w:p>
        </w:tc>
        <w:tc>
          <w:tcPr>
            <w:tcW w:w="3795" w:type="dxa"/>
            <w:shd w:val="clear" w:color="auto" w:fill="auto"/>
            <w:tcMar>
              <w:top w:w="100" w:type="dxa"/>
              <w:left w:w="100" w:type="dxa"/>
              <w:bottom w:w="100" w:type="dxa"/>
              <w:right w:w="100" w:type="dxa"/>
            </w:tcMar>
          </w:tcPr>
          <w:p w14:paraId="5171916A" w14:textId="77777777" w:rsidR="00192B93" w:rsidRDefault="00192B93" w:rsidP="005F4629">
            <w:pPr>
              <w:widowControl w:val="0"/>
              <w:pBdr>
                <w:top w:val="nil"/>
                <w:left w:val="nil"/>
                <w:bottom w:val="nil"/>
                <w:right w:val="nil"/>
                <w:between w:val="nil"/>
              </w:pBdr>
              <w:jc w:val="center"/>
              <w:rPr>
                <w:b/>
              </w:rPr>
            </w:pPr>
            <w:r>
              <w:rPr>
                <w:b/>
              </w:rPr>
              <w:t>19.9%</w:t>
            </w:r>
          </w:p>
        </w:tc>
        <w:tc>
          <w:tcPr>
            <w:tcW w:w="3645" w:type="dxa"/>
            <w:shd w:val="clear" w:color="auto" w:fill="auto"/>
            <w:tcMar>
              <w:top w:w="100" w:type="dxa"/>
              <w:left w:w="100" w:type="dxa"/>
              <w:bottom w:w="100" w:type="dxa"/>
              <w:right w:w="100" w:type="dxa"/>
            </w:tcMar>
          </w:tcPr>
          <w:p w14:paraId="0CE475F0" w14:textId="77777777" w:rsidR="00192B93" w:rsidRDefault="00192B93" w:rsidP="005F4629">
            <w:pPr>
              <w:widowControl w:val="0"/>
              <w:pBdr>
                <w:top w:val="nil"/>
                <w:left w:val="nil"/>
                <w:bottom w:val="nil"/>
                <w:right w:val="nil"/>
                <w:between w:val="nil"/>
              </w:pBdr>
              <w:jc w:val="center"/>
              <w:rPr>
                <w:b/>
              </w:rPr>
            </w:pPr>
            <w:r>
              <w:rPr>
                <w:b/>
              </w:rPr>
              <w:t>18.4%</w:t>
            </w:r>
          </w:p>
        </w:tc>
      </w:tr>
      <w:tr w:rsidR="00192B93" w14:paraId="40C8C0AE" w14:textId="77777777" w:rsidTr="005F4629">
        <w:tc>
          <w:tcPr>
            <w:tcW w:w="1920" w:type="dxa"/>
            <w:shd w:val="clear" w:color="auto" w:fill="auto"/>
            <w:tcMar>
              <w:top w:w="100" w:type="dxa"/>
              <w:left w:w="100" w:type="dxa"/>
              <w:bottom w:w="100" w:type="dxa"/>
              <w:right w:w="100" w:type="dxa"/>
            </w:tcMar>
          </w:tcPr>
          <w:p w14:paraId="4B8E7662" w14:textId="77777777" w:rsidR="00192B93" w:rsidRDefault="00192B93" w:rsidP="005F4629">
            <w:pPr>
              <w:widowControl w:val="0"/>
              <w:pBdr>
                <w:top w:val="nil"/>
                <w:left w:val="nil"/>
                <w:bottom w:val="nil"/>
                <w:right w:val="nil"/>
                <w:between w:val="nil"/>
              </w:pBdr>
              <w:jc w:val="center"/>
              <w:rPr>
                <w:b/>
              </w:rPr>
            </w:pPr>
            <w:r>
              <w:rPr>
                <w:b/>
              </w:rPr>
              <w:t>2018- 2019</w:t>
            </w:r>
          </w:p>
        </w:tc>
        <w:tc>
          <w:tcPr>
            <w:tcW w:w="3795" w:type="dxa"/>
            <w:shd w:val="clear" w:color="auto" w:fill="auto"/>
            <w:tcMar>
              <w:top w:w="100" w:type="dxa"/>
              <w:left w:w="100" w:type="dxa"/>
              <w:bottom w:w="100" w:type="dxa"/>
              <w:right w:w="100" w:type="dxa"/>
            </w:tcMar>
          </w:tcPr>
          <w:p w14:paraId="33607467" w14:textId="77777777" w:rsidR="00192B93" w:rsidRDefault="00192B93" w:rsidP="005F4629">
            <w:pPr>
              <w:widowControl w:val="0"/>
              <w:pBdr>
                <w:top w:val="nil"/>
                <w:left w:val="nil"/>
                <w:bottom w:val="nil"/>
                <w:right w:val="nil"/>
                <w:between w:val="nil"/>
              </w:pBdr>
              <w:jc w:val="center"/>
              <w:rPr>
                <w:b/>
              </w:rPr>
            </w:pPr>
            <w:r>
              <w:rPr>
                <w:b/>
              </w:rPr>
              <w:t>20.2%</w:t>
            </w:r>
          </w:p>
        </w:tc>
        <w:tc>
          <w:tcPr>
            <w:tcW w:w="3645" w:type="dxa"/>
            <w:shd w:val="clear" w:color="auto" w:fill="auto"/>
            <w:tcMar>
              <w:top w:w="100" w:type="dxa"/>
              <w:left w:w="100" w:type="dxa"/>
              <w:bottom w:w="100" w:type="dxa"/>
              <w:right w:w="100" w:type="dxa"/>
            </w:tcMar>
          </w:tcPr>
          <w:p w14:paraId="165E755A" w14:textId="77777777" w:rsidR="00192B93" w:rsidRDefault="00192B93" w:rsidP="005F4629">
            <w:pPr>
              <w:widowControl w:val="0"/>
              <w:pBdr>
                <w:top w:val="nil"/>
                <w:left w:val="nil"/>
                <w:bottom w:val="nil"/>
                <w:right w:val="nil"/>
                <w:between w:val="nil"/>
              </w:pBdr>
              <w:jc w:val="center"/>
              <w:rPr>
                <w:b/>
              </w:rPr>
            </w:pPr>
            <w:r>
              <w:rPr>
                <w:b/>
              </w:rPr>
              <w:t>18.1%</w:t>
            </w:r>
          </w:p>
        </w:tc>
      </w:tr>
      <w:tr w:rsidR="00192B93" w14:paraId="7B03CD00" w14:textId="77777777" w:rsidTr="005F4629">
        <w:tc>
          <w:tcPr>
            <w:tcW w:w="1920" w:type="dxa"/>
            <w:shd w:val="clear" w:color="auto" w:fill="auto"/>
            <w:tcMar>
              <w:top w:w="100" w:type="dxa"/>
              <w:left w:w="100" w:type="dxa"/>
              <w:bottom w:w="100" w:type="dxa"/>
              <w:right w:w="100" w:type="dxa"/>
            </w:tcMar>
          </w:tcPr>
          <w:p w14:paraId="7094BBE2" w14:textId="77777777" w:rsidR="00192B93" w:rsidRDefault="00192B93" w:rsidP="005F4629">
            <w:pPr>
              <w:widowControl w:val="0"/>
              <w:pBdr>
                <w:top w:val="nil"/>
                <w:left w:val="nil"/>
                <w:bottom w:val="nil"/>
                <w:right w:val="nil"/>
                <w:between w:val="nil"/>
              </w:pBdr>
              <w:jc w:val="center"/>
              <w:rPr>
                <w:b/>
              </w:rPr>
            </w:pPr>
            <w:r>
              <w:rPr>
                <w:b/>
              </w:rPr>
              <w:t>2018- 2017</w:t>
            </w:r>
          </w:p>
        </w:tc>
        <w:tc>
          <w:tcPr>
            <w:tcW w:w="3795" w:type="dxa"/>
            <w:shd w:val="clear" w:color="auto" w:fill="auto"/>
            <w:tcMar>
              <w:top w:w="100" w:type="dxa"/>
              <w:left w:w="100" w:type="dxa"/>
              <w:bottom w:w="100" w:type="dxa"/>
              <w:right w:w="100" w:type="dxa"/>
            </w:tcMar>
          </w:tcPr>
          <w:p w14:paraId="14F8C3CA" w14:textId="77777777" w:rsidR="00192B93" w:rsidRDefault="00192B93" w:rsidP="005F4629">
            <w:pPr>
              <w:widowControl w:val="0"/>
              <w:pBdr>
                <w:top w:val="nil"/>
                <w:left w:val="nil"/>
                <w:bottom w:val="nil"/>
                <w:right w:val="nil"/>
                <w:between w:val="nil"/>
              </w:pBdr>
              <w:jc w:val="center"/>
              <w:rPr>
                <w:b/>
              </w:rPr>
            </w:pPr>
            <w:r>
              <w:rPr>
                <w:b/>
              </w:rPr>
              <w:t>19.1%</w:t>
            </w:r>
          </w:p>
        </w:tc>
        <w:tc>
          <w:tcPr>
            <w:tcW w:w="3645" w:type="dxa"/>
            <w:shd w:val="clear" w:color="auto" w:fill="auto"/>
            <w:tcMar>
              <w:top w:w="100" w:type="dxa"/>
              <w:left w:w="100" w:type="dxa"/>
              <w:bottom w:w="100" w:type="dxa"/>
              <w:right w:w="100" w:type="dxa"/>
            </w:tcMar>
          </w:tcPr>
          <w:p w14:paraId="267BEB6F" w14:textId="77777777" w:rsidR="00192B93" w:rsidRDefault="00192B93" w:rsidP="005F4629">
            <w:pPr>
              <w:widowControl w:val="0"/>
              <w:pBdr>
                <w:top w:val="nil"/>
                <w:left w:val="nil"/>
                <w:bottom w:val="nil"/>
                <w:right w:val="nil"/>
                <w:between w:val="nil"/>
              </w:pBdr>
              <w:jc w:val="center"/>
              <w:rPr>
                <w:b/>
              </w:rPr>
            </w:pPr>
            <w:r>
              <w:rPr>
                <w:b/>
              </w:rPr>
              <w:t>17.7%</w:t>
            </w:r>
          </w:p>
        </w:tc>
      </w:tr>
    </w:tbl>
    <w:p w14:paraId="5BDC645F" w14:textId="77777777" w:rsidR="00192B93" w:rsidRDefault="00192B93" w:rsidP="00192B93">
      <w:pPr>
        <w:jc w:val="center"/>
      </w:pPr>
    </w:p>
    <w:p w14:paraId="31037597" w14:textId="77777777" w:rsidR="00192B93" w:rsidRDefault="00192B93" w:rsidP="00192B93">
      <w:pPr>
        <w:rPr>
          <w:b/>
        </w:rPr>
      </w:pPr>
      <w:r>
        <w:rPr>
          <w:b/>
        </w:rPr>
        <w:t xml:space="preserve">English Language Learners Enrollment Data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3795"/>
        <w:gridCol w:w="3645"/>
      </w:tblGrid>
      <w:tr w:rsidR="00192B93" w14:paraId="4E696965" w14:textId="77777777" w:rsidTr="005F4629">
        <w:tc>
          <w:tcPr>
            <w:tcW w:w="1920" w:type="dxa"/>
            <w:shd w:val="clear" w:color="auto" w:fill="auto"/>
            <w:tcMar>
              <w:top w:w="100" w:type="dxa"/>
              <w:left w:w="100" w:type="dxa"/>
              <w:bottom w:w="100" w:type="dxa"/>
              <w:right w:w="100" w:type="dxa"/>
            </w:tcMar>
          </w:tcPr>
          <w:p w14:paraId="6CC2FCF7" w14:textId="77777777" w:rsidR="00192B93" w:rsidRDefault="00192B93" w:rsidP="005F4629">
            <w:pPr>
              <w:widowControl w:val="0"/>
              <w:jc w:val="center"/>
              <w:rPr>
                <w:b/>
              </w:rPr>
            </w:pPr>
            <w:r>
              <w:rPr>
                <w:b/>
              </w:rPr>
              <w:t xml:space="preserve">Year </w:t>
            </w:r>
          </w:p>
        </w:tc>
        <w:tc>
          <w:tcPr>
            <w:tcW w:w="3795" w:type="dxa"/>
            <w:shd w:val="clear" w:color="auto" w:fill="auto"/>
            <w:tcMar>
              <w:top w:w="100" w:type="dxa"/>
              <w:left w:w="100" w:type="dxa"/>
              <w:bottom w:w="100" w:type="dxa"/>
              <w:right w:w="100" w:type="dxa"/>
            </w:tcMar>
          </w:tcPr>
          <w:p w14:paraId="0F6F8B24" w14:textId="77777777" w:rsidR="00192B93" w:rsidRDefault="00192B93" w:rsidP="005F4629">
            <w:pPr>
              <w:widowControl w:val="0"/>
              <w:jc w:val="center"/>
              <w:rPr>
                <w:b/>
              </w:rPr>
            </w:pPr>
            <w:r>
              <w:rPr>
                <w:b/>
              </w:rPr>
              <w:t xml:space="preserve">Percentage of Students - BACPS </w:t>
            </w:r>
          </w:p>
        </w:tc>
        <w:tc>
          <w:tcPr>
            <w:tcW w:w="3645" w:type="dxa"/>
            <w:shd w:val="clear" w:color="auto" w:fill="auto"/>
            <w:tcMar>
              <w:top w:w="100" w:type="dxa"/>
              <w:left w:w="100" w:type="dxa"/>
              <w:bottom w:w="100" w:type="dxa"/>
              <w:right w:w="100" w:type="dxa"/>
            </w:tcMar>
          </w:tcPr>
          <w:p w14:paraId="45399DD9" w14:textId="77777777" w:rsidR="00192B93" w:rsidRDefault="00192B93" w:rsidP="005F4629">
            <w:pPr>
              <w:widowControl w:val="0"/>
              <w:jc w:val="center"/>
              <w:rPr>
                <w:b/>
              </w:rPr>
            </w:pPr>
            <w:r>
              <w:rPr>
                <w:b/>
              </w:rPr>
              <w:t xml:space="preserve">Percentage of Students - State  </w:t>
            </w:r>
          </w:p>
        </w:tc>
      </w:tr>
      <w:tr w:rsidR="00192B93" w14:paraId="110B7F9C" w14:textId="77777777" w:rsidTr="005F4629">
        <w:tc>
          <w:tcPr>
            <w:tcW w:w="1920" w:type="dxa"/>
            <w:shd w:val="clear" w:color="auto" w:fill="auto"/>
            <w:tcMar>
              <w:top w:w="100" w:type="dxa"/>
              <w:left w:w="100" w:type="dxa"/>
              <w:bottom w:w="100" w:type="dxa"/>
              <w:right w:w="100" w:type="dxa"/>
            </w:tcMar>
          </w:tcPr>
          <w:p w14:paraId="3CFD202F" w14:textId="77777777" w:rsidR="00192B93" w:rsidRDefault="00192B93" w:rsidP="005F4629">
            <w:pPr>
              <w:widowControl w:val="0"/>
              <w:jc w:val="center"/>
              <w:rPr>
                <w:b/>
              </w:rPr>
            </w:pPr>
            <w:r>
              <w:rPr>
                <w:b/>
              </w:rPr>
              <w:t xml:space="preserve">2020- 2021 </w:t>
            </w:r>
          </w:p>
        </w:tc>
        <w:tc>
          <w:tcPr>
            <w:tcW w:w="3795" w:type="dxa"/>
            <w:shd w:val="clear" w:color="auto" w:fill="auto"/>
            <w:tcMar>
              <w:top w:w="100" w:type="dxa"/>
              <w:left w:w="100" w:type="dxa"/>
              <w:bottom w:w="100" w:type="dxa"/>
              <w:right w:w="100" w:type="dxa"/>
            </w:tcMar>
          </w:tcPr>
          <w:p w14:paraId="55C87268" w14:textId="77777777" w:rsidR="00192B93" w:rsidRDefault="00192B93" w:rsidP="005F4629">
            <w:pPr>
              <w:widowControl w:val="0"/>
              <w:jc w:val="center"/>
              <w:rPr>
                <w:b/>
              </w:rPr>
            </w:pPr>
            <w:r>
              <w:rPr>
                <w:b/>
              </w:rPr>
              <w:t>8.7%</w:t>
            </w:r>
          </w:p>
        </w:tc>
        <w:tc>
          <w:tcPr>
            <w:tcW w:w="3645" w:type="dxa"/>
            <w:shd w:val="clear" w:color="auto" w:fill="auto"/>
            <w:tcMar>
              <w:top w:w="100" w:type="dxa"/>
              <w:left w:w="100" w:type="dxa"/>
              <w:bottom w:w="100" w:type="dxa"/>
              <w:right w:w="100" w:type="dxa"/>
            </w:tcMar>
          </w:tcPr>
          <w:p w14:paraId="05D9D6A1" w14:textId="77777777" w:rsidR="00192B93" w:rsidRDefault="00192B93" w:rsidP="005F4629">
            <w:pPr>
              <w:widowControl w:val="0"/>
              <w:jc w:val="center"/>
              <w:rPr>
                <w:b/>
              </w:rPr>
            </w:pPr>
            <w:r>
              <w:rPr>
                <w:b/>
              </w:rPr>
              <w:t>10.5%</w:t>
            </w:r>
          </w:p>
        </w:tc>
      </w:tr>
      <w:tr w:rsidR="00192B93" w14:paraId="3CF2C890" w14:textId="77777777" w:rsidTr="005F4629">
        <w:tc>
          <w:tcPr>
            <w:tcW w:w="1920" w:type="dxa"/>
            <w:shd w:val="clear" w:color="auto" w:fill="auto"/>
            <w:tcMar>
              <w:top w:w="100" w:type="dxa"/>
              <w:left w:w="100" w:type="dxa"/>
              <w:bottom w:w="100" w:type="dxa"/>
              <w:right w:w="100" w:type="dxa"/>
            </w:tcMar>
          </w:tcPr>
          <w:p w14:paraId="012B4217" w14:textId="77777777" w:rsidR="00192B93" w:rsidRDefault="00192B93" w:rsidP="005F4629">
            <w:pPr>
              <w:widowControl w:val="0"/>
              <w:jc w:val="center"/>
              <w:rPr>
                <w:b/>
              </w:rPr>
            </w:pPr>
            <w:r>
              <w:rPr>
                <w:b/>
              </w:rPr>
              <w:t>2019- 2020</w:t>
            </w:r>
          </w:p>
        </w:tc>
        <w:tc>
          <w:tcPr>
            <w:tcW w:w="3795" w:type="dxa"/>
            <w:shd w:val="clear" w:color="auto" w:fill="auto"/>
            <w:tcMar>
              <w:top w:w="100" w:type="dxa"/>
              <w:left w:w="100" w:type="dxa"/>
              <w:bottom w:w="100" w:type="dxa"/>
              <w:right w:w="100" w:type="dxa"/>
            </w:tcMar>
          </w:tcPr>
          <w:p w14:paraId="73932B98" w14:textId="77777777" w:rsidR="00192B93" w:rsidRDefault="00192B93" w:rsidP="005F4629">
            <w:pPr>
              <w:widowControl w:val="0"/>
              <w:jc w:val="center"/>
              <w:rPr>
                <w:b/>
              </w:rPr>
            </w:pPr>
            <w:r>
              <w:rPr>
                <w:b/>
              </w:rPr>
              <w:t>8.9%</w:t>
            </w:r>
          </w:p>
        </w:tc>
        <w:tc>
          <w:tcPr>
            <w:tcW w:w="3645" w:type="dxa"/>
            <w:shd w:val="clear" w:color="auto" w:fill="auto"/>
            <w:tcMar>
              <w:top w:w="100" w:type="dxa"/>
              <w:left w:w="100" w:type="dxa"/>
              <w:bottom w:w="100" w:type="dxa"/>
              <w:right w:w="100" w:type="dxa"/>
            </w:tcMar>
          </w:tcPr>
          <w:p w14:paraId="6FFC4BBF" w14:textId="77777777" w:rsidR="00192B93" w:rsidRDefault="00192B93" w:rsidP="005F4629">
            <w:pPr>
              <w:widowControl w:val="0"/>
              <w:jc w:val="center"/>
              <w:rPr>
                <w:b/>
              </w:rPr>
            </w:pPr>
            <w:r>
              <w:rPr>
                <w:b/>
              </w:rPr>
              <w:t>10.8%</w:t>
            </w:r>
          </w:p>
        </w:tc>
      </w:tr>
      <w:tr w:rsidR="00192B93" w14:paraId="471FC2B1" w14:textId="77777777" w:rsidTr="005F4629">
        <w:tc>
          <w:tcPr>
            <w:tcW w:w="1920" w:type="dxa"/>
            <w:shd w:val="clear" w:color="auto" w:fill="auto"/>
            <w:tcMar>
              <w:top w:w="100" w:type="dxa"/>
              <w:left w:w="100" w:type="dxa"/>
              <w:bottom w:w="100" w:type="dxa"/>
              <w:right w:w="100" w:type="dxa"/>
            </w:tcMar>
          </w:tcPr>
          <w:p w14:paraId="4904FEA0" w14:textId="77777777" w:rsidR="00192B93" w:rsidRDefault="00192B93" w:rsidP="005F4629">
            <w:pPr>
              <w:widowControl w:val="0"/>
              <w:jc w:val="center"/>
              <w:rPr>
                <w:b/>
              </w:rPr>
            </w:pPr>
            <w:r>
              <w:rPr>
                <w:b/>
              </w:rPr>
              <w:t>2018- 2019</w:t>
            </w:r>
          </w:p>
        </w:tc>
        <w:tc>
          <w:tcPr>
            <w:tcW w:w="3795" w:type="dxa"/>
            <w:shd w:val="clear" w:color="auto" w:fill="auto"/>
            <w:tcMar>
              <w:top w:w="100" w:type="dxa"/>
              <w:left w:w="100" w:type="dxa"/>
              <w:bottom w:w="100" w:type="dxa"/>
              <w:right w:w="100" w:type="dxa"/>
            </w:tcMar>
          </w:tcPr>
          <w:p w14:paraId="5FA91072" w14:textId="77777777" w:rsidR="00192B93" w:rsidRDefault="00192B93" w:rsidP="005F4629">
            <w:pPr>
              <w:widowControl w:val="0"/>
              <w:jc w:val="center"/>
              <w:rPr>
                <w:b/>
              </w:rPr>
            </w:pPr>
            <w:r>
              <w:rPr>
                <w:b/>
              </w:rPr>
              <w:t>13%</w:t>
            </w:r>
          </w:p>
        </w:tc>
        <w:tc>
          <w:tcPr>
            <w:tcW w:w="3645" w:type="dxa"/>
            <w:shd w:val="clear" w:color="auto" w:fill="auto"/>
            <w:tcMar>
              <w:top w:w="100" w:type="dxa"/>
              <w:left w:w="100" w:type="dxa"/>
              <w:bottom w:w="100" w:type="dxa"/>
              <w:right w:w="100" w:type="dxa"/>
            </w:tcMar>
          </w:tcPr>
          <w:p w14:paraId="73E8DAD3" w14:textId="77777777" w:rsidR="00192B93" w:rsidRDefault="00192B93" w:rsidP="005F4629">
            <w:pPr>
              <w:widowControl w:val="0"/>
              <w:jc w:val="center"/>
              <w:rPr>
                <w:b/>
              </w:rPr>
            </w:pPr>
            <w:r>
              <w:rPr>
                <w:b/>
              </w:rPr>
              <w:t>10.5%</w:t>
            </w:r>
          </w:p>
        </w:tc>
      </w:tr>
      <w:tr w:rsidR="00192B93" w14:paraId="310F8E28" w14:textId="77777777" w:rsidTr="005F4629">
        <w:tc>
          <w:tcPr>
            <w:tcW w:w="1920" w:type="dxa"/>
            <w:shd w:val="clear" w:color="auto" w:fill="auto"/>
            <w:tcMar>
              <w:top w:w="100" w:type="dxa"/>
              <w:left w:w="100" w:type="dxa"/>
              <w:bottom w:w="100" w:type="dxa"/>
              <w:right w:w="100" w:type="dxa"/>
            </w:tcMar>
          </w:tcPr>
          <w:p w14:paraId="287CEBD3" w14:textId="77777777" w:rsidR="00192B93" w:rsidRDefault="00192B93" w:rsidP="005F4629">
            <w:pPr>
              <w:widowControl w:val="0"/>
              <w:jc w:val="center"/>
              <w:rPr>
                <w:b/>
              </w:rPr>
            </w:pPr>
            <w:r>
              <w:rPr>
                <w:b/>
              </w:rPr>
              <w:t>2018- 2017</w:t>
            </w:r>
          </w:p>
        </w:tc>
        <w:tc>
          <w:tcPr>
            <w:tcW w:w="3795" w:type="dxa"/>
            <w:shd w:val="clear" w:color="auto" w:fill="auto"/>
            <w:tcMar>
              <w:top w:w="100" w:type="dxa"/>
              <w:left w:w="100" w:type="dxa"/>
              <w:bottom w:w="100" w:type="dxa"/>
              <w:right w:w="100" w:type="dxa"/>
            </w:tcMar>
          </w:tcPr>
          <w:p w14:paraId="5B6FCA3A" w14:textId="77777777" w:rsidR="00192B93" w:rsidRDefault="00192B93" w:rsidP="005F4629">
            <w:pPr>
              <w:widowControl w:val="0"/>
              <w:jc w:val="center"/>
              <w:rPr>
                <w:b/>
              </w:rPr>
            </w:pPr>
            <w:r>
              <w:rPr>
                <w:b/>
              </w:rPr>
              <w:t>14.2%</w:t>
            </w:r>
          </w:p>
        </w:tc>
        <w:tc>
          <w:tcPr>
            <w:tcW w:w="3645" w:type="dxa"/>
            <w:shd w:val="clear" w:color="auto" w:fill="auto"/>
            <w:tcMar>
              <w:top w:w="100" w:type="dxa"/>
              <w:left w:w="100" w:type="dxa"/>
              <w:bottom w:w="100" w:type="dxa"/>
              <w:right w:w="100" w:type="dxa"/>
            </w:tcMar>
          </w:tcPr>
          <w:p w14:paraId="6AAE0555" w14:textId="77777777" w:rsidR="00192B93" w:rsidRDefault="00192B93" w:rsidP="005F4629">
            <w:pPr>
              <w:widowControl w:val="0"/>
              <w:jc w:val="center"/>
              <w:rPr>
                <w:b/>
              </w:rPr>
            </w:pPr>
            <w:r>
              <w:rPr>
                <w:b/>
              </w:rPr>
              <w:t>10.2%</w:t>
            </w:r>
          </w:p>
        </w:tc>
      </w:tr>
    </w:tbl>
    <w:p w14:paraId="3CCD6D2C" w14:textId="77777777" w:rsidR="00192B93" w:rsidRDefault="00192B93" w:rsidP="00192B93">
      <w:pPr>
        <w:rPr>
          <w:b/>
        </w:rPr>
      </w:pPr>
    </w:p>
    <w:p w14:paraId="6553D848" w14:textId="1FA2EA15" w:rsidR="0076100D" w:rsidRDefault="0076100D" w:rsidP="0076100D">
      <w:pPr>
        <w:widowControl w:val="0"/>
        <w:autoSpaceDE w:val="0"/>
        <w:autoSpaceDN w:val="0"/>
        <w:rPr>
          <w:rFonts w:ascii="Calibri" w:eastAsia="Calibri" w:hAnsi="Calibri" w:cs="Calibri"/>
          <w:sz w:val="22"/>
          <w:szCs w:val="22"/>
        </w:rPr>
      </w:pPr>
    </w:p>
    <w:p w14:paraId="47FAEA04" w14:textId="7FF072BE" w:rsidR="00192B93" w:rsidRDefault="00192B93" w:rsidP="0076100D">
      <w:pPr>
        <w:widowControl w:val="0"/>
        <w:autoSpaceDE w:val="0"/>
        <w:autoSpaceDN w:val="0"/>
        <w:rPr>
          <w:rFonts w:ascii="Calibri" w:eastAsia="Calibri" w:hAnsi="Calibri" w:cs="Calibri"/>
          <w:sz w:val="22"/>
          <w:szCs w:val="22"/>
        </w:rPr>
      </w:pPr>
    </w:p>
    <w:p w14:paraId="466ED451" w14:textId="24D3F37B" w:rsidR="00192B93" w:rsidRDefault="00192B93" w:rsidP="0076100D">
      <w:pPr>
        <w:widowControl w:val="0"/>
        <w:autoSpaceDE w:val="0"/>
        <w:autoSpaceDN w:val="0"/>
        <w:rPr>
          <w:rFonts w:ascii="Calibri" w:eastAsia="Calibri" w:hAnsi="Calibri" w:cs="Calibri"/>
          <w:sz w:val="22"/>
          <w:szCs w:val="22"/>
        </w:rPr>
      </w:pPr>
    </w:p>
    <w:p w14:paraId="7230772B" w14:textId="4858A362" w:rsidR="00192B93" w:rsidRDefault="00192B93" w:rsidP="0076100D">
      <w:pPr>
        <w:widowControl w:val="0"/>
        <w:autoSpaceDE w:val="0"/>
        <w:autoSpaceDN w:val="0"/>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76100D">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06AA835F" w14:textId="77777777" w:rsidR="00192B93" w:rsidRDefault="00192B93" w:rsidP="00192B93">
      <w:pPr>
        <w:rPr>
          <w:b/>
        </w:rPr>
      </w:pPr>
    </w:p>
    <w:p w14:paraId="77D256BA" w14:textId="3BFD7CD3" w:rsidR="00192B93" w:rsidRDefault="00192B93" w:rsidP="00192B93">
      <w:pPr>
        <w:rPr>
          <w:b/>
        </w:rPr>
      </w:pPr>
      <w:r>
        <w:rPr>
          <w:b/>
        </w:rPr>
        <w:t xml:space="preserve">Inclusion and co-teaching for students with disabilities and English language learners. </w:t>
      </w:r>
    </w:p>
    <w:p w14:paraId="5B5612E8" w14:textId="68F397BE" w:rsidR="00192B93" w:rsidRDefault="00192B93" w:rsidP="00192B93">
      <w:r>
        <w:t xml:space="preserve">Baystate Academy will evaluate the efficacy of their special education and English as a Second Language model of instruction to determine effectiveness and areas of growth. This process will include the use of a state-approved vendor.  In addition, we will implement system-wide professional development to support general education teacher instruction of special education students and English language learners with the implementation of universal instructional strategies. Furthermore, the district has partnered with a state-approved vendor to provide professional development on co-teaching models, strategies, and implementation. </w:t>
      </w:r>
    </w:p>
    <w:p w14:paraId="10203982" w14:textId="77777777" w:rsidR="00192B93" w:rsidRDefault="00192B93" w:rsidP="00192B93"/>
    <w:tbl>
      <w:tblPr>
        <w:tblW w:w="10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6"/>
        <w:gridCol w:w="1216"/>
        <w:gridCol w:w="5015"/>
      </w:tblGrid>
      <w:tr w:rsidR="00192B93" w14:paraId="37DCB69D" w14:textId="77777777" w:rsidTr="00A058D2">
        <w:trPr>
          <w:trHeight w:val="282"/>
        </w:trPr>
        <w:tc>
          <w:tcPr>
            <w:tcW w:w="4306" w:type="dxa"/>
            <w:shd w:val="clear" w:color="auto" w:fill="auto"/>
            <w:tcMar>
              <w:top w:w="100" w:type="dxa"/>
              <w:left w:w="100" w:type="dxa"/>
              <w:bottom w:w="100" w:type="dxa"/>
              <w:right w:w="100" w:type="dxa"/>
            </w:tcMar>
          </w:tcPr>
          <w:p w14:paraId="3F4AE0EE" w14:textId="77777777" w:rsidR="00192B93" w:rsidRPr="00A058D2" w:rsidRDefault="00192B93" w:rsidP="005F4629">
            <w:pPr>
              <w:widowControl w:val="0"/>
              <w:pBdr>
                <w:top w:val="nil"/>
                <w:left w:val="nil"/>
                <w:bottom w:val="nil"/>
                <w:right w:val="nil"/>
                <w:between w:val="nil"/>
              </w:pBdr>
              <w:jc w:val="center"/>
            </w:pPr>
            <w:r w:rsidRPr="00A058D2">
              <w:t>FY21 Budget Item</w:t>
            </w:r>
          </w:p>
        </w:tc>
        <w:tc>
          <w:tcPr>
            <w:tcW w:w="1215" w:type="dxa"/>
            <w:shd w:val="clear" w:color="auto" w:fill="auto"/>
            <w:tcMar>
              <w:top w:w="100" w:type="dxa"/>
              <w:left w:w="100" w:type="dxa"/>
              <w:bottom w:w="100" w:type="dxa"/>
              <w:right w:w="100" w:type="dxa"/>
            </w:tcMar>
          </w:tcPr>
          <w:p w14:paraId="36A3E6D9" w14:textId="77777777" w:rsidR="00192B93" w:rsidRPr="00A058D2" w:rsidRDefault="00192B93" w:rsidP="005F4629">
            <w:pPr>
              <w:widowControl w:val="0"/>
              <w:pBdr>
                <w:top w:val="nil"/>
                <w:left w:val="nil"/>
                <w:bottom w:val="nil"/>
                <w:right w:val="nil"/>
                <w:between w:val="nil"/>
              </w:pBdr>
              <w:jc w:val="center"/>
            </w:pPr>
            <w:r w:rsidRPr="00A058D2">
              <w:t>Amount</w:t>
            </w:r>
          </w:p>
        </w:tc>
        <w:tc>
          <w:tcPr>
            <w:tcW w:w="5015" w:type="dxa"/>
            <w:shd w:val="clear" w:color="auto" w:fill="auto"/>
            <w:tcMar>
              <w:top w:w="100" w:type="dxa"/>
              <w:left w:w="100" w:type="dxa"/>
              <w:bottom w:w="100" w:type="dxa"/>
              <w:right w:w="100" w:type="dxa"/>
            </w:tcMar>
          </w:tcPr>
          <w:p w14:paraId="48DBEB3F" w14:textId="77777777" w:rsidR="00192B93" w:rsidRPr="00A058D2" w:rsidRDefault="00192B93" w:rsidP="005F4629">
            <w:pPr>
              <w:widowControl w:val="0"/>
              <w:pBdr>
                <w:top w:val="nil"/>
                <w:left w:val="nil"/>
                <w:bottom w:val="nil"/>
                <w:right w:val="nil"/>
                <w:between w:val="nil"/>
              </w:pBdr>
              <w:jc w:val="center"/>
            </w:pPr>
            <w:r w:rsidRPr="00A058D2">
              <w:t>Foundation Category</w:t>
            </w:r>
          </w:p>
        </w:tc>
      </w:tr>
      <w:tr w:rsidR="00192B93" w14:paraId="7C156903" w14:textId="77777777" w:rsidTr="00A058D2">
        <w:trPr>
          <w:trHeight w:val="555"/>
        </w:trPr>
        <w:tc>
          <w:tcPr>
            <w:tcW w:w="4306" w:type="dxa"/>
            <w:shd w:val="clear" w:color="auto" w:fill="auto"/>
            <w:tcMar>
              <w:top w:w="100" w:type="dxa"/>
              <w:left w:w="100" w:type="dxa"/>
              <w:bottom w:w="100" w:type="dxa"/>
              <w:right w:w="100" w:type="dxa"/>
            </w:tcMar>
          </w:tcPr>
          <w:p w14:paraId="29568000" w14:textId="77777777" w:rsidR="00192B93" w:rsidRPr="00A058D2" w:rsidRDefault="00192B93" w:rsidP="005F4629">
            <w:pPr>
              <w:widowControl w:val="0"/>
              <w:pBdr>
                <w:top w:val="nil"/>
                <w:left w:val="nil"/>
                <w:bottom w:val="nil"/>
                <w:right w:val="nil"/>
                <w:between w:val="nil"/>
              </w:pBdr>
            </w:pPr>
            <w:r w:rsidRPr="00A058D2">
              <w:t>Inclusion teachers (2)</w:t>
            </w:r>
          </w:p>
        </w:tc>
        <w:tc>
          <w:tcPr>
            <w:tcW w:w="1215" w:type="dxa"/>
            <w:shd w:val="clear" w:color="auto" w:fill="auto"/>
            <w:tcMar>
              <w:top w:w="100" w:type="dxa"/>
              <w:left w:w="100" w:type="dxa"/>
              <w:bottom w:w="100" w:type="dxa"/>
              <w:right w:w="100" w:type="dxa"/>
            </w:tcMar>
          </w:tcPr>
          <w:p w14:paraId="7679471B" w14:textId="77777777" w:rsidR="00192B93" w:rsidRPr="00A058D2" w:rsidRDefault="00192B93" w:rsidP="005F4629">
            <w:pPr>
              <w:widowControl w:val="0"/>
              <w:pBdr>
                <w:top w:val="nil"/>
                <w:left w:val="nil"/>
                <w:bottom w:val="nil"/>
                <w:right w:val="nil"/>
                <w:between w:val="nil"/>
              </w:pBdr>
            </w:pPr>
            <w:r w:rsidRPr="00A058D2">
              <w:t>$160,000</w:t>
            </w:r>
          </w:p>
        </w:tc>
        <w:tc>
          <w:tcPr>
            <w:tcW w:w="5015" w:type="dxa"/>
            <w:shd w:val="clear" w:color="auto" w:fill="auto"/>
            <w:tcMar>
              <w:top w:w="100" w:type="dxa"/>
              <w:left w:w="100" w:type="dxa"/>
              <w:bottom w:w="100" w:type="dxa"/>
              <w:right w:w="100" w:type="dxa"/>
            </w:tcMar>
          </w:tcPr>
          <w:p w14:paraId="25A9BF1C" w14:textId="77777777" w:rsidR="00192B93" w:rsidRPr="00A058D2" w:rsidRDefault="00192B93" w:rsidP="005F4629">
            <w:pPr>
              <w:widowControl w:val="0"/>
              <w:pBdr>
                <w:top w:val="nil"/>
                <w:left w:val="nil"/>
                <w:bottom w:val="nil"/>
                <w:right w:val="nil"/>
                <w:between w:val="nil"/>
              </w:pBdr>
            </w:pPr>
            <w:r w:rsidRPr="00A058D2">
              <w:t>Specialist teachers, employee benefits/fixed charges</w:t>
            </w:r>
          </w:p>
        </w:tc>
      </w:tr>
      <w:tr w:rsidR="00192B93" w14:paraId="01A7AB6A" w14:textId="77777777" w:rsidTr="00A058D2">
        <w:trPr>
          <w:trHeight w:val="272"/>
        </w:trPr>
        <w:tc>
          <w:tcPr>
            <w:tcW w:w="4306" w:type="dxa"/>
            <w:shd w:val="clear" w:color="auto" w:fill="auto"/>
            <w:tcMar>
              <w:top w:w="100" w:type="dxa"/>
              <w:left w:w="100" w:type="dxa"/>
              <w:bottom w:w="100" w:type="dxa"/>
              <w:right w:w="100" w:type="dxa"/>
            </w:tcMar>
          </w:tcPr>
          <w:p w14:paraId="5C6AA21B" w14:textId="77777777" w:rsidR="00192B93" w:rsidRPr="00A058D2" w:rsidRDefault="00192B93" w:rsidP="005F4629">
            <w:pPr>
              <w:widowControl w:val="0"/>
              <w:pBdr>
                <w:top w:val="nil"/>
                <w:left w:val="nil"/>
                <w:bottom w:val="nil"/>
                <w:right w:val="nil"/>
                <w:between w:val="nil"/>
              </w:pBdr>
            </w:pPr>
            <w:r w:rsidRPr="00A058D2">
              <w:t>Co-teaching PD</w:t>
            </w:r>
          </w:p>
        </w:tc>
        <w:tc>
          <w:tcPr>
            <w:tcW w:w="1215" w:type="dxa"/>
            <w:shd w:val="clear" w:color="auto" w:fill="auto"/>
            <w:tcMar>
              <w:top w:w="100" w:type="dxa"/>
              <w:left w:w="100" w:type="dxa"/>
              <w:bottom w:w="100" w:type="dxa"/>
              <w:right w:w="100" w:type="dxa"/>
            </w:tcMar>
          </w:tcPr>
          <w:p w14:paraId="01D9D621" w14:textId="77777777" w:rsidR="00192B93" w:rsidRPr="00A058D2" w:rsidRDefault="00192B93" w:rsidP="005F4629">
            <w:pPr>
              <w:widowControl w:val="0"/>
              <w:pBdr>
                <w:top w:val="nil"/>
                <w:left w:val="nil"/>
                <w:bottom w:val="nil"/>
                <w:right w:val="nil"/>
                <w:between w:val="nil"/>
              </w:pBdr>
            </w:pPr>
            <w:r w:rsidRPr="00A058D2">
              <w:t>$50,000</w:t>
            </w:r>
          </w:p>
        </w:tc>
        <w:tc>
          <w:tcPr>
            <w:tcW w:w="5015" w:type="dxa"/>
            <w:shd w:val="clear" w:color="auto" w:fill="auto"/>
            <w:tcMar>
              <w:top w:w="100" w:type="dxa"/>
              <w:left w:w="100" w:type="dxa"/>
              <w:bottom w:w="100" w:type="dxa"/>
              <w:right w:w="100" w:type="dxa"/>
            </w:tcMar>
          </w:tcPr>
          <w:p w14:paraId="1CF86E2E" w14:textId="77777777" w:rsidR="00192B93" w:rsidRPr="00A058D2" w:rsidRDefault="00192B93" w:rsidP="005F4629">
            <w:pPr>
              <w:widowControl w:val="0"/>
              <w:pBdr>
                <w:top w:val="nil"/>
                <w:left w:val="nil"/>
                <w:bottom w:val="nil"/>
                <w:right w:val="nil"/>
                <w:between w:val="nil"/>
              </w:pBdr>
            </w:pPr>
            <w:r w:rsidRPr="00A058D2">
              <w:t xml:space="preserve">Professional development </w:t>
            </w:r>
          </w:p>
        </w:tc>
      </w:tr>
      <w:tr w:rsidR="00192B93" w14:paraId="7BCBB98C" w14:textId="77777777" w:rsidTr="00A058D2">
        <w:trPr>
          <w:trHeight w:val="403"/>
        </w:trPr>
        <w:tc>
          <w:tcPr>
            <w:tcW w:w="5522" w:type="dxa"/>
            <w:gridSpan w:val="2"/>
            <w:shd w:val="clear" w:color="auto" w:fill="auto"/>
            <w:tcMar>
              <w:top w:w="100" w:type="dxa"/>
              <w:left w:w="100" w:type="dxa"/>
              <w:bottom w:w="100" w:type="dxa"/>
              <w:right w:w="100" w:type="dxa"/>
            </w:tcMar>
          </w:tcPr>
          <w:p w14:paraId="1867BDAE" w14:textId="77777777" w:rsidR="00192B93" w:rsidRPr="00A058D2" w:rsidRDefault="00192B93" w:rsidP="005F4629">
            <w:pPr>
              <w:widowControl w:val="0"/>
              <w:pBdr>
                <w:top w:val="nil"/>
                <w:left w:val="nil"/>
                <w:bottom w:val="nil"/>
                <w:right w:val="nil"/>
                <w:between w:val="nil"/>
              </w:pBdr>
            </w:pPr>
            <w:r w:rsidRPr="00A058D2">
              <w:t>Evidence-based program identified by DESE</w:t>
            </w:r>
          </w:p>
        </w:tc>
        <w:tc>
          <w:tcPr>
            <w:tcW w:w="5015" w:type="dxa"/>
            <w:shd w:val="clear" w:color="auto" w:fill="auto"/>
            <w:tcMar>
              <w:top w:w="100" w:type="dxa"/>
              <w:left w:w="100" w:type="dxa"/>
              <w:bottom w:w="100" w:type="dxa"/>
              <w:right w:w="100" w:type="dxa"/>
            </w:tcMar>
          </w:tcPr>
          <w:p w14:paraId="5EE46A37" w14:textId="77777777" w:rsidR="00192B93" w:rsidRPr="00A058D2" w:rsidRDefault="00192B93" w:rsidP="005F4629">
            <w:pPr>
              <w:widowControl w:val="0"/>
              <w:pBdr>
                <w:top w:val="nil"/>
                <w:left w:val="nil"/>
                <w:bottom w:val="nil"/>
                <w:right w:val="nil"/>
                <w:between w:val="nil"/>
              </w:pBdr>
            </w:pPr>
            <w:r w:rsidRPr="00A058D2">
              <w:t>Inclusion/co-teaching for SPED/ELL students</w:t>
            </w:r>
          </w:p>
        </w:tc>
      </w:tr>
      <w:tr w:rsidR="00192B93" w14:paraId="5D4B2F84" w14:textId="77777777" w:rsidTr="00A058D2">
        <w:trPr>
          <w:trHeight w:val="403"/>
        </w:trPr>
        <w:tc>
          <w:tcPr>
            <w:tcW w:w="5522" w:type="dxa"/>
            <w:gridSpan w:val="2"/>
            <w:shd w:val="clear" w:color="auto" w:fill="auto"/>
            <w:tcMar>
              <w:top w:w="100" w:type="dxa"/>
              <w:left w:w="100" w:type="dxa"/>
              <w:bottom w:w="100" w:type="dxa"/>
              <w:right w:w="100" w:type="dxa"/>
            </w:tcMar>
          </w:tcPr>
          <w:p w14:paraId="519A383A" w14:textId="77777777" w:rsidR="00192B93" w:rsidRPr="00A058D2" w:rsidRDefault="00192B93" w:rsidP="005F4629">
            <w:pPr>
              <w:widowControl w:val="0"/>
              <w:pBdr>
                <w:top w:val="nil"/>
                <w:left w:val="nil"/>
                <w:bottom w:val="nil"/>
                <w:right w:val="nil"/>
                <w:between w:val="nil"/>
              </w:pBdr>
            </w:pPr>
            <w:r w:rsidRPr="00A058D2">
              <w:t>SOA program category</w:t>
            </w:r>
          </w:p>
        </w:tc>
        <w:tc>
          <w:tcPr>
            <w:tcW w:w="5015" w:type="dxa"/>
            <w:shd w:val="clear" w:color="auto" w:fill="auto"/>
            <w:tcMar>
              <w:top w:w="100" w:type="dxa"/>
              <w:left w:w="100" w:type="dxa"/>
              <w:bottom w:w="100" w:type="dxa"/>
              <w:right w:w="100" w:type="dxa"/>
            </w:tcMar>
          </w:tcPr>
          <w:p w14:paraId="246BF964" w14:textId="1547DFEE" w:rsidR="00192B93" w:rsidRPr="00A058D2" w:rsidRDefault="00192B93" w:rsidP="005F4629">
            <w:pPr>
              <w:widowControl w:val="0"/>
              <w:pBdr>
                <w:top w:val="nil"/>
                <w:left w:val="nil"/>
                <w:bottom w:val="nil"/>
                <w:right w:val="nil"/>
                <w:between w:val="nil"/>
              </w:pBdr>
            </w:pPr>
            <w:r w:rsidRPr="00A058D2">
              <w:t>D (hiring school personnel) an</w:t>
            </w:r>
            <w:r w:rsidR="00FE6AC1" w:rsidRPr="00A058D2">
              <w:t>d</w:t>
            </w:r>
            <w:r w:rsidRPr="00A058D2">
              <w:t xml:space="preserve"> E (PD)</w:t>
            </w:r>
          </w:p>
        </w:tc>
      </w:tr>
    </w:tbl>
    <w:p w14:paraId="286AD204" w14:textId="77777777" w:rsidR="00192B93" w:rsidRDefault="00192B93" w:rsidP="00192B93"/>
    <w:p w14:paraId="2507AEFC" w14:textId="77777777" w:rsidR="00192B93" w:rsidRDefault="00192B93" w:rsidP="00192B93">
      <w:pPr>
        <w:rPr>
          <w:b/>
        </w:rPr>
      </w:pPr>
      <w:r>
        <w:rPr>
          <w:b/>
        </w:rPr>
        <w:t xml:space="preserve">Continue the use of supplemental academic supports for targeted </w:t>
      </w:r>
      <w:proofErr w:type="gramStart"/>
      <w:r>
        <w:rPr>
          <w:b/>
        </w:rPr>
        <w:t>subgroups</w:t>
      </w:r>
      <w:proofErr w:type="gramEnd"/>
    </w:p>
    <w:p w14:paraId="32D0B09F" w14:textId="195F0B71" w:rsidR="00192B93" w:rsidRDefault="00192B93" w:rsidP="00192B93">
      <w:r>
        <w:t xml:space="preserve">Increase supplemental services for additional academic support outside of the school day through the use of special education tutoring services will continue for the next three years.  An addition of academic enrichment courses will be used to support language development and mathematics fluency for grades 6th- 9th with the support of paraprofessionals. This will include increasing staff in the special education and English language </w:t>
      </w:r>
      <w:proofErr w:type="gramStart"/>
      <w:r>
        <w:t>learners</w:t>
      </w:r>
      <w:proofErr w:type="gramEnd"/>
      <w:r>
        <w:t xml:space="preserve"> department.  BACPS will continue its work to support educators to implement the high-quality aligned curriculum to accelerate and remediate student learning as determined by</w:t>
      </w:r>
      <w:r w:rsidR="00FE6AC1">
        <w:t xml:space="preserve"> assessment data. </w:t>
      </w:r>
    </w:p>
    <w:p w14:paraId="0B148AA6" w14:textId="77777777" w:rsidR="00192B93" w:rsidRDefault="00192B93" w:rsidP="00192B93"/>
    <w:tbl>
      <w:tblPr>
        <w:tblW w:w="10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4"/>
        <w:gridCol w:w="1134"/>
        <w:gridCol w:w="5110"/>
      </w:tblGrid>
      <w:tr w:rsidR="00192B93" w14:paraId="5ADD1711" w14:textId="77777777" w:rsidTr="00A058D2">
        <w:trPr>
          <w:trHeight w:val="260"/>
        </w:trPr>
        <w:tc>
          <w:tcPr>
            <w:tcW w:w="4314" w:type="dxa"/>
            <w:shd w:val="clear" w:color="auto" w:fill="auto"/>
            <w:tcMar>
              <w:top w:w="100" w:type="dxa"/>
              <w:left w:w="100" w:type="dxa"/>
              <w:bottom w:w="100" w:type="dxa"/>
              <w:right w:w="100" w:type="dxa"/>
            </w:tcMar>
          </w:tcPr>
          <w:p w14:paraId="2E17AF57" w14:textId="77777777" w:rsidR="00192B93" w:rsidRPr="00A058D2" w:rsidRDefault="00192B93" w:rsidP="005F4629">
            <w:pPr>
              <w:widowControl w:val="0"/>
              <w:jc w:val="center"/>
            </w:pPr>
            <w:r w:rsidRPr="00A058D2">
              <w:t>FY21 Budget Item</w:t>
            </w:r>
          </w:p>
        </w:tc>
        <w:tc>
          <w:tcPr>
            <w:tcW w:w="1133" w:type="dxa"/>
            <w:shd w:val="clear" w:color="auto" w:fill="auto"/>
            <w:tcMar>
              <w:top w:w="100" w:type="dxa"/>
              <w:left w:w="100" w:type="dxa"/>
              <w:bottom w:w="100" w:type="dxa"/>
              <w:right w:w="100" w:type="dxa"/>
            </w:tcMar>
          </w:tcPr>
          <w:p w14:paraId="5DAE5673" w14:textId="77777777" w:rsidR="00192B93" w:rsidRPr="00A058D2" w:rsidRDefault="00192B93" w:rsidP="005F4629">
            <w:pPr>
              <w:widowControl w:val="0"/>
              <w:jc w:val="center"/>
            </w:pPr>
            <w:r w:rsidRPr="00A058D2">
              <w:t>Amount</w:t>
            </w:r>
          </w:p>
        </w:tc>
        <w:tc>
          <w:tcPr>
            <w:tcW w:w="5110" w:type="dxa"/>
            <w:shd w:val="clear" w:color="auto" w:fill="auto"/>
            <w:tcMar>
              <w:top w:w="100" w:type="dxa"/>
              <w:left w:w="100" w:type="dxa"/>
              <w:bottom w:w="100" w:type="dxa"/>
              <w:right w:w="100" w:type="dxa"/>
            </w:tcMar>
          </w:tcPr>
          <w:p w14:paraId="04375C50" w14:textId="77777777" w:rsidR="00192B93" w:rsidRPr="00A058D2" w:rsidRDefault="00192B93" w:rsidP="005F4629">
            <w:pPr>
              <w:widowControl w:val="0"/>
              <w:jc w:val="center"/>
            </w:pPr>
            <w:r w:rsidRPr="00A058D2">
              <w:t>Foundation Category</w:t>
            </w:r>
          </w:p>
        </w:tc>
      </w:tr>
      <w:tr w:rsidR="00192B93" w14:paraId="27B6B780" w14:textId="77777777" w:rsidTr="00A058D2">
        <w:trPr>
          <w:trHeight w:val="511"/>
        </w:trPr>
        <w:tc>
          <w:tcPr>
            <w:tcW w:w="4314" w:type="dxa"/>
            <w:shd w:val="clear" w:color="auto" w:fill="auto"/>
            <w:tcMar>
              <w:top w:w="100" w:type="dxa"/>
              <w:left w:w="100" w:type="dxa"/>
              <w:bottom w:w="100" w:type="dxa"/>
              <w:right w:w="100" w:type="dxa"/>
            </w:tcMar>
          </w:tcPr>
          <w:p w14:paraId="6ECAD53E" w14:textId="0C7D568A" w:rsidR="00192B93" w:rsidRPr="00A058D2" w:rsidRDefault="00192B93" w:rsidP="005F4629">
            <w:pPr>
              <w:widowControl w:val="0"/>
            </w:pPr>
            <w:r w:rsidRPr="00A058D2">
              <w:t>Para</w:t>
            </w:r>
            <w:r w:rsidR="00C415A8" w:rsidRPr="00A058D2">
              <w:t>-professional (</w:t>
            </w:r>
            <w:r w:rsidRPr="00A058D2">
              <w:t>3)</w:t>
            </w:r>
          </w:p>
        </w:tc>
        <w:tc>
          <w:tcPr>
            <w:tcW w:w="1133" w:type="dxa"/>
            <w:shd w:val="clear" w:color="auto" w:fill="auto"/>
            <w:tcMar>
              <w:top w:w="100" w:type="dxa"/>
              <w:left w:w="100" w:type="dxa"/>
              <w:bottom w:w="100" w:type="dxa"/>
              <w:right w:w="100" w:type="dxa"/>
            </w:tcMar>
          </w:tcPr>
          <w:p w14:paraId="7663A534" w14:textId="77777777" w:rsidR="00192B93" w:rsidRPr="00A058D2" w:rsidRDefault="00192B93" w:rsidP="005F4629">
            <w:pPr>
              <w:widowControl w:val="0"/>
            </w:pPr>
            <w:r w:rsidRPr="00A058D2">
              <w:t>$150,000</w:t>
            </w:r>
          </w:p>
        </w:tc>
        <w:tc>
          <w:tcPr>
            <w:tcW w:w="5110" w:type="dxa"/>
            <w:shd w:val="clear" w:color="auto" w:fill="auto"/>
            <w:tcMar>
              <w:top w:w="100" w:type="dxa"/>
              <w:left w:w="100" w:type="dxa"/>
              <w:bottom w:w="100" w:type="dxa"/>
              <w:right w:w="100" w:type="dxa"/>
            </w:tcMar>
          </w:tcPr>
          <w:p w14:paraId="67C5BB7E" w14:textId="77777777" w:rsidR="00192B93" w:rsidRPr="00A058D2" w:rsidRDefault="00192B93" w:rsidP="005F4629">
            <w:pPr>
              <w:widowControl w:val="0"/>
            </w:pPr>
            <w:r w:rsidRPr="00A058D2">
              <w:t>SPED/ELL paraprofessionals, employee benefits/fixed charges</w:t>
            </w:r>
          </w:p>
        </w:tc>
      </w:tr>
      <w:tr w:rsidR="00192B93" w14:paraId="594B7757" w14:textId="77777777" w:rsidTr="00A058D2">
        <w:trPr>
          <w:trHeight w:val="251"/>
        </w:trPr>
        <w:tc>
          <w:tcPr>
            <w:tcW w:w="4314" w:type="dxa"/>
            <w:shd w:val="clear" w:color="auto" w:fill="auto"/>
            <w:tcMar>
              <w:top w:w="100" w:type="dxa"/>
              <w:left w:w="100" w:type="dxa"/>
              <w:bottom w:w="100" w:type="dxa"/>
              <w:right w:w="100" w:type="dxa"/>
            </w:tcMar>
          </w:tcPr>
          <w:p w14:paraId="27AA8477" w14:textId="77777777" w:rsidR="00192B93" w:rsidRPr="00A058D2" w:rsidRDefault="00192B93" w:rsidP="005F4629">
            <w:pPr>
              <w:widowControl w:val="0"/>
            </w:pPr>
            <w:r w:rsidRPr="00A058D2">
              <w:t>Curriculum development</w:t>
            </w:r>
          </w:p>
        </w:tc>
        <w:tc>
          <w:tcPr>
            <w:tcW w:w="1133" w:type="dxa"/>
            <w:shd w:val="clear" w:color="auto" w:fill="auto"/>
            <w:tcMar>
              <w:top w:w="100" w:type="dxa"/>
              <w:left w:w="100" w:type="dxa"/>
              <w:bottom w:w="100" w:type="dxa"/>
              <w:right w:w="100" w:type="dxa"/>
            </w:tcMar>
          </w:tcPr>
          <w:p w14:paraId="53A89056" w14:textId="77777777" w:rsidR="00192B93" w:rsidRPr="00A058D2" w:rsidRDefault="00192B93" w:rsidP="005F4629">
            <w:pPr>
              <w:widowControl w:val="0"/>
            </w:pPr>
            <w:r w:rsidRPr="00A058D2">
              <w:t>$10,000</w:t>
            </w:r>
          </w:p>
        </w:tc>
        <w:tc>
          <w:tcPr>
            <w:tcW w:w="5110" w:type="dxa"/>
            <w:shd w:val="clear" w:color="auto" w:fill="auto"/>
            <w:tcMar>
              <w:top w:w="100" w:type="dxa"/>
              <w:left w:w="100" w:type="dxa"/>
              <w:bottom w:w="100" w:type="dxa"/>
              <w:right w:w="100" w:type="dxa"/>
            </w:tcMar>
          </w:tcPr>
          <w:p w14:paraId="04B61B8C" w14:textId="77777777" w:rsidR="00192B93" w:rsidRPr="00A058D2" w:rsidRDefault="00192B93" w:rsidP="005F4629">
            <w:pPr>
              <w:widowControl w:val="0"/>
            </w:pPr>
            <w:r w:rsidRPr="00A058D2">
              <w:t xml:space="preserve">Professional development </w:t>
            </w:r>
          </w:p>
        </w:tc>
      </w:tr>
      <w:tr w:rsidR="00192B93" w14:paraId="5C9ACE0F" w14:textId="77777777" w:rsidTr="00A058D2">
        <w:trPr>
          <w:trHeight w:val="372"/>
        </w:trPr>
        <w:tc>
          <w:tcPr>
            <w:tcW w:w="5448" w:type="dxa"/>
            <w:gridSpan w:val="2"/>
            <w:shd w:val="clear" w:color="auto" w:fill="auto"/>
            <w:tcMar>
              <w:top w:w="100" w:type="dxa"/>
              <w:left w:w="100" w:type="dxa"/>
              <w:bottom w:w="100" w:type="dxa"/>
              <w:right w:w="100" w:type="dxa"/>
            </w:tcMar>
          </w:tcPr>
          <w:p w14:paraId="3F2E2843" w14:textId="77777777" w:rsidR="00192B93" w:rsidRPr="00A058D2" w:rsidRDefault="00192B93" w:rsidP="005F4629">
            <w:pPr>
              <w:widowControl w:val="0"/>
            </w:pPr>
            <w:r w:rsidRPr="00A058D2">
              <w:t>Evidence-based program identified by DESE</w:t>
            </w:r>
          </w:p>
        </w:tc>
        <w:tc>
          <w:tcPr>
            <w:tcW w:w="5110" w:type="dxa"/>
            <w:shd w:val="clear" w:color="auto" w:fill="auto"/>
            <w:tcMar>
              <w:top w:w="100" w:type="dxa"/>
              <w:left w:w="100" w:type="dxa"/>
              <w:bottom w:w="100" w:type="dxa"/>
              <w:right w:w="100" w:type="dxa"/>
            </w:tcMar>
          </w:tcPr>
          <w:p w14:paraId="68CB5C24" w14:textId="5E4EE3F0" w:rsidR="00192B93" w:rsidRPr="00A058D2" w:rsidRDefault="00192B93" w:rsidP="005F4629">
            <w:pPr>
              <w:widowControl w:val="0"/>
            </w:pPr>
            <w:r w:rsidRPr="00A058D2">
              <w:t xml:space="preserve">Increased personnel and services to support holistic </w:t>
            </w:r>
            <w:r w:rsidR="00C415A8" w:rsidRPr="00A058D2">
              <w:t>student’s</w:t>
            </w:r>
            <w:r w:rsidRPr="00A058D2">
              <w:t xml:space="preserve"> needs (C and D)</w:t>
            </w:r>
          </w:p>
        </w:tc>
      </w:tr>
      <w:tr w:rsidR="00192B93" w14:paraId="693A1949" w14:textId="77777777" w:rsidTr="00A058D2">
        <w:trPr>
          <w:trHeight w:val="372"/>
        </w:trPr>
        <w:tc>
          <w:tcPr>
            <w:tcW w:w="5448" w:type="dxa"/>
            <w:gridSpan w:val="2"/>
            <w:shd w:val="clear" w:color="auto" w:fill="auto"/>
            <w:tcMar>
              <w:top w:w="100" w:type="dxa"/>
              <w:left w:w="100" w:type="dxa"/>
              <w:bottom w:w="100" w:type="dxa"/>
              <w:right w:w="100" w:type="dxa"/>
            </w:tcMar>
          </w:tcPr>
          <w:p w14:paraId="39DFEE64" w14:textId="77777777" w:rsidR="00192B93" w:rsidRPr="00A058D2" w:rsidRDefault="00192B93" w:rsidP="005F4629">
            <w:pPr>
              <w:widowControl w:val="0"/>
            </w:pPr>
            <w:r w:rsidRPr="00A058D2">
              <w:t>SOA program category</w:t>
            </w:r>
          </w:p>
        </w:tc>
        <w:tc>
          <w:tcPr>
            <w:tcW w:w="5110" w:type="dxa"/>
            <w:shd w:val="clear" w:color="auto" w:fill="auto"/>
            <w:tcMar>
              <w:top w:w="100" w:type="dxa"/>
              <w:left w:w="100" w:type="dxa"/>
              <w:bottom w:w="100" w:type="dxa"/>
              <w:right w:w="100" w:type="dxa"/>
            </w:tcMar>
          </w:tcPr>
          <w:p w14:paraId="5EC93D1B" w14:textId="69153689" w:rsidR="00192B93" w:rsidRPr="00A058D2" w:rsidRDefault="00192B93" w:rsidP="005F4629">
            <w:pPr>
              <w:widowControl w:val="0"/>
            </w:pPr>
            <w:r w:rsidRPr="00A058D2">
              <w:t>D (hiring school personnel) an F</w:t>
            </w:r>
            <w:r w:rsidR="00FC745A">
              <w:t xml:space="preserve"> </w:t>
            </w:r>
            <w:r w:rsidRPr="00A058D2">
              <w:t>(purchase of curriculum material)</w:t>
            </w:r>
          </w:p>
        </w:tc>
      </w:tr>
    </w:tbl>
    <w:p w14:paraId="51C0CB20" w14:textId="0D2852B8" w:rsidR="00625226" w:rsidRDefault="00625226" w:rsidP="0076100D">
      <w:pPr>
        <w:widowControl w:val="0"/>
        <w:autoSpaceDE w:val="0"/>
        <w:autoSpaceDN w:val="0"/>
        <w:rPr>
          <w:rFonts w:ascii="Calibri" w:eastAsia="Calibri" w:hAnsi="Calibri" w:cs="Calibri"/>
          <w:b/>
          <w:bCs/>
          <w:sz w:val="22"/>
          <w:szCs w:val="22"/>
        </w:rPr>
      </w:pPr>
    </w:p>
    <w:p w14:paraId="35E2B165" w14:textId="77777777"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7583622B" w14:textId="101FA16C" w:rsidR="00B45955" w:rsidRDefault="00B45955" w:rsidP="00B45955">
      <w:pPr>
        <w:rPr>
          <w:b/>
        </w:rPr>
      </w:pPr>
    </w:p>
    <w:p w14:paraId="2880675B" w14:textId="6C8839C1" w:rsidR="00EB77B6" w:rsidRPr="00EB77B6" w:rsidRDefault="00EB77B6" w:rsidP="00EB77B6">
      <w:pPr>
        <w:widowControl w:val="0"/>
        <w:autoSpaceDE w:val="0"/>
        <w:autoSpaceDN w:val="0"/>
        <w:spacing w:before="73"/>
        <w:ind w:left="107" w:right="344"/>
        <w:outlineLvl w:val="5"/>
        <w:rPr>
          <w:rFonts w:ascii="Calibri" w:eastAsia="Calibri" w:hAnsi="Calibri" w:cs="Calibri"/>
          <w:b/>
          <w:bCs/>
          <w:color w:val="1F3863"/>
          <w:sz w:val="23"/>
          <w:szCs w:val="23"/>
        </w:rPr>
      </w:pPr>
      <w:r w:rsidRPr="00EB77B6">
        <w:rPr>
          <w:rFonts w:ascii="Calibri" w:eastAsia="Calibri" w:hAnsi="Calibri" w:cs="Calibri"/>
          <w:b/>
          <w:bCs/>
          <w:color w:val="1F3863"/>
          <w:sz w:val="23"/>
          <w:szCs w:val="23"/>
        </w:rPr>
        <w:t>What</w:t>
      </w:r>
      <w:r>
        <w:rPr>
          <w:rFonts w:ascii="Calibri" w:eastAsia="Calibri" w:hAnsi="Calibri" w:cs="Calibri"/>
          <w:b/>
          <w:bCs/>
          <w:color w:val="1F3863"/>
          <w:sz w:val="23"/>
          <w:szCs w:val="23"/>
        </w:rPr>
        <w:t xml:space="preserve"> metrics will your district use to monitor success in reducing disparities in achievement among student subgroups?</w:t>
      </w:r>
    </w:p>
    <w:p w14:paraId="21E9599D" w14:textId="77777777" w:rsidR="00EB77B6" w:rsidRDefault="00EB77B6" w:rsidP="00B45955">
      <w:pPr>
        <w:rPr>
          <w:b/>
        </w:rPr>
      </w:pPr>
    </w:p>
    <w:tbl>
      <w:tblPr>
        <w:tblW w:w="10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4"/>
        <w:gridCol w:w="5244"/>
      </w:tblGrid>
      <w:tr w:rsidR="00B45955" w14:paraId="374310A1" w14:textId="77777777" w:rsidTr="00A058D2">
        <w:trPr>
          <w:trHeight w:val="282"/>
        </w:trPr>
        <w:tc>
          <w:tcPr>
            <w:tcW w:w="5244" w:type="dxa"/>
            <w:shd w:val="clear" w:color="auto" w:fill="auto"/>
            <w:tcMar>
              <w:top w:w="100" w:type="dxa"/>
              <w:left w:w="100" w:type="dxa"/>
              <w:bottom w:w="100" w:type="dxa"/>
              <w:right w:w="100" w:type="dxa"/>
            </w:tcMar>
          </w:tcPr>
          <w:p w14:paraId="4C59F3BC" w14:textId="2DF8160C" w:rsidR="00B45955" w:rsidRDefault="00B45955" w:rsidP="00A058D2">
            <w:pPr>
              <w:widowControl w:val="0"/>
              <w:pBdr>
                <w:top w:val="nil"/>
                <w:left w:val="nil"/>
                <w:bottom w:val="nil"/>
                <w:right w:val="nil"/>
                <w:between w:val="nil"/>
              </w:pBdr>
              <w:jc w:val="center"/>
              <w:rPr>
                <w:b/>
              </w:rPr>
            </w:pPr>
            <w:r>
              <w:rPr>
                <w:b/>
              </w:rPr>
              <w:t>DESE Metric</w:t>
            </w:r>
          </w:p>
        </w:tc>
        <w:tc>
          <w:tcPr>
            <w:tcW w:w="5244" w:type="dxa"/>
            <w:shd w:val="clear" w:color="auto" w:fill="auto"/>
            <w:tcMar>
              <w:top w:w="100" w:type="dxa"/>
              <w:left w:w="100" w:type="dxa"/>
              <w:bottom w:w="100" w:type="dxa"/>
              <w:right w:w="100" w:type="dxa"/>
            </w:tcMar>
          </w:tcPr>
          <w:p w14:paraId="31E848F1" w14:textId="2172875A" w:rsidR="00B45955" w:rsidRDefault="00B45955" w:rsidP="00A058D2">
            <w:pPr>
              <w:widowControl w:val="0"/>
              <w:pBdr>
                <w:top w:val="nil"/>
                <w:left w:val="nil"/>
                <w:bottom w:val="nil"/>
                <w:right w:val="nil"/>
                <w:between w:val="nil"/>
              </w:pBdr>
              <w:jc w:val="center"/>
              <w:rPr>
                <w:b/>
              </w:rPr>
            </w:pPr>
            <w:r>
              <w:rPr>
                <w:b/>
              </w:rPr>
              <w:t>Baystate Academy Metrics</w:t>
            </w:r>
          </w:p>
        </w:tc>
      </w:tr>
      <w:tr w:rsidR="00B45955" w14:paraId="2AB4396B" w14:textId="77777777" w:rsidTr="00A058D2">
        <w:trPr>
          <w:trHeight w:val="4694"/>
        </w:trPr>
        <w:tc>
          <w:tcPr>
            <w:tcW w:w="5244" w:type="dxa"/>
            <w:shd w:val="clear" w:color="auto" w:fill="auto"/>
            <w:tcMar>
              <w:top w:w="100" w:type="dxa"/>
              <w:left w:w="100" w:type="dxa"/>
              <w:bottom w:w="100" w:type="dxa"/>
              <w:right w:w="100" w:type="dxa"/>
            </w:tcMar>
          </w:tcPr>
          <w:p w14:paraId="22E1CA7B" w14:textId="77777777" w:rsidR="00B45955" w:rsidRDefault="00B45955" w:rsidP="00B45955">
            <w:pPr>
              <w:widowControl w:val="0"/>
              <w:numPr>
                <w:ilvl w:val="0"/>
                <w:numId w:val="17"/>
              </w:numPr>
              <w:pBdr>
                <w:top w:val="nil"/>
                <w:left w:val="nil"/>
                <w:bottom w:val="nil"/>
                <w:right w:val="nil"/>
                <w:between w:val="nil"/>
              </w:pBdr>
            </w:pPr>
            <w:r>
              <w:t>MCAS English Language Art mean SGP</w:t>
            </w:r>
          </w:p>
          <w:p w14:paraId="4B2189EE" w14:textId="138B596A" w:rsidR="00B45955" w:rsidRDefault="00B45955" w:rsidP="00B45955">
            <w:pPr>
              <w:widowControl w:val="0"/>
              <w:numPr>
                <w:ilvl w:val="0"/>
                <w:numId w:val="17"/>
              </w:numPr>
              <w:pBdr>
                <w:top w:val="nil"/>
                <w:left w:val="nil"/>
                <w:bottom w:val="nil"/>
                <w:right w:val="nil"/>
                <w:between w:val="nil"/>
              </w:pBdr>
            </w:pPr>
            <w:r>
              <w:t>MCAS</w:t>
            </w:r>
            <w:r w:rsidR="00C415A8">
              <w:t xml:space="preserve"> </w:t>
            </w:r>
            <w:r>
              <w:t xml:space="preserve">Mathematics mean </w:t>
            </w:r>
            <w:proofErr w:type="gramStart"/>
            <w:r>
              <w:t>SGP</w:t>
            </w:r>
            <w:proofErr w:type="gramEnd"/>
          </w:p>
          <w:p w14:paraId="60B5409B" w14:textId="77777777" w:rsidR="00B45955" w:rsidRDefault="00B45955" w:rsidP="00B45955">
            <w:pPr>
              <w:widowControl w:val="0"/>
              <w:numPr>
                <w:ilvl w:val="0"/>
                <w:numId w:val="17"/>
              </w:numPr>
              <w:pBdr>
                <w:top w:val="nil"/>
                <w:left w:val="nil"/>
                <w:bottom w:val="nil"/>
                <w:right w:val="nil"/>
                <w:between w:val="nil"/>
              </w:pBdr>
            </w:pPr>
            <w:r>
              <w:t>Four-year cohort graduation rate</w:t>
            </w:r>
          </w:p>
          <w:p w14:paraId="247C6FA6" w14:textId="77777777" w:rsidR="00B45955" w:rsidRDefault="00B45955" w:rsidP="00B45955">
            <w:pPr>
              <w:widowControl w:val="0"/>
              <w:numPr>
                <w:ilvl w:val="0"/>
                <w:numId w:val="17"/>
              </w:numPr>
              <w:pBdr>
                <w:top w:val="nil"/>
                <w:left w:val="nil"/>
                <w:bottom w:val="nil"/>
                <w:right w:val="nil"/>
                <w:between w:val="nil"/>
              </w:pBdr>
            </w:pPr>
            <w:r>
              <w:t>ELA, Math, and Science Growth for ELs, SWDs, and Economically Disadvantaged Students</w:t>
            </w:r>
          </w:p>
          <w:p w14:paraId="54D3F803" w14:textId="77777777" w:rsidR="00B45955" w:rsidRDefault="00B45955" w:rsidP="00B45955">
            <w:pPr>
              <w:widowControl w:val="0"/>
              <w:numPr>
                <w:ilvl w:val="0"/>
                <w:numId w:val="17"/>
              </w:numPr>
              <w:pBdr>
                <w:top w:val="nil"/>
                <w:left w:val="nil"/>
                <w:bottom w:val="nil"/>
                <w:right w:val="nil"/>
                <w:between w:val="nil"/>
              </w:pBdr>
            </w:pPr>
            <w:r>
              <w:t>High School Completion for ELs, SWDs, and ED students</w:t>
            </w:r>
          </w:p>
          <w:p w14:paraId="62DE7A95" w14:textId="77777777" w:rsidR="00B45955" w:rsidRDefault="00B45955" w:rsidP="00B45955">
            <w:pPr>
              <w:widowControl w:val="0"/>
              <w:numPr>
                <w:ilvl w:val="0"/>
                <w:numId w:val="17"/>
              </w:numPr>
              <w:pBdr>
                <w:top w:val="nil"/>
                <w:left w:val="nil"/>
                <w:bottom w:val="nil"/>
                <w:right w:val="nil"/>
                <w:between w:val="nil"/>
              </w:pBdr>
            </w:pPr>
            <w:r>
              <w:t xml:space="preserve">Attendance rate (reduction of chronic attendance) for ELs and SWD </w:t>
            </w:r>
          </w:p>
          <w:p w14:paraId="0C118AC3" w14:textId="77777777" w:rsidR="00B45955" w:rsidRDefault="00B45955" w:rsidP="00B45955">
            <w:pPr>
              <w:widowControl w:val="0"/>
              <w:numPr>
                <w:ilvl w:val="0"/>
                <w:numId w:val="17"/>
              </w:numPr>
              <w:pBdr>
                <w:top w:val="nil"/>
                <w:left w:val="nil"/>
                <w:bottom w:val="nil"/>
                <w:right w:val="nil"/>
                <w:between w:val="nil"/>
              </w:pBdr>
            </w:pPr>
            <w:r>
              <w:t xml:space="preserve">Progress made by students towards attaining English language </w:t>
            </w:r>
            <w:proofErr w:type="gramStart"/>
            <w:r>
              <w:t>proficiency</w:t>
            </w:r>
            <w:proofErr w:type="gramEnd"/>
          </w:p>
          <w:p w14:paraId="18050C25" w14:textId="77777777" w:rsidR="00B45955" w:rsidRDefault="00B45955" w:rsidP="005F4629">
            <w:pPr>
              <w:widowControl w:val="0"/>
              <w:pBdr>
                <w:top w:val="nil"/>
                <w:left w:val="nil"/>
                <w:bottom w:val="nil"/>
                <w:right w:val="nil"/>
                <w:between w:val="nil"/>
              </w:pBdr>
              <w:ind w:left="720"/>
            </w:pPr>
            <w:r>
              <w:t>(percentage of students meeting annual targets calculated to attain English</w:t>
            </w:r>
          </w:p>
          <w:p w14:paraId="14AFAEDA" w14:textId="77777777" w:rsidR="00B45955" w:rsidRDefault="00B45955" w:rsidP="005F4629">
            <w:pPr>
              <w:widowControl w:val="0"/>
              <w:pBdr>
                <w:top w:val="nil"/>
                <w:left w:val="nil"/>
                <w:bottom w:val="nil"/>
                <w:right w:val="nil"/>
                <w:between w:val="nil"/>
              </w:pBdr>
              <w:ind w:left="720"/>
            </w:pPr>
            <w:r>
              <w:t>proficiency in six years)</w:t>
            </w:r>
          </w:p>
        </w:tc>
        <w:tc>
          <w:tcPr>
            <w:tcW w:w="5244" w:type="dxa"/>
            <w:shd w:val="clear" w:color="auto" w:fill="auto"/>
            <w:tcMar>
              <w:top w:w="100" w:type="dxa"/>
              <w:left w:w="100" w:type="dxa"/>
              <w:bottom w:w="100" w:type="dxa"/>
              <w:right w:w="100" w:type="dxa"/>
            </w:tcMar>
          </w:tcPr>
          <w:p w14:paraId="32D398A5" w14:textId="77777777" w:rsidR="00B45955" w:rsidRDefault="00B45955" w:rsidP="00B45955">
            <w:pPr>
              <w:widowControl w:val="0"/>
              <w:numPr>
                <w:ilvl w:val="0"/>
                <w:numId w:val="18"/>
              </w:numPr>
              <w:pBdr>
                <w:top w:val="nil"/>
                <w:left w:val="nil"/>
                <w:bottom w:val="nil"/>
                <w:right w:val="nil"/>
                <w:between w:val="nil"/>
              </w:pBdr>
            </w:pPr>
            <w:r>
              <w:t xml:space="preserve">Quarterly student climate data </w:t>
            </w:r>
          </w:p>
          <w:p w14:paraId="7A93B54C" w14:textId="52663C01" w:rsidR="00B45955" w:rsidRDefault="00B45955" w:rsidP="00B45955">
            <w:pPr>
              <w:widowControl w:val="0"/>
              <w:numPr>
                <w:ilvl w:val="0"/>
                <w:numId w:val="18"/>
              </w:numPr>
              <w:pBdr>
                <w:top w:val="nil"/>
                <w:left w:val="nil"/>
                <w:bottom w:val="nil"/>
                <w:right w:val="nil"/>
                <w:between w:val="nil"/>
              </w:pBdr>
            </w:pPr>
            <w:r>
              <w:t>Internal interim assessments (English language arts, mathematics, and science) for ELs and SWD</w:t>
            </w:r>
          </w:p>
          <w:p w14:paraId="0F9F3021" w14:textId="77777777" w:rsidR="00B45955" w:rsidRDefault="00B45955" w:rsidP="00B45955">
            <w:pPr>
              <w:widowControl w:val="0"/>
              <w:numPr>
                <w:ilvl w:val="0"/>
                <w:numId w:val="18"/>
              </w:numPr>
              <w:pBdr>
                <w:top w:val="nil"/>
                <w:left w:val="nil"/>
                <w:bottom w:val="nil"/>
                <w:right w:val="nil"/>
                <w:between w:val="nil"/>
              </w:pBdr>
            </w:pPr>
            <w:r>
              <w:t xml:space="preserve">Quarterly classroom observations focused on co-teaching best </w:t>
            </w:r>
            <w:proofErr w:type="gramStart"/>
            <w:r>
              <w:t>practices</w:t>
            </w:r>
            <w:proofErr w:type="gramEnd"/>
            <w:r>
              <w:t xml:space="preserve"> </w:t>
            </w:r>
          </w:p>
          <w:p w14:paraId="69061DDB" w14:textId="77777777" w:rsidR="00B45955" w:rsidRDefault="00B45955" w:rsidP="005F4629">
            <w:pPr>
              <w:widowControl w:val="0"/>
              <w:pBdr>
                <w:top w:val="nil"/>
                <w:left w:val="nil"/>
                <w:bottom w:val="nil"/>
                <w:right w:val="nil"/>
                <w:between w:val="nil"/>
              </w:pBdr>
            </w:pPr>
          </w:p>
        </w:tc>
      </w:tr>
    </w:tbl>
    <w:p w14:paraId="186B3F64" w14:textId="77777777" w:rsidR="00B45955" w:rsidRDefault="00B45955" w:rsidP="0076100D">
      <w:pPr>
        <w:widowControl w:val="0"/>
        <w:autoSpaceDE w:val="0"/>
        <w:autoSpaceDN w:val="0"/>
        <w:spacing w:before="12"/>
        <w:rPr>
          <w:rFonts w:ascii="Calibri" w:eastAsia="Calibri" w:hAnsi="Calibri" w:cs="Calibri"/>
          <w:i/>
          <w:sz w:val="30"/>
          <w:szCs w:val="22"/>
        </w:rPr>
      </w:pPr>
    </w:p>
    <w:p w14:paraId="590102CC" w14:textId="6F0AC4BF" w:rsidR="0076100D" w:rsidRDefault="0076100D" w:rsidP="0076100D">
      <w:pPr>
        <w:widowControl w:val="0"/>
        <w:autoSpaceDE w:val="0"/>
        <w:autoSpaceDN w:val="0"/>
        <w:ind w:left="107"/>
        <w:outlineLvl w:val="2"/>
        <w:rPr>
          <w:rFonts w:ascii="Calibri" w:eastAsia="Calibri" w:hAnsi="Calibri" w:cs="Calibri"/>
          <w:b/>
          <w:bCs/>
          <w:color w:val="2D74B5"/>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0B2AC655" w14:textId="03075092" w:rsidR="00544071" w:rsidRDefault="00544071" w:rsidP="0076100D">
      <w:pPr>
        <w:widowControl w:val="0"/>
        <w:autoSpaceDE w:val="0"/>
        <w:autoSpaceDN w:val="0"/>
        <w:ind w:left="107"/>
        <w:outlineLvl w:val="2"/>
        <w:rPr>
          <w:rFonts w:ascii="Calibri" w:eastAsia="Calibri" w:hAnsi="Calibri" w:cs="Calibri"/>
          <w:b/>
          <w:bCs/>
          <w:sz w:val="26"/>
          <w:szCs w:val="26"/>
        </w:rPr>
      </w:pPr>
    </w:p>
    <w:p w14:paraId="4AAAB287" w14:textId="01516E7F" w:rsidR="00544071" w:rsidRPr="008C2C6F" w:rsidRDefault="00544071" w:rsidP="0076100D">
      <w:pPr>
        <w:widowControl w:val="0"/>
        <w:autoSpaceDE w:val="0"/>
        <w:autoSpaceDN w:val="0"/>
        <w:ind w:left="107"/>
        <w:outlineLvl w:val="2"/>
        <w:rPr>
          <w:rFonts w:ascii="Calibri" w:eastAsia="Calibri" w:hAnsi="Calibri" w:cs="Calibri"/>
          <w:b/>
          <w:bCs/>
          <w:sz w:val="26"/>
          <w:szCs w:val="26"/>
        </w:rPr>
      </w:pPr>
      <w:r>
        <w:rPr>
          <w:rFonts w:ascii="Calibri" w:eastAsia="Calibri" w:hAnsi="Calibri" w:cs="Calibri"/>
          <w:b/>
          <w:bCs/>
          <w:sz w:val="26"/>
          <w:szCs w:val="26"/>
        </w:rPr>
        <w:t>How will your district ensure that all families, particularly those representing the student subgroups most in need of support, have the opportunity to meaningfully engage with the district regarding their students’ need?</w:t>
      </w:r>
    </w:p>
    <w:p w14:paraId="21CD3E6C" w14:textId="17FA5834" w:rsidR="0076100D" w:rsidRDefault="0076100D" w:rsidP="0076100D">
      <w:pPr>
        <w:widowControl w:val="0"/>
        <w:autoSpaceDE w:val="0"/>
        <w:autoSpaceDN w:val="0"/>
        <w:rPr>
          <w:rFonts w:ascii="Calibri" w:eastAsia="Calibri" w:hAnsi="Calibri" w:cs="Calibri"/>
          <w:sz w:val="22"/>
          <w:szCs w:val="22"/>
        </w:rPr>
      </w:pPr>
    </w:p>
    <w:p w14:paraId="796217B2" w14:textId="77777777" w:rsidR="00F7465B" w:rsidRDefault="00F7465B" w:rsidP="00F7465B">
      <w:r>
        <w:t xml:space="preserve">Baystate Academy Charter Public School understands and recognizes that family engagement is an integral component of a successful school-family partnership. It is imperative that we find ways to effectively engage families, specifically targets subgroups outlined in the plan. These measures actions include: </w:t>
      </w:r>
    </w:p>
    <w:p w14:paraId="4333FE20" w14:textId="77777777" w:rsidR="00F7465B" w:rsidRDefault="00F7465B" w:rsidP="00F7465B">
      <w:pPr>
        <w:numPr>
          <w:ilvl w:val="0"/>
          <w:numId w:val="19"/>
        </w:numPr>
        <w:spacing w:line="276" w:lineRule="auto"/>
      </w:pPr>
      <w:r>
        <w:t xml:space="preserve">Increase the use of a home visit to engage families and to increase dialogue between teachers and families. </w:t>
      </w:r>
    </w:p>
    <w:p w14:paraId="3CA8F235" w14:textId="77777777" w:rsidR="00F7465B" w:rsidRDefault="00F7465B" w:rsidP="00F7465B">
      <w:pPr>
        <w:numPr>
          <w:ilvl w:val="0"/>
          <w:numId w:val="19"/>
        </w:numPr>
        <w:spacing w:line="276" w:lineRule="auto"/>
      </w:pPr>
      <w:r>
        <w:t xml:space="preserve">Introduction of a co-teaching model for all special education and English language learners </w:t>
      </w:r>
    </w:p>
    <w:p w14:paraId="3860BA44" w14:textId="77777777" w:rsidR="00F7465B" w:rsidRDefault="00F7465B" w:rsidP="00F7465B">
      <w:pPr>
        <w:numPr>
          <w:ilvl w:val="0"/>
          <w:numId w:val="19"/>
        </w:numPr>
        <w:spacing w:line="276" w:lineRule="auto"/>
      </w:pPr>
      <w:r>
        <w:t xml:space="preserve">Implementation of targeted interventions during the instructional day and Saturday supports to help prepare struggling students for MCAS </w:t>
      </w:r>
      <w:proofErr w:type="gramStart"/>
      <w:r>
        <w:t>assessments</w:t>
      </w:r>
      <w:proofErr w:type="gramEnd"/>
    </w:p>
    <w:p w14:paraId="32B222FC" w14:textId="4A7DE316" w:rsidR="004E60D7" w:rsidRDefault="00F7465B" w:rsidP="004E60D7">
      <w:pPr>
        <w:numPr>
          <w:ilvl w:val="0"/>
          <w:numId w:val="19"/>
        </w:numPr>
        <w:spacing w:line="276" w:lineRule="auto"/>
      </w:pPr>
      <w:r>
        <w:t>Continuation of bi-annual meetings with families of identified subgroups. (special education and English language learners</w:t>
      </w:r>
      <w:r w:rsidR="004E60D7">
        <w:t>)</w:t>
      </w:r>
    </w:p>
    <w:p w14:paraId="4D57FF2C" w14:textId="77777777" w:rsidR="00F7465B" w:rsidRDefault="00F7465B" w:rsidP="00F7465B">
      <w:pPr>
        <w:numPr>
          <w:ilvl w:val="0"/>
          <w:numId w:val="19"/>
        </w:numPr>
        <w:spacing w:line="276" w:lineRule="auto"/>
      </w:pPr>
      <w:r>
        <w:t xml:space="preserve">Partnering with community-based organizations in Springfield to use local resources and facilities to engage </w:t>
      </w:r>
      <w:proofErr w:type="gramStart"/>
      <w:r>
        <w:t>families</w:t>
      </w:r>
      <w:proofErr w:type="gramEnd"/>
      <w:r>
        <w:t xml:space="preserve"> </w:t>
      </w:r>
    </w:p>
    <w:p w14:paraId="43E52336" w14:textId="77777777" w:rsidR="00F7465B" w:rsidRDefault="00F7465B" w:rsidP="00F7465B">
      <w:pPr>
        <w:numPr>
          <w:ilvl w:val="0"/>
          <w:numId w:val="19"/>
        </w:numPr>
        <w:spacing w:line="276" w:lineRule="auto"/>
      </w:pPr>
      <w:r>
        <w:t>Distribute a bi-annual community and family survey.</w:t>
      </w:r>
    </w:p>
    <w:p w14:paraId="48849B7E" w14:textId="77777777" w:rsidR="00F7465B" w:rsidRDefault="00F7465B" w:rsidP="00F7465B">
      <w:pPr>
        <w:numPr>
          <w:ilvl w:val="0"/>
          <w:numId w:val="19"/>
        </w:numPr>
        <w:spacing w:line="276" w:lineRule="auto"/>
      </w:pPr>
      <w:r>
        <w:t>Continuation of plans to administer the Youth Truth School Culture Survey</w:t>
      </w:r>
    </w:p>
    <w:p w14:paraId="224E188D" w14:textId="77777777" w:rsidR="00F7465B" w:rsidRDefault="00F7465B" w:rsidP="00F7465B">
      <w:pPr>
        <w:numPr>
          <w:ilvl w:val="0"/>
          <w:numId w:val="19"/>
        </w:numPr>
        <w:spacing w:line="276" w:lineRule="auto"/>
      </w:pPr>
      <w:r>
        <w:t xml:space="preserve">Continue student-led conferences three times a year. </w:t>
      </w: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lastRenderedPageBreak/>
        <w:t>Certifications:</w:t>
      </w:r>
    </w:p>
    <w:p w14:paraId="442AF554" w14:textId="1FF4D26F" w:rsidR="0076100D" w:rsidRPr="008C2C6F" w:rsidRDefault="00C73FDC"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752096">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687F7BC0" w14:textId="77777777" w:rsidR="00F7465B" w:rsidRDefault="00F7465B" w:rsidP="00F7465B"/>
    <w:p w14:paraId="768826B2" w14:textId="23AE159A" w:rsidR="00F7465B" w:rsidRDefault="00F7465B" w:rsidP="00F7465B">
      <w:pPr>
        <w:rPr>
          <w:b/>
        </w:rPr>
      </w:pPr>
      <w:r>
        <w:t xml:space="preserve">Baystate Academy Public Charter School has partnered with SchoolWorks, EL Education and </w:t>
      </w:r>
      <w:r>
        <w:rPr>
          <w:highlight w:val="white"/>
        </w:rPr>
        <w:t xml:space="preserve">Rodriguez Educational Consulting Agency in the development and implementation of our strategic plan.  This plan also includes input from our faculty, board of directors and SPED parent advisory group.  </w:t>
      </w:r>
    </w:p>
    <w:p w14:paraId="26616C1A" w14:textId="77777777" w:rsidR="0076100D" w:rsidRPr="008C2C6F" w:rsidRDefault="0076100D" w:rsidP="0076100D">
      <w:pPr>
        <w:widowControl w:val="0"/>
        <w:autoSpaceDE w:val="0"/>
        <w:autoSpaceDN w:val="0"/>
        <w:rPr>
          <w:rFonts w:ascii="Calibri" w:eastAsia="Calibri" w:hAnsi="Calibri" w:cs="Calibri"/>
          <w:sz w:val="22"/>
          <w:szCs w:val="22"/>
        </w:rPr>
      </w:pP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364ECE7C" w:rsidR="0076100D" w:rsidRPr="008C2C6F" w:rsidRDefault="00C73FDC"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752096">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the</w:t>
      </w:r>
      <w:r w:rsidR="00752096">
        <w:rPr>
          <w:rFonts w:ascii="Calibri" w:eastAsia="Calibri" w:hAnsi="Calibri" w:cs="Calibri"/>
          <w:b/>
          <w:bCs/>
          <w:color w:val="1F3863"/>
          <w:sz w:val="22"/>
          <w:szCs w:val="22"/>
        </w:rPr>
        <w:t xml:space="preserve"> Baystate Academy Charter Public School</w:t>
      </w:r>
      <w:r w:rsidR="0076100D">
        <w:rPr>
          <w:rFonts w:ascii="Calibri" w:eastAsia="Calibri" w:hAnsi="Calibri" w:cs="Calibri"/>
          <w:b/>
          <w:bCs/>
          <w:color w:val="1F3863"/>
          <w:sz w:val="22"/>
          <w:szCs w:val="22"/>
        </w:rPr>
        <w:t xml:space="preserve">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3F8A3BDC"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AC034F">
        <w:rPr>
          <w:rFonts w:ascii="Calibri" w:eastAsia="Calibri" w:hAnsi="Calibri" w:cs="Calibri"/>
          <w:b/>
          <w:color w:val="1F3863"/>
          <w:sz w:val="22"/>
          <w:szCs w:val="22"/>
        </w:rPr>
        <w:t xml:space="preserve"> January 14, 2021</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AC034F">
        <w:rPr>
          <w:rFonts w:ascii="Calibri" w:eastAsia="Calibri" w:hAnsi="Calibri" w:cs="Calibri"/>
          <w:b/>
          <w:color w:val="1F3863"/>
          <w:sz w:val="22"/>
          <w:szCs w:val="22"/>
        </w:rPr>
        <w:t xml:space="preserve"> Approved</w:t>
      </w:r>
    </w:p>
    <w:p w14:paraId="58703012" w14:textId="77777777" w:rsidR="0076100D" w:rsidRDefault="0076100D" w:rsidP="0076100D"/>
    <w:p w14:paraId="62F100F2" w14:textId="77777777" w:rsidR="0076100D" w:rsidRDefault="0076100D" w:rsidP="0076100D"/>
    <w:sectPr w:rsidR="0076100D" w:rsidSect="00625226">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8FBB" w14:textId="77777777" w:rsidR="00C73FDC" w:rsidRDefault="00C73FDC" w:rsidP="0076100D">
      <w:r>
        <w:separator/>
      </w:r>
    </w:p>
  </w:endnote>
  <w:endnote w:type="continuationSeparator" w:id="0">
    <w:p w14:paraId="76BA92B8" w14:textId="77777777" w:rsidR="00C73FDC" w:rsidRDefault="00C73FDC"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62728C" w:rsidRDefault="006272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C73FDC" w:rsidP="00181660">
    <w:pPr>
      <w:pStyle w:val="Footer"/>
    </w:pPr>
  </w:p>
  <w:p w14:paraId="12B1045B" w14:textId="77777777" w:rsidR="00075697" w:rsidRDefault="00C73F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E9D13" w14:textId="77777777" w:rsidR="00C73FDC" w:rsidRDefault="00C73FDC" w:rsidP="0076100D">
      <w:r>
        <w:separator/>
      </w:r>
    </w:p>
  </w:footnote>
  <w:footnote w:type="continuationSeparator" w:id="0">
    <w:p w14:paraId="31DFD0EB" w14:textId="77777777" w:rsidR="00C73FDC" w:rsidRDefault="00C73FDC" w:rsidP="00761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08C1"/>
    <w:multiLevelType w:val="multilevel"/>
    <w:tmpl w:val="EDAEE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3" w15:restartNumberingAfterBreak="0">
    <w:nsid w:val="318757D8"/>
    <w:multiLevelType w:val="multilevel"/>
    <w:tmpl w:val="6CC67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5"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6"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7" w15:restartNumberingAfterBreak="0">
    <w:nsid w:val="442A4B35"/>
    <w:multiLevelType w:val="multilevel"/>
    <w:tmpl w:val="ED7AE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11"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3"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4"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5"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6"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7"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8"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17"/>
  </w:num>
  <w:num w:numId="4">
    <w:abstractNumId w:val="6"/>
  </w:num>
  <w:num w:numId="5">
    <w:abstractNumId w:val="15"/>
  </w:num>
  <w:num w:numId="6">
    <w:abstractNumId w:val="4"/>
  </w:num>
  <w:num w:numId="7">
    <w:abstractNumId w:val="10"/>
  </w:num>
  <w:num w:numId="8">
    <w:abstractNumId w:val="16"/>
  </w:num>
  <w:num w:numId="9">
    <w:abstractNumId w:val="5"/>
  </w:num>
  <w:num w:numId="10">
    <w:abstractNumId w:val="12"/>
  </w:num>
  <w:num w:numId="11">
    <w:abstractNumId w:val="13"/>
  </w:num>
  <w:num w:numId="12">
    <w:abstractNumId w:val="14"/>
  </w:num>
  <w:num w:numId="13">
    <w:abstractNumId w:val="9"/>
  </w:num>
  <w:num w:numId="14">
    <w:abstractNumId w:val="11"/>
  </w:num>
  <w:num w:numId="15">
    <w:abstractNumId w:val="1"/>
  </w:num>
  <w:num w:numId="16">
    <w:abstractNumId w:val="8"/>
  </w:num>
  <w:num w:numId="17">
    <w:abstractNumId w:val="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66CCA"/>
    <w:rsid w:val="00096696"/>
    <w:rsid w:val="000A0AAF"/>
    <w:rsid w:val="000C7159"/>
    <w:rsid w:val="00153932"/>
    <w:rsid w:val="00176AF1"/>
    <w:rsid w:val="00181660"/>
    <w:rsid w:val="00192B93"/>
    <w:rsid w:val="0019508F"/>
    <w:rsid w:val="001E21CB"/>
    <w:rsid w:val="0021382A"/>
    <w:rsid w:val="002F400F"/>
    <w:rsid w:val="00300C51"/>
    <w:rsid w:val="00333793"/>
    <w:rsid w:val="00386344"/>
    <w:rsid w:val="004049F2"/>
    <w:rsid w:val="00405B74"/>
    <w:rsid w:val="0047667C"/>
    <w:rsid w:val="004A052F"/>
    <w:rsid w:val="004E60D7"/>
    <w:rsid w:val="004F3CCC"/>
    <w:rsid w:val="00520329"/>
    <w:rsid w:val="00544071"/>
    <w:rsid w:val="005D29E9"/>
    <w:rsid w:val="00625226"/>
    <w:rsid w:val="0062728C"/>
    <w:rsid w:val="007251C8"/>
    <w:rsid w:val="00735B09"/>
    <w:rsid w:val="00752096"/>
    <w:rsid w:val="0075491A"/>
    <w:rsid w:val="0076100D"/>
    <w:rsid w:val="007A22C9"/>
    <w:rsid w:val="007C65AD"/>
    <w:rsid w:val="00833A09"/>
    <w:rsid w:val="00860FAC"/>
    <w:rsid w:val="00867425"/>
    <w:rsid w:val="008B2BF6"/>
    <w:rsid w:val="00906A10"/>
    <w:rsid w:val="009A4C78"/>
    <w:rsid w:val="009D27A4"/>
    <w:rsid w:val="00A058D2"/>
    <w:rsid w:val="00AA30AB"/>
    <w:rsid w:val="00AC034F"/>
    <w:rsid w:val="00AC2B8C"/>
    <w:rsid w:val="00AE6B3C"/>
    <w:rsid w:val="00B02C41"/>
    <w:rsid w:val="00B30AF5"/>
    <w:rsid w:val="00B32DBB"/>
    <w:rsid w:val="00B45955"/>
    <w:rsid w:val="00BB489B"/>
    <w:rsid w:val="00BE5AED"/>
    <w:rsid w:val="00C415A8"/>
    <w:rsid w:val="00C73FDC"/>
    <w:rsid w:val="00CE204E"/>
    <w:rsid w:val="00D456A5"/>
    <w:rsid w:val="00D72178"/>
    <w:rsid w:val="00DB4065"/>
    <w:rsid w:val="00E42932"/>
    <w:rsid w:val="00E51674"/>
    <w:rsid w:val="00EB77B6"/>
    <w:rsid w:val="00EC188F"/>
    <w:rsid w:val="00F04B23"/>
    <w:rsid w:val="00F313DF"/>
    <w:rsid w:val="00F56862"/>
    <w:rsid w:val="00F7465B"/>
    <w:rsid w:val="00FC532D"/>
    <w:rsid w:val="00FC745A"/>
    <w:rsid w:val="00FE6AC1"/>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73A46-8B3A-4EA8-AFA0-308FF5DECEE9}"/>
</file>

<file path=customXml/itemProps2.xml><?xml version="1.0" encoding="utf-8"?>
<ds:datastoreItem xmlns:ds="http://schemas.openxmlformats.org/officeDocument/2006/customXml" ds:itemID="{3CF55D6F-9553-4621-ACE6-307FFE5493B9}">
  <ds:schemaRefs>
    <ds:schemaRef ds:uri="http://schemas.openxmlformats.org/officeDocument/2006/bibliography"/>
  </ds:schemaRefs>
</ds:datastoreItem>
</file>

<file path=customXml/itemProps3.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1909C30-D520-4E26-A3D6-1399C446D97F}">
  <ds:schemaRefs>
    <ds:schemaRef ds:uri="http://schemas.microsoft.com/sharepoint/v3/contenttype/forms"/>
  </ds:schemaRefs>
</ds:datastoreItem>
</file>

<file path=customXml/itemProps5.xml><?xml version="1.0" encoding="utf-8"?>
<ds:datastoreItem xmlns:ds="http://schemas.openxmlformats.org/officeDocument/2006/customXml" ds:itemID="{19BBA6EB-2B79-43DE-A218-E3F7B86624E6}"/>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Baystate Academy Charter School Student Opportunity Act Plan: SY 2021-2023</vt:lpstr>
    </vt:vector>
  </TitlesOfParts>
  <Company>EOE</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Baystate Academy Charter School Student Opportunity Act Plan: SY 2021-2023</dc:title>
  <dc:subject/>
  <dc:creator>DESE</dc:creator>
  <cp:keywords/>
  <dc:description/>
  <cp:lastModifiedBy>DeLorenzo, Lee E (DESE)</cp:lastModifiedBy>
  <cp:revision>4</cp:revision>
  <cp:lastPrinted>2021-01-14T20:01:00Z</cp:lastPrinted>
  <dcterms:created xsi:type="dcterms:W3CDTF">2021-03-19T18:38:00Z</dcterms:created>
  <dcterms:modified xsi:type="dcterms:W3CDTF">2021-03-19T18:39:00Z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