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A60AF" w14:textId="1AD2D37E" w:rsidR="004C241D" w:rsidRDefault="00DF2A83" w:rsidP="00F8014C">
      <w:pPr>
        <w:spacing w:before="17"/>
        <w:ind w:left="100"/>
        <w:jc w:val="center"/>
        <w:rPr>
          <w:b/>
          <w:color w:val="1F3862"/>
          <w:sz w:val="32"/>
        </w:rPr>
      </w:pPr>
      <w:r>
        <w:rPr>
          <w:b/>
          <w:color w:val="1F3862"/>
          <w:sz w:val="32"/>
        </w:rPr>
        <w:t>Student Opportunity Act Plan: SY 2021-2023</w:t>
      </w:r>
    </w:p>
    <w:p w14:paraId="250840AC" w14:textId="48A5D8CB" w:rsidR="00F8014C" w:rsidRDefault="00F8014C" w:rsidP="00F8014C">
      <w:pPr>
        <w:spacing w:before="17"/>
        <w:ind w:left="100"/>
        <w:jc w:val="center"/>
        <w:rPr>
          <w:b/>
          <w:sz w:val="32"/>
        </w:rPr>
      </w:pPr>
      <w:r>
        <w:rPr>
          <w:b/>
          <w:i/>
          <w:color w:val="2C74B5"/>
          <w:sz w:val="32"/>
        </w:rPr>
        <w:t>Boston Collegiate Charter School</w:t>
      </w:r>
    </w:p>
    <w:p w14:paraId="3BBBE241" w14:textId="77777777" w:rsidR="004C241D" w:rsidRDefault="004C241D">
      <w:pPr>
        <w:pStyle w:val="BodyText"/>
        <w:spacing w:before="6"/>
        <w:rPr>
          <w:b/>
          <w:sz w:val="24"/>
        </w:rPr>
      </w:pPr>
    </w:p>
    <w:p w14:paraId="31E3B8CC" w14:textId="77777777" w:rsidR="004C241D" w:rsidRDefault="00DF2A83">
      <w:pPr>
        <w:pStyle w:val="Heading1"/>
        <w:spacing w:before="1"/>
      </w:pPr>
      <w:r>
        <w:rPr>
          <w:rFonts w:ascii="Microsoft Sans Serif" w:hAnsi="Microsoft Sans Serif"/>
          <w:b w:val="0"/>
          <w:color w:val="2C74B5"/>
        </w:rPr>
        <w:t xml:space="preserve">→ </w:t>
      </w:r>
      <w:r>
        <w:rPr>
          <w:color w:val="2C74B5"/>
        </w:rPr>
        <w:t>Commitment 1: Focusing on Student Subgroups</w:t>
      </w:r>
    </w:p>
    <w:p w14:paraId="08353424" w14:textId="77777777" w:rsidR="004C241D" w:rsidRDefault="00DF2A83">
      <w:pPr>
        <w:pStyle w:val="Heading2"/>
        <w:spacing w:before="68" w:line="278" w:lineRule="exact"/>
        <w:ind w:right="1489"/>
      </w:pPr>
      <w:r>
        <w:rPr>
          <w:color w:val="1F3862"/>
        </w:rPr>
        <w:t>Which student groups will require focused support to ensure all students achieve at high levels in school and are successfully prepared for life?</w:t>
      </w:r>
    </w:p>
    <w:p w14:paraId="7C1E0E3C" w14:textId="77777777" w:rsidR="004C241D" w:rsidRDefault="004C241D">
      <w:pPr>
        <w:pStyle w:val="BodyText"/>
        <w:spacing w:before="1"/>
        <w:rPr>
          <w:b/>
          <w:sz w:val="24"/>
        </w:rPr>
      </w:pPr>
    </w:p>
    <w:p w14:paraId="281506BD" w14:textId="77777777" w:rsidR="004C241D" w:rsidRDefault="00DF2A83">
      <w:pPr>
        <w:pStyle w:val="BodyText"/>
        <w:ind w:left="100" w:right="112" w:firstLine="48"/>
      </w:pPr>
      <w:r>
        <w:t xml:space="preserve">In February 2020, the BCCS Board of Trustees approved the Strategic Plan for SYs 21-23. This aligns with the </w:t>
      </w:r>
      <w:r>
        <w:t>focus timeline of the Student Opportunity Act (SOA). Our subgroup academic gains are strong: in 2019, our aggregate ELA data showed SGPs above 50 for all subgroups and our aggregate Math data showed SGPs above 70 for all subgroups. We remain vigilantly foc</w:t>
      </w:r>
      <w:r>
        <w:t>used on chronic absenteeism, having brought down the rate of absenteeism significantly since the 2017-2018 school year. That said, our quantitative data, qualitative data and experience point to a few groups on which we will focus in our next strategic pla</w:t>
      </w:r>
      <w:r>
        <w:t>n.</w:t>
      </w:r>
    </w:p>
    <w:p w14:paraId="49B04CB6" w14:textId="77777777" w:rsidR="004C241D" w:rsidRDefault="004C241D">
      <w:pPr>
        <w:pStyle w:val="BodyText"/>
        <w:spacing w:before="8"/>
        <w:rPr>
          <w:sz w:val="19"/>
        </w:rPr>
      </w:pPr>
    </w:p>
    <w:p w14:paraId="0B7BC9F9" w14:textId="77777777" w:rsidR="004C241D" w:rsidRDefault="00DF2A83">
      <w:pPr>
        <w:pStyle w:val="ListParagraph"/>
        <w:numPr>
          <w:ilvl w:val="0"/>
          <w:numId w:val="7"/>
        </w:numPr>
        <w:tabs>
          <w:tab w:val="left" w:pos="821"/>
        </w:tabs>
        <w:ind w:right="603" w:hanging="360"/>
      </w:pPr>
      <w:r>
        <w:t>Economically disadvantaged students who require wraparound supports and dedicated family engagement efforts to ensure their basic needs are</w:t>
      </w:r>
      <w:r>
        <w:rPr>
          <w:spacing w:val="-16"/>
        </w:rPr>
        <w:t xml:space="preserve"> </w:t>
      </w:r>
      <w:proofErr w:type="gramStart"/>
      <w:r>
        <w:t>met</w:t>
      </w:r>
      <w:proofErr w:type="gramEnd"/>
    </w:p>
    <w:p w14:paraId="26FFFF7E" w14:textId="77777777" w:rsidR="004C241D" w:rsidRDefault="00DF2A83">
      <w:pPr>
        <w:pStyle w:val="ListParagraph"/>
        <w:numPr>
          <w:ilvl w:val="0"/>
          <w:numId w:val="7"/>
        </w:numPr>
        <w:tabs>
          <w:tab w:val="left" w:pos="821"/>
        </w:tabs>
        <w:ind w:hanging="360"/>
      </w:pPr>
      <w:r>
        <w:t>Students, often with disabilities, who are manifesting mental and behavioral health</w:t>
      </w:r>
      <w:r>
        <w:rPr>
          <w:spacing w:val="-27"/>
        </w:rPr>
        <w:t xml:space="preserve"> </w:t>
      </w:r>
      <w:proofErr w:type="gramStart"/>
      <w:r>
        <w:t>challenges</w:t>
      </w:r>
      <w:proofErr w:type="gramEnd"/>
    </w:p>
    <w:p w14:paraId="45F95ACB" w14:textId="77777777" w:rsidR="004C241D" w:rsidRDefault="00DF2A83">
      <w:pPr>
        <w:pStyle w:val="ListParagraph"/>
        <w:numPr>
          <w:ilvl w:val="0"/>
          <w:numId w:val="7"/>
        </w:numPr>
        <w:tabs>
          <w:tab w:val="left" w:pos="821"/>
        </w:tabs>
        <w:ind w:right="750" w:hanging="360"/>
      </w:pPr>
      <w:r>
        <w:t>African Ameri</w:t>
      </w:r>
      <w:r>
        <w:t>can and Latino/Hispanic students, who deserve a more anti-racist school culture so they are affirmed and can thrive compared to their White</w:t>
      </w:r>
      <w:r>
        <w:rPr>
          <w:spacing w:val="-13"/>
        </w:rPr>
        <w:t xml:space="preserve"> </w:t>
      </w:r>
      <w:proofErr w:type="gramStart"/>
      <w:r>
        <w:t>peers</w:t>
      </w:r>
      <w:proofErr w:type="gramEnd"/>
    </w:p>
    <w:p w14:paraId="0A1CE54E" w14:textId="77777777" w:rsidR="004C241D" w:rsidRDefault="004C241D">
      <w:pPr>
        <w:pStyle w:val="BodyText"/>
        <w:spacing w:before="8"/>
        <w:rPr>
          <w:sz w:val="19"/>
        </w:rPr>
      </w:pPr>
    </w:p>
    <w:p w14:paraId="1195A6B9" w14:textId="77777777" w:rsidR="004C241D" w:rsidRDefault="00DF2A83">
      <w:pPr>
        <w:pStyle w:val="BodyText"/>
        <w:spacing w:before="1"/>
        <w:ind w:left="100" w:right="286"/>
      </w:pPr>
      <w:r>
        <w:t>The three focus areas of our strategic plan align with our interest in these students. These focus areas are:</w:t>
      </w:r>
      <w:r>
        <w:t xml:space="preserve"> 1) Diversity, Equity, and Inclusion; 2) Deeper Learning; and 3) Comprehensive Student Development. These focus areas have been the focus of our new strategic plan as well as our FY21 Budgeting, and we articulate their connection to the SOA plan below.</w:t>
      </w:r>
    </w:p>
    <w:p w14:paraId="3529C254" w14:textId="77777777" w:rsidR="004C241D" w:rsidRDefault="004C241D">
      <w:pPr>
        <w:pStyle w:val="BodyText"/>
        <w:spacing w:before="11"/>
        <w:rPr>
          <w:sz w:val="19"/>
        </w:rPr>
      </w:pPr>
    </w:p>
    <w:p w14:paraId="1E10D00F" w14:textId="77777777" w:rsidR="004C241D" w:rsidRDefault="00DF2A83">
      <w:pPr>
        <w:pStyle w:val="Heading1"/>
      </w:pPr>
      <w:r>
        <w:rPr>
          <w:rFonts w:ascii="Microsoft Sans Serif" w:hAnsi="Microsoft Sans Serif"/>
          <w:b w:val="0"/>
          <w:color w:val="2C74B5"/>
        </w:rPr>
        <w:t xml:space="preserve">→ </w:t>
      </w:r>
      <w:r>
        <w:rPr>
          <w:color w:val="2C74B5"/>
        </w:rPr>
        <w:t>Commitment 2: Using Evidence-Based Programs to Close Gaps</w:t>
      </w:r>
    </w:p>
    <w:p w14:paraId="060A8421" w14:textId="77777777" w:rsidR="004C241D" w:rsidRDefault="00DF2A83">
      <w:pPr>
        <w:pStyle w:val="Heading2"/>
        <w:ind w:right="899"/>
      </w:pPr>
      <w:r>
        <w:rPr>
          <w:color w:val="1F3862"/>
        </w:rPr>
        <w:t>What evidence-based programs will your charter school adopt, deepen, or continue to best support the closure of achievement and opportunity gaps? What resources will be allocated to these programs?</w:t>
      </w:r>
    </w:p>
    <w:p w14:paraId="5C7B8DB3" w14:textId="77777777" w:rsidR="004C241D" w:rsidRDefault="004C241D">
      <w:pPr>
        <w:pStyle w:val="BodyText"/>
        <w:spacing w:before="3"/>
        <w:rPr>
          <w:b/>
        </w:rPr>
      </w:pPr>
    </w:p>
    <w:p w14:paraId="0AF7F036" w14:textId="77777777" w:rsidR="004C241D" w:rsidRDefault="00DF2A83">
      <w:pPr>
        <w:ind w:left="100"/>
        <w:rPr>
          <w:rFonts w:ascii="Calibri Light"/>
          <w:sz w:val="26"/>
        </w:rPr>
      </w:pPr>
      <w:r>
        <w:rPr>
          <w:b/>
        </w:rPr>
        <w:t xml:space="preserve">Evidence-based program #1: </w:t>
      </w:r>
      <w:r>
        <w:rPr>
          <w:rFonts w:ascii="Calibri Light"/>
          <w:color w:val="006FC0"/>
          <w:sz w:val="26"/>
          <w:u w:val="single" w:color="006FC0"/>
        </w:rPr>
        <w:t xml:space="preserve">Increased personnel and services to support holistic student </w:t>
      </w:r>
      <w:proofErr w:type="gramStart"/>
      <w:r>
        <w:rPr>
          <w:rFonts w:ascii="Calibri Light"/>
          <w:color w:val="006FC0"/>
          <w:sz w:val="26"/>
          <w:u w:val="single" w:color="006FC0"/>
        </w:rPr>
        <w:t>needs</w:t>
      </w:r>
      <w:proofErr w:type="gramEnd"/>
    </w:p>
    <w:p w14:paraId="64C6F579" w14:textId="77777777" w:rsidR="004C241D" w:rsidRDefault="004C241D">
      <w:pPr>
        <w:pStyle w:val="BodyText"/>
        <w:spacing w:before="1"/>
        <w:rPr>
          <w:rFonts w:ascii="Calibri Light"/>
          <w:sz w:val="17"/>
        </w:rPr>
      </w:pPr>
    </w:p>
    <w:p w14:paraId="3FC40317" w14:textId="77777777" w:rsidR="004C241D" w:rsidRDefault="00DF2A83">
      <w:pPr>
        <w:pStyle w:val="BodyText"/>
        <w:spacing w:before="67" w:line="228" w:lineRule="auto"/>
        <w:ind w:left="100" w:right="255"/>
      </w:pPr>
      <w:r>
        <w:t>Aligned with our strategic plan from FY21-FY23, we are increasing personnel and services to support holistic student needs. This targets two of our strategic fo</w:t>
      </w:r>
      <w:r>
        <w:t>ci for this next plan: 1) Diversity, Equity, and Inclusion; and 2) Comprehensive Student Development.</w:t>
      </w:r>
    </w:p>
    <w:p w14:paraId="5DB764EB" w14:textId="77777777" w:rsidR="004C241D" w:rsidRDefault="004C241D">
      <w:pPr>
        <w:pStyle w:val="BodyText"/>
        <w:spacing w:before="2"/>
        <w:rPr>
          <w:sz w:val="21"/>
        </w:rPr>
      </w:pPr>
    </w:p>
    <w:p w14:paraId="5FA763DC" w14:textId="77777777" w:rsidR="004C241D" w:rsidRDefault="00DF2A83">
      <w:pPr>
        <w:pStyle w:val="BodyText"/>
        <w:spacing w:line="228" w:lineRule="auto"/>
        <w:ind w:left="100" w:right="210"/>
      </w:pPr>
      <w:r>
        <w:t>In particular, our FY21 budget has introduced a new Director of Diversity, Equity, and Inclusion. This key staff member, who comes to BCCS after having s</w:t>
      </w:r>
      <w:r>
        <w:t>tarted the Multicultural Center at Simmons University, is an ally and resource in developing an antiracist culture. She partners with the Deans and the Principals, as well as student leaders, in evolving our culture into one that is rooted in restorative j</w:t>
      </w:r>
      <w:r>
        <w:t>ustice, and she plans professional learning for our staff to ensure that staff are equipped to address their own bias and support students’ holistic needs. This professional has her own budget to deploy to support staff learning and PD, as well as cultural</w:t>
      </w:r>
      <w:r>
        <w:t>ly affirming celebrations and practices for students.</w:t>
      </w:r>
    </w:p>
    <w:p w14:paraId="33AEDC9E" w14:textId="77777777" w:rsidR="004C241D" w:rsidRDefault="004C241D">
      <w:pPr>
        <w:pStyle w:val="BodyText"/>
        <w:spacing w:before="5"/>
        <w:rPr>
          <w:sz w:val="21"/>
        </w:rPr>
      </w:pPr>
    </w:p>
    <w:p w14:paraId="5652703D" w14:textId="77777777" w:rsidR="004C241D" w:rsidRDefault="00DF2A83">
      <w:pPr>
        <w:pStyle w:val="BodyText"/>
        <w:spacing w:line="228" w:lineRule="auto"/>
        <w:ind w:left="100" w:right="123"/>
      </w:pPr>
      <w:r>
        <w:t xml:space="preserve">In addition, our FY21 budget has expanded our 1 person Family and Community Relations department to a 3-person department, with two Family Engagement Managers, one for each campus, who are the primary </w:t>
      </w:r>
      <w:r>
        <w:t>liaisons with families. These two veteran BCCS team members are supervised by the Director of Strategic Projects, who helps ensure that our family engagement work is rooted in best practice and we are doing our best to meet students’ holistic needs. This t</w:t>
      </w:r>
      <w:r>
        <w:t>eam also has a budget allocated specifically for our Students in Need, which has been supplemented through philanthropy, including, for example, to launch a weekly food pantry for our highest need families.</w:t>
      </w:r>
    </w:p>
    <w:p w14:paraId="33A8C202" w14:textId="77777777" w:rsidR="004C241D" w:rsidRDefault="004C241D">
      <w:pPr>
        <w:pStyle w:val="BodyText"/>
        <w:spacing w:before="1"/>
        <w:rPr>
          <w:sz w:val="21"/>
        </w:rPr>
      </w:pPr>
    </w:p>
    <w:p w14:paraId="6C278524" w14:textId="77777777" w:rsidR="004C241D" w:rsidRDefault="00DF2A83">
      <w:pPr>
        <w:pStyle w:val="BodyText"/>
        <w:spacing w:before="1" w:line="228" w:lineRule="auto"/>
        <w:ind w:left="100" w:right="224"/>
      </w:pPr>
      <w:r>
        <w:t>Finally, under the specific umbrella of Comprehe</w:t>
      </w:r>
      <w:r>
        <w:t>nsive Student Development, we’re focused on ensuring that we have a robust approach to Mental Health. We have expanded our relationship with Partnerships in Education and Resilience (PEAR) to include new social and emotional learning work with the high sch</w:t>
      </w:r>
      <w:r>
        <w:t xml:space="preserve">ool and a deep dive into mental </w:t>
      </w:r>
      <w:proofErr w:type="gramStart"/>
      <w:r>
        <w:t>health</w:t>
      </w:r>
      <w:proofErr w:type="gramEnd"/>
    </w:p>
    <w:p w14:paraId="432B9BAE" w14:textId="77777777" w:rsidR="004C241D" w:rsidRDefault="004C241D">
      <w:pPr>
        <w:spacing w:line="228" w:lineRule="auto"/>
        <w:sectPr w:rsidR="004C241D">
          <w:type w:val="continuous"/>
          <w:pgSz w:w="12240" w:h="15840"/>
          <w:pgMar w:top="700" w:right="620" w:bottom="280" w:left="620" w:header="720" w:footer="720" w:gutter="0"/>
          <w:cols w:space="720"/>
        </w:sectPr>
      </w:pPr>
    </w:p>
    <w:p w14:paraId="7B0047BC" w14:textId="77777777" w:rsidR="004C241D" w:rsidRDefault="00DF2A83">
      <w:pPr>
        <w:pStyle w:val="BodyText"/>
        <w:spacing w:before="34"/>
        <w:ind w:left="120"/>
      </w:pPr>
      <w:r>
        <w:lastRenderedPageBreak/>
        <w:t>strategy to ensure that we have holistic supports for students across all tiers of intervention (Tier 1, Tier 2, and Tier 3).</w:t>
      </w:r>
    </w:p>
    <w:p w14:paraId="54CCFC38" w14:textId="77777777" w:rsidR="004C241D" w:rsidRDefault="004C241D">
      <w:pPr>
        <w:pStyle w:val="BodyText"/>
        <w:spacing w:before="1"/>
        <w:rPr>
          <w:sz w:val="21"/>
        </w:rPr>
      </w:pPr>
    </w:p>
    <w:p w14:paraId="56F4D32C" w14:textId="77777777" w:rsidR="004C241D" w:rsidRDefault="00DF2A83">
      <w:pPr>
        <w:pStyle w:val="BodyText"/>
        <w:spacing w:line="228" w:lineRule="auto"/>
        <w:ind w:left="120" w:right="247"/>
      </w:pPr>
      <w:r>
        <w:t>Looking ahead, we anticipate that our Director of Diversity, Equity, and Inclusion will continue in her role in FY22 and FY23 and continue to strengthen BCCS as an anti-racist institution. We further expect that the family engagement team will stay in thei</w:t>
      </w:r>
      <w:r>
        <w:t xml:space="preserve">r roles as </w:t>
      </w:r>
      <w:proofErr w:type="gramStart"/>
      <w:r>
        <w:t>well, and</w:t>
      </w:r>
      <w:proofErr w:type="gramEnd"/>
      <w:r>
        <w:t xml:space="preserve"> will continue to have funds to deploy to support our students who struggle the most. We are further excited to see the PEAR work conclude at the end of this year with recommendations for a more robust strategy for supporting mental hea</w:t>
      </w:r>
      <w:r>
        <w:t>lth at BCCS, including clarity around how we are supporting our students who need Tier 3 interventions.</w:t>
      </w:r>
    </w:p>
    <w:p w14:paraId="09562F3B" w14:textId="77777777" w:rsidR="004C241D" w:rsidRDefault="004C241D">
      <w:pPr>
        <w:pStyle w:val="BodyText"/>
        <w:rPr>
          <w:sz w:val="20"/>
        </w:rPr>
      </w:pPr>
    </w:p>
    <w:p w14:paraId="4A5EA1A8" w14:textId="77777777" w:rsidR="004C241D" w:rsidRDefault="004C241D">
      <w:pPr>
        <w:pStyle w:val="BodyText"/>
        <w:spacing w:before="7"/>
        <w:rPr>
          <w:sz w:val="20"/>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3"/>
        <w:gridCol w:w="1349"/>
        <w:gridCol w:w="6013"/>
      </w:tblGrid>
      <w:tr w:rsidR="004C241D" w14:paraId="3E260985" w14:textId="77777777">
        <w:trPr>
          <w:trHeight w:hRule="exact" w:val="290"/>
        </w:trPr>
        <w:tc>
          <w:tcPr>
            <w:tcW w:w="3143" w:type="dxa"/>
            <w:shd w:val="clear" w:color="auto" w:fill="D9D9D9"/>
          </w:tcPr>
          <w:p w14:paraId="2B6C7EDA" w14:textId="77777777" w:rsidR="004C241D" w:rsidRDefault="00DF2A83">
            <w:pPr>
              <w:pStyle w:val="TableParagraph"/>
              <w:spacing w:line="229" w:lineRule="exact"/>
              <w:ind w:left="100"/>
              <w:rPr>
                <w:rFonts w:ascii="Calibri"/>
                <w:b/>
                <w:sz w:val="20"/>
              </w:rPr>
            </w:pPr>
            <w:r>
              <w:rPr>
                <w:rFonts w:ascii="Calibri"/>
                <w:b/>
                <w:sz w:val="20"/>
              </w:rPr>
              <w:t>FY21 budget item</w:t>
            </w:r>
          </w:p>
        </w:tc>
        <w:tc>
          <w:tcPr>
            <w:tcW w:w="1349" w:type="dxa"/>
            <w:shd w:val="clear" w:color="auto" w:fill="D9D9D9"/>
          </w:tcPr>
          <w:p w14:paraId="7C4B3C58" w14:textId="77777777" w:rsidR="004C241D" w:rsidRDefault="00DF2A83">
            <w:pPr>
              <w:pStyle w:val="TableParagraph"/>
              <w:spacing w:line="229" w:lineRule="exact"/>
              <w:ind w:left="103"/>
              <w:rPr>
                <w:rFonts w:ascii="Calibri"/>
                <w:b/>
                <w:sz w:val="20"/>
              </w:rPr>
            </w:pPr>
            <w:r>
              <w:rPr>
                <w:rFonts w:ascii="Calibri"/>
                <w:b/>
                <w:sz w:val="20"/>
              </w:rPr>
              <w:t>Amount</w:t>
            </w:r>
          </w:p>
        </w:tc>
        <w:tc>
          <w:tcPr>
            <w:tcW w:w="6013" w:type="dxa"/>
            <w:shd w:val="clear" w:color="auto" w:fill="D9D9D9"/>
          </w:tcPr>
          <w:p w14:paraId="6D570349" w14:textId="77777777" w:rsidR="004C241D" w:rsidRDefault="00DF2A83">
            <w:pPr>
              <w:pStyle w:val="TableParagraph"/>
              <w:spacing w:line="229" w:lineRule="exact"/>
              <w:ind w:left="105"/>
              <w:rPr>
                <w:rFonts w:ascii="Calibri"/>
                <w:b/>
                <w:sz w:val="13"/>
              </w:rPr>
            </w:pPr>
            <w:r>
              <w:rPr>
                <w:rFonts w:ascii="Calibri"/>
                <w:b/>
                <w:sz w:val="20"/>
              </w:rPr>
              <w:t>Foundation Category</w:t>
            </w:r>
            <w:r>
              <w:rPr>
                <w:rFonts w:ascii="Calibri"/>
                <w:b/>
                <w:position w:val="10"/>
                <w:sz w:val="13"/>
              </w:rPr>
              <w:t>1</w:t>
            </w:r>
          </w:p>
        </w:tc>
      </w:tr>
      <w:tr w:rsidR="004C241D" w14:paraId="5D34F444" w14:textId="77777777">
        <w:trPr>
          <w:trHeight w:hRule="exact" w:val="667"/>
        </w:trPr>
        <w:tc>
          <w:tcPr>
            <w:tcW w:w="3143" w:type="dxa"/>
            <w:tcBorders>
              <w:top w:val="single" w:sz="29" w:space="0" w:color="D9D9D9"/>
            </w:tcBorders>
          </w:tcPr>
          <w:p w14:paraId="544812D9" w14:textId="77777777" w:rsidR="004C241D" w:rsidRDefault="00DF2A83">
            <w:pPr>
              <w:pStyle w:val="TableParagraph"/>
              <w:spacing w:line="212" w:lineRule="exact"/>
              <w:rPr>
                <w:rFonts w:ascii="Calibri"/>
                <w:sz w:val="20"/>
              </w:rPr>
            </w:pPr>
            <w:r>
              <w:rPr>
                <w:rFonts w:ascii="Calibri"/>
                <w:sz w:val="20"/>
              </w:rPr>
              <w:t>Additional incremental staffing for DEI</w:t>
            </w:r>
          </w:p>
          <w:p w14:paraId="6C07FF5F" w14:textId="77777777" w:rsidR="004C241D" w:rsidRDefault="00DF2A83">
            <w:pPr>
              <w:pStyle w:val="TableParagraph"/>
              <w:rPr>
                <w:rFonts w:ascii="Calibri"/>
                <w:sz w:val="20"/>
              </w:rPr>
            </w:pPr>
            <w:r>
              <w:rPr>
                <w:rFonts w:ascii="Calibri"/>
                <w:sz w:val="20"/>
              </w:rPr>
              <w:t>and family engagement</w:t>
            </w:r>
          </w:p>
        </w:tc>
        <w:tc>
          <w:tcPr>
            <w:tcW w:w="1349" w:type="dxa"/>
            <w:tcBorders>
              <w:top w:val="single" w:sz="29" w:space="0" w:color="D9D9D9"/>
            </w:tcBorders>
          </w:tcPr>
          <w:p w14:paraId="09DCD8F9" w14:textId="77777777" w:rsidR="004C241D" w:rsidRDefault="00DF2A83">
            <w:pPr>
              <w:pStyle w:val="TableParagraph"/>
              <w:spacing w:line="212" w:lineRule="exact"/>
              <w:ind w:left="-1"/>
              <w:rPr>
                <w:rFonts w:ascii="Calibri"/>
                <w:sz w:val="20"/>
              </w:rPr>
            </w:pPr>
            <w:r>
              <w:rPr>
                <w:rFonts w:ascii="Calibri"/>
                <w:sz w:val="20"/>
              </w:rPr>
              <w:t>$82,700</w:t>
            </w:r>
          </w:p>
        </w:tc>
        <w:tc>
          <w:tcPr>
            <w:tcW w:w="6013" w:type="dxa"/>
            <w:tcBorders>
              <w:top w:val="single" w:sz="29" w:space="0" w:color="D9D9D9"/>
            </w:tcBorders>
          </w:tcPr>
          <w:p w14:paraId="787C8CDD" w14:textId="77777777" w:rsidR="004C241D" w:rsidRDefault="00DF2A83">
            <w:pPr>
              <w:pStyle w:val="TableParagraph"/>
              <w:spacing w:line="212" w:lineRule="exact"/>
              <w:rPr>
                <w:rFonts w:ascii="Calibri"/>
                <w:sz w:val="20"/>
              </w:rPr>
            </w:pPr>
            <w:r>
              <w:rPr>
                <w:rFonts w:ascii="Calibri"/>
                <w:sz w:val="20"/>
              </w:rPr>
              <w:t>Chapter 70</w:t>
            </w:r>
          </w:p>
        </w:tc>
      </w:tr>
      <w:tr w:rsidR="004C241D" w14:paraId="29574620" w14:textId="77777777">
        <w:trPr>
          <w:trHeight w:hRule="exact" w:val="293"/>
        </w:trPr>
        <w:tc>
          <w:tcPr>
            <w:tcW w:w="3143" w:type="dxa"/>
          </w:tcPr>
          <w:p w14:paraId="538BC9D1" w14:textId="77777777" w:rsidR="004C241D" w:rsidRDefault="00DF2A83">
            <w:pPr>
              <w:pStyle w:val="TableParagraph"/>
              <w:spacing w:line="243" w:lineRule="exact"/>
              <w:rPr>
                <w:rFonts w:ascii="Calibri"/>
                <w:sz w:val="20"/>
              </w:rPr>
            </w:pPr>
            <w:r>
              <w:rPr>
                <w:rFonts w:ascii="Calibri"/>
                <w:sz w:val="20"/>
              </w:rPr>
              <w:t>DEI budget to support staff learning</w:t>
            </w:r>
          </w:p>
        </w:tc>
        <w:tc>
          <w:tcPr>
            <w:tcW w:w="1349" w:type="dxa"/>
          </w:tcPr>
          <w:p w14:paraId="34CA2D18" w14:textId="77777777" w:rsidR="004C241D" w:rsidRDefault="00DF2A83">
            <w:pPr>
              <w:pStyle w:val="TableParagraph"/>
              <w:spacing w:line="243" w:lineRule="exact"/>
              <w:ind w:left="-1"/>
              <w:rPr>
                <w:rFonts w:ascii="Calibri"/>
                <w:sz w:val="20"/>
              </w:rPr>
            </w:pPr>
            <w:r>
              <w:rPr>
                <w:rFonts w:ascii="Calibri"/>
                <w:sz w:val="20"/>
              </w:rPr>
              <w:t>$37,800</w:t>
            </w:r>
          </w:p>
        </w:tc>
        <w:tc>
          <w:tcPr>
            <w:tcW w:w="6013" w:type="dxa"/>
          </w:tcPr>
          <w:p w14:paraId="4B30C736" w14:textId="77777777" w:rsidR="004C241D" w:rsidRDefault="00DF2A83">
            <w:pPr>
              <w:pStyle w:val="TableParagraph"/>
              <w:spacing w:line="243" w:lineRule="exact"/>
              <w:rPr>
                <w:rFonts w:ascii="Calibri"/>
                <w:sz w:val="20"/>
              </w:rPr>
            </w:pPr>
            <w:r>
              <w:rPr>
                <w:rFonts w:ascii="Calibri"/>
                <w:sz w:val="20"/>
              </w:rPr>
              <w:t>Chapter 70</w:t>
            </w:r>
          </w:p>
        </w:tc>
      </w:tr>
      <w:tr w:rsidR="004C241D" w14:paraId="120C43D2" w14:textId="77777777">
        <w:trPr>
          <w:trHeight w:hRule="exact" w:val="302"/>
        </w:trPr>
        <w:tc>
          <w:tcPr>
            <w:tcW w:w="3143" w:type="dxa"/>
            <w:tcBorders>
              <w:bottom w:val="single" w:sz="8" w:space="0" w:color="000000"/>
            </w:tcBorders>
          </w:tcPr>
          <w:p w14:paraId="1429F57F" w14:textId="77777777" w:rsidR="004C241D" w:rsidRDefault="00DF2A83">
            <w:pPr>
              <w:pStyle w:val="TableParagraph"/>
              <w:spacing w:line="243" w:lineRule="exact"/>
              <w:rPr>
                <w:rFonts w:ascii="Calibri"/>
                <w:sz w:val="20"/>
              </w:rPr>
            </w:pPr>
            <w:r>
              <w:rPr>
                <w:rFonts w:ascii="Calibri"/>
                <w:sz w:val="20"/>
              </w:rPr>
              <w:t>Students in need budget</w:t>
            </w:r>
          </w:p>
        </w:tc>
        <w:tc>
          <w:tcPr>
            <w:tcW w:w="1349" w:type="dxa"/>
            <w:tcBorders>
              <w:bottom w:val="single" w:sz="8" w:space="0" w:color="000000"/>
            </w:tcBorders>
          </w:tcPr>
          <w:p w14:paraId="28BBC1A2" w14:textId="77777777" w:rsidR="004C241D" w:rsidRDefault="00DF2A83">
            <w:pPr>
              <w:pStyle w:val="TableParagraph"/>
              <w:spacing w:line="243" w:lineRule="exact"/>
              <w:ind w:left="-1"/>
              <w:rPr>
                <w:rFonts w:ascii="Calibri"/>
                <w:sz w:val="20"/>
              </w:rPr>
            </w:pPr>
            <w:r>
              <w:rPr>
                <w:rFonts w:ascii="Calibri"/>
                <w:sz w:val="20"/>
              </w:rPr>
              <w:t>$33,000</w:t>
            </w:r>
          </w:p>
        </w:tc>
        <w:tc>
          <w:tcPr>
            <w:tcW w:w="6013" w:type="dxa"/>
            <w:tcBorders>
              <w:bottom w:val="single" w:sz="8" w:space="0" w:color="000000"/>
            </w:tcBorders>
          </w:tcPr>
          <w:p w14:paraId="46003C0B" w14:textId="77777777" w:rsidR="004C241D" w:rsidRDefault="00DF2A83">
            <w:pPr>
              <w:pStyle w:val="TableParagraph"/>
              <w:spacing w:line="243" w:lineRule="exact"/>
              <w:rPr>
                <w:rFonts w:ascii="Calibri"/>
                <w:sz w:val="20"/>
              </w:rPr>
            </w:pPr>
            <w:r>
              <w:rPr>
                <w:rFonts w:ascii="Calibri"/>
                <w:sz w:val="20"/>
              </w:rPr>
              <w:t>Chapter 70</w:t>
            </w:r>
          </w:p>
        </w:tc>
      </w:tr>
      <w:tr w:rsidR="004C241D" w14:paraId="7F6D0DAA" w14:textId="77777777">
        <w:trPr>
          <w:trHeight w:hRule="exact" w:val="301"/>
        </w:trPr>
        <w:tc>
          <w:tcPr>
            <w:tcW w:w="3143" w:type="dxa"/>
            <w:tcBorders>
              <w:top w:val="single" w:sz="8" w:space="0" w:color="000000"/>
              <w:bottom w:val="single" w:sz="8" w:space="0" w:color="000000"/>
            </w:tcBorders>
          </w:tcPr>
          <w:p w14:paraId="7B929040" w14:textId="77777777" w:rsidR="004C241D" w:rsidRDefault="00DF2A83">
            <w:pPr>
              <w:pStyle w:val="TableParagraph"/>
              <w:spacing w:before="1"/>
              <w:rPr>
                <w:rFonts w:ascii="Calibri"/>
                <w:sz w:val="20"/>
              </w:rPr>
            </w:pPr>
            <w:r>
              <w:rPr>
                <w:rFonts w:ascii="Calibri"/>
                <w:sz w:val="20"/>
              </w:rPr>
              <w:t>PEAR contract</w:t>
            </w:r>
          </w:p>
        </w:tc>
        <w:tc>
          <w:tcPr>
            <w:tcW w:w="1349" w:type="dxa"/>
            <w:tcBorders>
              <w:top w:val="single" w:sz="8" w:space="0" w:color="000000"/>
              <w:bottom w:val="single" w:sz="8" w:space="0" w:color="000000"/>
            </w:tcBorders>
          </w:tcPr>
          <w:p w14:paraId="40B4D399" w14:textId="77777777" w:rsidR="004C241D" w:rsidRDefault="00DF2A83">
            <w:pPr>
              <w:pStyle w:val="TableParagraph"/>
              <w:spacing w:before="1"/>
              <w:ind w:left="-1"/>
              <w:rPr>
                <w:rFonts w:ascii="Calibri"/>
                <w:sz w:val="20"/>
              </w:rPr>
            </w:pPr>
            <w:r>
              <w:rPr>
                <w:rFonts w:ascii="Calibri"/>
                <w:sz w:val="20"/>
              </w:rPr>
              <w:t>$30,000</w:t>
            </w:r>
          </w:p>
        </w:tc>
        <w:tc>
          <w:tcPr>
            <w:tcW w:w="6013" w:type="dxa"/>
            <w:tcBorders>
              <w:top w:val="single" w:sz="8" w:space="0" w:color="000000"/>
              <w:bottom w:val="single" w:sz="8" w:space="0" w:color="000000"/>
            </w:tcBorders>
          </w:tcPr>
          <w:p w14:paraId="7426613B" w14:textId="77777777" w:rsidR="004C241D" w:rsidRDefault="00DF2A83">
            <w:pPr>
              <w:pStyle w:val="TableParagraph"/>
              <w:spacing w:before="1"/>
              <w:rPr>
                <w:rFonts w:ascii="Calibri"/>
                <w:sz w:val="20"/>
              </w:rPr>
            </w:pPr>
            <w:r>
              <w:rPr>
                <w:rFonts w:ascii="Calibri"/>
                <w:sz w:val="20"/>
              </w:rPr>
              <w:t>Chapter 70</w:t>
            </w:r>
          </w:p>
        </w:tc>
      </w:tr>
      <w:tr w:rsidR="004C241D" w14:paraId="460089E7" w14:textId="77777777">
        <w:trPr>
          <w:trHeight w:hRule="exact" w:val="300"/>
        </w:trPr>
        <w:tc>
          <w:tcPr>
            <w:tcW w:w="3143" w:type="dxa"/>
            <w:tcBorders>
              <w:top w:val="single" w:sz="8" w:space="0" w:color="000000"/>
              <w:bottom w:val="single" w:sz="8" w:space="0" w:color="000000"/>
            </w:tcBorders>
          </w:tcPr>
          <w:p w14:paraId="15B22F11" w14:textId="77777777" w:rsidR="004C241D" w:rsidRDefault="00DF2A83">
            <w:pPr>
              <w:pStyle w:val="TableParagraph"/>
              <w:spacing w:line="243" w:lineRule="exact"/>
              <w:rPr>
                <w:rFonts w:ascii="Calibri"/>
                <w:sz w:val="20"/>
              </w:rPr>
            </w:pPr>
            <w:r>
              <w:rPr>
                <w:rFonts w:ascii="Calibri"/>
                <w:sz w:val="20"/>
              </w:rPr>
              <w:t>TOTAL</w:t>
            </w:r>
          </w:p>
        </w:tc>
        <w:tc>
          <w:tcPr>
            <w:tcW w:w="1349" w:type="dxa"/>
            <w:tcBorders>
              <w:top w:val="single" w:sz="8" w:space="0" w:color="000000"/>
              <w:bottom w:val="single" w:sz="8" w:space="0" w:color="000000"/>
            </w:tcBorders>
          </w:tcPr>
          <w:p w14:paraId="6FC45FD6" w14:textId="77777777" w:rsidR="004C241D" w:rsidRDefault="00DF2A83">
            <w:pPr>
              <w:pStyle w:val="TableParagraph"/>
              <w:spacing w:line="243" w:lineRule="exact"/>
              <w:ind w:left="-1"/>
              <w:rPr>
                <w:rFonts w:ascii="Calibri"/>
                <w:b/>
                <w:sz w:val="20"/>
              </w:rPr>
            </w:pPr>
            <w:r>
              <w:rPr>
                <w:rFonts w:ascii="Calibri"/>
                <w:b/>
                <w:sz w:val="20"/>
              </w:rPr>
              <w:t>$183,500</w:t>
            </w:r>
          </w:p>
        </w:tc>
        <w:tc>
          <w:tcPr>
            <w:tcW w:w="6013" w:type="dxa"/>
            <w:tcBorders>
              <w:top w:val="single" w:sz="8" w:space="0" w:color="000000"/>
              <w:bottom w:val="single" w:sz="8" w:space="0" w:color="000000"/>
            </w:tcBorders>
          </w:tcPr>
          <w:p w14:paraId="5B9D8B94" w14:textId="77777777" w:rsidR="004C241D" w:rsidRDefault="004C241D"/>
        </w:tc>
      </w:tr>
      <w:tr w:rsidR="004C241D" w14:paraId="6437BD8C" w14:textId="77777777">
        <w:trPr>
          <w:trHeight w:hRule="exact" w:val="518"/>
        </w:trPr>
        <w:tc>
          <w:tcPr>
            <w:tcW w:w="4491" w:type="dxa"/>
            <w:gridSpan w:val="2"/>
            <w:tcBorders>
              <w:top w:val="single" w:sz="8" w:space="0" w:color="000000"/>
            </w:tcBorders>
            <w:shd w:val="clear" w:color="auto" w:fill="D9D9D9"/>
          </w:tcPr>
          <w:p w14:paraId="1DB7344B" w14:textId="77777777" w:rsidR="004C241D" w:rsidRDefault="00DF2A83">
            <w:pPr>
              <w:pStyle w:val="TableParagraph"/>
              <w:spacing w:before="1" w:line="218" w:lineRule="exact"/>
              <w:ind w:left="100" w:right="888"/>
              <w:rPr>
                <w:rFonts w:ascii="Calibri"/>
                <w:b/>
                <w:sz w:val="20"/>
              </w:rPr>
            </w:pPr>
            <w:r>
              <w:rPr>
                <w:rFonts w:ascii="Calibri"/>
                <w:b/>
                <w:sz w:val="20"/>
              </w:rPr>
              <w:t>Evidence-based program identified by the Department:</w:t>
            </w:r>
          </w:p>
        </w:tc>
        <w:tc>
          <w:tcPr>
            <w:tcW w:w="6013" w:type="dxa"/>
            <w:tcBorders>
              <w:top w:val="single" w:sz="8" w:space="0" w:color="000000"/>
            </w:tcBorders>
          </w:tcPr>
          <w:p w14:paraId="185DDEC4" w14:textId="77777777" w:rsidR="004C241D" w:rsidRDefault="00DF2A83">
            <w:pPr>
              <w:pStyle w:val="TableParagraph"/>
              <w:spacing w:line="243" w:lineRule="exact"/>
              <w:rPr>
                <w:rFonts w:ascii="Calibri"/>
                <w:sz w:val="20"/>
              </w:rPr>
            </w:pPr>
            <w:r>
              <w:rPr>
                <w:rFonts w:ascii="Calibri"/>
                <w:sz w:val="20"/>
              </w:rPr>
              <w:t>Increased personnel and services to support holistic student needs</w:t>
            </w:r>
          </w:p>
        </w:tc>
      </w:tr>
      <w:tr w:rsidR="004C241D" w14:paraId="0956242F" w14:textId="77777777">
        <w:trPr>
          <w:trHeight w:hRule="exact" w:val="295"/>
        </w:trPr>
        <w:tc>
          <w:tcPr>
            <w:tcW w:w="4491" w:type="dxa"/>
            <w:gridSpan w:val="2"/>
            <w:shd w:val="clear" w:color="auto" w:fill="D9D9D9"/>
          </w:tcPr>
          <w:p w14:paraId="496F947A" w14:textId="77777777" w:rsidR="004C241D" w:rsidRDefault="00DF2A83">
            <w:pPr>
              <w:pStyle w:val="TableParagraph"/>
              <w:spacing w:before="1"/>
              <w:ind w:left="100"/>
              <w:rPr>
                <w:rFonts w:ascii="Calibri"/>
                <w:b/>
                <w:sz w:val="20"/>
              </w:rPr>
            </w:pPr>
            <w:r>
              <w:rPr>
                <w:rFonts w:ascii="Calibri"/>
                <w:b/>
                <w:sz w:val="20"/>
              </w:rPr>
              <w:t>SOA program categories:</w:t>
            </w:r>
          </w:p>
        </w:tc>
        <w:tc>
          <w:tcPr>
            <w:tcW w:w="6013" w:type="dxa"/>
          </w:tcPr>
          <w:p w14:paraId="589FE662" w14:textId="77777777" w:rsidR="004C241D" w:rsidRDefault="00DF2A83">
            <w:pPr>
              <w:pStyle w:val="TableParagraph"/>
              <w:spacing w:line="243" w:lineRule="exact"/>
              <w:rPr>
                <w:rFonts w:ascii="Calibri"/>
                <w:sz w:val="20"/>
              </w:rPr>
            </w:pPr>
            <w:r>
              <w:rPr>
                <w:rFonts w:ascii="Calibri"/>
                <w:sz w:val="20"/>
              </w:rPr>
              <w:t>Targeted Student Supports</w:t>
            </w:r>
          </w:p>
        </w:tc>
      </w:tr>
    </w:tbl>
    <w:p w14:paraId="48B6C5BD" w14:textId="77777777" w:rsidR="004C241D" w:rsidRDefault="004C241D">
      <w:pPr>
        <w:pStyle w:val="BodyText"/>
        <w:rPr>
          <w:sz w:val="20"/>
        </w:rPr>
      </w:pPr>
    </w:p>
    <w:p w14:paraId="26CCB303" w14:textId="77777777" w:rsidR="004C241D" w:rsidRDefault="004C241D">
      <w:pPr>
        <w:pStyle w:val="BodyText"/>
        <w:rPr>
          <w:sz w:val="18"/>
        </w:rPr>
      </w:pPr>
    </w:p>
    <w:p w14:paraId="15FC3B48" w14:textId="77777777" w:rsidR="004C241D" w:rsidRDefault="00DF2A83">
      <w:pPr>
        <w:spacing w:before="47" w:line="317" w:lineRule="exact"/>
        <w:ind w:left="120"/>
        <w:rPr>
          <w:rFonts w:ascii="Calibri Light"/>
          <w:i/>
          <w:sz w:val="26"/>
        </w:rPr>
      </w:pPr>
      <w:r>
        <w:rPr>
          <w:b/>
        </w:rPr>
        <w:t xml:space="preserve">Evidence-based program #2: </w:t>
      </w:r>
      <w:r>
        <w:rPr>
          <w:rFonts w:ascii="Calibri Light"/>
          <w:i/>
          <w:color w:val="006FC0"/>
          <w:sz w:val="26"/>
        </w:rPr>
        <w:t xml:space="preserve">Parent-teacher home visiting programs  </w:t>
      </w:r>
    </w:p>
    <w:p w14:paraId="087AEDAF" w14:textId="77777777" w:rsidR="004C241D" w:rsidRDefault="00DF2A83">
      <w:pPr>
        <w:spacing w:line="317" w:lineRule="exact"/>
        <w:ind w:left="120"/>
        <w:rPr>
          <w:rFonts w:ascii="Calibri Light"/>
          <w:i/>
          <w:sz w:val="26"/>
        </w:rPr>
      </w:pPr>
      <w:r>
        <w:rPr>
          <w:rFonts w:ascii="Calibri Light"/>
          <w:i/>
          <w:color w:val="006FC0"/>
          <w:w w:val="99"/>
          <w:sz w:val="26"/>
        </w:rPr>
        <w:t xml:space="preserve"> </w:t>
      </w:r>
    </w:p>
    <w:p w14:paraId="6EFD12B6" w14:textId="77777777" w:rsidR="004C241D" w:rsidRDefault="00DF2A83">
      <w:pPr>
        <w:pStyle w:val="BodyText"/>
        <w:ind w:left="120" w:right="151"/>
      </w:pPr>
      <w:r>
        <w:t>In the 2021-2023 Strategic Plan, family engagement emerged as a key focus, as noted above. We believe it is foundational to both Diversity, Equity, and Inclusion as well as Comprehensive Student Development, two of our strategic plan pillars. One of our id</w:t>
      </w:r>
      <w:r>
        <w:t>eas, pre-COVID, was to partner with an organization out of Washington, DC, called Kindred, which brings families and school together in robust ways across lines of difference. Though COVID-19 put this idea on hold, we have instead partnered with 1647 to do</w:t>
      </w:r>
      <w:r>
        <w:t xml:space="preserve"> trainings for our staff on strengthening the school-home connection. In Summer 2020, we trained many of our key leaders on 1647’s model for family engagement, which involves home visits. Though we did not do home visits this year because of COVID, we did </w:t>
      </w:r>
      <w:r>
        <w:t xml:space="preserve">launch “listening conferences,” which involved each advisor beginning the year with a ~30 minute conversation with families to hear their hopes and dreams for their child; this is rooted in the same principles as the home visit concept put forth by </w:t>
      </w:r>
      <w:proofErr w:type="spellStart"/>
      <w:r>
        <w:t>Flamboy</w:t>
      </w:r>
      <w:r>
        <w:t>an</w:t>
      </w:r>
      <w:proofErr w:type="spellEnd"/>
      <w:r>
        <w:t xml:space="preserve"> and others. We were very proud of this aspect of the launch to the school year, and find that, though we are apart, our school-family connection is stronger than ever. </w:t>
      </w:r>
      <w:proofErr w:type="gramStart"/>
      <w:r>
        <w:t>Also</w:t>
      </w:r>
      <w:proofErr w:type="gramEnd"/>
      <w:r>
        <w:t xml:space="preserve"> in concert with support and advice from 1647, we have been conducting follow-on </w:t>
      </w:r>
      <w:r>
        <w:t>phone calls to each family survey we launch related to school reopening, which has been an important way of ensuring that we are truly reaching all of our families. We hope to continue this in years to come.</w:t>
      </w:r>
    </w:p>
    <w:p w14:paraId="7DC3BC89" w14:textId="77777777" w:rsidR="004C241D" w:rsidRDefault="004C241D">
      <w:pPr>
        <w:pStyle w:val="BodyText"/>
        <w:spacing w:before="4"/>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1"/>
        <w:gridCol w:w="1706"/>
        <w:gridCol w:w="5687"/>
      </w:tblGrid>
      <w:tr w:rsidR="004C241D" w14:paraId="14F70079" w14:textId="77777777">
        <w:trPr>
          <w:trHeight w:hRule="exact" w:val="238"/>
        </w:trPr>
        <w:tc>
          <w:tcPr>
            <w:tcW w:w="3071" w:type="dxa"/>
            <w:shd w:val="clear" w:color="auto" w:fill="D9D9D9"/>
          </w:tcPr>
          <w:p w14:paraId="5924CDAD" w14:textId="77777777" w:rsidR="004C241D" w:rsidRDefault="00DF2A83">
            <w:pPr>
              <w:pStyle w:val="TableParagraph"/>
              <w:spacing w:line="229" w:lineRule="exact"/>
              <w:ind w:left="100"/>
              <w:rPr>
                <w:rFonts w:ascii="Calibri"/>
                <w:b/>
                <w:sz w:val="20"/>
              </w:rPr>
            </w:pPr>
            <w:r>
              <w:rPr>
                <w:rFonts w:ascii="Calibri"/>
                <w:b/>
                <w:sz w:val="20"/>
              </w:rPr>
              <w:t>FY21 budget item</w:t>
            </w:r>
          </w:p>
        </w:tc>
        <w:tc>
          <w:tcPr>
            <w:tcW w:w="1706" w:type="dxa"/>
            <w:shd w:val="clear" w:color="auto" w:fill="D9D9D9"/>
          </w:tcPr>
          <w:p w14:paraId="73F35410" w14:textId="77777777" w:rsidR="004C241D" w:rsidRDefault="00DF2A83">
            <w:pPr>
              <w:pStyle w:val="TableParagraph"/>
              <w:spacing w:line="229" w:lineRule="exact"/>
              <w:ind w:left="103"/>
              <w:rPr>
                <w:rFonts w:ascii="Calibri"/>
                <w:b/>
                <w:sz w:val="20"/>
              </w:rPr>
            </w:pPr>
            <w:r>
              <w:rPr>
                <w:rFonts w:ascii="Calibri"/>
                <w:b/>
                <w:sz w:val="20"/>
              </w:rPr>
              <w:t>Amount</w:t>
            </w:r>
          </w:p>
        </w:tc>
        <w:tc>
          <w:tcPr>
            <w:tcW w:w="5687" w:type="dxa"/>
            <w:shd w:val="clear" w:color="auto" w:fill="D9D9D9"/>
          </w:tcPr>
          <w:p w14:paraId="58ECF16E" w14:textId="77777777" w:rsidR="004C241D" w:rsidRDefault="00DF2A83">
            <w:pPr>
              <w:pStyle w:val="TableParagraph"/>
              <w:spacing w:line="229" w:lineRule="exact"/>
              <w:ind w:left="105"/>
              <w:rPr>
                <w:rFonts w:ascii="Calibri"/>
                <w:b/>
                <w:sz w:val="20"/>
              </w:rPr>
            </w:pPr>
            <w:r>
              <w:rPr>
                <w:rFonts w:ascii="Calibri"/>
                <w:b/>
                <w:sz w:val="20"/>
              </w:rPr>
              <w:t>Foundation Category</w:t>
            </w:r>
          </w:p>
        </w:tc>
      </w:tr>
      <w:tr w:rsidR="004C241D" w14:paraId="4C11192F" w14:textId="77777777">
        <w:trPr>
          <w:trHeight w:hRule="exact" w:val="644"/>
        </w:trPr>
        <w:tc>
          <w:tcPr>
            <w:tcW w:w="3071" w:type="dxa"/>
            <w:tcBorders>
              <w:top w:val="single" w:sz="13" w:space="0" w:color="D9D9D9"/>
              <w:bottom w:val="single" w:sz="8" w:space="0" w:color="000000"/>
            </w:tcBorders>
          </w:tcPr>
          <w:p w14:paraId="62D9F0EE" w14:textId="77777777" w:rsidR="004C241D" w:rsidRDefault="00DF2A83">
            <w:pPr>
              <w:pStyle w:val="TableParagraph"/>
              <w:spacing w:before="4"/>
              <w:ind w:right="175"/>
              <w:rPr>
                <w:rFonts w:ascii="Calibri"/>
                <w:sz w:val="20"/>
              </w:rPr>
            </w:pPr>
            <w:r>
              <w:rPr>
                <w:rFonts w:ascii="Calibri"/>
                <w:sz w:val="20"/>
              </w:rPr>
              <w:t>1647 trainings and related stipends for staff</w:t>
            </w:r>
          </w:p>
        </w:tc>
        <w:tc>
          <w:tcPr>
            <w:tcW w:w="1706" w:type="dxa"/>
            <w:tcBorders>
              <w:top w:val="single" w:sz="13" w:space="0" w:color="D9D9D9"/>
              <w:bottom w:val="single" w:sz="8" w:space="0" w:color="000000"/>
            </w:tcBorders>
          </w:tcPr>
          <w:p w14:paraId="5DFCC588" w14:textId="77777777" w:rsidR="004C241D" w:rsidRDefault="00DF2A83">
            <w:pPr>
              <w:pStyle w:val="TableParagraph"/>
              <w:spacing w:before="4"/>
              <w:rPr>
                <w:rFonts w:ascii="Calibri"/>
                <w:sz w:val="20"/>
              </w:rPr>
            </w:pPr>
            <w:r>
              <w:rPr>
                <w:rFonts w:ascii="Calibri"/>
                <w:sz w:val="20"/>
              </w:rPr>
              <w:t>$5,000</w:t>
            </w:r>
          </w:p>
        </w:tc>
        <w:tc>
          <w:tcPr>
            <w:tcW w:w="5687" w:type="dxa"/>
            <w:tcBorders>
              <w:top w:val="single" w:sz="13" w:space="0" w:color="D9D9D9"/>
              <w:bottom w:val="single" w:sz="8" w:space="0" w:color="000000"/>
            </w:tcBorders>
          </w:tcPr>
          <w:p w14:paraId="4532E1E6" w14:textId="77777777" w:rsidR="004C241D" w:rsidRDefault="00DF2A83">
            <w:pPr>
              <w:pStyle w:val="TableParagraph"/>
              <w:spacing w:before="4"/>
              <w:rPr>
                <w:rFonts w:ascii="Calibri"/>
                <w:sz w:val="20"/>
              </w:rPr>
            </w:pPr>
            <w:r>
              <w:rPr>
                <w:rFonts w:ascii="Calibri"/>
                <w:sz w:val="20"/>
              </w:rPr>
              <w:t>Chapter 70</w:t>
            </w:r>
          </w:p>
        </w:tc>
      </w:tr>
      <w:tr w:rsidR="004C241D" w14:paraId="19ED88C6" w14:textId="77777777">
        <w:trPr>
          <w:trHeight w:hRule="exact" w:val="254"/>
        </w:trPr>
        <w:tc>
          <w:tcPr>
            <w:tcW w:w="4777" w:type="dxa"/>
            <w:gridSpan w:val="2"/>
            <w:tcBorders>
              <w:top w:val="single" w:sz="8" w:space="0" w:color="000000"/>
            </w:tcBorders>
            <w:shd w:val="clear" w:color="auto" w:fill="D9D9D9"/>
          </w:tcPr>
          <w:p w14:paraId="46FFF7BD" w14:textId="77777777" w:rsidR="004C241D" w:rsidRDefault="00DF2A83">
            <w:pPr>
              <w:pStyle w:val="TableParagraph"/>
              <w:spacing w:line="229" w:lineRule="exact"/>
              <w:ind w:left="100"/>
              <w:rPr>
                <w:rFonts w:ascii="Calibri"/>
                <w:b/>
                <w:sz w:val="20"/>
              </w:rPr>
            </w:pPr>
            <w:r>
              <w:rPr>
                <w:rFonts w:ascii="Calibri"/>
                <w:b/>
                <w:sz w:val="20"/>
              </w:rPr>
              <w:t>Evidence-based program identified by the Department:</w:t>
            </w:r>
          </w:p>
        </w:tc>
        <w:tc>
          <w:tcPr>
            <w:tcW w:w="5687" w:type="dxa"/>
            <w:tcBorders>
              <w:top w:val="single" w:sz="8" w:space="0" w:color="000000"/>
            </w:tcBorders>
          </w:tcPr>
          <w:p w14:paraId="64CFFB6E" w14:textId="77777777" w:rsidR="004C241D" w:rsidRDefault="00DF2A83">
            <w:pPr>
              <w:pStyle w:val="TableParagraph"/>
              <w:spacing w:line="253" w:lineRule="exact"/>
              <w:rPr>
                <w:rFonts w:ascii="Calibri Light"/>
                <w:sz w:val="21"/>
              </w:rPr>
            </w:pPr>
            <w:r>
              <w:rPr>
                <w:rFonts w:ascii="Calibri Light"/>
                <w:sz w:val="21"/>
              </w:rPr>
              <w:t>Parent-teacher home visiting programs</w:t>
            </w:r>
          </w:p>
        </w:tc>
      </w:tr>
      <w:tr w:rsidR="004C241D" w14:paraId="2754965A" w14:textId="77777777">
        <w:trPr>
          <w:trHeight w:hRule="exact" w:val="257"/>
        </w:trPr>
        <w:tc>
          <w:tcPr>
            <w:tcW w:w="4777" w:type="dxa"/>
            <w:gridSpan w:val="2"/>
            <w:shd w:val="clear" w:color="auto" w:fill="D9D9D9"/>
          </w:tcPr>
          <w:p w14:paraId="48A4D74A" w14:textId="77777777" w:rsidR="004C241D" w:rsidRDefault="00DF2A83">
            <w:pPr>
              <w:pStyle w:val="TableParagraph"/>
              <w:spacing w:before="1"/>
              <w:ind w:left="100"/>
              <w:rPr>
                <w:rFonts w:ascii="Calibri"/>
                <w:b/>
                <w:sz w:val="20"/>
              </w:rPr>
            </w:pPr>
            <w:r>
              <w:rPr>
                <w:rFonts w:ascii="Calibri"/>
                <w:b/>
                <w:sz w:val="20"/>
              </w:rPr>
              <w:t>SOA program categories:</w:t>
            </w:r>
          </w:p>
        </w:tc>
        <w:tc>
          <w:tcPr>
            <w:tcW w:w="5687" w:type="dxa"/>
          </w:tcPr>
          <w:p w14:paraId="76E41708" w14:textId="77777777" w:rsidR="004C241D" w:rsidRDefault="00DF2A83">
            <w:pPr>
              <w:pStyle w:val="TableParagraph"/>
              <w:spacing w:line="243" w:lineRule="exact"/>
              <w:rPr>
                <w:rFonts w:ascii="Calibri"/>
                <w:sz w:val="20"/>
              </w:rPr>
            </w:pPr>
            <w:r>
              <w:rPr>
                <w:rFonts w:ascii="Calibri"/>
                <w:sz w:val="20"/>
              </w:rPr>
              <w:t>Conditions for Student Success</w:t>
            </w:r>
          </w:p>
        </w:tc>
      </w:tr>
    </w:tbl>
    <w:p w14:paraId="7318CBB1" w14:textId="77777777" w:rsidR="004C241D" w:rsidRDefault="004C241D">
      <w:pPr>
        <w:pStyle w:val="BodyText"/>
        <w:rPr>
          <w:sz w:val="20"/>
        </w:rPr>
      </w:pPr>
    </w:p>
    <w:p w14:paraId="194B2CB4" w14:textId="77777777" w:rsidR="004C241D" w:rsidRDefault="004C241D">
      <w:pPr>
        <w:pStyle w:val="BodyText"/>
        <w:rPr>
          <w:sz w:val="20"/>
        </w:rPr>
      </w:pPr>
    </w:p>
    <w:p w14:paraId="73FEC257" w14:textId="77777777" w:rsidR="004C241D" w:rsidRDefault="004C241D">
      <w:pPr>
        <w:pStyle w:val="BodyText"/>
        <w:rPr>
          <w:sz w:val="20"/>
        </w:rPr>
      </w:pPr>
    </w:p>
    <w:p w14:paraId="0F72725A" w14:textId="0E12FD3F" w:rsidR="004C241D" w:rsidRDefault="004C241D">
      <w:pPr>
        <w:pStyle w:val="BodyText"/>
        <w:spacing w:before="10"/>
        <w:rPr>
          <w:sz w:val="13"/>
        </w:rPr>
      </w:pPr>
    </w:p>
    <w:p w14:paraId="3499AC28" w14:textId="77777777" w:rsidR="004C241D" w:rsidRDefault="00DF2A83">
      <w:pPr>
        <w:spacing w:before="59" w:line="242" w:lineRule="auto"/>
        <w:ind w:left="120" w:right="874"/>
        <w:jc w:val="both"/>
        <w:rPr>
          <w:sz w:val="20"/>
        </w:rPr>
      </w:pPr>
      <w:r>
        <w:rPr>
          <w:rFonts w:ascii="Times New Roman"/>
          <w:position w:val="11"/>
          <w:sz w:val="16"/>
        </w:rPr>
        <w:t xml:space="preserve">1 </w:t>
      </w:r>
      <w:r>
        <w:rPr>
          <w:sz w:val="20"/>
        </w:rPr>
        <w:t>The foundation categories are: Administration; Instructional Leadership; Classroom &amp; Specialist Teachers; Other Teaching Services;</w:t>
      </w:r>
      <w:r>
        <w:rPr>
          <w:spacing w:val="-5"/>
          <w:sz w:val="20"/>
        </w:rPr>
        <w:t xml:space="preserve"> </w:t>
      </w:r>
      <w:r>
        <w:rPr>
          <w:sz w:val="20"/>
        </w:rPr>
        <w:t>Professional</w:t>
      </w:r>
      <w:r>
        <w:rPr>
          <w:spacing w:val="-4"/>
          <w:sz w:val="20"/>
        </w:rPr>
        <w:t xml:space="preserve"> </w:t>
      </w:r>
      <w:r>
        <w:rPr>
          <w:sz w:val="20"/>
        </w:rPr>
        <w:t>Development;</w:t>
      </w:r>
      <w:r>
        <w:rPr>
          <w:spacing w:val="-5"/>
          <w:sz w:val="20"/>
        </w:rPr>
        <w:t xml:space="preserve"> </w:t>
      </w:r>
      <w:r>
        <w:rPr>
          <w:sz w:val="20"/>
        </w:rPr>
        <w:t>Instructional</w:t>
      </w:r>
      <w:r>
        <w:rPr>
          <w:spacing w:val="-4"/>
          <w:sz w:val="20"/>
        </w:rPr>
        <w:t xml:space="preserve"> </w:t>
      </w:r>
      <w:r>
        <w:rPr>
          <w:sz w:val="20"/>
        </w:rPr>
        <w:t>Materials,</w:t>
      </w:r>
      <w:r>
        <w:rPr>
          <w:spacing w:val="-4"/>
          <w:sz w:val="20"/>
        </w:rPr>
        <w:t xml:space="preserve"> </w:t>
      </w:r>
      <w:r>
        <w:rPr>
          <w:sz w:val="20"/>
        </w:rPr>
        <w:t>Equipment,</w:t>
      </w:r>
      <w:r>
        <w:rPr>
          <w:spacing w:val="-4"/>
          <w:sz w:val="20"/>
        </w:rPr>
        <w:t xml:space="preserve"> </w:t>
      </w:r>
      <w:r>
        <w:rPr>
          <w:sz w:val="20"/>
        </w:rPr>
        <w:t>and</w:t>
      </w:r>
      <w:r>
        <w:rPr>
          <w:spacing w:val="-4"/>
          <w:sz w:val="20"/>
        </w:rPr>
        <w:t xml:space="preserve"> </w:t>
      </w:r>
      <w:r>
        <w:rPr>
          <w:sz w:val="20"/>
        </w:rPr>
        <w:t>Technology;</w:t>
      </w:r>
      <w:r>
        <w:rPr>
          <w:spacing w:val="-5"/>
          <w:sz w:val="20"/>
        </w:rPr>
        <w:t xml:space="preserve"> </w:t>
      </w:r>
      <w:r>
        <w:rPr>
          <w:sz w:val="20"/>
        </w:rPr>
        <w:t>Guidance</w:t>
      </w:r>
      <w:r>
        <w:rPr>
          <w:spacing w:val="-6"/>
          <w:sz w:val="20"/>
        </w:rPr>
        <w:t xml:space="preserve"> </w:t>
      </w:r>
      <w:r>
        <w:rPr>
          <w:sz w:val="20"/>
        </w:rPr>
        <w:t>and</w:t>
      </w:r>
      <w:r>
        <w:rPr>
          <w:spacing w:val="-4"/>
          <w:sz w:val="20"/>
        </w:rPr>
        <w:t xml:space="preserve"> </w:t>
      </w:r>
      <w:r>
        <w:rPr>
          <w:sz w:val="20"/>
        </w:rPr>
        <w:t>Psychological;</w:t>
      </w:r>
      <w:r>
        <w:rPr>
          <w:spacing w:val="-3"/>
          <w:sz w:val="20"/>
        </w:rPr>
        <w:t xml:space="preserve"> </w:t>
      </w:r>
      <w:r>
        <w:rPr>
          <w:sz w:val="20"/>
        </w:rPr>
        <w:t>Pupil Services;</w:t>
      </w:r>
      <w:r>
        <w:rPr>
          <w:spacing w:val="-5"/>
          <w:sz w:val="20"/>
        </w:rPr>
        <w:t xml:space="preserve"> </w:t>
      </w:r>
      <w:r>
        <w:rPr>
          <w:sz w:val="20"/>
        </w:rPr>
        <w:t>Operations</w:t>
      </w:r>
      <w:r>
        <w:rPr>
          <w:spacing w:val="-6"/>
          <w:sz w:val="20"/>
        </w:rPr>
        <w:t xml:space="preserve"> </w:t>
      </w:r>
      <w:r>
        <w:rPr>
          <w:sz w:val="20"/>
        </w:rPr>
        <w:t>and</w:t>
      </w:r>
      <w:r>
        <w:rPr>
          <w:spacing w:val="-4"/>
          <w:sz w:val="20"/>
        </w:rPr>
        <w:t xml:space="preserve"> </w:t>
      </w:r>
      <w:r>
        <w:rPr>
          <w:sz w:val="20"/>
        </w:rPr>
        <w:t>Maintenance;</w:t>
      </w:r>
      <w:r>
        <w:rPr>
          <w:spacing w:val="-5"/>
          <w:sz w:val="20"/>
        </w:rPr>
        <w:t xml:space="preserve"> </w:t>
      </w:r>
      <w:r>
        <w:rPr>
          <w:sz w:val="20"/>
        </w:rPr>
        <w:t>Employee</w:t>
      </w:r>
      <w:r>
        <w:rPr>
          <w:spacing w:val="-5"/>
          <w:sz w:val="20"/>
        </w:rPr>
        <w:t xml:space="preserve"> </w:t>
      </w:r>
      <w:r>
        <w:rPr>
          <w:sz w:val="20"/>
        </w:rPr>
        <w:t>Benefits/Fixed</w:t>
      </w:r>
      <w:r>
        <w:rPr>
          <w:spacing w:val="-4"/>
          <w:sz w:val="20"/>
        </w:rPr>
        <w:t xml:space="preserve"> </w:t>
      </w:r>
      <w:r>
        <w:rPr>
          <w:sz w:val="20"/>
        </w:rPr>
        <w:t>Charges;</w:t>
      </w:r>
      <w:r>
        <w:rPr>
          <w:spacing w:val="-5"/>
          <w:sz w:val="20"/>
        </w:rPr>
        <w:t xml:space="preserve"> </w:t>
      </w:r>
      <w:r>
        <w:rPr>
          <w:sz w:val="20"/>
        </w:rPr>
        <w:t>and</w:t>
      </w:r>
      <w:r>
        <w:rPr>
          <w:spacing w:val="-4"/>
          <w:sz w:val="20"/>
        </w:rPr>
        <w:t xml:space="preserve"> </w:t>
      </w:r>
      <w:r>
        <w:rPr>
          <w:sz w:val="20"/>
        </w:rPr>
        <w:t>Special</w:t>
      </w:r>
      <w:r>
        <w:rPr>
          <w:spacing w:val="-5"/>
          <w:sz w:val="20"/>
        </w:rPr>
        <w:t xml:space="preserve"> </w:t>
      </w:r>
      <w:r>
        <w:rPr>
          <w:sz w:val="20"/>
        </w:rPr>
        <w:t>Education</w:t>
      </w:r>
      <w:r>
        <w:rPr>
          <w:spacing w:val="-13"/>
          <w:sz w:val="20"/>
        </w:rPr>
        <w:t xml:space="preserve"> </w:t>
      </w:r>
      <w:r>
        <w:rPr>
          <w:sz w:val="20"/>
        </w:rPr>
        <w:t>Tuition.</w:t>
      </w:r>
    </w:p>
    <w:p w14:paraId="066E3C9F" w14:textId="77777777" w:rsidR="004C241D" w:rsidRDefault="004C241D">
      <w:pPr>
        <w:spacing w:line="242" w:lineRule="auto"/>
        <w:jc w:val="both"/>
        <w:rPr>
          <w:sz w:val="20"/>
        </w:rPr>
        <w:sectPr w:rsidR="004C241D">
          <w:footerReference w:type="default" r:id="rId7"/>
          <w:pgSz w:w="12240" w:h="15840"/>
          <w:pgMar w:top="680" w:right="600" w:bottom="1160" w:left="600" w:header="0" w:footer="965" w:gutter="0"/>
          <w:pgNumType w:start="2"/>
          <w:cols w:space="720"/>
        </w:sectPr>
      </w:pPr>
    </w:p>
    <w:p w14:paraId="4E185B2E" w14:textId="77777777" w:rsidR="004C241D" w:rsidRDefault="00DF2A83">
      <w:pPr>
        <w:pStyle w:val="Heading1"/>
        <w:spacing w:before="63"/>
      </w:pPr>
      <w:r>
        <w:rPr>
          <w:rFonts w:ascii="Microsoft Sans Serif" w:hAnsi="Microsoft Sans Serif"/>
          <w:b w:val="0"/>
          <w:color w:val="2C74B5"/>
        </w:rPr>
        <w:lastRenderedPageBreak/>
        <w:t xml:space="preserve">→ </w:t>
      </w:r>
      <w:r>
        <w:rPr>
          <w:color w:val="2C74B5"/>
        </w:rPr>
        <w:t>Commitment 3: Monitoring Success with Outcome Metrics and Targets</w:t>
      </w:r>
    </w:p>
    <w:p w14:paraId="176ECF20" w14:textId="77777777" w:rsidR="004C241D" w:rsidRDefault="00DF2A83">
      <w:pPr>
        <w:pStyle w:val="Heading2"/>
        <w:spacing w:before="145"/>
        <w:ind w:right="602"/>
      </w:pPr>
      <w:r>
        <w:rPr>
          <w:color w:val="1F3862"/>
        </w:rPr>
        <w:t>What metrics will your charter school use to monitor success in reducing disparities in achievement among student subgroups?</w:t>
      </w:r>
    </w:p>
    <w:p w14:paraId="110CC92F" w14:textId="77777777" w:rsidR="004C241D" w:rsidRDefault="00DF2A83">
      <w:pPr>
        <w:pStyle w:val="ListParagraph"/>
        <w:numPr>
          <w:ilvl w:val="0"/>
          <w:numId w:val="6"/>
        </w:numPr>
        <w:tabs>
          <w:tab w:val="left" w:pos="928"/>
          <w:tab w:val="left" w:pos="929"/>
        </w:tabs>
        <w:spacing w:line="255" w:lineRule="exact"/>
        <w:ind w:hanging="360"/>
        <w:rPr>
          <w:sz w:val="21"/>
        </w:rPr>
      </w:pPr>
      <w:r>
        <w:rPr>
          <w:sz w:val="21"/>
        </w:rPr>
        <w:t>Where possible, align outcome metrics with the evidence-based pro</w:t>
      </w:r>
      <w:r>
        <w:rPr>
          <w:sz w:val="21"/>
        </w:rPr>
        <w:t>grams described in</w:t>
      </w:r>
      <w:r>
        <w:rPr>
          <w:spacing w:val="-12"/>
          <w:sz w:val="21"/>
        </w:rPr>
        <w:t xml:space="preserve"> </w:t>
      </w:r>
      <w:r>
        <w:rPr>
          <w:sz w:val="21"/>
        </w:rPr>
        <w:t>Commitment2.</w:t>
      </w:r>
    </w:p>
    <w:p w14:paraId="328EB949" w14:textId="77777777" w:rsidR="004C241D" w:rsidRDefault="00DF2A83">
      <w:pPr>
        <w:pStyle w:val="ListParagraph"/>
        <w:numPr>
          <w:ilvl w:val="0"/>
          <w:numId w:val="6"/>
        </w:numPr>
        <w:tabs>
          <w:tab w:val="left" w:pos="928"/>
          <w:tab w:val="left" w:pos="929"/>
        </w:tabs>
        <w:spacing w:line="255" w:lineRule="exact"/>
        <w:ind w:hanging="360"/>
        <w:rPr>
          <w:sz w:val="21"/>
        </w:rPr>
      </w:pPr>
      <w:r>
        <w:rPr>
          <w:sz w:val="21"/>
        </w:rPr>
        <w:t>If you create custom metrics, you must also identify targets for each custom</w:t>
      </w:r>
      <w:r>
        <w:rPr>
          <w:spacing w:val="-23"/>
          <w:sz w:val="21"/>
        </w:rPr>
        <w:t xml:space="preserve"> </w:t>
      </w:r>
      <w:r>
        <w:rPr>
          <w:sz w:val="21"/>
        </w:rPr>
        <w:t>metric.</w:t>
      </w:r>
    </w:p>
    <w:p w14:paraId="2866FB9D" w14:textId="77777777" w:rsidR="004C241D" w:rsidRDefault="00DF2A83">
      <w:pPr>
        <w:spacing w:before="163"/>
        <w:ind w:left="207"/>
        <w:rPr>
          <w:i/>
        </w:rPr>
      </w:pPr>
      <w:r>
        <w:rPr>
          <w:i/>
        </w:rPr>
        <w:t>We will know our programs are successful by the following metrics.</w:t>
      </w:r>
    </w:p>
    <w:p w14:paraId="11CF8490" w14:textId="77777777" w:rsidR="004C241D" w:rsidRDefault="004C241D">
      <w:pPr>
        <w:pStyle w:val="BodyText"/>
        <w:spacing w:before="11"/>
        <w:rPr>
          <w:i/>
          <w:sz w:val="18"/>
        </w:rPr>
      </w:pPr>
    </w:p>
    <w:tbl>
      <w:tblPr>
        <w:tblW w:w="0" w:type="auto"/>
        <w:tblInd w:w="198"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CellMar>
          <w:left w:w="0" w:type="dxa"/>
          <w:right w:w="0" w:type="dxa"/>
        </w:tblCellMar>
        <w:tblLook w:val="01E0" w:firstRow="1" w:lastRow="1" w:firstColumn="1" w:lastColumn="1" w:noHBand="0" w:noVBand="0"/>
      </w:tblPr>
      <w:tblGrid>
        <w:gridCol w:w="1796"/>
        <w:gridCol w:w="7847"/>
      </w:tblGrid>
      <w:tr w:rsidR="004C241D" w14:paraId="7B3EBC5B" w14:textId="77777777">
        <w:trPr>
          <w:trHeight w:hRule="exact" w:val="458"/>
        </w:trPr>
        <w:tc>
          <w:tcPr>
            <w:tcW w:w="1796" w:type="dxa"/>
          </w:tcPr>
          <w:p w14:paraId="611D4993" w14:textId="77777777" w:rsidR="004C241D" w:rsidRDefault="00DF2A83">
            <w:pPr>
              <w:pStyle w:val="TableParagraph"/>
              <w:spacing w:before="62"/>
              <w:ind w:left="134" w:right="139"/>
              <w:jc w:val="center"/>
              <w:rPr>
                <w:rFonts w:ascii="Calibri"/>
                <w:b/>
                <w:sz w:val="26"/>
              </w:rPr>
            </w:pPr>
            <w:r>
              <w:rPr>
                <w:rFonts w:ascii="Calibri"/>
                <w:b/>
                <w:color w:val="44526A"/>
                <w:sz w:val="26"/>
              </w:rPr>
              <w:t>Category</w:t>
            </w:r>
          </w:p>
        </w:tc>
        <w:tc>
          <w:tcPr>
            <w:tcW w:w="7847" w:type="dxa"/>
          </w:tcPr>
          <w:p w14:paraId="3B9C6E42" w14:textId="77777777" w:rsidR="004C241D" w:rsidRDefault="00DF2A83">
            <w:pPr>
              <w:pStyle w:val="TableParagraph"/>
              <w:spacing w:before="62"/>
              <w:ind w:left="2961" w:right="2964"/>
              <w:jc w:val="center"/>
              <w:rPr>
                <w:rFonts w:ascii="Calibri"/>
                <w:b/>
                <w:sz w:val="26"/>
              </w:rPr>
            </w:pPr>
            <w:r>
              <w:rPr>
                <w:rFonts w:ascii="Calibri"/>
                <w:b/>
                <w:color w:val="44526A"/>
                <w:sz w:val="26"/>
              </w:rPr>
              <w:t>Outcome Metrics</w:t>
            </w:r>
          </w:p>
        </w:tc>
      </w:tr>
      <w:tr w:rsidR="004C241D" w14:paraId="1E0D6DC9" w14:textId="77777777">
        <w:trPr>
          <w:trHeight w:hRule="exact" w:val="1813"/>
        </w:trPr>
        <w:tc>
          <w:tcPr>
            <w:tcW w:w="1796" w:type="dxa"/>
          </w:tcPr>
          <w:p w14:paraId="30CCDBDB" w14:textId="77777777" w:rsidR="004C241D" w:rsidRDefault="00DF2A83">
            <w:pPr>
              <w:pStyle w:val="TableParagraph"/>
              <w:spacing w:before="137" w:line="264" w:lineRule="exact"/>
              <w:ind w:left="288" w:right="270" w:firstLine="242"/>
              <w:rPr>
                <w:rFonts w:ascii="Calibri"/>
                <w:b/>
              </w:rPr>
            </w:pPr>
            <w:r>
              <w:rPr>
                <w:rFonts w:ascii="Calibri"/>
                <w:b/>
                <w:color w:val="2C74B5"/>
              </w:rPr>
              <w:t>Student Achievement</w:t>
            </w:r>
          </w:p>
        </w:tc>
        <w:tc>
          <w:tcPr>
            <w:tcW w:w="7847" w:type="dxa"/>
          </w:tcPr>
          <w:p w14:paraId="3E1B3082" w14:textId="77777777" w:rsidR="004C241D" w:rsidRDefault="00DF2A83">
            <w:pPr>
              <w:pStyle w:val="TableParagraph"/>
              <w:numPr>
                <w:ilvl w:val="0"/>
                <w:numId w:val="5"/>
              </w:numPr>
              <w:tabs>
                <w:tab w:val="left" w:pos="629"/>
              </w:tabs>
              <w:spacing w:before="36" w:line="244" w:lineRule="exact"/>
              <w:ind w:hanging="268"/>
              <w:rPr>
                <w:sz w:val="20"/>
              </w:rPr>
            </w:pPr>
            <w:r>
              <w:rPr>
                <w:sz w:val="20"/>
              </w:rPr>
              <w:t>English language arts (ELA)</w:t>
            </w:r>
            <w:r>
              <w:rPr>
                <w:spacing w:val="-24"/>
                <w:sz w:val="20"/>
              </w:rPr>
              <w:t xml:space="preserve"> </w:t>
            </w:r>
            <w:r>
              <w:rPr>
                <w:sz w:val="20"/>
              </w:rPr>
              <w:t>achievement</w:t>
            </w:r>
          </w:p>
          <w:p w14:paraId="3420BDCC" w14:textId="77777777" w:rsidR="004C241D" w:rsidRDefault="00DF2A83">
            <w:pPr>
              <w:pStyle w:val="TableParagraph"/>
              <w:numPr>
                <w:ilvl w:val="0"/>
                <w:numId w:val="5"/>
              </w:numPr>
              <w:tabs>
                <w:tab w:val="left" w:pos="629"/>
              </w:tabs>
              <w:spacing w:line="244" w:lineRule="exact"/>
              <w:ind w:hanging="268"/>
              <w:rPr>
                <w:sz w:val="20"/>
              </w:rPr>
            </w:pPr>
            <w:r>
              <w:rPr>
                <w:sz w:val="20"/>
              </w:rPr>
              <w:t>Mathematics</w:t>
            </w:r>
            <w:r>
              <w:rPr>
                <w:spacing w:val="-17"/>
                <w:sz w:val="20"/>
              </w:rPr>
              <w:t xml:space="preserve"> </w:t>
            </w:r>
            <w:r>
              <w:rPr>
                <w:sz w:val="20"/>
              </w:rPr>
              <w:t>achievement</w:t>
            </w:r>
          </w:p>
          <w:p w14:paraId="671E1B64" w14:textId="77777777" w:rsidR="004C241D" w:rsidRDefault="00DF2A83">
            <w:pPr>
              <w:pStyle w:val="TableParagraph"/>
              <w:numPr>
                <w:ilvl w:val="0"/>
                <w:numId w:val="5"/>
              </w:numPr>
              <w:tabs>
                <w:tab w:val="left" w:pos="629"/>
              </w:tabs>
              <w:ind w:hanging="268"/>
              <w:rPr>
                <w:sz w:val="20"/>
              </w:rPr>
            </w:pPr>
            <w:r>
              <w:rPr>
                <w:sz w:val="20"/>
              </w:rPr>
              <w:t>Science</w:t>
            </w:r>
            <w:r>
              <w:rPr>
                <w:spacing w:val="-11"/>
                <w:sz w:val="20"/>
              </w:rPr>
              <w:t xml:space="preserve"> </w:t>
            </w:r>
            <w:r>
              <w:rPr>
                <w:sz w:val="20"/>
              </w:rPr>
              <w:t>achievement</w:t>
            </w:r>
          </w:p>
          <w:p w14:paraId="090DB4D5" w14:textId="77777777" w:rsidR="004C241D" w:rsidRDefault="004C241D">
            <w:pPr>
              <w:pStyle w:val="TableParagraph"/>
              <w:spacing w:before="11"/>
              <w:rPr>
                <w:rFonts w:ascii="Calibri"/>
                <w:i/>
                <w:sz w:val="20"/>
              </w:rPr>
            </w:pPr>
          </w:p>
          <w:p w14:paraId="6DDEF943" w14:textId="77777777" w:rsidR="004C241D" w:rsidRDefault="00DF2A83">
            <w:pPr>
              <w:pStyle w:val="TableParagraph"/>
              <w:spacing w:line="254" w:lineRule="auto"/>
              <w:ind w:left="103"/>
              <w:rPr>
                <w:i/>
                <w:sz w:val="20"/>
              </w:rPr>
            </w:pPr>
            <w:r>
              <w:rPr>
                <w:i/>
                <w:sz w:val="20"/>
              </w:rPr>
              <w:t>Note: we believe that if we do right by our students of color, we will continue to see our achievement, both at the aggregate and subgroup level, go up.</w:t>
            </w:r>
          </w:p>
        </w:tc>
      </w:tr>
      <w:tr w:rsidR="004C241D" w14:paraId="38930E07" w14:textId="77777777">
        <w:trPr>
          <w:trHeight w:hRule="exact" w:val="1260"/>
        </w:trPr>
        <w:tc>
          <w:tcPr>
            <w:tcW w:w="1796" w:type="dxa"/>
          </w:tcPr>
          <w:p w14:paraId="043987F9" w14:textId="77777777" w:rsidR="004C241D" w:rsidRDefault="00DF2A83">
            <w:pPr>
              <w:pStyle w:val="TableParagraph"/>
              <w:spacing w:before="129"/>
              <w:ind w:left="139" w:right="139"/>
              <w:jc w:val="center"/>
              <w:rPr>
                <w:rFonts w:ascii="Calibri"/>
                <w:b/>
              </w:rPr>
            </w:pPr>
            <w:r>
              <w:rPr>
                <w:rFonts w:ascii="Calibri"/>
                <w:b/>
                <w:color w:val="2C74B5"/>
              </w:rPr>
              <w:t>Student Growth</w:t>
            </w:r>
          </w:p>
        </w:tc>
        <w:tc>
          <w:tcPr>
            <w:tcW w:w="7847" w:type="dxa"/>
          </w:tcPr>
          <w:p w14:paraId="2E2207AB" w14:textId="77777777" w:rsidR="004C241D" w:rsidRDefault="00DF2A83">
            <w:pPr>
              <w:pStyle w:val="TableParagraph"/>
              <w:numPr>
                <w:ilvl w:val="0"/>
                <w:numId w:val="4"/>
              </w:numPr>
              <w:tabs>
                <w:tab w:val="left" w:pos="629"/>
              </w:tabs>
              <w:spacing w:before="17"/>
              <w:ind w:hanging="268"/>
              <w:rPr>
                <w:sz w:val="20"/>
              </w:rPr>
            </w:pPr>
            <w:r>
              <w:rPr>
                <w:sz w:val="20"/>
              </w:rPr>
              <w:t>ELA mean student growth percentile</w:t>
            </w:r>
            <w:r>
              <w:rPr>
                <w:spacing w:val="-26"/>
                <w:sz w:val="20"/>
              </w:rPr>
              <w:t xml:space="preserve"> </w:t>
            </w:r>
            <w:r>
              <w:rPr>
                <w:sz w:val="20"/>
              </w:rPr>
              <w:t>(SGP)</w:t>
            </w:r>
          </w:p>
          <w:p w14:paraId="6A8CE50A" w14:textId="77777777" w:rsidR="004C241D" w:rsidRDefault="00DF2A83">
            <w:pPr>
              <w:pStyle w:val="TableParagraph"/>
              <w:numPr>
                <w:ilvl w:val="0"/>
                <w:numId w:val="4"/>
              </w:numPr>
              <w:tabs>
                <w:tab w:val="left" w:pos="629"/>
              </w:tabs>
              <w:spacing w:before="2"/>
              <w:ind w:hanging="268"/>
              <w:rPr>
                <w:sz w:val="20"/>
              </w:rPr>
            </w:pPr>
            <w:r>
              <w:rPr>
                <w:sz w:val="20"/>
              </w:rPr>
              <w:t>Mathematics mean</w:t>
            </w:r>
            <w:r>
              <w:rPr>
                <w:spacing w:val="-15"/>
                <w:sz w:val="20"/>
              </w:rPr>
              <w:t xml:space="preserve"> </w:t>
            </w:r>
            <w:proofErr w:type="gramStart"/>
            <w:r>
              <w:rPr>
                <w:sz w:val="20"/>
              </w:rPr>
              <w:t>SGP</w:t>
            </w:r>
            <w:proofErr w:type="gramEnd"/>
          </w:p>
          <w:p w14:paraId="3A3B9A22" w14:textId="77777777" w:rsidR="004C241D" w:rsidRDefault="004C241D">
            <w:pPr>
              <w:pStyle w:val="TableParagraph"/>
              <w:spacing w:before="4"/>
              <w:rPr>
                <w:rFonts w:ascii="Calibri"/>
                <w:i/>
                <w:sz w:val="18"/>
              </w:rPr>
            </w:pPr>
          </w:p>
          <w:p w14:paraId="1B94DA9A" w14:textId="77777777" w:rsidR="004C241D" w:rsidRDefault="00DF2A83">
            <w:pPr>
              <w:pStyle w:val="TableParagraph"/>
              <w:spacing w:before="1"/>
              <w:ind w:left="103"/>
              <w:rPr>
                <w:i/>
                <w:sz w:val="20"/>
              </w:rPr>
            </w:pPr>
            <w:r>
              <w:rPr>
                <w:i/>
                <w:sz w:val="20"/>
              </w:rPr>
              <w:t>Note: we believe that if we do right by our students of color, we will continue to see our achievement, both at the aggregate and subgroup level, go up.</w:t>
            </w:r>
          </w:p>
        </w:tc>
      </w:tr>
      <w:tr w:rsidR="004C241D" w14:paraId="6E607336" w14:textId="77777777">
        <w:trPr>
          <w:trHeight w:hRule="exact" w:val="2343"/>
        </w:trPr>
        <w:tc>
          <w:tcPr>
            <w:tcW w:w="1796" w:type="dxa"/>
          </w:tcPr>
          <w:p w14:paraId="7C8DF257" w14:textId="77777777" w:rsidR="004C241D" w:rsidRDefault="004C241D">
            <w:pPr>
              <w:pStyle w:val="TableParagraph"/>
              <w:rPr>
                <w:rFonts w:ascii="Calibri"/>
                <w:i/>
              </w:rPr>
            </w:pPr>
          </w:p>
          <w:p w14:paraId="6C96DE9A" w14:textId="77777777" w:rsidR="004C241D" w:rsidRDefault="004C241D">
            <w:pPr>
              <w:pStyle w:val="TableParagraph"/>
              <w:spacing w:before="9"/>
              <w:rPr>
                <w:rFonts w:ascii="Calibri"/>
                <w:i/>
                <w:sz w:val="21"/>
              </w:rPr>
            </w:pPr>
          </w:p>
          <w:p w14:paraId="72E6A278" w14:textId="77777777" w:rsidR="004C241D" w:rsidRDefault="00DF2A83">
            <w:pPr>
              <w:pStyle w:val="TableParagraph"/>
              <w:ind w:left="437" w:right="399" w:hanging="23"/>
              <w:rPr>
                <w:rFonts w:ascii="Calibri"/>
                <w:b/>
              </w:rPr>
            </w:pPr>
            <w:r>
              <w:rPr>
                <w:rFonts w:ascii="Calibri"/>
                <w:b/>
                <w:color w:val="2C74B5"/>
              </w:rPr>
              <w:t>Additional Indicators</w:t>
            </w:r>
          </w:p>
        </w:tc>
        <w:tc>
          <w:tcPr>
            <w:tcW w:w="7847" w:type="dxa"/>
          </w:tcPr>
          <w:p w14:paraId="14F3BE6C" w14:textId="77777777" w:rsidR="004C241D" w:rsidRDefault="00DF2A83">
            <w:pPr>
              <w:pStyle w:val="TableParagraph"/>
              <w:numPr>
                <w:ilvl w:val="0"/>
                <w:numId w:val="3"/>
              </w:numPr>
              <w:tabs>
                <w:tab w:val="left" w:pos="629"/>
              </w:tabs>
              <w:spacing w:before="124" w:line="226" w:lineRule="exact"/>
              <w:ind w:right="573" w:hanging="268"/>
              <w:rPr>
                <w:sz w:val="20"/>
              </w:rPr>
            </w:pPr>
            <w:r>
              <w:rPr>
                <w:sz w:val="20"/>
              </w:rPr>
              <w:t>Chronic absenteeism declines by FY23 (percentage of students missing</w:t>
            </w:r>
            <w:r>
              <w:rPr>
                <w:spacing w:val="-16"/>
                <w:sz w:val="20"/>
              </w:rPr>
              <w:t xml:space="preserve"> </w:t>
            </w:r>
            <w:r>
              <w:rPr>
                <w:sz w:val="20"/>
              </w:rPr>
              <w:t>10 percent or more</w:t>
            </w:r>
            <w:r>
              <w:rPr>
                <w:spacing w:val="-41"/>
                <w:sz w:val="20"/>
              </w:rPr>
              <w:t xml:space="preserve"> </w:t>
            </w:r>
            <w:r>
              <w:rPr>
                <w:sz w:val="20"/>
              </w:rPr>
              <w:t>of their days in membership)</w:t>
            </w:r>
          </w:p>
          <w:p w14:paraId="65DCED34" w14:textId="77777777" w:rsidR="004C241D" w:rsidRDefault="00DF2A83">
            <w:pPr>
              <w:pStyle w:val="TableParagraph"/>
              <w:numPr>
                <w:ilvl w:val="0"/>
                <w:numId w:val="3"/>
              </w:numPr>
              <w:tabs>
                <w:tab w:val="left" w:pos="629"/>
              </w:tabs>
              <w:spacing w:before="125" w:line="228" w:lineRule="exact"/>
              <w:ind w:right="770" w:hanging="268"/>
              <w:rPr>
                <w:sz w:val="20"/>
              </w:rPr>
            </w:pPr>
            <w:r>
              <w:rPr>
                <w:b/>
                <w:sz w:val="20"/>
              </w:rPr>
              <w:t xml:space="preserve">CUSTOM: </w:t>
            </w:r>
            <w:r>
              <w:rPr>
                <w:sz w:val="20"/>
              </w:rPr>
              <w:t>Number of students identified by PEAR as requiring Tier 3 interventions decreases from FY21 – FY23, because we’ve implemented strong</w:t>
            </w:r>
            <w:r>
              <w:rPr>
                <w:spacing w:val="-7"/>
                <w:sz w:val="20"/>
              </w:rPr>
              <w:t xml:space="preserve"> </w:t>
            </w:r>
            <w:r>
              <w:rPr>
                <w:sz w:val="20"/>
              </w:rPr>
              <w:t>interventions</w:t>
            </w:r>
          </w:p>
          <w:p w14:paraId="6784D807" w14:textId="77777777" w:rsidR="004C241D" w:rsidRDefault="00DF2A83">
            <w:pPr>
              <w:pStyle w:val="TableParagraph"/>
              <w:numPr>
                <w:ilvl w:val="0"/>
                <w:numId w:val="3"/>
              </w:numPr>
              <w:tabs>
                <w:tab w:val="left" w:pos="629"/>
              </w:tabs>
              <w:spacing w:before="110" w:line="235" w:lineRule="auto"/>
              <w:ind w:right="533" w:hanging="268"/>
              <w:rPr>
                <w:sz w:val="20"/>
              </w:rPr>
            </w:pPr>
            <w:r>
              <w:rPr>
                <w:b/>
                <w:sz w:val="20"/>
              </w:rPr>
              <w:t xml:space="preserve">CUSTOM: </w:t>
            </w:r>
            <w:r>
              <w:rPr>
                <w:sz w:val="20"/>
              </w:rPr>
              <w:t>Decrease in gap between students of color and students who are white in the answer to the question, “</w:t>
            </w:r>
            <w:r>
              <w:rPr>
                <w:sz w:val="20"/>
              </w:rPr>
              <w:t>I have a BCCS staff member who</w:t>
            </w:r>
            <w:r>
              <w:rPr>
                <w:spacing w:val="-23"/>
                <w:sz w:val="20"/>
              </w:rPr>
              <w:t xml:space="preserve"> </w:t>
            </w:r>
            <w:r>
              <w:rPr>
                <w:sz w:val="20"/>
              </w:rPr>
              <w:t>I could go to if I had a</w:t>
            </w:r>
            <w:r>
              <w:rPr>
                <w:spacing w:val="-12"/>
                <w:sz w:val="20"/>
              </w:rPr>
              <w:t xml:space="preserve"> </w:t>
            </w:r>
            <w:r>
              <w:rPr>
                <w:sz w:val="20"/>
              </w:rPr>
              <w:t>problem.”</w:t>
            </w:r>
          </w:p>
        </w:tc>
      </w:tr>
    </w:tbl>
    <w:p w14:paraId="0530C353" w14:textId="77777777" w:rsidR="004C241D" w:rsidRDefault="004C241D">
      <w:pPr>
        <w:pStyle w:val="BodyText"/>
        <w:spacing w:before="3"/>
        <w:rPr>
          <w:i/>
          <w:sz w:val="25"/>
        </w:rPr>
      </w:pPr>
    </w:p>
    <w:p w14:paraId="3AC1FF6D" w14:textId="77777777" w:rsidR="004C241D" w:rsidRDefault="00DF2A83">
      <w:pPr>
        <w:pStyle w:val="BodyText"/>
        <w:ind w:left="100" w:right="228"/>
      </w:pPr>
      <w:r>
        <w:t xml:space="preserve">As noted earlier, our focus for our SOA plan, and embedded within our strategic plan for FY21-FY23, includes a focus on specific subgroups of students. Below we articulate how the metrics </w:t>
      </w:r>
      <w:r>
        <w:t>below align to student subgroups:</w:t>
      </w:r>
    </w:p>
    <w:p w14:paraId="3F70BBE2" w14:textId="77777777" w:rsidR="004C241D" w:rsidRDefault="004C241D">
      <w:pPr>
        <w:pStyle w:val="BodyText"/>
        <w:spacing w:before="11"/>
        <w:rPr>
          <w:sz w:val="21"/>
        </w:rPr>
      </w:pPr>
    </w:p>
    <w:p w14:paraId="62E4AB49" w14:textId="77777777" w:rsidR="004C241D" w:rsidRDefault="00DF2A83">
      <w:pPr>
        <w:pStyle w:val="ListParagraph"/>
        <w:numPr>
          <w:ilvl w:val="0"/>
          <w:numId w:val="1"/>
        </w:numPr>
        <w:tabs>
          <w:tab w:val="left" w:pos="821"/>
        </w:tabs>
        <w:spacing w:before="1"/>
        <w:ind w:right="625" w:hanging="360"/>
      </w:pPr>
      <w:r>
        <w:t>Economically disadvantaged students who require wraparound supports and dedicated family engagement efforts to ensure their basic needs are</w:t>
      </w:r>
      <w:r>
        <w:rPr>
          <w:spacing w:val="-16"/>
        </w:rPr>
        <w:t xml:space="preserve"> </w:t>
      </w:r>
      <w:proofErr w:type="gramStart"/>
      <w:r>
        <w:t>met</w:t>
      </w:r>
      <w:proofErr w:type="gramEnd"/>
    </w:p>
    <w:p w14:paraId="798BF5B8" w14:textId="77777777" w:rsidR="004C241D" w:rsidRDefault="00DF2A83">
      <w:pPr>
        <w:pStyle w:val="ListParagraph"/>
        <w:numPr>
          <w:ilvl w:val="1"/>
          <w:numId w:val="1"/>
        </w:numPr>
        <w:tabs>
          <w:tab w:val="left" w:pos="1541"/>
        </w:tabs>
        <w:spacing w:before="2" w:line="237" w:lineRule="auto"/>
        <w:ind w:right="328"/>
      </w:pPr>
      <w:r>
        <w:t>We see in the data that these students are most likely to be chronically absent and also are most likely to struggle to perform academically. For this reason, we are including the metrics noted</w:t>
      </w:r>
      <w:r>
        <w:rPr>
          <w:spacing w:val="-23"/>
        </w:rPr>
        <w:t xml:space="preserve"> </w:t>
      </w:r>
      <w:r>
        <w:t>above.</w:t>
      </w:r>
    </w:p>
    <w:p w14:paraId="095E8AC2" w14:textId="77777777" w:rsidR="004C241D" w:rsidRDefault="004C241D">
      <w:pPr>
        <w:pStyle w:val="BodyText"/>
        <w:spacing w:before="1"/>
      </w:pPr>
    </w:p>
    <w:p w14:paraId="0AFDF225" w14:textId="77777777" w:rsidR="004C241D" w:rsidRDefault="00DF2A83">
      <w:pPr>
        <w:pStyle w:val="ListParagraph"/>
        <w:numPr>
          <w:ilvl w:val="0"/>
          <w:numId w:val="1"/>
        </w:numPr>
        <w:tabs>
          <w:tab w:val="left" w:pos="821"/>
        </w:tabs>
        <w:ind w:hanging="360"/>
      </w:pPr>
      <w:r>
        <w:t>Students, often with disabilities, who are manifesting</w:t>
      </w:r>
      <w:r>
        <w:t xml:space="preserve"> mental and behavioral health</w:t>
      </w:r>
      <w:r>
        <w:rPr>
          <w:spacing w:val="-26"/>
        </w:rPr>
        <w:t xml:space="preserve"> </w:t>
      </w:r>
      <w:proofErr w:type="gramStart"/>
      <w:r>
        <w:t>challenges</w:t>
      </w:r>
      <w:proofErr w:type="gramEnd"/>
    </w:p>
    <w:p w14:paraId="4B3F3BB9" w14:textId="77777777" w:rsidR="004C241D" w:rsidRDefault="00DF2A83">
      <w:pPr>
        <w:pStyle w:val="ListParagraph"/>
        <w:numPr>
          <w:ilvl w:val="1"/>
          <w:numId w:val="1"/>
        </w:numPr>
        <w:tabs>
          <w:tab w:val="left" w:pos="1541"/>
        </w:tabs>
        <w:ind w:right="490"/>
        <w:jc w:val="both"/>
      </w:pPr>
      <w:r>
        <w:t>We see in the data that these students are most likely to warrant Tier 3 interventions which we</w:t>
      </w:r>
      <w:r>
        <w:rPr>
          <w:spacing w:val="-34"/>
        </w:rPr>
        <w:t xml:space="preserve"> </w:t>
      </w:r>
      <w:r>
        <w:t xml:space="preserve">have struggled to design and provide. Through our partnership with PEAR, we hope to see fewer students warranting Tier </w:t>
      </w:r>
      <w:r>
        <w:t>3 interventions, because we have done a better job at Tier 1 and Tier</w:t>
      </w:r>
      <w:r>
        <w:rPr>
          <w:spacing w:val="-30"/>
        </w:rPr>
        <w:t xml:space="preserve"> </w:t>
      </w:r>
      <w:r>
        <w:t>2.</w:t>
      </w:r>
    </w:p>
    <w:p w14:paraId="53E31095" w14:textId="77777777" w:rsidR="004C241D" w:rsidRDefault="00DF2A83">
      <w:pPr>
        <w:pStyle w:val="ListParagraph"/>
        <w:numPr>
          <w:ilvl w:val="0"/>
          <w:numId w:val="1"/>
        </w:numPr>
        <w:tabs>
          <w:tab w:val="left" w:pos="821"/>
        </w:tabs>
        <w:ind w:right="770" w:hanging="360"/>
      </w:pPr>
      <w:r>
        <w:t>African American and Latino/Hispanic students, who deserve a more anti-racist school culture so they are affirmed and can thrive compared to their White</w:t>
      </w:r>
      <w:r>
        <w:rPr>
          <w:spacing w:val="-13"/>
        </w:rPr>
        <w:t xml:space="preserve"> </w:t>
      </w:r>
      <w:proofErr w:type="gramStart"/>
      <w:r>
        <w:t>peers</w:t>
      </w:r>
      <w:proofErr w:type="gramEnd"/>
    </w:p>
    <w:p w14:paraId="48FFFEF1" w14:textId="77777777" w:rsidR="004C241D" w:rsidRDefault="00DF2A83">
      <w:pPr>
        <w:pStyle w:val="ListParagraph"/>
        <w:numPr>
          <w:ilvl w:val="1"/>
          <w:numId w:val="1"/>
        </w:numPr>
        <w:tabs>
          <w:tab w:val="left" w:pos="1541"/>
        </w:tabs>
        <w:ind w:right="329"/>
      </w:pPr>
      <w:r>
        <w:t xml:space="preserve">We see in our data that </w:t>
      </w:r>
      <w:r>
        <w:t>our students of color have felt most underrepresented and disconnected from school. For this reason, we include the student survey metric</w:t>
      </w:r>
      <w:r>
        <w:rPr>
          <w:spacing w:val="-25"/>
        </w:rPr>
        <w:t xml:space="preserve"> </w:t>
      </w:r>
      <w:r>
        <w:t>above.</w:t>
      </w:r>
    </w:p>
    <w:p w14:paraId="1FE44316" w14:textId="77777777" w:rsidR="004C241D" w:rsidRDefault="004C241D">
      <w:pPr>
        <w:sectPr w:rsidR="004C241D">
          <w:pgSz w:w="12240" w:h="15840"/>
          <w:pgMar w:top="1280" w:right="600" w:bottom="1160" w:left="620" w:header="0" w:footer="965" w:gutter="0"/>
          <w:cols w:space="720"/>
        </w:sectPr>
      </w:pPr>
    </w:p>
    <w:p w14:paraId="12EE6D2D" w14:textId="77777777" w:rsidR="004C241D" w:rsidRDefault="00DF2A83">
      <w:pPr>
        <w:pStyle w:val="Heading1"/>
        <w:spacing w:before="69"/>
      </w:pPr>
      <w:r>
        <w:rPr>
          <w:rFonts w:ascii="Microsoft Sans Serif" w:hAnsi="Microsoft Sans Serif"/>
          <w:b w:val="0"/>
          <w:color w:val="2C74B5"/>
        </w:rPr>
        <w:lastRenderedPageBreak/>
        <w:t xml:space="preserve">→ </w:t>
      </w:r>
      <w:r>
        <w:rPr>
          <w:color w:val="2C74B5"/>
        </w:rPr>
        <w:t>Commitment 4: Engaging All Families</w:t>
      </w:r>
    </w:p>
    <w:p w14:paraId="5FDF0414" w14:textId="77777777" w:rsidR="004C241D" w:rsidRDefault="00DF2A83">
      <w:pPr>
        <w:pStyle w:val="Heading2"/>
      </w:pPr>
      <w:r>
        <w:rPr>
          <w:color w:val="1F3862"/>
        </w:rPr>
        <w:t>How will your charter school ensure that all families, particularly those representing the student subgroups most in need of support, have the opportunity to meaningfully engage with the charter school regarding their students’ needs?</w:t>
      </w:r>
    </w:p>
    <w:p w14:paraId="09AC5DF8" w14:textId="77777777" w:rsidR="004C241D" w:rsidRDefault="004C241D">
      <w:pPr>
        <w:pStyle w:val="BodyText"/>
        <w:spacing w:before="12"/>
        <w:rPr>
          <w:b/>
          <w:sz w:val="21"/>
        </w:rPr>
      </w:pPr>
    </w:p>
    <w:p w14:paraId="349D9962" w14:textId="77777777" w:rsidR="004C241D" w:rsidRDefault="00DF2A83">
      <w:pPr>
        <w:pStyle w:val="BodyText"/>
        <w:ind w:left="100" w:right="182"/>
      </w:pPr>
      <w:r>
        <w:t>As noted above, fami</w:t>
      </w:r>
      <w:r>
        <w:t xml:space="preserve">ly engagement is a key priority of BCCS particularly in the launch of the new Strategic Plan, with a three person team engaging regularly and meeting with our Executive Director weekly to ensure families are connected to the school. This team’s commitment </w:t>
      </w:r>
      <w:r>
        <w:t>and innovation has led to such developments as the weekly BCCS food pantry, which involves a weekly drop-off of 45 bags of groceries to our families in greatest need during COVID. The recipients are generally our families who are lowest income, and many of</w:t>
      </w:r>
      <w:r>
        <w:t xml:space="preserve"> whom are non-native speakers of English, and the weekly drop-off during our remote learning gives our team a good touch point with our families in greatest need.</w:t>
      </w:r>
    </w:p>
    <w:p w14:paraId="1D12177A" w14:textId="77777777" w:rsidR="004C241D" w:rsidRDefault="00DF2A83">
      <w:pPr>
        <w:pStyle w:val="BodyText"/>
        <w:ind w:left="100" w:right="228"/>
      </w:pPr>
      <w:r>
        <w:t>Beyond this, our family engagement managers, both of whom are native Spanish speakers, are co</w:t>
      </w:r>
      <w:r>
        <w:t>nstantly in phone or text or email communication with our families of greatest need, ensuring that these families are connected to the school. Specific to our families of children on IEPs, the BCCS Sped PAC is an active, committed, and engaged group of fam</w:t>
      </w:r>
      <w:r>
        <w:t>ilies who are a fantastic resource to other families, sharing tools and connections on Facebook and in other means.</w:t>
      </w:r>
    </w:p>
    <w:p w14:paraId="5A1B52C0" w14:textId="77777777" w:rsidR="004C241D" w:rsidRDefault="004C241D">
      <w:pPr>
        <w:pStyle w:val="BodyText"/>
      </w:pPr>
    </w:p>
    <w:p w14:paraId="654268C3" w14:textId="77777777" w:rsidR="004C241D" w:rsidRDefault="00DF2A83">
      <w:pPr>
        <w:pStyle w:val="BodyText"/>
        <w:ind w:left="100" w:right="135"/>
      </w:pPr>
      <w:r>
        <w:t>In this year, we have also instituted new practices for connecting the entire family community to the school, such as the weekly newsletter</w:t>
      </w:r>
      <w:r>
        <w:t xml:space="preserve"> that gets distributed to all families. We measure family engagement through things like family newsletter readership, attendance at our family conferences, completion of our family surveys (which include an email/text and also a phone call follow up compo</w:t>
      </w:r>
      <w:r>
        <w:t>nent), completion of our beginning-of-year family listening conferences, and engagement with our family liaisons. We have also included, as part of our reopening plans, a metric in Segment 1 (our first half of Quarter 1) wherein we were tracking whether we</w:t>
      </w:r>
      <w:r>
        <w:t xml:space="preserve"> had had two-way communication with every family, and the goal, which was attained, was to ensure we did, in fact, have two-way communication with every single family. We also have multiple avenues for family engagement such as participation in our Re-Open</w:t>
      </w:r>
      <w:r>
        <w:t>ing Family Advisory Task Force and Advisory Group, Board of Trustees roles, Family Advisory Committee on Diversity participation, participation on our Committee on Academic and Student Affairs, and</w:t>
      </w:r>
      <w:r>
        <w:rPr>
          <w:spacing w:val="-12"/>
        </w:rPr>
        <w:t xml:space="preserve"> </w:t>
      </w:r>
      <w:r>
        <w:t>more.</w:t>
      </w:r>
    </w:p>
    <w:p w14:paraId="3FB9F8F3" w14:textId="77777777" w:rsidR="004C241D" w:rsidRDefault="004C241D">
      <w:pPr>
        <w:pStyle w:val="BodyText"/>
        <w:spacing w:before="3"/>
      </w:pPr>
    </w:p>
    <w:p w14:paraId="5C9062A2" w14:textId="77777777" w:rsidR="004C241D" w:rsidRDefault="00DF2A83">
      <w:pPr>
        <w:pStyle w:val="Heading1"/>
      </w:pPr>
      <w:r>
        <w:rPr>
          <w:color w:val="2C74B5"/>
        </w:rPr>
        <w:t>Certifications:</w:t>
      </w:r>
    </w:p>
    <w:p w14:paraId="2A24D152" w14:textId="77777777" w:rsidR="004C241D" w:rsidRDefault="00DF2A83">
      <w:pPr>
        <w:pStyle w:val="Heading3"/>
        <w:spacing w:before="76" w:line="244" w:lineRule="auto"/>
        <w:ind w:right="582"/>
        <w:rPr>
          <w:rFonts w:ascii="Microsoft Sans Serif" w:hAnsi="Microsoft Sans Serif"/>
          <w:sz w:val="32"/>
        </w:rPr>
      </w:pPr>
      <w:r>
        <w:rPr>
          <w:rFonts w:ascii="MS Gothic" w:hAnsi="MS Gothic"/>
          <w:color w:val="1F3862"/>
        </w:rPr>
        <w:t>☒</w:t>
      </w:r>
      <w:r>
        <w:rPr>
          <w:rFonts w:ascii="MS Gothic" w:hAnsi="MS Gothic"/>
          <w:color w:val="1F3862"/>
        </w:rPr>
        <w:t xml:space="preserve"> </w:t>
      </w:r>
      <w:r>
        <w:rPr>
          <w:color w:val="1F3862"/>
        </w:rPr>
        <w:t>By checking here, I certify that our charter school has engaged stakeholders in our community in accordance with the Student Opportunity Act</w:t>
      </w:r>
      <w:r>
        <w:rPr>
          <w:rFonts w:ascii="Microsoft Sans Serif" w:hAnsi="Microsoft Sans Serif"/>
          <w:w w:val="99"/>
          <w:sz w:val="32"/>
        </w:rPr>
        <w:t xml:space="preserve"> </w:t>
      </w:r>
    </w:p>
    <w:p w14:paraId="617F02EA" w14:textId="77777777" w:rsidR="004C241D" w:rsidRDefault="00DF2A83">
      <w:pPr>
        <w:spacing w:before="189" w:line="267" w:lineRule="exact"/>
        <w:ind w:left="207"/>
        <w:rPr>
          <w:b/>
        </w:rPr>
      </w:pPr>
      <w:r>
        <w:rPr>
          <w:b/>
          <w:color w:val="1F3862"/>
        </w:rPr>
        <w:t>Please summarize your stakeholder engagement process, including specific groups that were engaged:</w:t>
      </w:r>
    </w:p>
    <w:p w14:paraId="609FB9D3" w14:textId="77777777" w:rsidR="004C241D" w:rsidRDefault="00DF2A83">
      <w:pPr>
        <w:pStyle w:val="BodyText"/>
        <w:ind w:left="100" w:right="159"/>
      </w:pPr>
      <w:r>
        <w:t>BCCS lined up t</w:t>
      </w:r>
      <w:r>
        <w:t xml:space="preserve">he engagement process for the Student Opportunity Act with the approval process for our FY21-FY23 strategic </w:t>
      </w:r>
      <w:proofErr w:type="gramStart"/>
      <w:r>
        <w:t>plan, since</w:t>
      </w:r>
      <w:proofErr w:type="gramEnd"/>
      <w:r>
        <w:t xml:space="preserve"> the timelines aligned. The approval of the strategic plan culminated in a Board Vote on February 10, 2020. Prior to that, the following </w:t>
      </w:r>
      <w:r>
        <w:t>groups were engaged in informing the direction:</w:t>
      </w:r>
    </w:p>
    <w:p w14:paraId="6AA8C64A" w14:textId="77777777" w:rsidR="004C241D" w:rsidRDefault="00DF2A83">
      <w:pPr>
        <w:pStyle w:val="ListParagraph"/>
        <w:numPr>
          <w:ilvl w:val="0"/>
          <w:numId w:val="2"/>
        </w:numPr>
        <w:tabs>
          <w:tab w:val="left" w:pos="820"/>
          <w:tab w:val="left" w:pos="821"/>
        </w:tabs>
        <w:spacing w:before="1"/>
        <w:ind w:hanging="360"/>
      </w:pPr>
      <w:r>
        <w:t>A family focus</w:t>
      </w:r>
      <w:r>
        <w:rPr>
          <w:spacing w:val="-6"/>
        </w:rPr>
        <w:t xml:space="preserve"> </w:t>
      </w:r>
      <w:r>
        <w:t>group</w:t>
      </w:r>
    </w:p>
    <w:p w14:paraId="67CC01A3" w14:textId="77777777" w:rsidR="004C241D" w:rsidRDefault="00DF2A83">
      <w:pPr>
        <w:pStyle w:val="ListParagraph"/>
        <w:numPr>
          <w:ilvl w:val="0"/>
          <w:numId w:val="2"/>
        </w:numPr>
        <w:tabs>
          <w:tab w:val="left" w:pos="820"/>
          <w:tab w:val="left" w:pos="821"/>
        </w:tabs>
        <w:ind w:hanging="360"/>
      </w:pPr>
      <w:r>
        <w:t>A staff focus</w:t>
      </w:r>
      <w:r>
        <w:rPr>
          <w:spacing w:val="-4"/>
        </w:rPr>
        <w:t xml:space="preserve"> </w:t>
      </w:r>
      <w:proofErr w:type="gramStart"/>
      <w:r>
        <w:t>group</w:t>
      </w:r>
      <w:proofErr w:type="gramEnd"/>
    </w:p>
    <w:p w14:paraId="1867B49E" w14:textId="77777777" w:rsidR="004C241D" w:rsidRDefault="00DF2A83">
      <w:pPr>
        <w:pStyle w:val="ListParagraph"/>
        <w:numPr>
          <w:ilvl w:val="0"/>
          <w:numId w:val="2"/>
        </w:numPr>
        <w:tabs>
          <w:tab w:val="left" w:pos="820"/>
          <w:tab w:val="left" w:pos="821"/>
        </w:tabs>
        <w:ind w:hanging="360"/>
      </w:pPr>
      <w:r>
        <w:t>The DEI Task Force, comprised of BCCS students, staff, families, and</w:t>
      </w:r>
      <w:r>
        <w:rPr>
          <w:spacing w:val="-24"/>
        </w:rPr>
        <w:t xml:space="preserve"> </w:t>
      </w:r>
      <w:proofErr w:type="gramStart"/>
      <w:r>
        <w:t>Trustees</w:t>
      </w:r>
      <w:proofErr w:type="gramEnd"/>
    </w:p>
    <w:p w14:paraId="5D88C22D" w14:textId="77777777" w:rsidR="004C241D" w:rsidRDefault="00DF2A83">
      <w:pPr>
        <w:pStyle w:val="ListParagraph"/>
        <w:numPr>
          <w:ilvl w:val="0"/>
          <w:numId w:val="2"/>
        </w:numPr>
        <w:tabs>
          <w:tab w:val="left" w:pos="820"/>
          <w:tab w:val="left" w:pos="821"/>
        </w:tabs>
        <w:ind w:hanging="360"/>
      </w:pPr>
      <w:r>
        <w:t>The Committee on Academic and Student Affairs, comprised of BCCS students, staff, familie</w:t>
      </w:r>
      <w:r>
        <w:t>s, and</w:t>
      </w:r>
      <w:r>
        <w:rPr>
          <w:spacing w:val="-34"/>
        </w:rPr>
        <w:t xml:space="preserve"> </w:t>
      </w:r>
      <w:proofErr w:type="gramStart"/>
      <w:r>
        <w:t>Trustees</w:t>
      </w:r>
      <w:proofErr w:type="gramEnd"/>
    </w:p>
    <w:p w14:paraId="628E1BB3" w14:textId="77777777" w:rsidR="004C241D" w:rsidRDefault="00DF2A83">
      <w:pPr>
        <w:pStyle w:val="ListParagraph"/>
        <w:numPr>
          <w:ilvl w:val="0"/>
          <w:numId w:val="2"/>
        </w:numPr>
        <w:tabs>
          <w:tab w:val="left" w:pos="820"/>
          <w:tab w:val="left" w:pos="821"/>
        </w:tabs>
        <w:spacing w:before="1" w:line="267" w:lineRule="exact"/>
        <w:ind w:hanging="360"/>
      </w:pPr>
      <w:r>
        <w:t>The BCCS leadership</w:t>
      </w:r>
      <w:r>
        <w:rPr>
          <w:spacing w:val="-7"/>
        </w:rPr>
        <w:t xml:space="preserve"> </w:t>
      </w:r>
      <w:r>
        <w:t>team</w:t>
      </w:r>
    </w:p>
    <w:p w14:paraId="00C99CB0" w14:textId="77777777" w:rsidR="004C241D" w:rsidRDefault="00DF2A83">
      <w:pPr>
        <w:pStyle w:val="ListParagraph"/>
        <w:numPr>
          <w:ilvl w:val="0"/>
          <w:numId w:val="2"/>
        </w:numPr>
        <w:tabs>
          <w:tab w:val="left" w:pos="820"/>
          <w:tab w:val="left" w:pos="821"/>
        </w:tabs>
        <w:spacing w:line="267" w:lineRule="exact"/>
        <w:ind w:hanging="360"/>
      </w:pPr>
      <w:r>
        <w:t>The BCCS Leadership Advisory Committee, comprised of a cross-functional group of BCCS</w:t>
      </w:r>
      <w:r>
        <w:rPr>
          <w:spacing w:val="-33"/>
        </w:rPr>
        <w:t xml:space="preserve"> </w:t>
      </w:r>
      <w:proofErr w:type="gramStart"/>
      <w:r>
        <w:t>staff</w:t>
      </w:r>
      <w:proofErr w:type="gramEnd"/>
    </w:p>
    <w:p w14:paraId="518CCCAD" w14:textId="77777777" w:rsidR="004C241D" w:rsidRDefault="004C241D">
      <w:pPr>
        <w:pStyle w:val="BodyText"/>
        <w:spacing w:before="2"/>
        <w:rPr>
          <w:sz w:val="28"/>
        </w:rPr>
      </w:pPr>
    </w:p>
    <w:p w14:paraId="2194E04B" w14:textId="77777777" w:rsidR="004C241D" w:rsidRDefault="00DF2A83">
      <w:pPr>
        <w:pStyle w:val="Heading3"/>
        <w:spacing w:line="242" w:lineRule="auto"/>
        <w:ind w:left="100"/>
        <w:rPr>
          <w:rFonts w:ascii="Microsoft Sans Serif" w:hAnsi="Microsoft Sans Serif"/>
          <w:sz w:val="32"/>
        </w:rPr>
      </w:pPr>
      <w:r>
        <w:rPr>
          <w:rFonts w:ascii="MS Gothic" w:hAnsi="MS Gothic"/>
          <w:color w:val="1F3862"/>
        </w:rPr>
        <w:t>☒</w:t>
      </w:r>
      <w:r>
        <w:rPr>
          <w:rFonts w:ascii="MS Gothic" w:hAnsi="MS Gothic"/>
          <w:color w:val="1F3862"/>
          <w:spacing w:val="-79"/>
        </w:rPr>
        <w:t xml:space="preserve"> </w:t>
      </w:r>
      <w:r>
        <w:rPr>
          <w:color w:val="1F3862"/>
        </w:rPr>
        <w:t xml:space="preserve">By checking here, I certify that the Boston Collegiate Charter School Board of Trustees voted on our Student Opportunity </w:t>
      </w:r>
      <w:r>
        <w:rPr>
          <w:color w:val="1F3862"/>
          <w:spacing w:val="-3"/>
        </w:rPr>
        <w:t xml:space="preserve">Act </w:t>
      </w:r>
      <w:r>
        <w:rPr>
          <w:color w:val="1F3862"/>
        </w:rPr>
        <w:t>Plan articulated herein, as part of our broader vote on the strategic plan for FY21-FY23.</w:t>
      </w:r>
      <w:r>
        <w:rPr>
          <w:rFonts w:ascii="Microsoft Sans Serif" w:hAnsi="Microsoft Sans Serif"/>
          <w:color w:val="1F3862"/>
          <w:w w:val="99"/>
          <w:sz w:val="32"/>
        </w:rPr>
        <w:t xml:space="preserve"> </w:t>
      </w:r>
    </w:p>
    <w:p w14:paraId="676D5B36" w14:textId="77777777" w:rsidR="004C241D" w:rsidRDefault="00DF2A83">
      <w:pPr>
        <w:tabs>
          <w:tab w:val="left" w:pos="4420"/>
        </w:tabs>
        <w:spacing w:before="143"/>
        <w:ind w:left="928"/>
        <w:rPr>
          <w:b/>
        </w:rPr>
      </w:pPr>
      <w:r>
        <w:rPr>
          <w:b/>
          <w:color w:val="1F3862"/>
        </w:rPr>
        <w:t>Date of vote: February</w:t>
      </w:r>
      <w:r>
        <w:rPr>
          <w:b/>
          <w:color w:val="1F3862"/>
          <w:spacing w:val="-6"/>
        </w:rPr>
        <w:t xml:space="preserve"> </w:t>
      </w:r>
      <w:r>
        <w:rPr>
          <w:b/>
          <w:color w:val="1F3862"/>
        </w:rPr>
        <w:t>10,</w:t>
      </w:r>
      <w:r>
        <w:rPr>
          <w:b/>
          <w:color w:val="1F3862"/>
          <w:spacing w:val="-3"/>
        </w:rPr>
        <w:t xml:space="preserve"> </w:t>
      </w:r>
      <w:r>
        <w:rPr>
          <w:b/>
          <w:color w:val="1F3862"/>
        </w:rPr>
        <w:t>2020</w:t>
      </w:r>
      <w:r>
        <w:rPr>
          <w:b/>
          <w:color w:val="1F3862"/>
        </w:rPr>
        <w:tab/>
        <w:t xml:space="preserve">Outcome </w:t>
      </w:r>
      <w:r>
        <w:rPr>
          <w:b/>
          <w:color w:val="1F3862"/>
        </w:rPr>
        <w:t>of vote: Unanimous</w:t>
      </w:r>
      <w:r>
        <w:rPr>
          <w:b/>
          <w:color w:val="1F3862"/>
          <w:spacing w:val="-15"/>
        </w:rPr>
        <w:t xml:space="preserve"> </w:t>
      </w:r>
      <w:r>
        <w:rPr>
          <w:b/>
          <w:color w:val="1F3862"/>
        </w:rPr>
        <w:t>Approval</w:t>
      </w:r>
    </w:p>
    <w:sectPr w:rsidR="004C241D">
      <w:pgSz w:w="12240" w:h="15840"/>
      <w:pgMar w:top="1200" w:right="600" w:bottom="1160" w:left="62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DA65E" w14:textId="77777777" w:rsidR="00DF2A83" w:rsidRDefault="00DF2A83">
      <w:r>
        <w:separator/>
      </w:r>
    </w:p>
  </w:endnote>
  <w:endnote w:type="continuationSeparator" w:id="0">
    <w:p w14:paraId="3A5E65E9" w14:textId="77777777" w:rsidR="00DF2A83" w:rsidRDefault="00DF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75D50" w14:textId="4AFB1681" w:rsidR="004C241D" w:rsidRDefault="00A86E8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6E50176" wp14:editId="098A1DA0">
              <wp:simplePos x="0" y="0"/>
              <wp:positionH relativeFrom="page">
                <wp:posOffset>7226935</wp:posOffset>
              </wp:positionH>
              <wp:positionV relativeFrom="page">
                <wp:posOffset>9305925</wp:posOffset>
              </wp:positionV>
              <wp:extent cx="114935" cy="152400"/>
              <wp:effectExtent l="0" t="0" r="1905"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5E722" w14:textId="77777777" w:rsidR="004C241D" w:rsidRDefault="00DF2A83">
                          <w:pPr>
                            <w:spacing w:line="223" w:lineRule="exact"/>
                            <w:ind w:left="40"/>
                            <w:rPr>
                              <w:i/>
                              <w:sz w:val="20"/>
                            </w:rPr>
                          </w:pPr>
                          <w:r>
                            <w:fldChar w:fldCharType="begin"/>
                          </w:r>
                          <w:r>
                            <w:rPr>
                              <w:i/>
                              <w:w w:val="99"/>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0176" id="_x0000_t202" coordsize="21600,21600" o:spt="202" path="m,l,21600r21600,l21600,xe">
              <v:stroke joinstyle="miter"/>
              <v:path gradientshapeok="t" o:connecttype="rect"/>
            </v:shapetype>
            <v:shape id="Text Box 1" o:spid="_x0000_s1026" type="#_x0000_t202" alt="&quot;&quot;" style="position:absolute;margin-left:569.05pt;margin-top:732.75pt;width:9.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" filled="f" stroked="f">
              <v:textbox inset="0,0,0,0">
                <w:txbxContent>
                  <w:p w14:paraId="2A75E722" w14:textId="77777777" w:rsidR="004C241D" w:rsidRDefault="00DF2A83">
                    <w:pPr>
                      <w:spacing w:line="223" w:lineRule="exact"/>
                      <w:ind w:left="40"/>
                      <w:rPr>
                        <w:i/>
                        <w:sz w:val="20"/>
                      </w:rPr>
                    </w:pPr>
                    <w:r>
                      <w:fldChar w:fldCharType="begin"/>
                    </w:r>
                    <w:r>
                      <w:rPr>
                        <w:i/>
                        <w:w w:val="99"/>
                        <w:sz w:val="2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51888" w14:textId="77777777" w:rsidR="00DF2A83" w:rsidRDefault="00DF2A83">
      <w:r>
        <w:separator/>
      </w:r>
    </w:p>
  </w:footnote>
  <w:footnote w:type="continuationSeparator" w:id="0">
    <w:p w14:paraId="63FD1BA2" w14:textId="77777777" w:rsidR="00DF2A83" w:rsidRDefault="00DF2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F5701"/>
    <w:multiLevelType w:val="hybridMultilevel"/>
    <w:tmpl w:val="05BC6C46"/>
    <w:lvl w:ilvl="0" w:tplc="2048E4EE">
      <w:start w:val="1"/>
      <w:numFmt w:val="decimal"/>
      <w:lvlText w:val="%1."/>
      <w:lvlJc w:val="left"/>
      <w:pPr>
        <w:ind w:left="820" w:hanging="361"/>
        <w:jc w:val="left"/>
      </w:pPr>
      <w:rPr>
        <w:rFonts w:ascii="Calibri" w:eastAsia="Calibri" w:hAnsi="Calibri" w:cs="Calibri" w:hint="default"/>
        <w:w w:val="100"/>
        <w:sz w:val="22"/>
        <w:szCs w:val="22"/>
      </w:rPr>
    </w:lvl>
    <w:lvl w:ilvl="1" w:tplc="36C0F4C8">
      <w:numFmt w:val="bullet"/>
      <w:lvlText w:val="•"/>
      <w:lvlJc w:val="left"/>
      <w:pPr>
        <w:ind w:left="1838" w:hanging="361"/>
      </w:pPr>
      <w:rPr>
        <w:rFonts w:hint="default"/>
      </w:rPr>
    </w:lvl>
    <w:lvl w:ilvl="2" w:tplc="2F58D2DE">
      <w:numFmt w:val="bullet"/>
      <w:lvlText w:val="•"/>
      <w:lvlJc w:val="left"/>
      <w:pPr>
        <w:ind w:left="2856" w:hanging="361"/>
      </w:pPr>
      <w:rPr>
        <w:rFonts w:hint="default"/>
      </w:rPr>
    </w:lvl>
    <w:lvl w:ilvl="3" w:tplc="0D78085E">
      <w:numFmt w:val="bullet"/>
      <w:lvlText w:val="•"/>
      <w:lvlJc w:val="left"/>
      <w:pPr>
        <w:ind w:left="3874" w:hanging="361"/>
      </w:pPr>
      <w:rPr>
        <w:rFonts w:hint="default"/>
      </w:rPr>
    </w:lvl>
    <w:lvl w:ilvl="4" w:tplc="816A5916">
      <w:numFmt w:val="bullet"/>
      <w:lvlText w:val="•"/>
      <w:lvlJc w:val="left"/>
      <w:pPr>
        <w:ind w:left="4892" w:hanging="361"/>
      </w:pPr>
      <w:rPr>
        <w:rFonts w:hint="default"/>
      </w:rPr>
    </w:lvl>
    <w:lvl w:ilvl="5" w:tplc="2B0AAB1E">
      <w:numFmt w:val="bullet"/>
      <w:lvlText w:val="•"/>
      <w:lvlJc w:val="left"/>
      <w:pPr>
        <w:ind w:left="5910" w:hanging="361"/>
      </w:pPr>
      <w:rPr>
        <w:rFonts w:hint="default"/>
      </w:rPr>
    </w:lvl>
    <w:lvl w:ilvl="6" w:tplc="1ECAA2B4">
      <w:numFmt w:val="bullet"/>
      <w:lvlText w:val="•"/>
      <w:lvlJc w:val="left"/>
      <w:pPr>
        <w:ind w:left="6928" w:hanging="361"/>
      </w:pPr>
      <w:rPr>
        <w:rFonts w:hint="default"/>
      </w:rPr>
    </w:lvl>
    <w:lvl w:ilvl="7" w:tplc="5B624DD4">
      <w:numFmt w:val="bullet"/>
      <w:lvlText w:val="•"/>
      <w:lvlJc w:val="left"/>
      <w:pPr>
        <w:ind w:left="7946" w:hanging="361"/>
      </w:pPr>
      <w:rPr>
        <w:rFonts w:hint="default"/>
      </w:rPr>
    </w:lvl>
    <w:lvl w:ilvl="8" w:tplc="0EF8A48C">
      <w:numFmt w:val="bullet"/>
      <w:lvlText w:val="•"/>
      <w:lvlJc w:val="left"/>
      <w:pPr>
        <w:ind w:left="8964" w:hanging="361"/>
      </w:pPr>
      <w:rPr>
        <w:rFonts w:hint="default"/>
      </w:rPr>
    </w:lvl>
  </w:abstractNum>
  <w:abstractNum w:abstractNumId="1" w15:restartNumberingAfterBreak="0">
    <w:nsid w:val="3B2B3361"/>
    <w:multiLevelType w:val="hybridMultilevel"/>
    <w:tmpl w:val="ABBAA050"/>
    <w:lvl w:ilvl="0" w:tplc="91F28BAA">
      <w:start w:val="1"/>
      <w:numFmt w:val="decimal"/>
      <w:lvlText w:val="%1)"/>
      <w:lvlJc w:val="left"/>
      <w:pPr>
        <w:ind w:left="820" w:hanging="361"/>
        <w:jc w:val="left"/>
      </w:pPr>
      <w:rPr>
        <w:rFonts w:ascii="Calibri" w:eastAsia="Calibri" w:hAnsi="Calibri" w:cs="Calibri" w:hint="default"/>
        <w:w w:val="100"/>
        <w:sz w:val="22"/>
        <w:szCs w:val="22"/>
      </w:rPr>
    </w:lvl>
    <w:lvl w:ilvl="1" w:tplc="8EC6CB12">
      <w:start w:val="1"/>
      <w:numFmt w:val="lowerLetter"/>
      <w:lvlText w:val="%2."/>
      <w:lvlJc w:val="left"/>
      <w:pPr>
        <w:ind w:left="1540" w:hanging="360"/>
        <w:jc w:val="left"/>
      </w:pPr>
      <w:rPr>
        <w:rFonts w:ascii="Calibri" w:eastAsia="Calibri" w:hAnsi="Calibri" w:cs="Calibri" w:hint="default"/>
        <w:spacing w:val="-1"/>
        <w:w w:val="100"/>
        <w:sz w:val="22"/>
        <w:szCs w:val="22"/>
      </w:rPr>
    </w:lvl>
    <w:lvl w:ilvl="2" w:tplc="16E6EF38">
      <w:numFmt w:val="bullet"/>
      <w:lvlText w:val="•"/>
      <w:lvlJc w:val="left"/>
      <w:pPr>
        <w:ind w:left="2593" w:hanging="360"/>
      </w:pPr>
      <w:rPr>
        <w:rFonts w:hint="default"/>
      </w:rPr>
    </w:lvl>
    <w:lvl w:ilvl="3" w:tplc="EF5E8B3C">
      <w:numFmt w:val="bullet"/>
      <w:lvlText w:val="•"/>
      <w:lvlJc w:val="left"/>
      <w:pPr>
        <w:ind w:left="3646" w:hanging="360"/>
      </w:pPr>
      <w:rPr>
        <w:rFonts w:hint="default"/>
      </w:rPr>
    </w:lvl>
    <w:lvl w:ilvl="4" w:tplc="09BA9092">
      <w:numFmt w:val="bullet"/>
      <w:lvlText w:val="•"/>
      <w:lvlJc w:val="left"/>
      <w:pPr>
        <w:ind w:left="4700" w:hanging="360"/>
      </w:pPr>
      <w:rPr>
        <w:rFonts w:hint="default"/>
      </w:rPr>
    </w:lvl>
    <w:lvl w:ilvl="5" w:tplc="AF20F2D6">
      <w:numFmt w:val="bullet"/>
      <w:lvlText w:val="•"/>
      <w:lvlJc w:val="left"/>
      <w:pPr>
        <w:ind w:left="5753" w:hanging="360"/>
      </w:pPr>
      <w:rPr>
        <w:rFonts w:hint="default"/>
      </w:rPr>
    </w:lvl>
    <w:lvl w:ilvl="6" w:tplc="8BFA6EB6">
      <w:numFmt w:val="bullet"/>
      <w:lvlText w:val="•"/>
      <w:lvlJc w:val="left"/>
      <w:pPr>
        <w:ind w:left="6806" w:hanging="360"/>
      </w:pPr>
      <w:rPr>
        <w:rFonts w:hint="default"/>
      </w:rPr>
    </w:lvl>
    <w:lvl w:ilvl="7" w:tplc="C2F84E36">
      <w:numFmt w:val="bullet"/>
      <w:lvlText w:val="•"/>
      <w:lvlJc w:val="left"/>
      <w:pPr>
        <w:ind w:left="7860" w:hanging="360"/>
      </w:pPr>
      <w:rPr>
        <w:rFonts w:hint="default"/>
      </w:rPr>
    </w:lvl>
    <w:lvl w:ilvl="8" w:tplc="EFB0F8C0">
      <w:numFmt w:val="bullet"/>
      <w:lvlText w:val="•"/>
      <w:lvlJc w:val="left"/>
      <w:pPr>
        <w:ind w:left="8913" w:hanging="360"/>
      </w:pPr>
      <w:rPr>
        <w:rFonts w:hint="default"/>
      </w:rPr>
    </w:lvl>
  </w:abstractNum>
  <w:abstractNum w:abstractNumId="2" w15:restartNumberingAfterBreak="0">
    <w:nsid w:val="40A41D55"/>
    <w:multiLevelType w:val="hybridMultilevel"/>
    <w:tmpl w:val="FB0C8408"/>
    <w:lvl w:ilvl="0" w:tplc="9DCC4CCE">
      <w:numFmt w:val="bullet"/>
      <w:lvlText w:val="-"/>
      <w:lvlJc w:val="left"/>
      <w:pPr>
        <w:ind w:left="820" w:hanging="361"/>
      </w:pPr>
      <w:rPr>
        <w:rFonts w:ascii="Calibri" w:eastAsia="Calibri" w:hAnsi="Calibri" w:cs="Calibri" w:hint="default"/>
        <w:w w:val="100"/>
        <w:sz w:val="22"/>
        <w:szCs w:val="22"/>
      </w:rPr>
    </w:lvl>
    <w:lvl w:ilvl="1" w:tplc="096AAA72">
      <w:numFmt w:val="bullet"/>
      <w:lvlText w:val="•"/>
      <w:lvlJc w:val="left"/>
      <w:pPr>
        <w:ind w:left="1840" w:hanging="361"/>
      </w:pPr>
      <w:rPr>
        <w:rFonts w:hint="default"/>
      </w:rPr>
    </w:lvl>
    <w:lvl w:ilvl="2" w:tplc="46161A64">
      <w:numFmt w:val="bullet"/>
      <w:lvlText w:val="•"/>
      <w:lvlJc w:val="left"/>
      <w:pPr>
        <w:ind w:left="2860" w:hanging="361"/>
      </w:pPr>
      <w:rPr>
        <w:rFonts w:hint="default"/>
      </w:rPr>
    </w:lvl>
    <w:lvl w:ilvl="3" w:tplc="B6042B34">
      <w:numFmt w:val="bullet"/>
      <w:lvlText w:val="•"/>
      <w:lvlJc w:val="left"/>
      <w:pPr>
        <w:ind w:left="3880" w:hanging="361"/>
      </w:pPr>
      <w:rPr>
        <w:rFonts w:hint="default"/>
      </w:rPr>
    </w:lvl>
    <w:lvl w:ilvl="4" w:tplc="B3FA10B0">
      <w:numFmt w:val="bullet"/>
      <w:lvlText w:val="•"/>
      <w:lvlJc w:val="left"/>
      <w:pPr>
        <w:ind w:left="4900" w:hanging="361"/>
      </w:pPr>
      <w:rPr>
        <w:rFonts w:hint="default"/>
      </w:rPr>
    </w:lvl>
    <w:lvl w:ilvl="5" w:tplc="87067618">
      <w:numFmt w:val="bullet"/>
      <w:lvlText w:val="•"/>
      <w:lvlJc w:val="left"/>
      <w:pPr>
        <w:ind w:left="5920" w:hanging="361"/>
      </w:pPr>
      <w:rPr>
        <w:rFonts w:hint="default"/>
      </w:rPr>
    </w:lvl>
    <w:lvl w:ilvl="6" w:tplc="1B1C6A5E">
      <w:numFmt w:val="bullet"/>
      <w:lvlText w:val="•"/>
      <w:lvlJc w:val="left"/>
      <w:pPr>
        <w:ind w:left="6940" w:hanging="361"/>
      </w:pPr>
      <w:rPr>
        <w:rFonts w:hint="default"/>
      </w:rPr>
    </w:lvl>
    <w:lvl w:ilvl="7" w:tplc="21AE87A4">
      <w:numFmt w:val="bullet"/>
      <w:lvlText w:val="•"/>
      <w:lvlJc w:val="left"/>
      <w:pPr>
        <w:ind w:left="7960" w:hanging="361"/>
      </w:pPr>
      <w:rPr>
        <w:rFonts w:hint="default"/>
      </w:rPr>
    </w:lvl>
    <w:lvl w:ilvl="8" w:tplc="46EC59AE">
      <w:numFmt w:val="bullet"/>
      <w:lvlText w:val="•"/>
      <w:lvlJc w:val="left"/>
      <w:pPr>
        <w:ind w:left="8980" w:hanging="361"/>
      </w:pPr>
      <w:rPr>
        <w:rFonts w:hint="default"/>
      </w:rPr>
    </w:lvl>
  </w:abstractNum>
  <w:abstractNum w:abstractNumId="3" w15:restartNumberingAfterBreak="0">
    <w:nsid w:val="5EC6245D"/>
    <w:multiLevelType w:val="hybridMultilevel"/>
    <w:tmpl w:val="57E45AC8"/>
    <w:lvl w:ilvl="0" w:tplc="0A189716">
      <w:numFmt w:val="bullet"/>
      <w:lvlText w:val=""/>
      <w:lvlJc w:val="left"/>
      <w:pPr>
        <w:ind w:left="628" w:hanging="269"/>
      </w:pPr>
      <w:rPr>
        <w:rFonts w:ascii="Symbol" w:eastAsia="Symbol" w:hAnsi="Symbol" w:cs="Symbol" w:hint="default"/>
        <w:w w:val="97"/>
        <w:sz w:val="20"/>
        <w:szCs w:val="20"/>
      </w:rPr>
    </w:lvl>
    <w:lvl w:ilvl="1" w:tplc="9774D320">
      <w:numFmt w:val="bullet"/>
      <w:lvlText w:val="•"/>
      <w:lvlJc w:val="left"/>
      <w:pPr>
        <w:ind w:left="1341" w:hanging="269"/>
      </w:pPr>
      <w:rPr>
        <w:rFonts w:hint="default"/>
      </w:rPr>
    </w:lvl>
    <w:lvl w:ilvl="2" w:tplc="0A3881CE">
      <w:numFmt w:val="bullet"/>
      <w:lvlText w:val="•"/>
      <w:lvlJc w:val="left"/>
      <w:pPr>
        <w:ind w:left="2063" w:hanging="269"/>
      </w:pPr>
      <w:rPr>
        <w:rFonts w:hint="default"/>
      </w:rPr>
    </w:lvl>
    <w:lvl w:ilvl="3" w:tplc="46DCD108">
      <w:numFmt w:val="bullet"/>
      <w:lvlText w:val="•"/>
      <w:lvlJc w:val="left"/>
      <w:pPr>
        <w:ind w:left="2785" w:hanging="269"/>
      </w:pPr>
      <w:rPr>
        <w:rFonts w:hint="default"/>
      </w:rPr>
    </w:lvl>
    <w:lvl w:ilvl="4" w:tplc="BDAACE0E">
      <w:numFmt w:val="bullet"/>
      <w:lvlText w:val="•"/>
      <w:lvlJc w:val="left"/>
      <w:pPr>
        <w:ind w:left="3507" w:hanging="269"/>
      </w:pPr>
      <w:rPr>
        <w:rFonts w:hint="default"/>
      </w:rPr>
    </w:lvl>
    <w:lvl w:ilvl="5" w:tplc="A92EC200">
      <w:numFmt w:val="bullet"/>
      <w:lvlText w:val="•"/>
      <w:lvlJc w:val="left"/>
      <w:pPr>
        <w:ind w:left="4228" w:hanging="269"/>
      </w:pPr>
      <w:rPr>
        <w:rFonts w:hint="default"/>
      </w:rPr>
    </w:lvl>
    <w:lvl w:ilvl="6" w:tplc="1E0AA5E4">
      <w:numFmt w:val="bullet"/>
      <w:lvlText w:val="•"/>
      <w:lvlJc w:val="left"/>
      <w:pPr>
        <w:ind w:left="4950" w:hanging="269"/>
      </w:pPr>
      <w:rPr>
        <w:rFonts w:hint="default"/>
      </w:rPr>
    </w:lvl>
    <w:lvl w:ilvl="7" w:tplc="99225D98">
      <w:numFmt w:val="bullet"/>
      <w:lvlText w:val="•"/>
      <w:lvlJc w:val="left"/>
      <w:pPr>
        <w:ind w:left="5672" w:hanging="269"/>
      </w:pPr>
      <w:rPr>
        <w:rFonts w:hint="default"/>
      </w:rPr>
    </w:lvl>
    <w:lvl w:ilvl="8" w:tplc="F7B6A3D8">
      <w:numFmt w:val="bullet"/>
      <w:lvlText w:val="•"/>
      <w:lvlJc w:val="left"/>
      <w:pPr>
        <w:ind w:left="6394" w:hanging="269"/>
      </w:pPr>
      <w:rPr>
        <w:rFonts w:hint="default"/>
      </w:rPr>
    </w:lvl>
  </w:abstractNum>
  <w:abstractNum w:abstractNumId="4" w15:restartNumberingAfterBreak="0">
    <w:nsid w:val="60171181"/>
    <w:multiLevelType w:val="hybridMultilevel"/>
    <w:tmpl w:val="7348327A"/>
    <w:lvl w:ilvl="0" w:tplc="EA1CCFF2">
      <w:numFmt w:val="bullet"/>
      <w:lvlText w:val=""/>
      <w:lvlJc w:val="left"/>
      <w:pPr>
        <w:ind w:left="628" w:hanging="269"/>
      </w:pPr>
      <w:rPr>
        <w:rFonts w:ascii="Symbol" w:eastAsia="Symbol" w:hAnsi="Symbol" w:cs="Symbol" w:hint="default"/>
        <w:w w:val="97"/>
        <w:sz w:val="20"/>
        <w:szCs w:val="20"/>
      </w:rPr>
    </w:lvl>
    <w:lvl w:ilvl="1" w:tplc="228CA70C">
      <w:numFmt w:val="bullet"/>
      <w:lvlText w:val="•"/>
      <w:lvlJc w:val="left"/>
      <w:pPr>
        <w:ind w:left="1341" w:hanging="269"/>
      </w:pPr>
      <w:rPr>
        <w:rFonts w:hint="default"/>
      </w:rPr>
    </w:lvl>
    <w:lvl w:ilvl="2" w:tplc="026C3BFC">
      <w:numFmt w:val="bullet"/>
      <w:lvlText w:val="•"/>
      <w:lvlJc w:val="left"/>
      <w:pPr>
        <w:ind w:left="2063" w:hanging="269"/>
      </w:pPr>
      <w:rPr>
        <w:rFonts w:hint="default"/>
      </w:rPr>
    </w:lvl>
    <w:lvl w:ilvl="3" w:tplc="907C5DA6">
      <w:numFmt w:val="bullet"/>
      <w:lvlText w:val="•"/>
      <w:lvlJc w:val="left"/>
      <w:pPr>
        <w:ind w:left="2785" w:hanging="269"/>
      </w:pPr>
      <w:rPr>
        <w:rFonts w:hint="default"/>
      </w:rPr>
    </w:lvl>
    <w:lvl w:ilvl="4" w:tplc="1DACD08E">
      <w:numFmt w:val="bullet"/>
      <w:lvlText w:val="•"/>
      <w:lvlJc w:val="left"/>
      <w:pPr>
        <w:ind w:left="3507" w:hanging="269"/>
      </w:pPr>
      <w:rPr>
        <w:rFonts w:hint="default"/>
      </w:rPr>
    </w:lvl>
    <w:lvl w:ilvl="5" w:tplc="89DC4CA8">
      <w:numFmt w:val="bullet"/>
      <w:lvlText w:val="•"/>
      <w:lvlJc w:val="left"/>
      <w:pPr>
        <w:ind w:left="4228" w:hanging="269"/>
      </w:pPr>
      <w:rPr>
        <w:rFonts w:hint="default"/>
      </w:rPr>
    </w:lvl>
    <w:lvl w:ilvl="6" w:tplc="5F2C92EA">
      <w:numFmt w:val="bullet"/>
      <w:lvlText w:val="•"/>
      <w:lvlJc w:val="left"/>
      <w:pPr>
        <w:ind w:left="4950" w:hanging="269"/>
      </w:pPr>
      <w:rPr>
        <w:rFonts w:hint="default"/>
      </w:rPr>
    </w:lvl>
    <w:lvl w:ilvl="7" w:tplc="920C790C">
      <w:numFmt w:val="bullet"/>
      <w:lvlText w:val="•"/>
      <w:lvlJc w:val="left"/>
      <w:pPr>
        <w:ind w:left="5672" w:hanging="269"/>
      </w:pPr>
      <w:rPr>
        <w:rFonts w:hint="default"/>
      </w:rPr>
    </w:lvl>
    <w:lvl w:ilvl="8" w:tplc="368628DC">
      <w:numFmt w:val="bullet"/>
      <w:lvlText w:val="•"/>
      <w:lvlJc w:val="left"/>
      <w:pPr>
        <w:ind w:left="6394" w:hanging="269"/>
      </w:pPr>
      <w:rPr>
        <w:rFonts w:hint="default"/>
      </w:rPr>
    </w:lvl>
  </w:abstractNum>
  <w:abstractNum w:abstractNumId="5" w15:restartNumberingAfterBreak="0">
    <w:nsid w:val="7A294F3B"/>
    <w:multiLevelType w:val="hybridMultilevel"/>
    <w:tmpl w:val="B5E6AD58"/>
    <w:lvl w:ilvl="0" w:tplc="78F8357C">
      <w:numFmt w:val="bullet"/>
      <w:lvlText w:val="□"/>
      <w:lvlJc w:val="left"/>
      <w:pPr>
        <w:ind w:left="928" w:hanging="361"/>
      </w:pPr>
      <w:rPr>
        <w:rFonts w:ascii="Calibri" w:eastAsia="Calibri" w:hAnsi="Calibri" w:cs="Calibri" w:hint="default"/>
        <w:w w:val="100"/>
        <w:sz w:val="21"/>
        <w:szCs w:val="21"/>
      </w:rPr>
    </w:lvl>
    <w:lvl w:ilvl="1" w:tplc="4FDE9008">
      <w:numFmt w:val="bullet"/>
      <w:lvlText w:val="•"/>
      <w:lvlJc w:val="left"/>
      <w:pPr>
        <w:ind w:left="1930" w:hanging="361"/>
      </w:pPr>
      <w:rPr>
        <w:rFonts w:hint="default"/>
      </w:rPr>
    </w:lvl>
    <w:lvl w:ilvl="2" w:tplc="16F2B97E">
      <w:numFmt w:val="bullet"/>
      <w:lvlText w:val="•"/>
      <w:lvlJc w:val="left"/>
      <w:pPr>
        <w:ind w:left="2940" w:hanging="361"/>
      </w:pPr>
      <w:rPr>
        <w:rFonts w:hint="default"/>
      </w:rPr>
    </w:lvl>
    <w:lvl w:ilvl="3" w:tplc="AE78B28A">
      <w:numFmt w:val="bullet"/>
      <w:lvlText w:val="•"/>
      <w:lvlJc w:val="left"/>
      <w:pPr>
        <w:ind w:left="3950" w:hanging="361"/>
      </w:pPr>
      <w:rPr>
        <w:rFonts w:hint="default"/>
      </w:rPr>
    </w:lvl>
    <w:lvl w:ilvl="4" w:tplc="DE726FF6">
      <w:numFmt w:val="bullet"/>
      <w:lvlText w:val="•"/>
      <w:lvlJc w:val="left"/>
      <w:pPr>
        <w:ind w:left="4960" w:hanging="361"/>
      </w:pPr>
      <w:rPr>
        <w:rFonts w:hint="default"/>
      </w:rPr>
    </w:lvl>
    <w:lvl w:ilvl="5" w:tplc="B1384CEA">
      <w:numFmt w:val="bullet"/>
      <w:lvlText w:val="•"/>
      <w:lvlJc w:val="left"/>
      <w:pPr>
        <w:ind w:left="5970" w:hanging="361"/>
      </w:pPr>
      <w:rPr>
        <w:rFonts w:hint="default"/>
      </w:rPr>
    </w:lvl>
    <w:lvl w:ilvl="6" w:tplc="0A025596">
      <w:numFmt w:val="bullet"/>
      <w:lvlText w:val="•"/>
      <w:lvlJc w:val="left"/>
      <w:pPr>
        <w:ind w:left="6980" w:hanging="361"/>
      </w:pPr>
      <w:rPr>
        <w:rFonts w:hint="default"/>
      </w:rPr>
    </w:lvl>
    <w:lvl w:ilvl="7" w:tplc="E102C732">
      <w:numFmt w:val="bullet"/>
      <w:lvlText w:val="•"/>
      <w:lvlJc w:val="left"/>
      <w:pPr>
        <w:ind w:left="7990" w:hanging="361"/>
      </w:pPr>
      <w:rPr>
        <w:rFonts w:hint="default"/>
      </w:rPr>
    </w:lvl>
    <w:lvl w:ilvl="8" w:tplc="3E940FB6">
      <w:numFmt w:val="bullet"/>
      <w:lvlText w:val="•"/>
      <w:lvlJc w:val="left"/>
      <w:pPr>
        <w:ind w:left="9000" w:hanging="361"/>
      </w:pPr>
      <w:rPr>
        <w:rFonts w:hint="default"/>
      </w:rPr>
    </w:lvl>
  </w:abstractNum>
  <w:abstractNum w:abstractNumId="6" w15:restartNumberingAfterBreak="0">
    <w:nsid w:val="7FBF06E6"/>
    <w:multiLevelType w:val="hybridMultilevel"/>
    <w:tmpl w:val="BD3E83AA"/>
    <w:lvl w:ilvl="0" w:tplc="703C1A72">
      <w:numFmt w:val="bullet"/>
      <w:lvlText w:val=""/>
      <w:lvlJc w:val="left"/>
      <w:pPr>
        <w:ind w:left="628" w:hanging="269"/>
      </w:pPr>
      <w:rPr>
        <w:rFonts w:ascii="Symbol" w:eastAsia="Symbol" w:hAnsi="Symbol" w:cs="Symbol" w:hint="default"/>
        <w:w w:val="97"/>
        <w:sz w:val="20"/>
        <w:szCs w:val="20"/>
      </w:rPr>
    </w:lvl>
    <w:lvl w:ilvl="1" w:tplc="F82AFAB8">
      <w:numFmt w:val="bullet"/>
      <w:lvlText w:val="•"/>
      <w:lvlJc w:val="left"/>
      <w:pPr>
        <w:ind w:left="1341" w:hanging="269"/>
      </w:pPr>
      <w:rPr>
        <w:rFonts w:hint="default"/>
      </w:rPr>
    </w:lvl>
    <w:lvl w:ilvl="2" w:tplc="047EB308">
      <w:numFmt w:val="bullet"/>
      <w:lvlText w:val="•"/>
      <w:lvlJc w:val="left"/>
      <w:pPr>
        <w:ind w:left="2063" w:hanging="269"/>
      </w:pPr>
      <w:rPr>
        <w:rFonts w:hint="default"/>
      </w:rPr>
    </w:lvl>
    <w:lvl w:ilvl="3" w:tplc="BF7205C4">
      <w:numFmt w:val="bullet"/>
      <w:lvlText w:val="•"/>
      <w:lvlJc w:val="left"/>
      <w:pPr>
        <w:ind w:left="2785" w:hanging="269"/>
      </w:pPr>
      <w:rPr>
        <w:rFonts w:hint="default"/>
      </w:rPr>
    </w:lvl>
    <w:lvl w:ilvl="4" w:tplc="886897FE">
      <w:numFmt w:val="bullet"/>
      <w:lvlText w:val="•"/>
      <w:lvlJc w:val="left"/>
      <w:pPr>
        <w:ind w:left="3507" w:hanging="269"/>
      </w:pPr>
      <w:rPr>
        <w:rFonts w:hint="default"/>
      </w:rPr>
    </w:lvl>
    <w:lvl w:ilvl="5" w:tplc="65BECA6E">
      <w:numFmt w:val="bullet"/>
      <w:lvlText w:val="•"/>
      <w:lvlJc w:val="left"/>
      <w:pPr>
        <w:ind w:left="4228" w:hanging="269"/>
      </w:pPr>
      <w:rPr>
        <w:rFonts w:hint="default"/>
      </w:rPr>
    </w:lvl>
    <w:lvl w:ilvl="6" w:tplc="59FC6EFE">
      <w:numFmt w:val="bullet"/>
      <w:lvlText w:val="•"/>
      <w:lvlJc w:val="left"/>
      <w:pPr>
        <w:ind w:left="4950" w:hanging="269"/>
      </w:pPr>
      <w:rPr>
        <w:rFonts w:hint="default"/>
      </w:rPr>
    </w:lvl>
    <w:lvl w:ilvl="7" w:tplc="7DBE79AE">
      <w:numFmt w:val="bullet"/>
      <w:lvlText w:val="•"/>
      <w:lvlJc w:val="left"/>
      <w:pPr>
        <w:ind w:left="5672" w:hanging="269"/>
      </w:pPr>
      <w:rPr>
        <w:rFonts w:hint="default"/>
      </w:rPr>
    </w:lvl>
    <w:lvl w:ilvl="8" w:tplc="A8FA11BC">
      <w:numFmt w:val="bullet"/>
      <w:lvlText w:val="•"/>
      <w:lvlJc w:val="left"/>
      <w:pPr>
        <w:ind w:left="6394" w:hanging="269"/>
      </w:pPr>
      <w:rPr>
        <w:rFonts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D"/>
    <w:rsid w:val="00242B5F"/>
    <w:rsid w:val="004C241D"/>
    <w:rsid w:val="00A86E81"/>
    <w:rsid w:val="00DF2A83"/>
    <w:rsid w:val="00F80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A67B"/>
  <w15:docId w15:val="{69EAF861-959E-4443-812D-EDD15777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7"/>
      <w:outlineLvl w:val="0"/>
    </w:pPr>
    <w:rPr>
      <w:b/>
      <w:bCs/>
      <w:sz w:val="26"/>
      <w:szCs w:val="26"/>
    </w:rPr>
  </w:style>
  <w:style w:type="paragraph" w:styleId="Heading2">
    <w:name w:val="heading 2"/>
    <w:basedOn w:val="Normal"/>
    <w:uiPriority w:val="9"/>
    <w:unhideWhenUsed/>
    <w:qFormat/>
    <w:pPr>
      <w:spacing w:before="71"/>
      <w:ind w:left="207" w:right="323"/>
      <w:outlineLvl w:val="1"/>
    </w:pPr>
    <w:rPr>
      <w:b/>
      <w:bCs/>
      <w:sz w:val="23"/>
      <w:szCs w:val="23"/>
    </w:rPr>
  </w:style>
  <w:style w:type="paragraph" w:styleId="Heading3">
    <w:name w:val="heading 3"/>
    <w:basedOn w:val="Normal"/>
    <w:uiPriority w:val="9"/>
    <w:unhideWhenUsed/>
    <w:qFormat/>
    <w:pPr>
      <w:ind w:left="20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B530F-BA52-4743-B653-660DDFF30FD9}"/>
</file>

<file path=customXml/itemProps2.xml><?xml version="1.0" encoding="utf-8"?>
<ds:datastoreItem xmlns:ds="http://schemas.openxmlformats.org/officeDocument/2006/customXml" ds:itemID="{4EBC7479-CAA2-483B-8251-27F01494CECD}"/>
</file>

<file path=customXml/itemProps3.xml><?xml version="1.0" encoding="utf-8"?>
<ds:datastoreItem xmlns:ds="http://schemas.openxmlformats.org/officeDocument/2006/customXml" ds:itemID="{583838D3-8B78-411F-891E-00FBCBD0F096}"/>
</file>

<file path=docProps/app.xml><?xml version="1.0" encoding="utf-8"?>
<Properties xmlns="http://schemas.openxmlformats.org/officeDocument/2006/extended-properties" xmlns:vt="http://schemas.openxmlformats.org/officeDocument/2006/docPropsVTypes">
  <Template>Normal</Template>
  <TotalTime>2</TotalTime>
  <Pages>4</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Boston Collegiate Charter School Student Opportunity Act Plan: SY 2021-2023</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Collegiate Charter School Student Opportunity Act Plan: SY 2021-2023</dc:title>
  <dc:creator>DESE</dc:creator>
  <cp:lastModifiedBy>DeLorenzo, Lee E (DESE)</cp:lastModifiedBy>
  <cp:revision>4</cp:revision>
  <dcterms:created xsi:type="dcterms:W3CDTF">2021-03-19T18:42:00Z</dcterms:created>
  <dcterms:modified xsi:type="dcterms:W3CDTF">2021-03-19T18:44:00Z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Word 2010</vt:lpwstr>
  </property>
  <property fmtid="{D5CDD505-2E9C-101B-9397-08002B2CF9AE}" pid="4" name="LastSaved">
    <vt:filetime>2021-03-02T00:00:00Z</vt:filetime>
  </property>
  <property fmtid="{D5CDD505-2E9C-101B-9397-08002B2CF9AE}" pid="5" name="ContentTypeId">
    <vt:lpwstr>0x010100A293676B7F9F114D8D4D17C37E9BF771</vt:lpwstr>
  </property>
</Properties>
</file>