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ED379" w14:textId="4FE88AF3" w:rsidR="000B5388" w:rsidRDefault="00AE2AE4" w:rsidP="00991779">
      <w:pPr>
        <w:ind w:left="839"/>
        <w:rPr>
          <w:rFonts w:ascii="Times New Roman"/>
          <w:sz w:val="16"/>
        </w:rPr>
      </w:pPr>
      <w:r>
        <w:rPr>
          <w:rFonts w:ascii="Times New Roman"/>
          <w:spacing w:val="-49"/>
          <w:sz w:val="20"/>
        </w:rPr>
        <w:t xml:space="preserve"> </w:t>
      </w:r>
    </w:p>
    <w:p w14:paraId="24D37671" w14:textId="299D42D8" w:rsidR="000B5388" w:rsidRDefault="00AE2AE4" w:rsidP="00991779">
      <w:pPr>
        <w:spacing w:before="35"/>
        <w:ind w:left="120"/>
        <w:jc w:val="center"/>
        <w:rPr>
          <w:b/>
          <w:color w:val="1F3762"/>
          <w:sz w:val="32"/>
        </w:rPr>
      </w:pPr>
      <w:r>
        <w:rPr>
          <w:b/>
          <w:color w:val="1F3762"/>
          <w:sz w:val="32"/>
        </w:rPr>
        <w:t>S</w:t>
      </w:r>
      <w:r>
        <w:rPr>
          <w:b/>
          <w:color w:val="1F3762"/>
          <w:sz w:val="32"/>
        </w:rPr>
        <w:t>tudent Opportunity Act Plan: SY 2021-2023</w:t>
      </w:r>
    </w:p>
    <w:p w14:paraId="111A3456" w14:textId="35566EE1" w:rsidR="00991779" w:rsidRDefault="00991779" w:rsidP="00991779">
      <w:pPr>
        <w:spacing w:before="35"/>
        <w:ind w:left="120"/>
        <w:jc w:val="center"/>
        <w:rPr>
          <w:b/>
          <w:sz w:val="32"/>
        </w:rPr>
      </w:pPr>
      <w:r>
        <w:rPr>
          <w:b/>
          <w:i/>
          <w:color w:val="2D73B4"/>
          <w:sz w:val="32"/>
        </w:rPr>
        <w:t>Boston Day and Evening Academy</w:t>
      </w:r>
    </w:p>
    <w:p w14:paraId="5F738A57" w14:textId="77777777" w:rsidR="000B5388" w:rsidRDefault="00AE2AE4">
      <w:pPr>
        <w:pStyle w:val="Heading1"/>
        <w:spacing w:before="240"/>
        <w:ind w:left="225"/>
      </w:pPr>
      <w:r>
        <w:rPr>
          <w:rFonts w:ascii="MS Gothic" w:hAnsi="MS Gothic"/>
          <w:b w:val="0"/>
          <w:color w:val="2D73B4"/>
        </w:rPr>
        <w:t>→</w:t>
      </w:r>
      <w:r>
        <w:rPr>
          <w:rFonts w:ascii="MS Gothic" w:hAnsi="MS Gothic"/>
          <w:b w:val="0"/>
          <w:color w:val="2D73B4"/>
          <w:spacing w:val="-66"/>
        </w:rPr>
        <w:t xml:space="preserve"> </w:t>
      </w:r>
      <w:r>
        <w:rPr>
          <w:color w:val="2D73B4"/>
        </w:rPr>
        <w:t>Commitment 1: Focusing on Student Subgroups</w:t>
      </w:r>
    </w:p>
    <w:p w14:paraId="6E8F1BC5" w14:textId="77777777" w:rsidR="000B5388" w:rsidRDefault="00AE2AE4">
      <w:pPr>
        <w:pStyle w:val="Heading2"/>
        <w:spacing w:line="244" w:lineRule="auto"/>
        <w:ind w:left="225" w:right="896"/>
      </w:pPr>
      <w:r>
        <w:rPr>
          <w:color w:val="1F3762"/>
        </w:rPr>
        <w:t xml:space="preserve">Which student groups will require focused support to ensure all students achieve at high levels in </w:t>
      </w:r>
      <w:r>
        <w:rPr>
          <w:color w:val="1F3762"/>
        </w:rPr>
        <w:t>school and are successfully prepared for life?</w:t>
      </w:r>
    </w:p>
    <w:p w14:paraId="0329518D" w14:textId="77777777" w:rsidR="000B5388" w:rsidRDefault="000B5388">
      <w:pPr>
        <w:pStyle w:val="BodyText"/>
        <w:spacing w:before="3"/>
        <w:rPr>
          <w:b/>
          <w:sz w:val="20"/>
        </w:rPr>
      </w:pPr>
    </w:p>
    <w:p w14:paraId="632A40CC" w14:textId="77777777" w:rsidR="000B5388" w:rsidRDefault="00AE2AE4">
      <w:pPr>
        <w:pStyle w:val="BodyText"/>
        <w:spacing w:before="1"/>
        <w:ind w:left="120"/>
      </w:pPr>
      <w:r>
        <w:t>The majority of BDEA students are students of color and students who come from low income backgrounds; as a result, we do not see a significant difference in these subgroups’ academic achievement levels as co</w:t>
      </w:r>
      <w:r>
        <w:t>mpared to the average.</w:t>
      </w:r>
    </w:p>
    <w:p w14:paraId="6704C340" w14:textId="77777777" w:rsidR="000B5388" w:rsidRDefault="00AE2AE4">
      <w:pPr>
        <w:pStyle w:val="BodyText"/>
        <w:spacing w:before="1"/>
        <w:ind w:left="120" w:right="132"/>
      </w:pPr>
      <w:r>
        <w:t>Instead, BDEA considers a different subgroup to be one that most frequently falls behind on attendance and competency</w:t>
      </w:r>
      <w:r>
        <w:rPr>
          <w:spacing w:val="-5"/>
        </w:rPr>
        <w:t xml:space="preserve"> </w:t>
      </w:r>
      <w:r>
        <w:t>completion:</w:t>
      </w:r>
      <w:r>
        <w:rPr>
          <w:spacing w:val="-5"/>
        </w:rPr>
        <w:t xml:space="preserve"> </w:t>
      </w:r>
      <w:r>
        <w:t>students</w:t>
      </w:r>
      <w:r>
        <w:rPr>
          <w:spacing w:val="-5"/>
        </w:rPr>
        <w:t xml:space="preserve"> </w:t>
      </w:r>
      <w:r>
        <w:t>who</w:t>
      </w:r>
      <w:r>
        <w:rPr>
          <w:spacing w:val="-5"/>
        </w:rPr>
        <w:t xml:space="preserve"> </w:t>
      </w:r>
      <w:r>
        <w:t>enter</w:t>
      </w:r>
      <w:r>
        <w:rPr>
          <w:spacing w:val="-5"/>
        </w:rPr>
        <w:t xml:space="preserve"> </w:t>
      </w:r>
      <w:r>
        <w:t>our</w:t>
      </w:r>
      <w:r>
        <w:rPr>
          <w:spacing w:val="-5"/>
        </w:rPr>
        <w:t xml:space="preserve"> </w:t>
      </w:r>
      <w:r>
        <w:t>school</w:t>
      </w:r>
      <w:r>
        <w:rPr>
          <w:spacing w:val="-5"/>
        </w:rPr>
        <w:t xml:space="preserve"> </w:t>
      </w:r>
      <w:r>
        <w:t>“young</w:t>
      </w:r>
      <w:r>
        <w:rPr>
          <w:spacing w:val="-5"/>
        </w:rPr>
        <w:t xml:space="preserve"> </w:t>
      </w:r>
      <w:r>
        <w:t>and</w:t>
      </w:r>
      <w:r>
        <w:rPr>
          <w:spacing w:val="-5"/>
        </w:rPr>
        <w:t xml:space="preserve"> </w:t>
      </w:r>
      <w:r>
        <w:t>far.”</w:t>
      </w:r>
      <w:r>
        <w:rPr>
          <w:spacing w:val="-5"/>
        </w:rPr>
        <w:t xml:space="preserve"> </w:t>
      </w:r>
      <w:r>
        <w:t>“Young</w:t>
      </w:r>
      <w:r>
        <w:rPr>
          <w:spacing w:val="-5"/>
        </w:rPr>
        <w:t xml:space="preserve"> </w:t>
      </w:r>
      <w:r>
        <w:t>and</w:t>
      </w:r>
      <w:r>
        <w:rPr>
          <w:spacing w:val="-5"/>
        </w:rPr>
        <w:t xml:space="preserve"> </w:t>
      </w:r>
      <w:r>
        <w:t>far”</w:t>
      </w:r>
      <w:r>
        <w:rPr>
          <w:spacing w:val="-5"/>
        </w:rPr>
        <w:t xml:space="preserve"> </w:t>
      </w:r>
      <w:r>
        <w:t>students</w:t>
      </w:r>
      <w:r>
        <w:rPr>
          <w:spacing w:val="-5"/>
        </w:rPr>
        <w:t xml:space="preserve"> </w:t>
      </w:r>
      <w:r>
        <w:t>at</w:t>
      </w:r>
      <w:r>
        <w:rPr>
          <w:spacing w:val="-5"/>
        </w:rPr>
        <w:t xml:space="preserve"> </w:t>
      </w:r>
      <w:r>
        <w:t>BDEA</w:t>
      </w:r>
      <w:r>
        <w:rPr>
          <w:spacing w:val="-5"/>
        </w:rPr>
        <w:t xml:space="preserve"> </w:t>
      </w:r>
      <w:r>
        <w:t>are</w:t>
      </w:r>
      <w:r>
        <w:rPr>
          <w:spacing w:val="-5"/>
        </w:rPr>
        <w:t xml:space="preserve"> </w:t>
      </w:r>
      <w:r>
        <w:t xml:space="preserve">students who are 16-17 years of age and who have very little (or sometimes zero) transcript credits upon entry. These students often struggle to persist through to graduation, as they lose traction when they discover that they still have the bulk of their </w:t>
      </w:r>
      <w:r>
        <w:t>academic roadmap to complete. Many “young and far” students also comprise a subset of another subgroup that we see struggling at our school: those who enter with MAPS scores indicating below a 6th grade level in Math and/or Reading.</w:t>
      </w:r>
    </w:p>
    <w:p w14:paraId="3CC369BB" w14:textId="77777777" w:rsidR="000B5388" w:rsidRDefault="000B5388">
      <w:pPr>
        <w:pStyle w:val="BodyText"/>
      </w:pPr>
    </w:p>
    <w:p w14:paraId="2FBC11F6" w14:textId="77777777" w:rsidR="000B5388" w:rsidRDefault="000B5388">
      <w:pPr>
        <w:pStyle w:val="BodyText"/>
        <w:spacing w:before="3"/>
        <w:rPr>
          <w:sz w:val="18"/>
        </w:rPr>
      </w:pPr>
    </w:p>
    <w:p w14:paraId="5D09DAD7" w14:textId="77777777" w:rsidR="000B5388" w:rsidRDefault="00AE2AE4">
      <w:pPr>
        <w:pStyle w:val="Heading1"/>
        <w:ind w:left="225"/>
      </w:pPr>
      <w:r>
        <w:rPr>
          <w:rFonts w:ascii="MS Gothic" w:hAnsi="MS Gothic"/>
          <w:b w:val="0"/>
          <w:color w:val="2D73B4"/>
        </w:rPr>
        <w:t>→</w:t>
      </w:r>
      <w:r>
        <w:rPr>
          <w:rFonts w:ascii="MS Gothic" w:hAnsi="MS Gothic"/>
          <w:b w:val="0"/>
          <w:color w:val="2D73B4"/>
          <w:spacing w:val="-69"/>
        </w:rPr>
        <w:t xml:space="preserve"> </w:t>
      </w:r>
      <w:r>
        <w:rPr>
          <w:color w:val="2D73B4"/>
        </w:rPr>
        <w:t>Commitment 2: Using</w:t>
      </w:r>
      <w:r>
        <w:rPr>
          <w:color w:val="2D73B4"/>
        </w:rPr>
        <w:t xml:space="preserve"> Evidence-Based Programs to Close Gaps</w:t>
      </w:r>
    </w:p>
    <w:p w14:paraId="5E1D4717" w14:textId="77777777" w:rsidR="000B5388" w:rsidRDefault="00AE2AE4">
      <w:pPr>
        <w:pStyle w:val="Heading2"/>
        <w:spacing w:before="73"/>
        <w:ind w:left="225" w:right="516"/>
      </w:pPr>
      <w:r>
        <w:rPr>
          <w:color w:val="1F3762"/>
        </w:rPr>
        <w:t>What evidence-based programs will your charter school adopt, deepen, or continue to best support the closure of achievement and opportunity gaps? What resources will be allocated to these programs?</w:t>
      </w:r>
    </w:p>
    <w:p w14:paraId="243D2728" w14:textId="77777777" w:rsidR="000B5388" w:rsidRDefault="000B5388">
      <w:pPr>
        <w:pStyle w:val="BodyText"/>
        <w:spacing w:before="4"/>
        <w:rPr>
          <w:b/>
          <w:sz w:val="21"/>
        </w:rPr>
      </w:pPr>
    </w:p>
    <w:p w14:paraId="5913EF4A" w14:textId="77777777" w:rsidR="000B5388" w:rsidRDefault="00AE2AE4">
      <w:pPr>
        <w:pStyle w:val="BodyText"/>
        <w:ind w:left="120" w:right="132"/>
      </w:pPr>
      <w:r>
        <w:t>In School Year 18-19, BDEA created a new 5 Year Strategic Plan to change the way we “do school” and more fully support all learners. Already in its first year of implementation, this strategic planning process has revealed a number of structures across the</w:t>
      </w:r>
      <w:r>
        <w:t xml:space="preserve"> school that we plan to revise or replace. In the interim, BDEA has several programs specifically designed to support students who are struggling to make progress in our competency-based system.</w:t>
      </w:r>
    </w:p>
    <w:p w14:paraId="6CCFC7D7" w14:textId="77777777" w:rsidR="000B5388" w:rsidRDefault="000B5388">
      <w:pPr>
        <w:pStyle w:val="BodyText"/>
        <w:spacing w:before="2"/>
      </w:pPr>
    </w:p>
    <w:p w14:paraId="7A327AC3" w14:textId="77777777" w:rsidR="000B5388" w:rsidRDefault="00AE2AE4">
      <w:pPr>
        <w:pStyle w:val="Heading3"/>
        <w:ind w:left="120"/>
      </w:pPr>
      <w:r>
        <w:t>Evidence-based program #1: Community partnerships for in-sch</w:t>
      </w:r>
      <w:r>
        <w:t>ool enrichment and wraparound services</w:t>
      </w:r>
    </w:p>
    <w:p w14:paraId="7D9C8E30" w14:textId="77777777" w:rsidR="000B5388" w:rsidRDefault="00AE2AE4">
      <w:pPr>
        <w:pStyle w:val="BodyText"/>
        <w:spacing w:before="1"/>
        <w:ind w:left="120" w:right="114"/>
      </w:pPr>
      <w:r>
        <w:t>The Department has selected “community partnerships for in-school enrichment and wraparound services” as one of its evidence-based programs. BDEA agrees that this is a highly effective method for improving student out</w:t>
      </w:r>
      <w:r>
        <w:t xml:space="preserve">comes, as our community partners provide critical services to our students. Many of our students who are “young and far” suffer from mental health concerns, and therefore our partnership with </w:t>
      </w:r>
      <w:proofErr w:type="spellStart"/>
      <w:r>
        <w:t>Wediko</w:t>
      </w:r>
      <w:proofErr w:type="spellEnd"/>
      <w:r>
        <w:t xml:space="preserve"> </w:t>
      </w:r>
      <w:proofErr w:type="spellStart"/>
      <w:r>
        <w:t>Childrens</w:t>
      </w:r>
      <w:proofErr w:type="spellEnd"/>
      <w:r>
        <w:t>’ Services to provide clinical counseling on sit</w:t>
      </w:r>
      <w:r>
        <w:t xml:space="preserve">e is one that continues to make a huge impact. Additionally, as BDEA recognizes students’ needs to </w:t>
      </w:r>
      <w:proofErr w:type="gramStart"/>
      <w:r>
        <w:t>explore</w:t>
      </w:r>
      <w:proofErr w:type="gramEnd"/>
    </w:p>
    <w:p w14:paraId="7A07B14F" w14:textId="77777777" w:rsidR="000B5388" w:rsidRDefault="00AE2AE4">
      <w:pPr>
        <w:pStyle w:val="BodyText"/>
        <w:spacing w:before="1"/>
        <w:ind w:left="120" w:right="896"/>
      </w:pPr>
      <w:r>
        <w:t>non-academic passions such as the arts, physical education, and career exploration, we contract with outside community partners to provide those oppo</w:t>
      </w:r>
      <w:r>
        <w:t>rtunities (BDEA is not allocated an in-house art or PE teacher).</w:t>
      </w:r>
    </w:p>
    <w:p w14:paraId="142A16DE" w14:textId="77777777" w:rsidR="000B5388" w:rsidRDefault="000B5388">
      <w:pPr>
        <w:pStyle w:val="BodyText"/>
        <w:rPr>
          <w:sz w:val="20"/>
        </w:rPr>
      </w:pPr>
    </w:p>
    <w:p w14:paraId="2DBBFD2B" w14:textId="77777777" w:rsidR="000B5388" w:rsidRDefault="000B5388">
      <w:pPr>
        <w:pStyle w:val="BodyText"/>
        <w:spacing w:before="4"/>
        <w:rPr>
          <w:sz w:val="19"/>
        </w:rPr>
      </w:pPr>
    </w:p>
    <w:tbl>
      <w:tblPr>
        <w:tblW w:w="0" w:type="auto"/>
        <w:tblInd w:w="3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0B5388" w14:paraId="3C6AE1D6" w14:textId="77777777">
        <w:trPr>
          <w:trHeight w:hRule="exact" w:val="300"/>
        </w:trPr>
        <w:tc>
          <w:tcPr>
            <w:tcW w:w="3075" w:type="dxa"/>
            <w:shd w:val="clear" w:color="auto" w:fill="D9D9D9"/>
          </w:tcPr>
          <w:p w14:paraId="1FEC2F24" w14:textId="77777777" w:rsidR="000B5388" w:rsidRDefault="00AE2AE4">
            <w:pPr>
              <w:pStyle w:val="TableParagraph"/>
              <w:spacing w:before="0" w:line="234" w:lineRule="exact"/>
              <w:rPr>
                <w:b/>
                <w:sz w:val="20"/>
              </w:rPr>
            </w:pPr>
            <w:r>
              <w:rPr>
                <w:b/>
                <w:sz w:val="20"/>
              </w:rPr>
              <w:t>FY21 budget item</w:t>
            </w:r>
          </w:p>
        </w:tc>
        <w:tc>
          <w:tcPr>
            <w:tcW w:w="1755" w:type="dxa"/>
            <w:shd w:val="clear" w:color="auto" w:fill="D9D9D9"/>
          </w:tcPr>
          <w:p w14:paraId="42D94DB9" w14:textId="77777777" w:rsidR="000B5388" w:rsidRDefault="00AE2AE4">
            <w:pPr>
              <w:pStyle w:val="TableParagraph"/>
              <w:spacing w:before="0" w:line="234" w:lineRule="exact"/>
              <w:rPr>
                <w:b/>
                <w:sz w:val="20"/>
              </w:rPr>
            </w:pPr>
            <w:r>
              <w:rPr>
                <w:b/>
                <w:sz w:val="20"/>
              </w:rPr>
              <w:t>Amount</w:t>
            </w:r>
          </w:p>
        </w:tc>
        <w:tc>
          <w:tcPr>
            <w:tcW w:w="5655" w:type="dxa"/>
            <w:shd w:val="clear" w:color="auto" w:fill="D9D9D9"/>
          </w:tcPr>
          <w:p w14:paraId="25877D4A" w14:textId="77777777" w:rsidR="000B5388" w:rsidRDefault="00AE2AE4">
            <w:pPr>
              <w:pStyle w:val="TableParagraph"/>
              <w:spacing w:before="0" w:line="41" w:lineRule="exact"/>
              <w:ind w:left="1845"/>
              <w:rPr>
                <w:b/>
                <w:sz w:val="12"/>
              </w:rPr>
            </w:pPr>
            <w:r>
              <w:rPr>
                <w:b/>
                <w:sz w:val="12"/>
              </w:rPr>
              <w:t>1</w:t>
            </w:r>
          </w:p>
          <w:p w14:paraId="59DE3382" w14:textId="77777777" w:rsidR="000B5388" w:rsidRDefault="00AE2AE4">
            <w:pPr>
              <w:pStyle w:val="TableParagraph"/>
              <w:spacing w:before="0" w:line="193" w:lineRule="exact"/>
              <w:rPr>
                <w:b/>
                <w:sz w:val="20"/>
              </w:rPr>
            </w:pPr>
            <w:r>
              <w:rPr>
                <w:b/>
                <w:sz w:val="20"/>
              </w:rPr>
              <w:t>Foundation Category</w:t>
            </w:r>
          </w:p>
        </w:tc>
      </w:tr>
      <w:tr w:rsidR="000B5388" w14:paraId="132356BC" w14:textId="77777777">
        <w:trPr>
          <w:trHeight w:hRule="exact" w:val="300"/>
        </w:trPr>
        <w:tc>
          <w:tcPr>
            <w:tcW w:w="3075" w:type="dxa"/>
          </w:tcPr>
          <w:p w14:paraId="6B669FE3" w14:textId="77777777" w:rsidR="000B5388" w:rsidRDefault="00AE2AE4">
            <w:pPr>
              <w:pStyle w:val="TableParagraph"/>
              <w:ind w:left="0"/>
              <w:rPr>
                <w:sz w:val="20"/>
              </w:rPr>
            </w:pPr>
            <w:proofErr w:type="spellStart"/>
            <w:r>
              <w:rPr>
                <w:sz w:val="20"/>
              </w:rPr>
              <w:t>Wediko</w:t>
            </w:r>
            <w:proofErr w:type="spellEnd"/>
            <w:r>
              <w:rPr>
                <w:sz w:val="20"/>
              </w:rPr>
              <w:t xml:space="preserve"> Children’s Services Contract</w:t>
            </w:r>
          </w:p>
        </w:tc>
        <w:tc>
          <w:tcPr>
            <w:tcW w:w="1755" w:type="dxa"/>
          </w:tcPr>
          <w:p w14:paraId="5B10BCCD" w14:textId="77777777" w:rsidR="000B5388" w:rsidRDefault="00AE2AE4">
            <w:pPr>
              <w:pStyle w:val="TableParagraph"/>
              <w:ind w:left="90"/>
              <w:rPr>
                <w:sz w:val="20"/>
              </w:rPr>
            </w:pPr>
            <w:r>
              <w:rPr>
                <w:sz w:val="20"/>
              </w:rPr>
              <w:t>$60,000</w:t>
            </w:r>
          </w:p>
        </w:tc>
        <w:tc>
          <w:tcPr>
            <w:tcW w:w="5655" w:type="dxa"/>
          </w:tcPr>
          <w:p w14:paraId="2C27EFB2" w14:textId="77777777" w:rsidR="000B5388" w:rsidRDefault="00AE2AE4">
            <w:pPr>
              <w:pStyle w:val="TableParagraph"/>
              <w:ind w:left="45"/>
              <w:rPr>
                <w:sz w:val="20"/>
              </w:rPr>
            </w:pPr>
            <w:r>
              <w:rPr>
                <w:sz w:val="20"/>
              </w:rPr>
              <w:t>Other Teaching Services</w:t>
            </w:r>
          </w:p>
        </w:tc>
      </w:tr>
      <w:tr w:rsidR="000B5388" w14:paraId="0C94275D" w14:textId="77777777">
        <w:trPr>
          <w:trHeight w:hRule="exact" w:val="300"/>
        </w:trPr>
        <w:tc>
          <w:tcPr>
            <w:tcW w:w="3075" w:type="dxa"/>
          </w:tcPr>
          <w:p w14:paraId="4DC32052" w14:textId="77777777" w:rsidR="000B5388" w:rsidRDefault="00AE2AE4">
            <w:pPr>
              <w:pStyle w:val="TableParagraph"/>
              <w:ind w:left="0"/>
              <w:rPr>
                <w:sz w:val="20"/>
              </w:rPr>
            </w:pPr>
            <w:r>
              <w:rPr>
                <w:sz w:val="20"/>
              </w:rPr>
              <w:t>Enrichment Contracts</w:t>
            </w:r>
          </w:p>
        </w:tc>
        <w:tc>
          <w:tcPr>
            <w:tcW w:w="1755" w:type="dxa"/>
          </w:tcPr>
          <w:p w14:paraId="51BBC234" w14:textId="77777777" w:rsidR="000B5388" w:rsidRDefault="00AE2AE4">
            <w:pPr>
              <w:pStyle w:val="TableParagraph"/>
              <w:ind w:left="90"/>
              <w:rPr>
                <w:sz w:val="20"/>
              </w:rPr>
            </w:pPr>
            <w:r>
              <w:rPr>
                <w:sz w:val="20"/>
              </w:rPr>
              <w:t>$18,000</w:t>
            </w:r>
          </w:p>
        </w:tc>
        <w:tc>
          <w:tcPr>
            <w:tcW w:w="5655" w:type="dxa"/>
          </w:tcPr>
          <w:p w14:paraId="2B162B9E" w14:textId="77777777" w:rsidR="000B5388" w:rsidRDefault="00AE2AE4">
            <w:pPr>
              <w:pStyle w:val="TableParagraph"/>
              <w:ind w:left="0"/>
              <w:rPr>
                <w:sz w:val="20"/>
              </w:rPr>
            </w:pPr>
            <w:r>
              <w:rPr>
                <w:sz w:val="20"/>
              </w:rPr>
              <w:t>Other Teaching Services</w:t>
            </w:r>
          </w:p>
        </w:tc>
      </w:tr>
    </w:tbl>
    <w:p w14:paraId="2AB6E1E5" w14:textId="5DBF5043" w:rsidR="000B5388" w:rsidRDefault="000B5388">
      <w:pPr>
        <w:pStyle w:val="BodyText"/>
        <w:spacing w:before="10"/>
        <w:rPr>
          <w:sz w:val="23"/>
        </w:rPr>
      </w:pPr>
    </w:p>
    <w:p w14:paraId="4504D021" w14:textId="77777777" w:rsidR="000B5388" w:rsidRDefault="00AE2AE4">
      <w:pPr>
        <w:spacing w:before="139" w:line="240" w:lineRule="exact"/>
        <w:ind w:left="120" w:right="830"/>
        <w:jc w:val="both"/>
        <w:rPr>
          <w:sz w:val="20"/>
        </w:rPr>
      </w:pPr>
      <w:r>
        <w:rPr>
          <w:rFonts w:ascii="Times New Roman"/>
          <w:position w:val="7"/>
          <w:sz w:val="14"/>
        </w:rPr>
        <w:t xml:space="preserve">1 </w:t>
      </w:r>
      <w:r>
        <w:rPr>
          <w:sz w:val="20"/>
        </w:rPr>
        <w:t>The foundation categories are: Administration; Instructional Leadership; Classroom &amp; Specialist Teachers; Other Teaching Services; Professional Development; Instructional Materials, Equipment, and Technology; Guidance and Psych</w:t>
      </w:r>
      <w:r>
        <w:rPr>
          <w:sz w:val="20"/>
        </w:rPr>
        <w:t>ological;</w:t>
      </w:r>
      <w:r>
        <w:rPr>
          <w:spacing w:val="-14"/>
          <w:sz w:val="20"/>
        </w:rPr>
        <w:t xml:space="preserve"> </w:t>
      </w:r>
      <w:r>
        <w:rPr>
          <w:sz w:val="20"/>
        </w:rPr>
        <w:t>Pupil Services; Operations and Maintenance; Employee Benefits/Fixed Charges; and Special Education</w:t>
      </w:r>
      <w:r>
        <w:rPr>
          <w:spacing w:val="-12"/>
          <w:sz w:val="20"/>
        </w:rPr>
        <w:t xml:space="preserve"> </w:t>
      </w:r>
      <w:r>
        <w:rPr>
          <w:sz w:val="20"/>
        </w:rPr>
        <w:t>Tuition.</w:t>
      </w:r>
    </w:p>
    <w:p w14:paraId="64B155D5" w14:textId="77777777" w:rsidR="000B5388" w:rsidRDefault="000B5388">
      <w:pPr>
        <w:spacing w:line="240" w:lineRule="exact"/>
        <w:jc w:val="both"/>
        <w:rPr>
          <w:sz w:val="20"/>
        </w:rPr>
        <w:sectPr w:rsidR="000B5388">
          <w:type w:val="continuous"/>
          <w:pgSz w:w="12240" w:h="15840"/>
          <w:pgMar w:top="1020" w:right="640" w:bottom="280" w:left="600" w:header="720" w:footer="720" w:gutter="0"/>
          <w:cols w:space="720"/>
        </w:sect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55"/>
        <w:gridCol w:w="5655"/>
      </w:tblGrid>
      <w:tr w:rsidR="000B5388" w14:paraId="634F5C40" w14:textId="77777777">
        <w:trPr>
          <w:trHeight w:hRule="exact" w:val="315"/>
        </w:trPr>
        <w:tc>
          <w:tcPr>
            <w:tcW w:w="3075" w:type="dxa"/>
          </w:tcPr>
          <w:p w14:paraId="0236B00A" w14:textId="77777777" w:rsidR="000B5388" w:rsidRDefault="000B5388"/>
        </w:tc>
        <w:tc>
          <w:tcPr>
            <w:tcW w:w="1755" w:type="dxa"/>
          </w:tcPr>
          <w:p w14:paraId="070C1314" w14:textId="77777777" w:rsidR="000B5388" w:rsidRDefault="000B5388"/>
        </w:tc>
        <w:tc>
          <w:tcPr>
            <w:tcW w:w="5655" w:type="dxa"/>
          </w:tcPr>
          <w:p w14:paraId="75449685" w14:textId="77777777" w:rsidR="000B5388" w:rsidRDefault="000B5388"/>
        </w:tc>
      </w:tr>
      <w:tr w:rsidR="000B5388" w14:paraId="183A2866" w14:textId="77777777">
        <w:trPr>
          <w:trHeight w:hRule="exact" w:val="555"/>
        </w:trPr>
        <w:tc>
          <w:tcPr>
            <w:tcW w:w="4830" w:type="dxa"/>
            <w:gridSpan w:val="2"/>
            <w:shd w:val="clear" w:color="auto" w:fill="D9D9D9"/>
          </w:tcPr>
          <w:p w14:paraId="7692DC30" w14:textId="77777777" w:rsidR="000B5388" w:rsidRDefault="00AE2AE4">
            <w:pPr>
              <w:pStyle w:val="TableParagraph"/>
              <w:spacing w:before="0" w:line="234" w:lineRule="exact"/>
              <w:rPr>
                <w:b/>
                <w:sz w:val="20"/>
              </w:rPr>
            </w:pPr>
            <w:r>
              <w:rPr>
                <w:b/>
                <w:sz w:val="20"/>
              </w:rPr>
              <w:t>Evidence-based program identified by the Department:</w:t>
            </w:r>
          </w:p>
        </w:tc>
        <w:tc>
          <w:tcPr>
            <w:tcW w:w="5655" w:type="dxa"/>
          </w:tcPr>
          <w:p w14:paraId="7B160E93" w14:textId="77777777" w:rsidR="000B5388" w:rsidRDefault="00AE2AE4">
            <w:pPr>
              <w:pStyle w:val="TableParagraph"/>
              <w:spacing w:before="0"/>
              <w:ind w:left="0" w:firstLine="99"/>
              <w:rPr>
                <w:b/>
              </w:rPr>
            </w:pPr>
            <w:r>
              <w:rPr>
                <w:b/>
              </w:rPr>
              <w:t>Community partnerships for in-school enrichment and wraparound services</w:t>
            </w:r>
          </w:p>
        </w:tc>
      </w:tr>
      <w:tr w:rsidR="000B5388" w14:paraId="2A656EB8" w14:textId="77777777">
        <w:trPr>
          <w:trHeight w:hRule="exact" w:val="315"/>
        </w:trPr>
        <w:tc>
          <w:tcPr>
            <w:tcW w:w="4830" w:type="dxa"/>
            <w:gridSpan w:val="2"/>
            <w:shd w:val="clear" w:color="auto" w:fill="D9D9D9"/>
          </w:tcPr>
          <w:p w14:paraId="0A2C8270" w14:textId="77777777" w:rsidR="000B5388" w:rsidRDefault="00AE2AE4">
            <w:pPr>
              <w:pStyle w:val="TableParagraph"/>
              <w:rPr>
                <w:b/>
                <w:sz w:val="20"/>
              </w:rPr>
            </w:pPr>
            <w:r>
              <w:rPr>
                <w:b/>
                <w:sz w:val="20"/>
              </w:rPr>
              <w:t>SOA program categories:</w:t>
            </w:r>
          </w:p>
        </w:tc>
        <w:tc>
          <w:tcPr>
            <w:tcW w:w="5655" w:type="dxa"/>
          </w:tcPr>
          <w:p w14:paraId="6894AAB2" w14:textId="77777777" w:rsidR="000B5388" w:rsidRDefault="00AE2AE4">
            <w:pPr>
              <w:pStyle w:val="TableParagraph"/>
              <w:ind w:left="135"/>
              <w:rPr>
                <w:b/>
                <w:sz w:val="20"/>
              </w:rPr>
            </w:pPr>
            <w:r>
              <w:rPr>
                <w:b/>
                <w:sz w:val="20"/>
              </w:rPr>
              <w:t>C</w:t>
            </w:r>
          </w:p>
        </w:tc>
      </w:tr>
    </w:tbl>
    <w:p w14:paraId="10554C95" w14:textId="77777777" w:rsidR="000B5388" w:rsidRDefault="000B5388">
      <w:pPr>
        <w:pStyle w:val="BodyText"/>
        <w:spacing w:before="1"/>
        <w:rPr>
          <w:sz w:val="15"/>
        </w:rPr>
      </w:pPr>
    </w:p>
    <w:p w14:paraId="3367AB66" w14:textId="77777777" w:rsidR="000B5388" w:rsidRDefault="00AE2AE4">
      <w:pPr>
        <w:spacing w:before="56"/>
        <w:ind w:left="100"/>
        <w:rPr>
          <w:b/>
          <w:sz w:val="21"/>
        </w:rPr>
      </w:pPr>
      <w:r>
        <w:rPr>
          <w:b/>
        </w:rPr>
        <w:t xml:space="preserve">Evidence-based program #2: </w:t>
      </w:r>
      <w:r>
        <w:rPr>
          <w:b/>
          <w:sz w:val="21"/>
        </w:rPr>
        <w:t>Increased personnel and services to support holistic student needs (C and D)</w:t>
      </w:r>
    </w:p>
    <w:p w14:paraId="2B273588" w14:textId="77777777" w:rsidR="000B5388" w:rsidRDefault="00AE2AE4">
      <w:pPr>
        <w:pStyle w:val="BodyText"/>
        <w:spacing w:before="1"/>
        <w:ind w:left="100" w:right="132"/>
      </w:pPr>
      <w:r>
        <w:t>BDEA, as a competency-based school, admits students who have widely disparate needs in terms of courses. This makes forming student cohorts very difficult. BDEA places a high valu</w:t>
      </w:r>
      <w:r>
        <w:t>e on relationship building amongst both students and staff;</w:t>
      </w:r>
      <w:r>
        <w:rPr>
          <w:spacing w:val="-4"/>
        </w:rPr>
        <w:t xml:space="preserve"> </w:t>
      </w:r>
      <w:r>
        <w:t>as</w:t>
      </w:r>
      <w:r>
        <w:rPr>
          <w:spacing w:val="-4"/>
        </w:rPr>
        <w:t xml:space="preserve"> </w:t>
      </w:r>
      <w:r>
        <w:t>a</w:t>
      </w:r>
      <w:r>
        <w:rPr>
          <w:spacing w:val="-4"/>
        </w:rPr>
        <w:t xml:space="preserve"> </w:t>
      </w:r>
      <w:r>
        <w:t>result,</w:t>
      </w:r>
      <w:r>
        <w:rPr>
          <w:spacing w:val="-4"/>
        </w:rPr>
        <w:t xml:space="preserve"> </w:t>
      </w:r>
      <w:r>
        <w:t>we</w:t>
      </w:r>
      <w:r>
        <w:rPr>
          <w:spacing w:val="-4"/>
        </w:rPr>
        <w:t xml:space="preserve"> </w:t>
      </w:r>
      <w:r>
        <w:t>developed</w:t>
      </w:r>
      <w:r>
        <w:rPr>
          <w:spacing w:val="-4"/>
        </w:rPr>
        <w:t xml:space="preserve"> </w:t>
      </w:r>
      <w:r>
        <w:t>a</w:t>
      </w:r>
      <w:r>
        <w:rPr>
          <w:spacing w:val="-4"/>
        </w:rPr>
        <w:t xml:space="preserve"> </w:t>
      </w:r>
      <w:r>
        <w:t>Seminar</w:t>
      </w:r>
      <w:r>
        <w:rPr>
          <w:spacing w:val="-4"/>
        </w:rPr>
        <w:t xml:space="preserve"> </w:t>
      </w:r>
      <w:r>
        <w:t>Model,</w:t>
      </w:r>
      <w:r>
        <w:rPr>
          <w:spacing w:val="-4"/>
        </w:rPr>
        <w:t xml:space="preserve"> </w:t>
      </w:r>
      <w:r>
        <w:t>which</w:t>
      </w:r>
      <w:r>
        <w:rPr>
          <w:spacing w:val="-4"/>
        </w:rPr>
        <w:t xml:space="preserve"> </w:t>
      </w:r>
      <w:r>
        <w:t>ensures</w:t>
      </w:r>
      <w:r>
        <w:rPr>
          <w:spacing w:val="-4"/>
        </w:rPr>
        <w:t xml:space="preserve"> </w:t>
      </w:r>
      <w:r>
        <w:t>that</w:t>
      </w:r>
      <w:r>
        <w:rPr>
          <w:spacing w:val="-4"/>
        </w:rPr>
        <w:t xml:space="preserve"> </w:t>
      </w:r>
      <w:r>
        <w:t>the</w:t>
      </w:r>
      <w:r>
        <w:rPr>
          <w:spacing w:val="-4"/>
        </w:rPr>
        <w:t xml:space="preserve"> </w:t>
      </w:r>
      <w:r>
        <w:t>majority</w:t>
      </w:r>
      <w:r>
        <w:rPr>
          <w:spacing w:val="-4"/>
        </w:rPr>
        <w:t xml:space="preserve"> </w:t>
      </w:r>
      <w:r>
        <w:t>of</w:t>
      </w:r>
      <w:r>
        <w:rPr>
          <w:spacing w:val="-4"/>
        </w:rPr>
        <w:t xml:space="preserve"> </w:t>
      </w:r>
      <w:r>
        <w:t>students</w:t>
      </w:r>
      <w:r>
        <w:rPr>
          <w:spacing w:val="-4"/>
        </w:rPr>
        <w:t xml:space="preserve"> </w:t>
      </w:r>
      <w:r>
        <w:t>take</w:t>
      </w:r>
      <w:r>
        <w:rPr>
          <w:spacing w:val="-4"/>
        </w:rPr>
        <w:t xml:space="preserve"> </w:t>
      </w:r>
      <w:r>
        <w:t>courses</w:t>
      </w:r>
      <w:r>
        <w:rPr>
          <w:spacing w:val="-4"/>
        </w:rPr>
        <w:t xml:space="preserve"> </w:t>
      </w:r>
      <w:r>
        <w:t>together</w:t>
      </w:r>
      <w:r>
        <w:rPr>
          <w:spacing w:val="-4"/>
        </w:rPr>
        <w:t xml:space="preserve"> </w:t>
      </w:r>
      <w:r>
        <w:t>with the same teachers in their first Trimester (and potentially beyond). Seminar teachers meet regularly to discuss the unique needs of new BDEA students, from executive functioning support, to SEL, to academic interventions. Frequently, students who scor</w:t>
      </w:r>
      <w:r>
        <w:t>e low on the MAPS test also received additional Math or Literacy intervention blocks, which are built into their</w:t>
      </w:r>
      <w:r>
        <w:rPr>
          <w:spacing w:val="-13"/>
        </w:rPr>
        <w:t xml:space="preserve"> </w:t>
      </w:r>
      <w:r>
        <w:t>schedules.</w:t>
      </w:r>
    </w:p>
    <w:p w14:paraId="1A3D7534" w14:textId="77777777" w:rsidR="000B5388" w:rsidRDefault="000B5388">
      <w:pPr>
        <w:pStyle w:val="BodyText"/>
        <w:spacing w:before="2"/>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0B5388" w14:paraId="69D50272" w14:textId="77777777">
        <w:trPr>
          <w:trHeight w:hRule="exact" w:val="270"/>
        </w:trPr>
        <w:tc>
          <w:tcPr>
            <w:tcW w:w="3075" w:type="dxa"/>
            <w:shd w:val="clear" w:color="auto" w:fill="D9D9D9"/>
          </w:tcPr>
          <w:p w14:paraId="42C61AB7" w14:textId="77777777" w:rsidR="000B5388" w:rsidRDefault="00AE2AE4">
            <w:pPr>
              <w:pStyle w:val="TableParagraph"/>
              <w:spacing w:before="0" w:line="234" w:lineRule="exact"/>
              <w:rPr>
                <w:b/>
                <w:sz w:val="20"/>
              </w:rPr>
            </w:pPr>
            <w:r>
              <w:rPr>
                <w:b/>
                <w:sz w:val="20"/>
              </w:rPr>
              <w:t>FY21 budget item</w:t>
            </w:r>
          </w:p>
        </w:tc>
        <w:tc>
          <w:tcPr>
            <w:tcW w:w="1710" w:type="dxa"/>
            <w:shd w:val="clear" w:color="auto" w:fill="D9D9D9"/>
          </w:tcPr>
          <w:p w14:paraId="44FBBB9E" w14:textId="77777777" w:rsidR="000B5388" w:rsidRDefault="00AE2AE4">
            <w:pPr>
              <w:pStyle w:val="TableParagraph"/>
              <w:spacing w:before="0" w:line="234" w:lineRule="exact"/>
              <w:rPr>
                <w:b/>
                <w:sz w:val="20"/>
              </w:rPr>
            </w:pPr>
            <w:r>
              <w:rPr>
                <w:b/>
                <w:sz w:val="20"/>
              </w:rPr>
              <w:t>Amount</w:t>
            </w:r>
          </w:p>
        </w:tc>
        <w:tc>
          <w:tcPr>
            <w:tcW w:w="5685" w:type="dxa"/>
            <w:shd w:val="clear" w:color="auto" w:fill="D9D9D9"/>
          </w:tcPr>
          <w:p w14:paraId="08596DC6" w14:textId="77777777" w:rsidR="000B5388" w:rsidRDefault="00AE2AE4">
            <w:pPr>
              <w:pStyle w:val="TableParagraph"/>
              <w:spacing w:before="0" w:line="234" w:lineRule="exact"/>
              <w:rPr>
                <w:b/>
                <w:sz w:val="20"/>
              </w:rPr>
            </w:pPr>
            <w:r>
              <w:rPr>
                <w:b/>
                <w:sz w:val="20"/>
              </w:rPr>
              <w:t>Foundation Category</w:t>
            </w:r>
          </w:p>
        </w:tc>
      </w:tr>
      <w:tr w:rsidR="000B5388" w14:paraId="3055AF0D" w14:textId="77777777">
        <w:trPr>
          <w:trHeight w:hRule="exact" w:val="270"/>
        </w:trPr>
        <w:tc>
          <w:tcPr>
            <w:tcW w:w="3075" w:type="dxa"/>
          </w:tcPr>
          <w:p w14:paraId="2BCBAE20" w14:textId="77777777" w:rsidR="000B5388" w:rsidRDefault="00AE2AE4">
            <w:pPr>
              <w:pStyle w:val="TableParagraph"/>
              <w:ind w:left="0"/>
              <w:rPr>
                <w:sz w:val="20"/>
              </w:rPr>
            </w:pPr>
            <w:r>
              <w:rPr>
                <w:sz w:val="20"/>
              </w:rPr>
              <w:t>Seminar Teacher Stipends</w:t>
            </w:r>
          </w:p>
        </w:tc>
        <w:tc>
          <w:tcPr>
            <w:tcW w:w="1710" w:type="dxa"/>
          </w:tcPr>
          <w:p w14:paraId="3FE3CBE1" w14:textId="77777777" w:rsidR="000B5388" w:rsidRDefault="00AE2AE4">
            <w:pPr>
              <w:pStyle w:val="TableParagraph"/>
              <w:ind w:left="45"/>
              <w:rPr>
                <w:sz w:val="20"/>
              </w:rPr>
            </w:pPr>
            <w:r>
              <w:rPr>
                <w:sz w:val="20"/>
              </w:rPr>
              <w:t>$3,000</w:t>
            </w:r>
          </w:p>
        </w:tc>
        <w:tc>
          <w:tcPr>
            <w:tcW w:w="5685" w:type="dxa"/>
          </w:tcPr>
          <w:p w14:paraId="211150CE" w14:textId="77777777" w:rsidR="000B5388" w:rsidRDefault="00AE2AE4">
            <w:pPr>
              <w:pStyle w:val="TableParagraph"/>
              <w:ind w:left="90"/>
              <w:rPr>
                <w:sz w:val="20"/>
              </w:rPr>
            </w:pPr>
            <w:r>
              <w:rPr>
                <w:sz w:val="20"/>
              </w:rPr>
              <w:t>Classroom &amp; Specialist Teachers</w:t>
            </w:r>
          </w:p>
        </w:tc>
      </w:tr>
      <w:tr w:rsidR="000B5388" w14:paraId="635B06BD" w14:textId="77777777">
        <w:trPr>
          <w:trHeight w:hRule="exact" w:val="495"/>
        </w:trPr>
        <w:tc>
          <w:tcPr>
            <w:tcW w:w="3075" w:type="dxa"/>
          </w:tcPr>
          <w:p w14:paraId="622952BF" w14:textId="77777777" w:rsidR="000B5388" w:rsidRDefault="00AE2AE4">
            <w:pPr>
              <w:pStyle w:val="TableParagraph"/>
              <w:spacing w:before="3" w:line="240" w:lineRule="exact"/>
              <w:ind w:left="0" w:right="276" w:firstLine="45"/>
              <w:rPr>
                <w:sz w:val="20"/>
              </w:rPr>
            </w:pPr>
            <w:r>
              <w:rPr>
                <w:sz w:val="20"/>
              </w:rPr>
              <w:t>Math and Literacy Interventionist Salaries</w:t>
            </w:r>
          </w:p>
        </w:tc>
        <w:tc>
          <w:tcPr>
            <w:tcW w:w="1710" w:type="dxa"/>
          </w:tcPr>
          <w:p w14:paraId="66585F19" w14:textId="77777777" w:rsidR="000B5388" w:rsidRDefault="00AE2AE4">
            <w:pPr>
              <w:pStyle w:val="TableParagraph"/>
              <w:ind w:left="45"/>
              <w:rPr>
                <w:sz w:val="20"/>
              </w:rPr>
            </w:pPr>
            <w:r>
              <w:rPr>
                <w:sz w:val="20"/>
              </w:rPr>
              <w:t>$180,000</w:t>
            </w:r>
          </w:p>
        </w:tc>
        <w:tc>
          <w:tcPr>
            <w:tcW w:w="5685" w:type="dxa"/>
          </w:tcPr>
          <w:p w14:paraId="674529A1" w14:textId="77777777" w:rsidR="000B5388" w:rsidRDefault="00AE2AE4">
            <w:pPr>
              <w:pStyle w:val="TableParagraph"/>
              <w:ind w:left="45"/>
              <w:rPr>
                <w:sz w:val="20"/>
              </w:rPr>
            </w:pPr>
            <w:r>
              <w:rPr>
                <w:sz w:val="20"/>
              </w:rPr>
              <w:t>Classroom &amp; Specialist Teachers</w:t>
            </w:r>
          </w:p>
        </w:tc>
      </w:tr>
      <w:tr w:rsidR="000B5388" w14:paraId="6059F25E" w14:textId="77777777">
        <w:trPr>
          <w:trHeight w:hRule="exact" w:val="270"/>
        </w:trPr>
        <w:tc>
          <w:tcPr>
            <w:tcW w:w="3075" w:type="dxa"/>
          </w:tcPr>
          <w:p w14:paraId="361E672A" w14:textId="77777777" w:rsidR="000B5388" w:rsidRDefault="000B5388"/>
        </w:tc>
        <w:tc>
          <w:tcPr>
            <w:tcW w:w="1710" w:type="dxa"/>
          </w:tcPr>
          <w:p w14:paraId="47687C51" w14:textId="77777777" w:rsidR="000B5388" w:rsidRDefault="000B5388"/>
        </w:tc>
        <w:tc>
          <w:tcPr>
            <w:tcW w:w="5685" w:type="dxa"/>
          </w:tcPr>
          <w:p w14:paraId="0E7602E6" w14:textId="77777777" w:rsidR="000B5388" w:rsidRDefault="000B5388"/>
        </w:tc>
      </w:tr>
      <w:tr w:rsidR="000B5388" w14:paraId="6384B8EC" w14:textId="77777777">
        <w:trPr>
          <w:trHeight w:hRule="exact" w:val="555"/>
        </w:trPr>
        <w:tc>
          <w:tcPr>
            <w:tcW w:w="4785" w:type="dxa"/>
            <w:gridSpan w:val="2"/>
            <w:shd w:val="clear" w:color="auto" w:fill="D9D9D9"/>
          </w:tcPr>
          <w:p w14:paraId="75B3DE8E" w14:textId="77777777" w:rsidR="000B5388" w:rsidRDefault="00AE2AE4">
            <w:pPr>
              <w:pStyle w:val="TableParagraph"/>
              <w:spacing w:before="0" w:line="234" w:lineRule="exact"/>
              <w:rPr>
                <w:b/>
                <w:sz w:val="20"/>
              </w:rPr>
            </w:pPr>
            <w:r>
              <w:rPr>
                <w:b/>
                <w:sz w:val="20"/>
              </w:rPr>
              <w:t>Evidence-based program identified by the Department:</w:t>
            </w:r>
          </w:p>
        </w:tc>
        <w:tc>
          <w:tcPr>
            <w:tcW w:w="5685" w:type="dxa"/>
          </w:tcPr>
          <w:p w14:paraId="106DE8B2" w14:textId="77777777" w:rsidR="000B5388" w:rsidRDefault="00AE2AE4">
            <w:pPr>
              <w:pStyle w:val="TableParagraph"/>
              <w:spacing w:before="0" w:line="252" w:lineRule="auto"/>
              <w:ind w:left="0" w:right="325" w:firstLine="90"/>
              <w:rPr>
                <w:b/>
                <w:sz w:val="21"/>
              </w:rPr>
            </w:pPr>
            <w:r>
              <w:rPr>
                <w:b/>
                <w:sz w:val="21"/>
              </w:rPr>
              <w:t>Increased personnel and services to support holistic student needs</w:t>
            </w:r>
          </w:p>
        </w:tc>
      </w:tr>
      <w:tr w:rsidR="000B5388" w14:paraId="1392D1CD" w14:textId="77777777">
        <w:trPr>
          <w:trHeight w:hRule="exact" w:val="270"/>
        </w:trPr>
        <w:tc>
          <w:tcPr>
            <w:tcW w:w="4785" w:type="dxa"/>
            <w:gridSpan w:val="2"/>
            <w:shd w:val="clear" w:color="auto" w:fill="D9D9D9"/>
          </w:tcPr>
          <w:p w14:paraId="75B721C7" w14:textId="77777777" w:rsidR="000B5388" w:rsidRDefault="00AE2AE4">
            <w:pPr>
              <w:pStyle w:val="TableParagraph"/>
              <w:rPr>
                <w:b/>
                <w:sz w:val="20"/>
              </w:rPr>
            </w:pPr>
            <w:r>
              <w:rPr>
                <w:b/>
                <w:sz w:val="20"/>
              </w:rPr>
              <w:t>SOA program categories:</w:t>
            </w:r>
          </w:p>
        </w:tc>
        <w:tc>
          <w:tcPr>
            <w:tcW w:w="5685" w:type="dxa"/>
          </w:tcPr>
          <w:p w14:paraId="0D97CCA7" w14:textId="77777777" w:rsidR="000B5388" w:rsidRDefault="00AE2AE4">
            <w:pPr>
              <w:pStyle w:val="TableParagraph"/>
              <w:ind w:left="45"/>
              <w:rPr>
                <w:b/>
                <w:sz w:val="20"/>
              </w:rPr>
            </w:pPr>
            <w:r>
              <w:rPr>
                <w:b/>
                <w:sz w:val="20"/>
              </w:rPr>
              <w:t>C, D</w:t>
            </w:r>
          </w:p>
        </w:tc>
      </w:tr>
    </w:tbl>
    <w:p w14:paraId="0287629E" w14:textId="77777777" w:rsidR="000B5388" w:rsidRDefault="000B5388">
      <w:pPr>
        <w:pStyle w:val="BodyText"/>
        <w:spacing w:before="6"/>
      </w:pPr>
    </w:p>
    <w:p w14:paraId="1EDF0345" w14:textId="77777777" w:rsidR="000B5388" w:rsidRDefault="00AE2AE4">
      <w:pPr>
        <w:spacing w:line="256" w:lineRule="exact"/>
        <w:ind w:left="100" w:right="516"/>
        <w:rPr>
          <w:b/>
          <w:sz w:val="21"/>
        </w:rPr>
      </w:pPr>
      <w:r>
        <w:rPr>
          <w:b/>
        </w:rPr>
        <w:t xml:space="preserve">Evidence-based program #3: </w:t>
      </w:r>
      <w:r>
        <w:rPr>
          <w:b/>
          <w:sz w:val="21"/>
        </w:rPr>
        <w:t>Expanded access to career-technical education, including “After Dark” district-vocational partnerships and innovation pathways reflecting local labor market priorities (I)</w:t>
      </w:r>
    </w:p>
    <w:p w14:paraId="6C8D2690" w14:textId="77777777" w:rsidR="000B5388" w:rsidRDefault="000B5388">
      <w:pPr>
        <w:pStyle w:val="BodyText"/>
        <w:spacing w:before="10"/>
        <w:rPr>
          <w:b/>
        </w:rPr>
      </w:pPr>
    </w:p>
    <w:p w14:paraId="7E0D5181" w14:textId="77777777" w:rsidR="000B5388" w:rsidRDefault="00AE2AE4">
      <w:pPr>
        <w:pStyle w:val="BodyText"/>
        <w:ind w:left="100" w:right="120"/>
      </w:pPr>
      <w:r>
        <w:t xml:space="preserve">In SY17-18, BDEA received funding from the Barr Foundation to launch a program for our young men of color who were experiencing </w:t>
      </w:r>
      <w:proofErr w:type="gramStart"/>
      <w:r>
        <w:t>less</w:t>
      </w:r>
      <w:proofErr w:type="gramEnd"/>
      <w:r>
        <w:t xml:space="preserve"> positive outcomes at our flagship school. As members of the program design team, students expressed a desire for more relev</w:t>
      </w:r>
      <w:r>
        <w:t xml:space="preserve">ant, work-based learning opportunities. To that end, BDEA 2.0 (as the program is now dubbed) includes a strong focus on internships, mentorships, and dual enrollment opportunities. Our intention is to leverage our learnings at BDEA 2.0 to create a similar </w:t>
      </w:r>
      <w:r>
        <w:t>program at our flagship school so that all students have access to high quality work-based learning.</w:t>
      </w:r>
    </w:p>
    <w:p w14:paraId="5FFCB0FB" w14:textId="77777777" w:rsidR="000B5388" w:rsidRDefault="000B5388">
      <w:pPr>
        <w:pStyle w:val="BodyText"/>
        <w:rPr>
          <w:sz w:val="20"/>
        </w:rPr>
      </w:pPr>
    </w:p>
    <w:p w14:paraId="7C1E7568" w14:textId="77777777" w:rsidR="000B5388" w:rsidRDefault="000B5388">
      <w:pPr>
        <w:pStyle w:val="BodyText"/>
        <w:spacing w:before="3"/>
        <w:rPr>
          <w:sz w:val="24"/>
        </w:rPr>
      </w:pPr>
    </w:p>
    <w:tbl>
      <w:tblPr>
        <w:tblW w:w="0" w:type="auto"/>
        <w:tblInd w:w="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1710"/>
        <w:gridCol w:w="5685"/>
      </w:tblGrid>
      <w:tr w:rsidR="000B5388" w14:paraId="79882F5F" w14:textId="77777777">
        <w:trPr>
          <w:trHeight w:hRule="exact" w:val="270"/>
        </w:trPr>
        <w:tc>
          <w:tcPr>
            <w:tcW w:w="3075" w:type="dxa"/>
            <w:shd w:val="clear" w:color="auto" w:fill="D9D9D9"/>
          </w:tcPr>
          <w:p w14:paraId="378B0A06" w14:textId="77777777" w:rsidR="000B5388" w:rsidRDefault="00AE2AE4">
            <w:pPr>
              <w:pStyle w:val="TableParagraph"/>
              <w:spacing w:before="0" w:line="234" w:lineRule="exact"/>
              <w:rPr>
                <w:b/>
                <w:sz w:val="20"/>
              </w:rPr>
            </w:pPr>
            <w:r>
              <w:rPr>
                <w:b/>
                <w:sz w:val="20"/>
              </w:rPr>
              <w:t>FY21 budget item</w:t>
            </w:r>
          </w:p>
        </w:tc>
        <w:tc>
          <w:tcPr>
            <w:tcW w:w="1710" w:type="dxa"/>
            <w:shd w:val="clear" w:color="auto" w:fill="D9D9D9"/>
          </w:tcPr>
          <w:p w14:paraId="6C0C49BD" w14:textId="77777777" w:rsidR="000B5388" w:rsidRDefault="00AE2AE4">
            <w:pPr>
              <w:pStyle w:val="TableParagraph"/>
              <w:spacing w:before="0" w:line="234" w:lineRule="exact"/>
              <w:rPr>
                <w:b/>
                <w:sz w:val="20"/>
              </w:rPr>
            </w:pPr>
            <w:r>
              <w:rPr>
                <w:b/>
                <w:sz w:val="20"/>
              </w:rPr>
              <w:t>Amount</w:t>
            </w:r>
          </w:p>
        </w:tc>
        <w:tc>
          <w:tcPr>
            <w:tcW w:w="5685" w:type="dxa"/>
            <w:shd w:val="clear" w:color="auto" w:fill="D9D9D9"/>
          </w:tcPr>
          <w:p w14:paraId="2E75D564" w14:textId="77777777" w:rsidR="000B5388" w:rsidRDefault="00AE2AE4">
            <w:pPr>
              <w:pStyle w:val="TableParagraph"/>
              <w:spacing w:before="0" w:line="234" w:lineRule="exact"/>
              <w:rPr>
                <w:b/>
                <w:sz w:val="20"/>
              </w:rPr>
            </w:pPr>
            <w:r>
              <w:rPr>
                <w:b/>
                <w:sz w:val="20"/>
              </w:rPr>
              <w:t>Foundation Category</w:t>
            </w:r>
          </w:p>
        </w:tc>
      </w:tr>
      <w:tr w:rsidR="000B5388" w14:paraId="54D3DB14" w14:textId="77777777">
        <w:trPr>
          <w:trHeight w:hRule="exact" w:val="270"/>
        </w:trPr>
        <w:tc>
          <w:tcPr>
            <w:tcW w:w="3075" w:type="dxa"/>
          </w:tcPr>
          <w:p w14:paraId="788E4BBD" w14:textId="77777777" w:rsidR="000B5388" w:rsidRDefault="00AE2AE4">
            <w:pPr>
              <w:pStyle w:val="TableParagraph"/>
              <w:ind w:left="45"/>
              <w:rPr>
                <w:sz w:val="20"/>
              </w:rPr>
            </w:pPr>
            <w:r>
              <w:rPr>
                <w:sz w:val="20"/>
              </w:rPr>
              <w:t>Pathway Coordinator Salary</w:t>
            </w:r>
          </w:p>
        </w:tc>
        <w:tc>
          <w:tcPr>
            <w:tcW w:w="1710" w:type="dxa"/>
          </w:tcPr>
          <w:p w14:paraId="05FC9829" w14:textId="77777777" w:rsidR="000B5388" w:rsidRDefault="00AE2AE4">
            <w:pPr>
              <w:pStyle w:val="TableParagraph"/>
              <w:ind w:left="90"/>
              <w:rPr>
                <w:sz w:val="20"/>
              </w:rPr>
            </w:pPr>
            <w:r>
              <w:rPr>
                <w:sz w:val="20"/>
              </w:rPr>
              <w:t>$75,000</w:t>
            </w:r>
          </w:p>
        </w:tc>
        <w:tc>
          <w:tcPr>
            <w:tcW w:w="5685" w:type="dxa"/>
          </w:tcPr>
          <w:p w14:paraId="4666122B" w14:textId="77777777" w:rsidR="000B5388" w:rsidRDefault="00AE2AE4">
            <w:pPr>
              <w:pStyle w:val="TableParagraph"/>
              <w:ind w:left="90"/>
              <w:rPr>
                <w:sz w:val="20"/>
              </w:rPr>
            </w:pPr>
            <w:r>
              <w:rPr>
                <w:sz w:val="20"/>
              </w:rPr>
              <w:t>Other Teaching Services</w:t>
            </w:r>
          </w:p>
        </w:tc>
      </w:tr>
      <w:tr w:rsidR="000B5388" w14:paraId="070726B6" w14:textId="77777777">
        <w:trPr>
          <w:trHeight w:hRule="exact" w:val="270"/>
        </w:trPr>
        <w:tc>
          <w:tcPr>
            <w:tcW w:w="3075" w:type="dxa"/>
          </w:tcPr>
          <w:p w14:paraId="5E8877D7" w14:textId="77777777" w:rsidR="000B5388" w:rsidRDefault="00AE2AE4">
            <w:pPr>
              <w:pStyle w:val="TableParagraph"/>
              <w:ind w:left="45"/>
              <w:rPr>
                <w:sz w:val="20"/>
              </w:rPr>
            </w:pPr>
            <w:r>
              <w:rPr>
                <w:sz w:val="20"/>
              </w:rPr>
              <w:t>CFC Stipend</w:t>
            </w:r>
          </w:p>
        </w:tc>
        <w:tc>
          <w:tcPr>
            <w:tcW w:w="1710" w:type="dxa"/>
          </w:tcPr>
          <w:p w14:paraId="346A4A53" w14:textId="77777777" w:rsidR="000B5388" w:rsidRDefault="00AE2AE4">
            <w:pPr>
              <w:pStyle w:val="TableParagraph"/>
              <w:ind w:left="90"/>
              <w:rPr>
                <w:sz w:val="20"/>
              </w:rPr>
            </w:pPr>
            <w:r>
              <w:rPr>
                <w:sz w:val="20"/>
              </w:rPr>
              <w:t>$3,000</w:t>
            </w:r>
          </w:p>
        </w:tc>
        <w:tc>
          <w:tcPr>
            <w:tcW w:w="5685" w:type="dxa"/>
          </w:tcPr>
          <w:p w14:paraId="6CB2161C" w14:textId="77777777" w:rsidR="000B5388" w:rsidRDefault="00AE2AE4">
            <w:pPr>
              <w:pStyle w:val="TableParagraph"/>
              <w:ind w:left="45"/>
              <w:rPr>
                <w:sz w:val="20"/>
              </w:rPr>
            </w:pPr>
            <w:r>
              <w:rPr>
                <w:sz w:val="20"/>
              </w:rPr>
              <w:t>Other Teaching Services</w:t>
            </w:r>
          </w:p>
        </w:tc>
      </w:tr>
      <w:tr w:rsidR="000B5388" w14:paraId="2D3586E1" w14:textId="77777777">
        <w:trPr>
          <w:trHeight w:hRule="exact" w:val="270"/>
        </w:trPr>
        <w:tc>
          <w:tcPr>
            <w:tcW w:w="3075" w:type="dxa"/>
          </w:tcPr>
          <w:p w14:paraId="3864D561" w14:textId="77777777" w:rsidR="000B5388" w:rsidRDefault="000B5388"/>
        </w:tc>
        <w:tc>
          <w:tcPr>
            <w:tcW w:w="1710" w:type="dxa"/>
          </w:tcPr>
          <w:p w14:paraId="0F5ACC19" w14:textId="77777777" w:rsidR="000B5388" w:rsidRDefault="000B5388"/>
        </w:tc>
        <w:tc>
          <w:tcPr>
            <w:tcW w:w="5685" w:type="dxa"/>
          </w:tcPr>
          <w:p w14:paraId="2954971A" w14:textId="77777777" w:rsidR="000B5388" w:rsidRDefault="000B5388"/>
        </w:tc>
      </w:tr>
      <w:tr w:rsidR="000B5388" w14:paraId="58B822A8" w14:textId="77777777">
        <w:trPr>
          <w:trHeight w:hRule="exact" w:val="1290"/>
        </w:trPr>
        <w:tc>
          <w:tcPr>
            <w:tcW w:w="4785" w:type="dxa"/>
            <w:gridSpan w:val="2"/>
            <w:shd w:val="clear" w:color="auto" w:fill="D9D9D9"/>
          </w:tcPr>
          <w:p w14:paraId="798435AF" w14:textId="77777777" w:rsidR="000B5388" w:rsidRDefault="00AE2AE4">
            <w:pPr>
              <w:pStyle w:val="TableParagraph"/>
              <w:spacing w:before="0" w:line="234" w:lineRule="exact"/>
              <w:rPr>
                <w:b/>
                <w:sz w:val="20"/>
              </w:rPr>
            </w:pPr>
            <w:r>
              <w:rPr>
                <w:b/>
                <w:sz w:val="20"/>
              </w:rPr>
              <w:t>Evidence-based program identified by the Department:</w:t>
            </w:r>
          </w:p>
        </w:tc>
        <w:tc>
          <w:tcPr>
            <w:tcW w:w="5685" w:type="dxa"/>
          </w:tcPr>
          <w:p w14:paraId="600C7382" w14:textId="77777777" w:rsidR="000B5388" w:rsidRDefault="00AE2AE4">
            <w:pPr>
              <w:pStyle w:val="TableParagraph"/>
              <w:spacing w:before="0" w:line="266" w:lineRule="auto"/>
              <w:ind w:left="0" w:right="169" w:firstLine="47"/>
              <w:rPr>
                <w:sz w:val="21"/>
              </w:rPr>
            </w:pPr>
            <w:r>
              <w:rPr>
                <w:sz w:val="21"/>
              </w:rPr>
              <w:t>Expanded access to career-technical education, including “After Dark” district-vocational partnerships and innovation pathways reflecting local labor market priorities</w:t>
            </w:r>
          </w:p>
        </w:tc>
      </w:tr>
      <w:tr w:rsidR="000B5388" w14:paraId="77F1A1C6" w14:textId="77777777">
        <w:trPr>
          <w:trHeight w:hRule="exact" w:val="270"/>
        </w:trPr>
        <w:tc>
          <w:tcPr>
            <w:tcW w:w="4785" w:type="dxa"/>
            <w:gridSpan w:val="2"/>
            <w:shd w:val="clear" w:color="auto" w:fill="D9D9D9"/>
          </w:tcPr>
          <w:p w14:paraId="2B167E78" w14:textId="77777777" w:rsidR="000B5388" w:rsidRDefault="00AE2AE4">
            <w:pPr>
              <w:pStyle w:val="TableParagraph"/>
              <w:rPr>
                <w:b/>
                <w:sz w:val="20"/>
              </w:rPr>
            </w:pPr>
            <w:r>
              <w:rPr>
                <w:b/>
                <w:sz w:val="20"/>
              </w:rPr>
              <w:t>SOA program categories:</w:t>
            </w:r>
          </w:p>
        </w:tc>
        <w:tc>
          <w:tcPr>
            <w:tcW w:w="5685" w:type="dxa"/>
          </w:tcPr>
          <w:p w14:paraId="18FE899A" w14:textId="77777777" w:rsidR="000B5388" w:rsidRDefault="00AE2AE4">
            <w:pPr>
              <w:pStyle w:val="TableParagraph"/>
              <w:ind w:left="90"/>
              <w:rPr>
                <w:b/>
                <w:sz w:val="20"/>
              </w:rPr>
            </w:pPr>
            <w:r>
              <w:rPr>
                <w:b/>
                <w:sz w:val="20"/>
              </w:rPr>
              <w:t>I</w:t>
            </w:r>
          </w:p>
        </w:tc>
      </w:tr>
    </w:tbl>
    <w:p w14:paraId="0BD8180D" w14:textId="77777777" w:rsidR="000B5388" w:rsidRDefault="000B5388">
      <w:pPr>
        <w:pStyle w:val="BodyText"/>
        <w:spacing w:before="3"/>
        <w:rPr>
          <w:sz w:val="24"/>
        </w:rPr>
      </w:pPr>
    </w:p>
    <w:p w14:paraId="7C1F6C95" w14:textId="77777777" w:rsidR="000B5388" w:rsidRDefault="00AE2AE4">
      <w:pPr>
        <w:pStyle w:val="Heading1"/>
      </w:pPr>
      <w:r>
        <w:rPr>
          <w:rFonts w:ascii="MS Gothic" w:hAnsi="MS Gothic"/>
          <w:b w:val="0"/>
          <w:color w:val="2D73B4"/>
        </w:rPr>
        <w:t>→</w:t>
      </w:r>
      <w:r>
        <w:rPr>
          <w:rFonts w:ascii="MS Gothic" w:hAnsi="MS Gothic"/>
          <w:b w:val="0"/>
          <w:color w:val="2D73B4"/>
          <w:spacing w:val="-73"/>
        </w:rPr>
        <w:t xml:space="preserve"> </w:t>
      </w:r>
      <w:r>
        <w:rPr>
          <w:color w:val="2D73B4"/>
        </w:rPr>
        <w:t>Commitment 3: Monitoring Success with Outcome Metrics and Targets</w:t>
      </w:r>
    </w:p>
    <w:p w14:paraId="5C95835E" w14:textId="77777777" w:rsidR="000B5388" w:rsidRDefault="00AE2AE4">
      <w:pPr>
        <w:pStyle w:val="Heading2"/>
        <w:spacing w:before="164"/>
      </w:pPr>
      <w:r>
        <w:rPr>
          <w:color w:val="1F3762"/>
        </w:rPr>
        <w:t>What metrics will your charter school use to monitor success in reducing disparities in achievement among student subgroups? Select from the list of Department metrics or provide your own.</w:t>
      </w:r>
    </w:p>
    <w:p w14:paraId="6EDD9512" w14:textId="77777777" w:rsidR="000B5388" w:rsidRDefault="000B5388">
      <w:pPr>
        <w:sectPr w:rsidR="000B5388">
          <w:footerReference w:type="default" r:id="rId7"/>
          <w:pgSz w:w="12240" w:h="15840"/>
          <w:pgMar w:top="720" w:right="620" w:bottom="1140" w:left="620" w:header="0" w:footer="955" w:gutter="0"/>
          <w:pgNumType w:start="2"/>
          <w:cols w:space="720"/>
        </w:sectPr>
      </w:pPr>
    </w:p>
    <w:p w14:paraId="45ACD145" w14:textId="09466FEC" w:rsidR="000B5388" w:rsidRDefault="00FF05B7">
      <w:pPr>
        <w:pStyle w:val="BodyText"/>
        <w:ind w:left="737"/>
        <w:rPr>
          <w:sz w:val="20"/>
        </w:rPr>
      </w:pPr>
      <w:r>
        <w:rPr>
          <w:noProof/>
          <w:sz w:val="20"/>
        </w:rPr>
        <w:lastRenderedPageBreak/>
        <mc:AlternateContent>
          <mc:Choice Requires="wpg">
            <w:drawing>
              <wp:inline distT="0" distB="0" distL="0" distR="0" wp14:anchorId="1D37EBC5" wp14:editId="0F770724">
                <wp:extent cx="5200650" cy="2066925"/>
                <wp:effectExtent l="4445" t="0" r="5080" b="9525"/>
                <wp:docPr id="4"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2066925"/>
                          <a:chOff x="0" y="0"/>
                          <a:chExt cx="8190" cy="3255"/>
                        </a:xfrm>
                      </wpg:grpSpPr>
                      <wps:wsp>
                        <wps:cNvPr id="5" name="Line 12"/>
                        <wps:cNvCnPr>
                          <a:cxnSpLocks noChangeShapeType="1"/>
                        </wps:cNvCnPr>
                        <wps:spPr bwMode="auto">
                          <a:xfrm>
                            <a:off x="4028" y="15"/>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4028" y="3240"/>
                            <a:ext cx="415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4035" y="8"/>
                            <a:ext cx="0" cy="3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8175" y="8"/>
                            <a:ext cx="0" cy="3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 y="15"/>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8" y="3240"/>
                            <a:ext cx="403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5" y="8"/>
                            <a:ext cx="0" cy="3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4035" y="8"/>
                            <a:ext cx="0" cy="324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Text Box 4"/>
                        <wps:cNvSpPr txBox="1">
                          <a:spLocks noChangeArrowheads="1"/>
                        </wps:cNvSpPr>
                        <wps:spPr bwMode="auto">
                          <a:xfrm>
                            <a:off x="15" y="15"/>
                            <a:ext cx="4020"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F74D2" w14:textId="77777777" w:rsidR="000B5388" w:rsidRDefault="00AE2AE4">
                              <w:pPr>
                                <w:numPr>
                                  <w:ilvl w:val="0"/>
                                  <w:numId w:val="2"/>
                                </w:numPr>
                                <w:tabs>
                                  <w:tab w:val="left" w:pos="443"/>
                                </w:tabs>
                                <w:spacing w:line="240" w:lineRule="exact"/>
                                <w:rPr>
                                  <w:b/>
                                  <w:sz w:val="23"/>
                                </w:rPr>
                              </w:pPr>
                              <w:r>
                                <w:rPr>
                                  <w:b/>
                                  <w:sz w:val="23"/>
                                </w:rPr>
                                <w:t>Department outcome</w:t>
                              </w:r>
                              <w:r>
                                <w:rPr>
                                  <w:b/>
                                  <w:spacing w:val="-5"/>
                                  <w:sz w:val="23"/>
                                </w:rPr>
                                <w:t xml:space="preserve"> </w:t>
                              </w:r>
                              <w:r>
                                <w:rPr>
                                  <w:b/>
                                  <w:sz w:val="23"/>
                                </w:rPr>
                                <w:t>metrics:</w:t>
                              </w:r>
                            </w:p>
                            <w:p w14:paraId="3EA16C9D" w14:textId="77777777" w:rsidR="000B5388" w:rsidRDefault="00AE2AE4">
                              <w:pPr>
                                <w:numPr>
                                  <w:ilvl w:val="1"/>
                                  <w:numId w:val="2"/>
                                </w:numPr>
                                <w:tabs>
                                  <w:tab w:val="left" w:pos="803"/>
                                </w:tabs>
                                <w:spacing w:line="272" w:lineRule="exact"/>
                                <w:rPr>
                                  <w:rFonts w:ascii="Arial"/>
                                  <w:sz w:val="20"/>
                                </w:rPr>
                              </w:pPr>
                              <w:r>
                                <w:rPr>
                                  <w:rFonts w:ascii="Arial"/>
                                  <w:sz w:val="20"/>
                                </w:rPr>
                                <w:t>Extended</w:t>
                              </w:r>
                              <w:r>
                                <w:rPr>
                                  <w:rFonts w:ascii="Arial"/>
                                  <w:spacing w:val="-2"/>
                                  <w:sz w:val="20"/>
                                </w:rPr>
                                <w:t xml:space="preserve"> </w:t>
                              </w:r>
                              <w:r>
                                <w:rPr>
                                  <w:rFonts w:ascii="Arial"/>
                                  <w:sz w:val="20"/>
                                </w:rPr>
                                <w:t>engagement</w:t>
                              </w:r>
                            </w:p>
                            <w:p w14:paraId="51D09215" w14:textId="77777777" w:rsidR="000B5388" w:rsidRDefault="00AE2AE4">
                              <w:pPr>
                                <w:spacing w:before="4" w:line="226" w:lineRule="exact"/>
                                <w:ind w:left="802" w:right="1352"/>
                                <w:rPr>
                                  <w:rFonts w:ascii="Arial"/>
                                  <w:sz w:val="20"/>
                                </w:rPr>
                              </w:pPr>
                              <w:r>
                                <w:rPr>
                                  <w:rFonts w:ascii="Arial"/>
                                  <w:sz w:val="20"/>
                                </w:rPr>
                                <w:t>rate (five-year cohort graduation rate plus the percentage of students from the cohort who are still enrolled)</w:t>
                              </w:r>
                            </w:p>
                            <w:p w14:paraId="498121AB" w14:textId="77777777" w:rsidR="000B5388" w:rsidRDefault="00AE2AE4">
                              <w:pPr>
                                <w:numPr>
                                  <w:ilvl w:val="1"/>
                                  <w:numId w:val="2"/>
                                </w:numPr>
                                <w:tabs>
                                  <w:tab w:val="left" w:pos="803"/>
                                </w:tabs>
                                <w:spacing w:before="77" w:line="235" w:lineRule="auto"/>
                                <w:ind w:right="570"/>
                                <w:rPr>
                                  <w:rFonts w:ascii="Arial"/>
                                  <w:sz w:val="20"/>
                                </w:rPr>
                              </w:pPr>
                              <w:r>
                                <w:rPr>
                                  <w:rFonts w:ascii="Arial"/>
                                  <w:sz w:val="20"/>
                                </w:rPr>
                                <w:t>Chronic absenteeism (percentage of students missing 10 percent or more of their days in</w:t>
                              </w:r>
                              <w:r>
                                <w:rPr>
                                  <w:rFonts w:ascii="Arial"/>
                                  <w:spacing w:val="-5"/>
                                  <w:sz w:val="20"/>
                                </w:rPr>
                                <w:t xml:space="preserve"> </w:t>
                              </w:r>
                              <w:r>
                                <w:rPr>
                                  <w:rFonts w:ascii="Arial"/>
                                  <w:sz w:val="20"/>
                                </w:rPr>
                                <w:t>membership)</w:t>
                              </w:r>
                            </w:p>
                          </w:txbxContent>
                        </wps:txbx>
                        <wps:bodyPr rot="0" vert="horz" wrap="square" lIns="0" tIns="0" rIns="0" bIns="0" anchor="t" anchorCtr="0" upright="1">
                          <a:noAutofit/>
                        </wps:bodyPr>
                      </wps:wsp>
                      <wps:wsp>
                        <wps:cNvPr id="14" name="Text Box 3"/>
                        <wps:cNvSpPr txBox="1">
                          <a:spLocks noChangeArrowheads="1"/>
                        </wps:cNvSpPr>
                        <wps:spPr bwMode="auto">
                          <a:xfrm>
                            <a:off x="4035" y="15"/>
                            <a:ext cx="4140" cy="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22EC7" w14:textId="77777777" w:rsidR="000B5388" w:rsidRDefault="00AE2AE4">
                              <w:pPr>
                                <w:numPr>
                                  <w:ilvl w:val="0"/>
                                  <w:numId w:val="1"/>
                                </w:numPr>
                                <w:tabs>
                                  <w:tab w:val="left" w:pos="456"/>
                                </w:tabs>
                                <w:spacing w:before="10" w:line="240" w:lineRule="exact"/>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2C495C70" w14:textId="77777777" w:rsidR="000B5388" w:rsidRDefault="00AE2AE4">
                              <w:pPr>
                                <w:numPr>
                                  <w:ilvl w:val="1"/>
                                  <w:numId w:val="1"/>
                                </w:numPr>
                                <w:tabs>
                                  <w:tab w:val="left" w:pos="803"/>
                                </w:tabs>
                                <w:spacing w:line="266" w:lineRule="exact"/>
                              </w:pPr>
                              <w:r>
                                <w:t>Competency completion with</w:t>
                              </w:r>
                              <w:r>
                                <w:rPr>
                                  <w:spacing w:val="-20"/>
                                </w:rPr>
                                <w:t xml:space="preserve"> </w:t>
                              </w:r>
                              <w:r>
                                <w:t>and</w:t>
                              </w:r>
                            </w:p>
                            <w:p w14:paraId="156C0DDB" w14:textId="77777777" w:rsidR="000B5388" w:rsidRDefault="00AE2AE4">
                              <w:pPr>
                                <w:spacing w:before="32"/>
                                <w:ind w:left="802"/>
                              </w:pPr>
                              <w:r>
                                <w:t>without intervention blocks</w:t>
                              </w:r>
                            </w:p>
                          </w:txbxContent>
                        </wps:txbx>
                        <wps:bodyPr rot="0" vert="horz" wrap="square" lIns="0" tIns="0" rIns="0" bIns="0" anchor="t" anchorCtr="0" upright="1">
                          <a:noAutofit/>
                        </wps:bodyPr>
                      </wps:wsp>
                    </wpg:wgp>
                  </a:graphicData>
                </a:graphic>
              </wp:inline>
            </w:drawing>
          </mc:Choice>
          <mc:Fallback>
            <w:pict>
              <v:group w14:anchorId="1D37EBC5" id="Group 2" o:spid="_x0000_s1026" alt="&quot;&quot;" style="width:409.5pt;height:162.75pt;mso-position-horizontal-relative:char;mso-position-vertical-relative:line" coordsize="819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">
                <v:line id="Line 12" o:spid="_x0000_s1027" style="position:absolute;visibility:visible;mso-wrap-style:square" from="4028,15" to="81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11" o:spid="_x0000_s1028" style="position:absolute;visibility:visible;mso-wrap-style:square" from="4028,3240" to="8183,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10" o:spid="_x0000_s1029" style="position:absolute;visibility:visible;mso-wrap-style:square" from="4035,8" to="403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9" o:spid="_x0000_s1030" style="position:absolute;visibility:visible;mso-wrap-style:square" from="8175,8" to="817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31" style="position:absolute;visibility:visible;mso-wrap-style:square" from="8,15" to="404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7" o:spid="_x0000_s1032" style="position:absolute;visibility:visible;mso-wrap-style:square" from="8,3240" to="4043,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6" o:spid="_x0000_s1033" style="position:absolute;visibility:visible;mso-wrap-style:square" from="15,8" to="1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5" o:spid="_x0000_s1034" style="position:absolute;visibility:visible;mso-wrap-style:square" from="4035,8" to="4035,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type id="_x0000_t202" coordsize="21600,21600" o:spt="202" path="m,l,21600r21600,l21600,xe">
                  <v:stroke joinstyle="miter"/>
                  <v:path gradientshapeok="t" o:connecttype="rect"/>
                </v:shapetype>
                <v:shape id="Text Box 4" o:spid="_x0000_s1035" type="#_x0000_t202" style="position:absolute;left:15;top:15;width:402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32F74D2" w14:textId="77777777" w:rsidR="000B5388" w:rsidRDefault="00AE2AE4">
                        <w:pPr>
                          <w:numPr>
                            <w:ilvl w:val="0"/>
                            <w:numId w:val="2"/>
                          </w:numPr>
                          <w:tabs>
                            <w:tab w:val="left" w:pos="443"/>
                          </w:tabs>
                          <w:spacing w:line="240" w:lineRule="exact"/>
                          <w:rPr>
                            <w:b/>
                            <w:sz w:val="23"/>
                          </w:rPr>
                        </w:pPr>
                        <w:r>
                          <w:rPr>
                            <w:b/>
                            <w:sz w:val="23"/>
                          </w:rPr>
                          <w:t>Department outcome</w:t>
                        </w:r>
                        <w:r>
                          <w:rPr>
                            <w:b/>
                            <w:spacing w:val="-5"/>
                            <w:sz w:val="23"/>
                          </w:rPr>
                          <w:t xml:space="preserve"> </w:t>
                        </w:r>
                        <w:r>
                          <w:rPr>
                            <w:b/>
                            <w:sz w:val="23"/>
                          </w:rPr>
                          <w:t>metrics:</w:t>
                        </w:r>
                      </w:p>
                      <w:p w14:paraId="3EA16C9D" w14:textId="77777777" w:rsidR="000B5388" w:rsidRDefault="00AE2AE4">
                        <w:pPr>
                          <w:numPr>
                            <w:ilvl w:val="1"/>
                            <w:numId w:val="2"/>
                          </w:numPr>
                          <w:tabs>
                            <w:tab w:val="left" w:pos="803"/>
                          </w:tabs>
                          <w:spacing w:line="272" w:lineRule="exact"/>
                          <w:rPr>
                            <w:rFonts w:ascii="Arial"/>
                            <w:sz w:val="20"/>
                          </w:rPr>
                        </w:pPr>
                        <w:r>
                          <w:rPr>
                            <w:rFonts w:ascii="Arial"/>
                            <w:sz w:val="20"/>
                          </w:rPr>
                          <w:t>Extended</w:t>
                        </w:r>
                        <w:r>
                          <w:rPr>
                            <w:rFonts w:ascii="Arial"/>
                            <w:spacing w:val="-2"/>
                            <w:sz w:val="20"/>
                          </w:rPr>
                          <w:t xml:space="preserve"> </w:t>
                        </w:r>
                        <w:r>
                          <w:rPr>
                            <w:rFonts w:ascii="Arial"/>
                            <w:sz w:val="20"/>
                          </w:rPr>
                          <w:t>engagement</w:t>
                        </w:r>
                      </w:p>
                      <w:p w14:paraId="51D09215" w14:textId="77777777" w:rsidR="000B5388" w:rsidRDefault="00AE2AE4">
                        <w:pPr>
                          <w:spacing w:before="4" w:line="226" w:lineRule="exact"/>
                          <w:ind w:left="802" w:right="1352"/>
                          <w:rPr>
                            <w:rFonts w:ascii="Arial"/>
                            <w:sz w:val="20"/>
                          </w:rPr>
                        </w:pPr>
                        <w:r>
                          <w:rPr>
                            <w:rFonts w:ascii="Arial"/>
                            <w:sz w:val="20"/>
                          </w:rPr>
                          <w:t>rate (five-year cohort graduation rate plus the percentage of students from the cohort who are still enrolled)</w:t>
                        </w:r>
                      </w:p>
                      <w:p w14:paraId="498121AB" w14:textId="77777777" w:rsidR="000B5388" w:rsidRDefault="00AE2AE4">
                        <w:pPr>
                          <w:numPr>
                            <w:ilvl w:val="1"/>
                            <w:numId w:val="2"/>
                          </w:numPr>
                          <w:tabs>
                            <w:tab w:val="left" w:pos="803"/>
                          </w:tabs>
                          <w:spacing w:before="77" w:line="235" w:lineRule="auto"/>
                          <w:ind w:right="570"/>
                          <w:rPr>
                            <w:rFonts w:ascii="Arial"/>
                            <w:sz w:val="20"/>
                          </w:rPr>
                        </w:pPr>
                        <w:r>
                          <w:rPr>
                            <w:rFonts w:ascii="Arial"/>
                            <w:sz w:val="20"/>
                          </w:rPr>
                          <w:t>Chronic absenteeism (percentage of students missing 10 percent or more of their days in</w:t>
                        </w:r>
                        <w:r>
                          <w:rPr>
                            <w:rFonts w:ascii="Arial"/>
                            <w:spacing w:val="-5"/>
                            <w:sz w:val="20"/>
                          </w:rPr>
                          <w:t xml:space="preserve"> </w:t>
                        </w:r>
                        <w:r>
                          <w:rPr>
                            <w:rFonts w:ascii="Arial"/>
                            <w:sz w:val="20"/>
                          </w:rPr>
                          <w:t>membership)</w:t>
                        </w:r>
                      </w:p>
                    </w:txbxContent>
                  </v:textbox>
                </v:shape>
                <v:shape id="Text Box 3" o:spid="_x0000_s1036" type="#_x0000_t202" style="position:absolute;left:4035;top:15;width:4140;height:3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B822EC7" w14:textId="77777777" w:rsidR="000B5388" w:rsidRDefault="00AE2AE4">
                        <w:pPr>
                          <w:numPr>
                            <w:ilvl w:val="0"/>
                            <w:numId w:val="1"/>
                          </w:numPr>
                          <w:tabs>
                            <w:tab w:val="left" w:pos="456"/>
                          </w:tabs>
                          <w:spacing w:before="10" w:line="240" w:lineRule="exact"/>
                          <w:ind w:right="119" w:firstLine="208"/>
                          <w:rPr>
                            <w:b/>
                            <w:sz w:val="23"/>
                          </w:rPr>
                        </w:pPr>
                        <w:r>
                          <w:rPr>
                            <w:b/>
                            <w:sz w:val="23"/>
                          </w:rPr>
                          <w:t>Custom metrics (must include</w:t>
                        </w:r>
                        <w:r>
                          <w:rPr>
                            <w:b/>
                            <w:spacing w:val="-6"/>
                            <w:sz w:val="23"/>
                          </w:rPr>
                          <w:t xml:space="preserve"> </w:t>
                        </w:r>
                        <w:r>
                          <w:rPr>
                            <w:b/>
                            <w:sz w:val="23"/>
                          </w:rPr>
                          <w:t>targets as</w:t>
                        </w:r>
                        <w:r>
                          <w:rPr>
                            <w:b/>
                            <w:spacing w:val="-2"/>
                            <w:sz w:val="23"/>
                          </w:rPr>
                          <w:t xml:space="preserve"> </w:t>
                        </w:r>
                        <w:r>
                          <w:rPr>
                            <w:b/>
                            <w:sz w:val="23"/>
                          </w:rPr>
                          <w:t>well):</w:t>
                        </w:r>
                      </w:p>
                      <w:p w14:paraId="2C495C70" w14:textId="77777777" w:rsidR="000B5388" w:rsidRDefault="00AE2AE4">
                        <w:pPr>
                          <w:numPr>
                            <w:ilvl w:val="1"/>
                            <w:numId w:val="1"/>
                          </w:numPr>
                          <w:tabs>
                            <w:tab w:val="left" w:pos="803"/>
                          </w:tabs>
                          <w:spacing w:line="266" w:lineRule="exact"/>
                        </w:pPr>
                        <w:r>
                          <w:t>Competency completion with</w:t>
                        </w:r>
                        <w:r>
                          <w:rPr>
                            <w:spacing w:val="-20"/>
                          </w:rPr>
                          <w:t xml:space="preserve"> </w:t>
                        </w:r>
                        <w:r>
                          <w:t>and</w:t>
                        </w:r>
                      </w:p>
                      <w:p w14:paraId="156C0DDB" w14:textId="77777777" w:rsidR="000B5388" w:rsidRDefault="00AE2AE4">
                        <w:pPr>
                          <w:spacing w:before="32"/>
                          <w:ind w:left="802"/>
                        </w:pPr>
                        <w:r>
                          <w:t>without intervention blocks</w:t>
                        </w:r>
                      </w:p>
                    </w:txbxContent>
                  </v:textbox>
                </v:shape>
                <w10:anchorlock/>
              </v:group>
            </w:pict>
          </mc:Fallback>
        </mc:AlternateContent>
      </w:r>
    </w:p>
    <w:p w14:paraId="11E5161E" w14:textId="77777777" w:rsidR="000B5388" w:rsidRDefault="000B5388">
      <w:pPr>
        <w:pStyle w:val="BodyText"/>
        <w:spacing w:before="11"/>
        <w:rPr>
          <w:b/>
          <w:sz w:val="15"/>
        </w:rPr>
      </w:pPr>
    </w:p>
    <w:p w14:paraId="1C8E2C68" w14:textId="77777777" w:rsidR="000B5388" w:rsidRDefault="00AE2AE4">
      <w:pPr>
        <w:pStyle w:val="BodyText"/>
        <w:spacing w:before="58" w:line="237" w:lineRule="auto"/>
        <w:ind w:left="100" w:right="157"/>
      </w:pPr>
      <w:r>
        <w:t>Our metrics around intervention blocks are indicators that students’ ability to progress forward in our competenc</w:t>
      </w:r>
      <w:r>
        <w:t>y based model is supported by additional academic supports. As most of our students arrive well below grade level, it is critical that we provide the right additional interventions to ensure success. With the addition of our BDEA 2.0 pilot program, with it</w:t>
      </w:r>
      <w:r>
        <w:t>s work-based learning component, we hope to see increased daily attendance and an improved extended engagement rate, especially among our “young and far” students.</w:t>
      </w:r>
    </w:p>
    <w:p w14:paraId="154A4B67" w14:textId="77777777" w:rsidR="000B5388" w:rsidRDefault="000B5388">
      <w:pPr>
        <w:pStyle w:val="BodyText"/>
        <w:spacing w:before="8"/>
        <w:rPr>
          <w:sz w:val="20"/>
        </w:rPr>
      </w:pPr>
    </w:p>
    <w:p w14:paraId="5E3B7C0B" w14:textId="77777777" w:rsidR="000B5388" w:rsidRDefault="00AE2AE4">
      <w:pPr>
        <w:pStyle w:val="Heading1"/>
      </w:pPr>
      <w:r>
        <w:rPr>
          <w:rFonts w:ascii="MS Gothic" w:hAnsi="MS Gothic"/>
          <w:b w:val="0"/>
          <w:color w:val="2D73B4"/>
        </w:rPr>
        <w:t>→</w:t>
      </w:r>
      <w:r>
        <w:rPr>
          <w:rFonts w:ascii="MS Gothic" w:hAnsi="MS Gothic"/>
          <w:b w:val="0"/>
          <w:color w:val="2D73B4"/>
          <w:spacing w:val="-66"/>
        </w:rPr>
        <w:t xml:space="preserve"> </w:t>
      </w:r>
      <w:r>
        <w:rPr>
          <w:color w:val="2D73B4"/>
        </w:rPr>
        <w:t>Commitment 4: Engaging All Families</w:t>
      </w:r>
    </w:p>
    <w:p w14:paraId="2B1292BB" w14:textId="77777777" w:rsidR="000B5388" w:rsidRDefault="00AE2AE4">
      <w:pPr>
        <w:pStyle w:val="Heading2"/>
        <w:spacing w:before="74"/>
        <w:ind w:right="132"/>
      </w:pPr>
      <w:r>
        <w:rPr>
          <w:color w:val="1F3762"/>
        </w:rPr>
        <w:t>How will your charter school ensure that all families</w:t>
      </w:r>
      <w:r>
        <w:rPr>
          <w:color w:val="1F3762"/>
        </w:rPr>
        <w:t>, particularly those representing the student subgroups most in need of support, have the opportunity to meaningfully engage with the charter school regarding their students’ needs?</w:t>
      </w:r>
    </w:p>
    <w:p w14:paraId="0293D685" w14:textId="77777777" w:rsidR="000B5388" w:rsidRDefault="000B5388">
      <w:pPr>
        <w:pStyle w:val="BodyText"/>
        <w:spacing w:before="5"/>
        <w:rPr>
          <w:b/>
          <w:sz w:val="21"/>
        </w:rPr>
      </w:pPr>
    </w:p>
    <w:p w14:paraId="7C9963D6" w14:textId="77777777" w:rsidR="000B5388" w:rsidRDefault="00AE2AE4">
      <w:pPr>
        <w:pStyle w:val="BodyText"/>
        <w:ind w:left="205" w:right="107"/>
      </w:pPr>
      <w:r>
        <w:t>BDEA has always worked diligently to engage our families in our students’ schooling experience. As BDEA students tend to be older than average high school students, many families are less involved than in traditional schools. With that said, BDEA recognize</w:t>
      </w:r>
      <w:r>
        <w:t>s that strong home-school connections are crucial to student success. We host quarterly family events, from a welcome back barbecue to a Thankful Dinner to Symposium Night (where students showcase their work from Project Month). During COVID closures we al</w:t>
      </w:r>
      <w:r>
        <w:t>so hosted frequent family zoom meetings so that families could remain in the loop with the latest news and resources. We are hopeful that continuing to utilize Zoom will make for more flexibility for parents to attend, and that we will see engagement incre</w:t>
      </w:r>
      <w:r>
        <w:t xml:space="preserve">ase. We internally track the number of participants at every </w:t>
      </w:r>
      <w:proofErr w:type="gramStart"/>
      <w:r>
        <w:t>event, and</w:t>
      </w:r>
      <w:proofErr w:type="gramEnd"/>
      <w:r>
        <w:t xml:space="preserve"> will continue to do so.</w:t>
      </w:r>
    </w:p>
    <w:p w14:paraId="2397F970" w14:textId="77777777" w:rsidR="000B5388" w:rsidRDefault="000B5388">
      <w:pPr>
        <w:pStyle w:val="BodyText"/>
      </w:pPr>
    </w:p>
    <w:p w14:paraId="18490F70" w14:textId="77777777" w:rsidR="000B5388" w:rsidRDefault="000B5388">
      <w:pPr>
        <w:pStyle w:val="BodyText"/>
        <w:spacing w:before="11"/>
      </w:pPr>
    </w:p>
    <w:p w14:paraId="45E1F5AF" w14:textId="77777777" w:rsidR="000B5388" w:rsidRDefault="00AE2AE4">
      <w:pPr>
        <w:pStyle w:val="Heading1"/>
      </w:pPr>
      <w:r>
        <w:rPr>
          <w:color w:val="2D73B4"/>
        </w:rPr>
        <w:t>Certifications:</w:t>
      </w:r>
    </w:p>
    <w:p w14:paraId="089B04AF" w14:textId="77777777" w:rsidR="000B5388" w:rsidRDefault="00AE2AE4">
      <w:pPr>
        <w:pStyle w:val="Heading3"/>
        <w:spacing w:before="115" w:line="256" w:lineRule="exact"/>
        <w:ind w:right="516"/>
      </w:pPr>
      <w:r>
        <w:rPr>
          <w:noProof/>
        </w:rPr>
        <w:drawing>
          <wp:anchor distT="0" distB="0" distL="0" distR="0" simplePos="0" relativeHeight="268427735" behindDoc="1" locked="0" layoutInCell="1" allowOverlap="1" wp14:anchorId="4B86D813" wp14:editId="645999A9">
            <wp:simplePos x="0" y="0"/>
            <wp:positionH relativeFrom="page">
              <wp:posOffset>527113</wp:posOffset>
            </wp:positionH>
            <wp:positionV relativeFrom="paragraph">
              <wp:posOffset>121458</wp:posOffset>
            </wp:positionV>
            <wp:extent cx="67977" cy="80523"/>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7977" cy="80523"/>
                    </a:xfrm>
                    <a:prstGeom prst="rect">
                      <a:avLst/>
                    </a:prstGeom>
                  </pic:spPr>
                </pic:pic>
              </a:graphicData>
            </a:graphic>
          </wp:anchor>
        </w:drawing>
      </w:r>
      <w:r>
        <w:rPr>
          <w:rFonts w:ascii="MS Gothic"/>
          <w:b w:val="0"/>
        </w:rPr>
        <w:t xml:space="preserve">x </w:t>
      </w:r>
      <w:proofErr w:type="gramStart"/>
      <w:r>
        <w:rPr>
          <w:color w:val="1F3762"/>
        </w:rPr>
        <w:t>By</w:t>
      </w:r>
      <w:proofErr w:type="gramEnd"/>
      <w:r>
        <w:rPr>
          <w:color w:val="1F3762"/>
        </w:rPr>
        <w:t xml:space="preserve"> checking here, I certify that our charter school has engaged stakeholders in our community in accordance with the Student Opportunity Ac</w:t>
      </w:r>
      <w:r>
        <w:rPr>
          <w:color w:val="1F3762"/>
        </w:rPr>
        <w:t>t</w:t>
      </w:r>
    </w:p>
    <w:p w14:paraId="3E0F5357" w14:textId="77777777" w:rsidR="000B5388" w:rsidRDefault="000B5388">
      <w:pPr>
        <w:pStyle w:val="BodyText"/>
        <w:spacing w:before="8"/>
        <w:rPr>
          <w:b/>
          <w:sz w:val="16"/>
        </w:rPr>
      </w:pPr>
    </w:p>
    <w:p w14:paraId="6CFCF90F" w14:textId="77777777" w:rsidR="000B5388" w:rsidRDefault="00AE2AE4">
      <w:pPr>
        <w:ind w:left="205"/>
        <w:rPr>
          <w:b/>
        </w:rPr>
      </w:pPr>
      <w:r>
        <w:rPr>
          <w:b/>
          <w:color w:val="1F3762"/>
        </w:rPr>
        <w:t>Please summarize your stakeholder engagement process, including specific groups that were engaged:</w:t>
      </w:r>
    </w:p>
    <w:p w14:paraId="3FEBA717" w14:textId="77777777" w:rsidR="000B5388" w:rsidRDefault="00AE2AE4">
      <w:pPr>
        <w:pStyle w:val="BodyText"/>
        <w:spacing w:before="75"/>
        <w:ind w:left="205"/>
      </w:pPr>
      <w:r>
        <w:t>BDEA’s SOA plan was reviewed by the Leadership Team and Instructional Leadership Team during regularly scheduled meetings. In addition, the SOA Plan was reviewed by, and approved by, the Executive Session of the Board of Trustees.</w:t>
      </w:r>
    </w:p>
    <w:p w14:paraId="4E75F3E6" w14:textId="77777777" w:rsidR="000B5388" w:rsidRDefault="000B5388">
      <w:pPr>
        <w:pStyle w:val="BodyText"/>
        <w:rPr>
          <w:sz w:val="20"/>
        </w:rPr>
      </w:pPr>
    </w:p>
    <w:p w14:paraId="1E1A9087" w14:textId="77777777" w:rsidR="000B5388" w:rsidRDefault="000B5388">
      <w:pPr>
        <w:pStyle w:val="BodyText"/>
        <w:rPr>
          <w:sz w:val="20"/>
        </w:rPr>
      </w:pPr>
    </w:p>
    <w:p w14:paraId="7C2759F0" w14:textId="77777777" w:rsidR="000B5388" w:rsidRDefault="000B5388">
      <w:pPr>
        <w:pStyle w:val="BodyText"/>
        <w:spacing w:before="8"/>
        <w:rPr>
          <w:sz w:val="18"/>
        </w:rPr>
      </w:pPr>
    </w:p>
    <w:p w14:paraId="0CB256A9" w14:textId="77777777" w:rsidR="000B5388" w:rsidRDefault="00AE2AE4">
      <w:pPr>
        <w:spacing w:before="32"/>
        <w:ind w:left="100"/>
      </w:pPr>
      <w:r>
        <w:rPr>
          <w:noProof/>
        </w:rPr>
        <w:drawing>
          <wp:anchor distT="0" distB="0" distL="0" distR="0" simplePos="0" relativeHeight="268427759" behindDoc="1" locked="0" layoutInCell="1" allowOverlap="1" wp14:anchorId="46756EA3" wp14:editId="5C68E154">
            <wp:simplePos x="0" y="0"/>
            <wp:positionH relativeFrom="page">
              <wp:posOffset>460438</wp:posOffset>
            </wp:positionH>
            <wp:positionV relativeFrom="paragraph">
              <wp:posOffset>101871</wp:posOffset>
            </wp:positionV>
            <wp:extent cx="67977" cy="80523"/>
            <wp:effectExtent l="0" t="0" r="0" b="0"/>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7977" cy="80523"/>
                    </a:xfrm>
                    <a:prstGeom prst="rect">
                      <a:avLst/>
                    </a:prstGeom>
                  </pic:spPr>
                </pic:pic>
              </a:graphicData>
            </a:graphic>
          </wp:anchor>
        </w:drawing>
      </w:r>
      <w:r>
        <w:rPr>
          <w:rFonts w:ascii="MS Gothic" w:hAnsi="MS Gothic"/>
        </w:rPr>
        <w:t xml:space="preserve">x </w:t>
      </w:r>
      <w:proofErr w:type="gramStart"/>
      <w:r>
        <w:rPr>
          <w:b/>
          <w:color w:val="1F3762"/>
        </w:rPr>
        <w:t>By</w:t>
      </w:r>
      <w:proofErr w:type="gramEnd"/>
      <w:r>
        <w:rPr>
          <w:b/>
          <w:color w:val="1F3762"/>
        </w:rPr>
        <w:t xml:space="preserve"> checking here, I</w:t>
      </w:r>
      <w:r>
        <w:rPr>
          <w:b/>
          <w:color w:val="1F3762"/>
        </w:rPr>
        <w:t xml:space="preserve"> certify that the Boston Day and Evening Academy Board of Trustees voted on our Student Opportunity Act Plan. </w:t>
      </w:r>
      <w:r>
        <w:rPr>
          <w:color w:val="1F3762"/>
        </w:rPr>
        <w:t>(BDEA’s executive reviewed and approved)</w:t>
      </w:r>
    </w:p>
    <w:p w14:paraId="30B33849" w14:textId="77777777" w:rsidR="000B5388" w:rsidRDefault="00AE2AE4">
      <w:pPr>
        <w:tabs>
          <w:tab w:val="left" w:pos="3699"/>
        </w:tabs>
        <w:spacing w:before="151"/>
        <w:ind w:left="925"/>
      </w:pPr>
      <w:r>
        <w:rPr>
          <w:b/>
          <w:color w:val="1F3762"/>
        </w:rPr>
        <w:t>Date of</w:t>
      </w:r>
      <w:r>
        <w:rPr>
          <w:b/>
          <w:color w:val="1F3762"/>
          <w:spacing w:val="-7"/>
        </w:rPr>
        <w:t xml:space="preserve"> </w:t>
      </w:r>
      <w:r>
        <w:rPr>
          <w:b/>
          <w:color w:val="1F3762"/>
        </w:rPr>
        <w:t>vote:</w:t>
      </w:r>
      <w:r>
        <w:rPr>
          <w:b/>
          <w:color w:val="1F3762"/>
          <w:spacing w:val="-4"/>
        </w:rPr>
        <w:t xml:space="preserve"> </w:t>
      </w:r>
      <w:r>
        <w:rPr>
          <w:color w:val="1F3762"/>
        </w:rPr>
        <w:t>12/17/20</w:t>
      </w:r>
      <w:r>
        <w:rPr>
          <w:color w:val="1F3762"/>
        </w:rPr>
        <w:tab/>
      </w:r>
      <w:r>
        <w:rPr>
          <w:b/>
          <w:color w:val="1F3762"/>
        </w:rPr>
        <w:t xml:space="preserve">Outcome of vote: </w:t>
      </w:r>
      <w:r>
        <w:rPr>
          <w:color w:val="1F3762"/>
        </w:rPr>
        <w:t>All vote to</w:t>
      </w:r>
      <w:r>
        <w:rPr>
          <w:color w:val="1F3762"/>
          <w:spacing w:val="-24"/>
        </w:rPr>
        <w:t xml:space="preserve"> </w:t>
      </w:r>
      <w:proofErr w:type="gramStart"/>
      <w:r>
        <w:rPr>
          <w:color w:val="1F3762"/>
        </w:rPr>
        <w:t>approve</w:t>
      </w:r>
      <w:proofErr w:type="gramEnd"/>
    </w:p>
    <w:sectPr w:rsidR="000B5388">
      <w:pgSz w:w="12240" w:h="15840"/>
      <w:pgMar w:top="720" w:right="620" w:bottom="1140" w:left="62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C0698" w14:textId="77777777" w:rsidR="00AE2AE4" w:rsidRDefault="00AE2AE4">
      <w:r>
        <w:separator/>
      </w:r>
    </w:p>
  </w:endnote>
  <w:endnote w:type="continuationSeparator" w:id="0">
    <w:p w14:paraId="4A05B619" w14:textId="77777777" w:rsidR="00AE2AE4" w:rsidRDefault="00AE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C9A5D" w14:textId="49559E99" w:rsidR="000B5388" w:rsidRDefault="00FF05B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97C7B22" wp14:editId="3E9933CD">
              <wp:simplePos x="0" y="0"/>
              <wp:positionH relativeFrom="page">
                <wp:posOffset>7223125</wp:posOffset>
              </wp:positionH>
              <wp:positionV relativeFrom="page">
                <wp:posOffset>9312275</wp:posOffset>
              </wp:positionV>
              <wp:extent cx="115570" cy="152400"/>
              <wp:effectExtent l="3175" t="0" r="0" b="3175"/>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92A69" w14:textId="77777777" w:rsidR="000B5388" w:rsidRDefault="00AE2AE4">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C7B22" id="_x0000_t202" coordsize="21600,21600" o:spt="202" path="m,l,21600r21600,l21600,xe">
              <v:stroke joinstyle="miter"/>
              <v:path gradientshapeok="t" o:connecttype="rect"/>
            </v:shapetype>
            <v:shape id="Text Box 1" o:spid="_x0000_s1037" type="#_x0000_t202" alt="&quot;&quot;" style="position:absolute;margin-left:568.75pt;margin-top:733.25pt;width:9.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" filled="f" stroked="f">
              <v:textbox inset="0,0,0,0">
                <w:txbxContent>
                  <w:p w14:paraId="5C392A69" w14:textId="77777777" w:rsidR="000B5388" w:rsidRDefault="00AE2AE4">
                    <w:pPr>
                      <w:spacing w:line="224" w:lineRule="exact"/>
                      <w:ind w:left="40"/>
                      <w:rPr>
                        <w:i/>
                        <w:sz w:val="20"/>
                      </w:rPr>
                    </w:pPr>
                    <w:r>
                      <w:fldChar w:fldCharType="begin"/>
                    </w:r>
                    <w:r>
                      <w:rPr>
                        <w:i/>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D5C05" w14:textId="77777777" w:rsidR="00AE2AE4" w:rsidRDefault="00AE2AE4">
      <w:r>
        <w:separator/>
      </w:r>
    </w:p>
  </w:footnote>
  <w:footnote w:type="continuationSeparator" w:id="0">
    <w:p w14:paraId="01C45A92" w14:textId="77777777" w:rsidR="00AE2AE4" w:rsidRDefault="00AE2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F2"/>
    <w:multiLevelType w:val="hybridMultilevel"/>
    <w:tmpl w:val="AC54AD2C"/>
    <w:lvl w:ilvl="0" w:tplc="EB06CBBC">
      <w:start w:val="2"/>
      <w:numFmt w:val="decimal"/>
      <w:lvlText w:val="%1)"/>
      <w:lvlJc w:val="left"/>
      <w:pPr>
        <w:ind w:left="7" w:hanging="241"/>
        <w:jc w:val="left"/>
      </w:pPr>
      <w:rPr>
        <w:rFonts w:ascii="Calibri" w:eastAsia="Calibri" w:hAnsi="Calibri" w:cs="Calibri" w:hint="default"/>
        <w:b/>
        <w:bCs/>
        <w:w w:val="100"/>
        <w:sz w:val="23"/>
        <w:szCs w:val="23"/>
      </w:rPr>
    </w:lvl>
    <w:lvl w:ilvl="1" w:tplc="8E8ABC10">
      <w:numFmt w:val="bullet"/>
      <w:lvlText w:val="✓"/>
      <w:lvlJc w:val="left"/>
      <w:pPr>
        <w:ind w:left="802" w:hanging="270"/>
      </w:pPr>
      <w:rPr>
        <w:rFonts w:ascii="MS Gothic" w:eastAsia="MS Gothic" w:hAnsi="MS Gothic" w:cs="MS Gothic" w:hint="default"/>
        <w:w w:val="100"/>
        <w:sz w:val="22"/>
        <w:szCs w:val="22"/>
      </w:rPr>
    </w:lvl>
    <w:lvl w:ilvl="2" w:tplc="59406B5C">
      <w:numFmt w:val="bullet"/>
      <w:lvlText w:val="•"/>
      <w:lvlJc w:val="left"/>
      <w:pPr>
        <w:ind w:left="1171" w:hanging="270"/>
      </w:pPr>
      <w:rPr>
        <w:rFonts w:hint="default"/>
      </w:rPr>
    </w:lvl>
    <w:lvl w:ilvl="3" w:tplc="3B12A2CC">
      <w:numFmt w:val="bullet"/>
      <w:lvlText w:val="•"/>
      <w:lvlJc w:val="left"/>
      <w:pPr>
        <w:ind w:left="1542" w:hanging="270"/>
      </w:pPr>
      <w:rPr>
        <w:rFonts w:hint="default"/>
      </w:rPr>
    </w:lvl>
    <w:lvl w:ilvl="4" w:tplc="DE2AB288">
      <w:numFmt w:val="bullet"/>
      <w:lvlText w:val="•"/>
      <w:lvlJc w:val="left"/>
      <w:pPr>
        <w:ind w:left="1913" w:hanging="270"/>
      </w:pPr>
      <w:rPr>
        <w:rFonts w:hint="default"/>
      </w:rPr>
    </w:lvl>
    <w:lvl w:ilvl="5" w:tplc="89ECCA3C">
      <w:numFmt w:val="bullet"/>
      <w:lvlText w:val="•"/>
      <w:lvlJc w:val="left"/>
      <w:pPr>
        <w:ind w:left="2284" w:hanging="270"/>
      </w:pPr>
      <w:rPr>
        <w:rFonts w:hint="default"/>
      </w:rPr>
    </w:lvl>
    <w:lvl w:ilvl="6" w:tplc="FA7C1BF6">
      <w:numFmt w:val="bullet"/>
      <w:lvlText w:val="•"/>
      <w:lvlJc w:val="left"/>
      <w:pPr>
        <w:ind w:left="2655" w:hanging="270"/>
      </w:pPr>
      <w:rPr>
        <w:rFonts w:hint="default"/>
      </w:rPr>
    </w:lvl>
    <w:lvl w:ilvl="7" w:tplc="2168FFCE">
      <w:numFmt w:val="bullet"/>
      <w:lvlText w:val="•"/>
      <w:lvlJc w:val="left"/>
      <w:pPr>
        <w:ind w:left="3026" w:hanging="270"/>
      </w:pPr>
      <w:rPr>
        <w:rFonts w:hint="default"/>
      </w:rPr>
    </w:lvl>
    <w:lvl w:ilvl="8" w:tplc="3EE2BD1C">
      <w:numFmt w:val="bullet"/>
      <w:lvlText w:val="•"/>
      <w:lvlJc w:val="left"/>
      <w:pPr>
        <w:ind w:left="3397" w:hanging="270"/>
      </w:pPr>
      <w:rPr>
        <w:rFonts w:hint="default"/>
      </w:rPr>
    </w:lvl>
  </w:abstractNum>
  <w:abstractNum w:abstractNumId="1" w15:restartNumberingAfterBreak="0">
    <w:nsid w:val="40AB11FD"/>
    <w:multiLevelType w:val="hybridMultilevel"/>
    <w:tmpl w:val="A01A72D0"/>
    <w:lvl w:ilvl="0" w:tplc="FDBA7540">
      <w:start w:val="1"/>
      <w:numFmt w:val="decimal"/>
      <w:lvlText w:val="%1)"/>
      <w:lvlJc w:val="left"/>
      <w:pPr>
        <w:ind w:left="442" w:hanging="240"/>
        <w:jc w:val="left"/>
      </w:pPr>
      <w:rPr>
        <w:rFonts w:ascii="Calibri" w:eastAsia="Calibri" w:hAnsi="Calibri" w:cs="Calibri" w:hint="default"/>
        <w:b/>
        <w:bCs/>
        <w:w w:val="100"/>
        <w:sz w:val="23"/>
        <w:szCs w:val="23"/>
      </w:rPr>
    </w:lvl>
    <w:lvl w:ilvl="1" w:tplc="A5FC3634">
      <w:numFmt w:val="bullet"/>
      <w:lvlText w:val="✓"/>
      <w:lvlJc w:val="left"/>
      <w:pPr>
        <w:ind w:left="802" w:hanging="270"/>
      </w:pPr>
      <w:rPr>
        <w:rFonts w:ascii="MS Gothic" w:eastAsia="MS Gothic" w:hAnsi="MS Gothic" w:cs="MS Gothic" w:hint="default"/>
        <w:w w:val="100"/>
        <w:sz w:val="22"/>
        <w:szCs w:val="22"/>
      </w:rPr>
    </w:lvl>
    <w:lvl w:ilvl="2" w:tplc="BF7EE6BA">
      <w:numFmt w:val="bullet"/>
      <w:lvlText w:val="•"/>
      <w:lvlJc w:val="left"/>
      <w:pPr>
        <w:ind w:left="1157" w:hanging="270"/>
      </w:pPr>
      <w:rPr>
        <w:rFonts w:hint="default"/>
      </w:rPr>
    </w:lvl>
    <w:lvl w:ilvl="3" w:tplc="2D766614">
      <w:numFmt w:val="bullet"/>
      <w:lvlText w:val="•"/>
      <w:lvlJc w:val="left"/>
      <w:pPr>
        <w:ind w:left="1515" w:hanging="270"/>
      </w:pPr>
      <w:rPr>
        <w:rFonts w:hint="default"/>
      </w:rPr>
    </w:lvl>
    <w:lvl w:ilvl="4" w:tplc="8326C554">
      <w:numFmt w:val="bullet"/>
      <w:lvlText w:val="•"/>
      <w:lvlJc w:val="left"/>
      <w:pPr>
        <w:ind w:left="1873" w:hanging="270"/>
      </w:pPr>
      <w:rPr>
        <w:rFonts w:hint="default"/>
      </w:rPr>
    </w:lvl>
    <w:lvl w:ilvl="5" w:tplc="DA7EB7B8">
      <w:numFmt w:val="bullet"/>
      <w:lvlText w:val="•"/>
      <w:lvlJc w:val="left"/>
      <w:pPr>
        <w:ind w:left="2231" w:hanging="270"/>
      </w:pPr>
      <w:rPr>
        <w:rFonts w:hint="default"/>
      </w:rPr>
    </w:lvl>
    <w:lvl w:ilvl="6" w:tplc="A0964658">
      <w:numFmt w:val="bullet"/>
      <w:lvlText w:val="•"/>
      <w:lvlJc w:val="left"/>
      <w:pPr>
        <w:ind w:left="2588" w:hanging="270"/>
      </w:pPr>
      <w:rPr>
        <w:rFonts w:hint="default"/>
      </w:rPr>
    </w:lvl>
    <w:lvl w:ilvl="7" w:tplc="29565422">
      <w:numFmt w:val="bullet"/>
      <w:lvlText w:val="•"/>
      <w:lvlJc w:val="left"/>
      <w:pPr>
        <w:ind w:left="2946" w:hanging="270"/>
      </w:pPr>
      <w:rPr>
        <w:rFonts w:hint="default"/>
      </w:rPr>
    </w:lvl>
    <w:lvl w:ilvl="8" w:tplc="190ADD8E">
      <w:numFmt w:val="bullet"/>
      <w:lvlText w:val="•"/>
      <w:lvlJc w:val="left"/>
      <w:pPr>
        <w:ind w:left="3304" w:hanging="2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88"/>
    <w:rsid w:val="000B5388"/>
    <w:rsid w:val="00991779"/>
    <w:rsid w:val="00AE2AE4"/>
    <w:rsid w:val="00FF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F32C"/>
  <w15:docId w15:val="{8EEFC0A7-9F97-4A5E-9740-ED14CA70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05"/>
      <w:outlineLvl w:val="0"/>
    </w:pPr>
    <w:rPr>
      <w:b/>
      <w:bCs/>
      <w:sz w:val="26"/>
      <w:szCs w:val="26"/>
    </w:rPr>
  </w:style>
  <w:style w:type="paragraph" w:styleId="Heading2">
    <w:name w:val="heading 2"/>
    <w:basedOn w:val="Normal"/>
    <w:uiPriority w:val="9"/>
    <w:unhideWhenUsed/>
    <w:qFormat/>
    <w:pPr>
      <w:spacing w:before="56" w:line="270" w:lineRule="exact"/>
      <w:ind w:left="205"/>
      <w:outlineLvl w:val="1"/>
    </w:pPr>
    <w:rPr>
      <w:b/>
      <w:bCs/>
      <w:sz w:val="23"/>
      <w:szCs w:val="23"/>
    </w:rPr>
  </w:style>
  <w:style w:type="paragraph" w:styleId="Heading3">
    <w:name w:val="heading 3"/>
    <w:basedOn w:val="Normal"/>
    <w:uiPriority w:val="9"/>
    <w:unhideWhenUsed/>
    <w:qFormat/>
    <w:pPr>
      <w:ind w:left="205"/>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65006F-E78B-4A1F-9FC2-1CF4CE21FE0C}"/>
</file>

<file path=customXml/itemProps2.xml><?xml version="1.0" encoding="utf-8"?>
<ds:datastoreItem xmlns:ds="http://schemas.openxmlformats.org/officeDocument/2006/customXml" ds:itemID="{95B99C9D-A2EE-4B83-B268-B321A3D10B63}"/>
</file>

<file path=customXml/itemProps3.xml><?xml version="1.0" encoding="utf-8"?>
<ds:datastoreItem xmlns:ds="http://schemas.openxmlformats.org/officeDocument/2006/customXml" ds:itemID="{AD59CD96-C8EB-4106-A6C2-28CECE0C6587}"/>
</file>

<file path=docProps/app.xml><?xml version="1.0" encoding="utf-8"?>
<Properties xmlns="http://schemas.openxmlformats.org/officeDocument/2006/extended-properties" xmlns:vt="http://schemas.openxmlformats.org/officeDocument/2006/docPropsVTypes">
  <Template>Normal</Template>
  <TotalTime>2</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Boston Day and Evening Academy Student Opportunity Act Plan: SY 2021-2023</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Day and Evening Academy Student Opportunity Act Plan: SY 2021-2023</dc:title>
  <dc:creator>DeLorenzo, Lee E (DESE)</dc:creator>
  <cp:lastModifiedBy>DeLorenzo, Lee E (DESE)</cp:lastModifiedBy>
  <cp:revision>3</cp:revision>
  <dcterms:created xsi:type="dcterms:W3CDTF">2021-03-19T18:45:00Z</dcterms:created>
  <dcterms:modified xsi:type="dcterms:W3CDTF">2021-03-19T18:46:00Z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