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F0716" w14:textId="525EC402" w:rsidR="004D007F" w:rsidRDefault="00EE6BAC" w:rsidP="00E037F9">
      <w:pPr>
        <w:spacing w:before="35"/>
        <w:ind w:left="100"/>
        <w:jc w:val="center"/>
        <w:rPr>
          <w:rFonts w:ascii="Calibri"/>
          <w:b/>
          <w:color w:val="1F3862"/>
          <w:sz w:val="32"/>
        </w:rPr>
      </w:pPr>
      <w:r>
        <w:rPr>
          <w:rFonts w:ascii="Calibri"/>
          <w:b/>
          <w:color w:val="1F3862"/>
          <w:sz w:val="32"/>
        </w:rPr>
        <w:t>Student Opportunity Act Plan: SY 2021-2023</w:t>
      </w:r>
    </w:p>
    <w:p w14:paraId="18926B0D" w14:textId="14437025" w:rsidR="00E037F9" w:rsidRDefault="00E037F9" w:rsidP="00E037F9">
      <w:pPr>
        <w:spacing w:before="35"/>
        <w:ind w:left="100"/>
        <w:jc w:val="center"/>
        <w:rPr>
          <w:rFonts w:ascii="Calibri"/>
          <w:b/>
          <w:sz w:val="32"/>
        </w:rPr>
      </w:pPr>
      <w:r>
        <w:rPr>
          <w:rFonts w:ascii="Calibri"/>
          <w:b/>
          <w:i/>
          <w:color w:val="2C74B5"/>
          <w:sz w:val="32"/>
        </w:rPr>
        <w:t>Boston Prep</w:t>
      </w:r>
      <w:r w:rsidR="00223BE7">
        <w:rPr>
          <w:rFonts w:ascii="Calibri"/>
          <w:b/>
          <w:i/>
          <w:color w:val="2C74B5"/>
          <w:sz w:val="32"/>
        </w:rPr>
        <w:t>aratory</w:t>
      </w:r>
      <w:r>
        <w:rPr>
          <w:rFonts w:ascii="Calibri"/>
          <w:b/>
          <w:i/>
          <w:color w:val="2C74B5"/>
          <w:sz w:val="32"/>
        </w:rPr>
        <w:t xml:space="preserve"> Charter Public School</w:t>
      </w:r>
    </w:p>
    <w:p w14:paraId="2D5FC104" w14:textId="77777777" w:rsidR="004D007F" w:rsidRDefault="004D007F">
      <w:pPr>
        <w:pStyle w:val="BodyText"/>
        <w:spacing w:before="6"/>
        <w:rPr>
          <w:rFonts w:ascii="Calibri"/>
          <w:b/>
          <w:sz w:val="24"/>
        </w:rPr>
      </w:pPr>
    </w:p>
    <w:p w14:paraId="4D7C911E" w14:textId="77777777" w:rsidR="004D007F" w:rsidRDefault="00EE6BAC">
      <w:pPr>
        <w:pStyle w:val="Heading1"/>
        <w:spacing w:before="0"/>
      </w:pPr>
      <w:r>
        <w:rPr>
          <w:rFonts w:ascii="Microsoft Sans Serif" w:hAnsi="Microsoft Sans Serif"/>
          <w:b w:val="0"/>
          <w:color w:val="2C74B5"/>
        </w:rPr>
        <w:t xml:space="preserve">→ </w:t>
      </w:r>
      <w:r>
        <w:rPr>
          <w:color w:val="2C74B5"/>
        </w:rPr>
        <w:t>Commitment 1: Focusing on Student Subgroups</w:t>
      </w:r>
    </w:p>
    <w:p w14:paraId="3ED7FD7F" w14:textId="77777777" w:rsidR="004D007F" w:rsidRDefault="00EE6BAC">
      <w:pPr>
        <w:pStyle w:val="Heading3"/>
        <w:spacing w:before="67" w:line="278" w:lineRule="exact"/>
        <w:ind w:right="1509"/>
      </w:pPr>
      <w:r>
        <w:rPr>
          <w:color w:val="1F3862"/>
        </w:rPr>
        <w:t>Which student groups will require focused support to ensure all students achieve at high levels in school and are successfully prepared for life?</w:t>
      </w:r>
    </w:p>
    <w:p w14:paraId="7F24C38E" w14:textId="77777777" w:rsidR="004D007F" w:rsidRDefault="004D007F">
      <w:pPr>
        <w:pStyle w:val="BodyText"/>
        <w:spacing w:before="9"/>
        <w:rPr>
          <w:rFonts w:ascii="Calibri"/>
          <w:b/>
        </w:rPr>
      </w:pPr>
    </w:p>
    <w:p w14:paraId="406F174C" w14:textId="77777777" w:rsidR="004D007F" w:rsidRDefault="00EE6BAC">
      <w:pPr>
        <w:pStyle w:val="BodyText"/>
        <w:ind w:left="100" w:right="279"/>
      </w:pPr>
      <w:r>
        <w:t>Boston Prep is committed to ensuring all of our students achieve success in school and after graduation. However, we recognize that not all student groups have experienced the same level of success in all areas to date. Based on a review of our data, we noted the following student sub-groups faced opportunity gaps, for which we are providing focused supports:</w:t>
      </w:r>
    </w:p>
    <w:p w14:paraId="00DD8A11" w14:textId="77777777" w:rsidR="004D007F" w:rsidRDefault="004D007F">
      <w:pPr>
        <w:pStyle w:val="BodyText"/>
        <w:spacing w:before="9"/>
        <w:rPr>
          <w:sz w:val="2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6930"/>
        <w:gridCol w:w="2155"/>
      </w:tblGrid>
      <w:tr w:rsidR="004D007F" w14:paraId="168A4EF4" w14:textId="77777777">
        <w:trPr>
          <w:trHeight w:hRule="exact" w:val="507"/>
        </w:trPr>
        <w:tc>
          <w:tcPr>
            <w:tcW w:w="1707" w:type="dxa"/>
          </w:tcPr>
          <w:p w14:paraId="4E065E47" w14:textId="77777777" w:rsidR="004D007F" w:rsidRDefault="00EE6BAC">
            <w:pPr>
              <w:pStyle w:val="TableParagraph"/>
              <w:spacing w:before="3"/>
              <w:ind w:right="373"/>
              <w:rPr>
                <w:b/>
              </w:rPr>
            </w:pPr>
            <w:r>
              <w:rPr>
                <w:b/>
              </w:rPr>
              <w:t>Student Sub- Group</w:t>
            </w:r>
          </w:p>
        </w:tc>
        <w:tc>
          <w:tcPr>
            <w:tcW w:w="6930" w:type="dxa"/>
          </w:tcPr>
          <w:p w14:paraId="655BBB29" w14:textId="77777777" w:rsidR="004D007F" w:rsidRDefault="00EE6BAC">
            <w:pPr>
              <w:pStyle w:val="TableParagraph"/>
              <w:spacing w:before="3"/>
              <w:ind w:left="100"/>
              <w:rPr>
                <w:b/>
              </w:rPr>
            </w:pPr>
            <w:r>
              <w:rPr>
                <w:b/>
              </w:rPr>
              <w:t>Opportunity Gap</w:t>
            </w:r>
          </w:p>
        </w:tc>
        <w:tc>
          <w:tcPr>
            <w:tcW w:w="2155" w:type="dxa"/>
          </w:tcPr>
          <w:p w14:paraId="0B27F262" w14:textId="77777777" w:rsidR="004D007F" w:rsidRDefault="00EE6BAC">
            <w:pPr>
              <w:pStyle w:val="TableParagraph"/>
              <w:spacing w:before="3"/>
              <w:rPr>
                <w:b/>
              </w:rPr>
            </w:pPr>
            <w:r>
              <w:rPr>
                <w:b/>
              </w:rPr>
              <w:t>Focused Support</w:t>
            </w:r>
          </w:p>
        </w:tc>
      </w:tr>
      <w:tr w:rsidR="004D007F" w14:paraId="466A9531" w14:textId="77777777">
        <w:trPr>
          <w:trHeight w:hRule="exact" w:val="2110"/>
        </w:trPr>
        <w:tc>
          <w:tcPr>
            <w:tcW w:w="1707" w:type="dxa"/>
          </w:tcPr>
          <w:p w14:paraId="5303A6B4" w14:textId="77777777" w:rsidR="004D007F" w:rsidRDefault="00EE6BAC">
            <w:pPr>
              <w:pStyle w:val="TableParagraph"/>
            </w:pPr>
            <w:r>
              <w:t>Male students</w:t>
            </w:r>
          </w:p>
        </w:tc>
        <w:tc>
          <w:tcPr>
            <w:tcW w:w="6930" w:type="dxa"/>
          </w:tcPr>
          <w:p w14:paraId="4E1F2CD8" w14:textId="77777777" w:rsidR="004D007F" w:rsidRDefault="00710C82">
            <w:pPr>
              <w:pStyle w:val="TableParagraph"/>
              <w:ind w:left="100" w:right="149"/>
            </w:pPr>
            <w:hyperlink r:id="rId7">
              <w:r w:rsidR="00EE6BAC">
                <w:rPr>
                  <w:color w:val="0000FF"/>
                  <w:u w:val="single" w:color="0000FF"/>
                </w:rPr>
                <w:t xml:space="preserve">Suspension rates </w:t>
              </w:r>
            </w:hyperlink>
            <w:r w:rsidR="00EE6BAC">
              <w:t>are higher for male students, on average, than for the general population:</w:t>
            </w:r>
          </w:p>
          <w:p w14:paraId="1D083210" w14:textId="77777777" w:rsidR="004D007F" w:rsidRDefault="00EE6BAC">
            <w:pPr>
              <w:pStyle w:val="TableParagraph"/>
              <w:numPr>
                <w:ilvl w:val="0"/>
                <w:numId w:val="6"/>
              </w:numPr>
              <w:tabs>
                <w:tab w:val="left" w:pos="820"/>
                <w:tab w:val="left" w:pos="821"/>
              </w:tabs>
              <w:spacing w:line="247" w:lineRule="exact"/>
            </w:pPr>
            <w:r>
              <w:t>Out of school</w:t>
            </w:r>
            <w:r>
              <w:rPr>
                <w:spacing w:val="-14"/>
              </w:rPr>
              <w:t xml:space="preserve"> </w:t>
            </w:r>
            <w:r>
              <w:t>suspensions:</w:t>
            </w:r>
          </w:p>
          <w:p w14:paraId="5E755040" w14:textId="77777777" w:rsidR="004D007F" w:rsidRDefault="00EE6BAC">
            <w:pPr>
              <w:pStyle w:val="TableParagraph"/>
              <w:numPr>
                <w:ilvl w:val="1"/>
                <w:numId w:val="6"/>
              </w:numPr>
              <w:tabs>
                <w:tab w:val="left" w:pos="1541"/>
                <w:tab w:val="left" w:pos="1542"/>
              </w:tabs>
              <w:spacing w:line="251" w:lineRule="exact"/>
            </w:pPr>
            <w:r>
              <w:t>All students:</w:t>
            </w:r>
            <w:r>
              <w:rPr>
                <w:spacing w:val="-5"/>
              </w:rPr>
              <w:t xml:space="preserve"> </w:t>
            </w:r>
            <w:r>
              <w:t>6.3%</w:t>
            </w:r>
          </w:p>
          <w:p w14:paraId="5594892E" w14:textId="77777777" w:rsidR="004D007F" w:rsidRDefault="00EE6BAC">
            <w:pPr>
              <w:pStyle w:val="TableParagraph"/>
              <w:numPr>
                <w:ilvl w:val="1"/>
                <w:numId w:val="6"/>
              </w:numPr>
              <w:tabs>
                <w:tab w:val="left" w:pos="1541"/>
                <w:tab w:val="left" w:pos="1542"/>
              </w:tabs>
              <w:spacing w:line="248" w:lineRule="exact"/>
            </w:pPr>
            <w:r>
              <w:t>Male students:</w:t>
            </w:r>
            <w:r>
              <w:rPr>
                <w:spacing w:val="-4"/>
              </w:rPr>
              <w:t xml:space="preserve"> </w:t>
            </w:r>
            <w:r>
              <w:t>10.2%</w:t>
            </w:r>
          </w:p>
          <w:p w14:paraId="3E5F930F" w14:textId="77777777" w:rsidR="004D007F" w:rsidRDefault="00EE6BAC">
            <w:pPr>
              <w:pStyle w:val="TableParagraph"/>
              <w:numPr>
                <w:ilvl w:val="0"/>
                <w:numId w:val="6"/>
              </w:numPr>
              <w:tabs>
                <w:tab w:val="left" w:pos="820"/>
                <w:tab w:val="left" w:pos="821"/>
              </w:tabs>
              <w:spacing w:line="244" w:lineRule="exact"/>
            </w:pPr>
            <w:r>
              <w:t>In-school</w:t>
            </w:r>
            <w:r>
              <w:rPr>
                <w:spacing w:val="-9"/>
              </w:rPr>
              <w:t xml:space="preserve"> </w:t>
            </w:r>
            <w:r>
              <w:t>suspensions:</w:t>
            </w:r>
          </w:p>
          <w:p w14:paraId="73998F1F" w14:textId="77777777" w:rsidR="004D007F" w:rsidRDefault="00EE6BAC">
            <w:pPr>
              <w:pStyle w:val="TableParagraph"/>
              <w:numPr>
                <w:ilvl w:val="1"/>
                <w:numId w:val="6"/>
              </w:numPr>
              <w:tabs>
                <w:tab w:val="left" w:pos="1541"/>
                <w:tab w:val="left" w:pos="1542"/>
              </w:tabs>
              <w:spacing w:line="251" w:lineRule="exact"/>
            </w:pPr>
            <w:r>
              <w:t>All students:</w:t>
            </w:r>
            <w:r>
              <w:rPr>
                <w:spacing w:val="-5"/>
              </w:rPr>
              <w:t xml:space="preserve"> </w:t>
            </w:r>
            <w:r>
              <w:t>8.3%</w:t>
            </w:r>
          </w:p>
          <w:p w14:paraId="65148EF2" w14:textId="77777777" w:rsidR="004D007F" w:rsidRDefault="00EE6BAC">
            <w:pPr>
              <w:pStyle w:val="TableParagraph"/>
              <w:numPr>
                <w:ilvl w:val="1"/>
                <w:numId w:val="6"/>
              </w:numPr>
              <w:tabs>
                <w:tab w:val="left" w:pos="1541"/>
                <w:tab w:val="left" w:pos="1542"/>
              </w:tabs>
              <w:spacing w:line="251" w:lineRule="exact"/>
            </w:pPr>
            <w:r>
              <w:t>Male students:</w:t>
            </w:r>
            <w:r>
              <w:rPr>
                <w:spacing w:val="-4"/>
              </w:rPr>
              <w:t xml:space="preserve"> </w:t>
            </w:r>
            <w:r>
              <w:t>12.2%</w:t>
            </w:r>
          </w:p>
        </w:tc>
        <w:tc>
          <w:tcPr>
            <w:tcW w:w="2155" w:type="dxa"/>
          </w:tcPr>
          <w:p w14:paraId="60BCCF53" w14:textId="77777777" w:rsidR="004D007F" w:rsidRDefault="00EE6BAC">
            <w:pPr>
              <w:pStyle w:val="TableParagraph"/>
            </w:pPr>
            <w:proofErr w:type="spellStart"/>
            <w:proofErr w:type="gramStart"/>
            <w:r>
              <w:t>Think:Kids</w:t>
            </w:r>
            <w:proofErr w:type="spellEnd"/>
            <w:proofErr w:type="gramEnd"/>
          </w:p>
        </w:tc>
      </w:tr>
      <w:tr w:rsidR="004D007F" w14:paraId="735FEB3E" w14:textId="77777777">
        <w:trPr>
          <w:trHeight w:hRule="exact" w:val="1121"/>
        </w:trPr>
        <w:tc>
          <w:tcPr>
            <w:tcW w:w="1707" w:type="dxa"/>
          </w:tcPr>
          <w:p w14:paraId="01EA642D" w14:textId="77777777" w:rsidR="004D007F" w:rsidRDefault="00EE6BAC">
            <w:pPr>
              <w:pStyle w:val="TableParagraph"/>
            </w:pPr>
            <w:r>
              <w:t>English learners</w:t>
            </w:r>
          </w:p>
        </w:tc>
        <w:tc>
          <w:tcPr>
            <w:tcW w:w="6930" w:type="dxa"/>
          </w:tcPr>
          <w:p w14:paraId="1811D0FE" w14:textId="77777777" w:rsidR="004D007F" w:rsidRDefault="00EE6BAC">
            <w:pPr>
              <w:pStyle w:val="TableParagraph"/>
              <w:ind w:left="100" w:right="785"/>
            </w:pPr>
            <w:r>
              <w:t xml:space="preserve">Our grade 9 course completion rates for English learners are lower, </w:t>
            </w:r>
            <w:hyperlink r:id="rId8">
              <w:r>
                <w:rPr>
                  <w:color w:val="0000FF"/>
                  <w:u w:val="single" w:color="0000FF"/>
                </w:rPr>
                <w:t>on</w:t>
              </w:r>
            </w:hyperlink>
            <w:r>
              <w:rPr>
                <w:color w:val="0000FF"/>
                <w:u w:val="single" w:color="0000FF"/>
              </w:rPr>
              <w:t xml:space="preserve"> </w:t>
            </w:r>
            <w:hyperlink r:id="rId9">
              <w:r>
                <w:rPr>
                  <w:color w:val="0000FF"/>
                  <w:u w:val="single" w:color="0000FF"/>
                </w:rPr>
                <w:t>average</w:t>
              </w:r>
              <w:r>
                <w:t>,</w:t>
              </w:r>
            </w:hyperlink>
            <w:r>
              <w:t xml:space="preserve"> than for the general population:</w:t>
            </w:r>
          </w:p>
          <w:p w14:paraId="7E8B4E0E" w14:textId="77777777" w:rsidR="004D007F" w:rsidRDefault="00EE6BAC">
            <w:pPr>
              <w:pStyle w:val="TableParagraph"/>
              <w:numPr>
                <w:ilvl w:val="0"/>
                <w:numId w:val="5"/>
              </w:numPr>
              <w:tabs>
                <w:tab w:val="left" w:pos="820"/>
                <w:tab w:val="left" w:pos="821"/>
              </w:tabs>
              <w:spacing w:line="247" w:lineRule="exact"/>
            </w:pPr>
            <w:r>
              <w:t>All students:</w:t>
            </w:r>
            <w:r>
              <w:rPr>
                <w:spacing w:val="-5"/>
              </w:rPr>
              <w:t xml:space="preserve"> </w:t>
            </w:r>
            <w:r>
              <w:t>79.1%</w:t>
            </w:r>
          </w:p>
          <w:p w14:paraId="413E5F41" w14:textId="77777777" w:rsidR="004D007F" w:rsidRDefault="00EE6BAC">
            <w:pPr>
              <w:pStyle w:val="TableParagraph"/>
              <w:numPr>
                <w:ilvl w:val="0"/>
                <w:numId w:val="5"/>
              </w:numPr>
              <w:tabs>
                <w:tab w:val="left" w:pos="820"/>
                <w:tab w:val="left" w:pos="821"/>
              </w:tabs>
              <w:spacing w:before="2"/>
            </w:pPr>
            <w:r>
              <w:t>English learners:</w:t>
            </w:r>
            <w:r>
              <w:rPr>
                <w:spacing w:val="-11"/>
              </w:rPr>
              <w:t xml:space="preserve"> </w:t>
            </w:r>
            <w:r>
              <w:t>66.7%</w:t>
            </w:r>
          </w:p>
        </w:tc>
        <w:tc>
          <w:tcPr>
            <w:tcW w:w="2155" w:type="dxa"/>
          </w:tcPr>
          <w:p w14:paraId="10D9174F" w14:textId="77777777" w:rsidR="004D007F" w:rsidRDefault="00EE6BAC">
            <w:pPr>
              <w:pStyle w:val="TableParagraph"/>
              <w:ind w:right="418"/>
            </w:pPr>
            <w:r>
              <w:t>Expanded learning time</w:t>
            </w:r>
          </w:p>
        </w:tc>
      </w:tr>
      <w:tr w:rsidR="004D007F" w14:paraId="1B84714E" w14:textId="77777777">
        <w:trPr>
          <w:trHeight w:hRule="exact" w:val="1118"/>
        </w:trPr>
        <w:tc>
          <w:tcPr>
            <w:tcW w:w="1707" w:type="dxa"/>
          </w:tcPr>
          <w:p w14:paraId="41D0968B" w14:textId="77777777" w:rsidR="004D007F" w:rsidRDefault="00EE6BAC">
            <w:pPr>
              <w:pStyle w:val="TableParagraph"/>
              <w:ind w:right="375"/>
            </w:pPr>
            <w:proofErr w:type="gramStart"/>
            <w:r>
              <w:t>Economically disadvantaged</w:t>
            </w:r>
            <w:proofErr w:type="gramEnd"/>
          </w:p>
        </w:tc>
        <w:tc>
          <w:tcPr>
            <w:tcW w:w="6930" w:type="dxa"/>
          </w:tcPr>
          <w:p w14:paraId="7A2C376C" w14:textId="77777777" w:rsidR="004D007F" w:rsidRDefault="00EE6BAC">
            <w:pPr>
              <w:pStyle w:val="TableParagraph"/>
              <w:ind w:left="100" w:right="573"/>
            </w:pPr>
            <w:r>
              <w:t>Our college attendance rates for economically disadvantaged students are lower</w:t>
            </w:r>
            <w:hyperlink r:id="rId10">
              <w:r>
                <w:rPr>
                  <w:color w:val="0000FF"/>
                  <w:u w:val="single" w:color="0000FF"/>
                </w:rPr>
                <w:t>, on average</w:t>
              </w:r>
              <w:r>
                <w:t>,</w:t>
              </w:r>
            </w:hyperlink>
            <w:r>
              <w:t xml:space="preserve"> than for the general population:</w:t>
            </w:r>
          </w:p>
          <w:p w14:paraId="0D571DC7" w14:textId="77777777" w:rsidR="004D007F" w:rsidRDefault="00EE6BAC">
            <w:pPr>
              <w:pStyle w:val="TableParagraph"/>
              <w:numPr>
                <w:ilvl w:val="0"/>
                <w:numId w:val="4"/>
              </w:numPr>
              <w:tabs>
                <w:tab w:val="left" w:pos="820"/>
                <w:tab w:val="left" w:pos="821"/>
              </w:tabs>
              <w:spacing w:line="247" w:lineRule="exact"/>
            </w:pPr>
            <w:r>
              <w:t>All students:</w:t>
            </w:r>
            <w:r>
              <w:rPr>
                <w:spacing w:val="-5"/>
              </w:rPr>
              <w:t xml:space="preserve"> </w:t>
            </w:r>
            <w:r>
              <w:t>94.8%</w:t>
            </w:r>
          </w:p>
          <w:p w14:paraId="621E125D" w14:textId="77777777" w:rsidR="004D007F" w:rsidRDefault="00EE6BAC">
            <w:pPr>
              <w:pStyle w:val="TableParagraph"/>
              <w:numPr>
                <w:ilvl w:val="0"/>
                <w:numId w:val="4"/>
              </w:numPr>
              <w:tabs>
                <w:tab w:val="left" w:pos="820"/>
                <w:tab w:val="left" w:pos="821"/>
              </w:tabs>
            </w:pPr>
            <w:proofErr w:type="gramStart"/>
            <w:r>
              <w:t>Economically disadvantaged</w:t>
            </w:r>
            <w:proofErr w:type="gramEnd"/>
            <w:r>
              <w:t>:</w:t>
            </w:r>
            <w:r>
              <w:rPr>
                <w:spacing w:val="-11"/>
              </w:rPr>
              <w:t xml:space="preserve"> </w:t>
            </w:r>
            <w:r>
              <w:t>88.5%</w:t>
            </w:r>
          </w:p>
        </w:tc>
        <w:tc>
          <w:tcPr>
            <w:tcW w:w="2155" w:type="dxa"/>
          </w:tcPr>
          <w:p w14:paraId="36B36708" w14:textId="77777777" w:rsidR="004D007F" w:rsidRDefault="00EE6BAC">
            <w:pPr>
              <w:pStyle w:val="TableParagraph"/>
            </w:pPr>
            <w:r>
              <w:t>Persistence Project</w:t>
            </w:r>
          </w:p>
        </w:tc>
      </w:tr>
    </w:tbl>
    <w:p w14:paraId="42FB772E" w14:textId="77777777" w:rsidR="004D007F" w:rsidRDefault="004D007F">
      <w:pPr>
        <w:pStyle w:val="BodyText"/>
        <w:spacing w:before="10"/>
        <w:rPr>
          <w:sz w:val="23"/>
        </w:rPr>
      </w:pPr>
    </w:p>
    <w:p w14:paraId="4418023E" w14:textId="77777777" w:rsidR="004D007F" w:rsidRDefault="00EE6BAC">
      <w:pPr>
        <w:pStyle w:val="BodyText"/>
        <w:spacing w:line="242" w:lineRule="auto"/>
        <w:ind w:left="100" w:right="199"/>
      </w:pPr>
      <w:r>
        <w:t>We are committing to intensive work to close opportunity gaps for these student subgroups and recognize that this important work will take not just the efforts of school staff, but also our families and community.</w:t>
      </w:r>
    </w:p>
    <w:p w14:paraId="681AD8E4" w14:textId="77777777" w:rsidR="004D007F" w:rsidRDefault="004D007F">
      <w:pPr>
        <w:pStyle w:val="BodyText"/>
        <w:spacing w:before="2"/>
        <w:rPr>
          <w:sz w:val="23"/>
        </w:rPr>
      </w:pPr>
    </w:p>
    <w:p w14:paraId="68FF90E5" w14:textId="77777777" w:rsidR="004D007F" w:rsidRDefault="00EE6BAC">
      <w:pPr>
        <w:tabs>
          <w:tab w:val="left" w:pos="2980"/>
        </w:tabs>
        <w:ind w:left="100"/>
        <w:rPr>
          <w:rFonts w:ascii="Microsoft Sans Serif"/>
          <w:sz w:val="26"/>
        </w:rPr>
      </w:pPr>
      <w:r>
        <w:rPr>
          <w:rFonts w:ascii="Microsoft Sans Serif"/>
          <w:color w:val="2C74B5"/>
          <w:w w:val="99"/>
          <w:sz w:val="26"/>
        </w:rPr>
        <w:t xml:space="preserve"> </w:t>
      </w:r>
      <w:r>
        <w:rPr>
          <w:rFonts w:ascii="Microsoft Sans Serif"/>
          <w:color w:val="2C74B5"/>
          <w:sz w:val="26"/>
        </w:rPr>
        <w:tab/>
      </w:r>
      <w:r>
        <w:rPr>
          <w:rFonts w:ascii="Microsoft Sans Serif"/>
          <w:color w:val="2C74B5"/>
          <w:w w:val="99"/>
          <w:sz w:val="26"/>
        </w:rPr>
        <w:t xml:space="preserve"> </w:t>
      </w:r>
    </w:p>
    <w:p w14:paraId="2F669AE0" w14:textId="77777777" w:rsidR="004D007F" w:rsidRDefault="004D007F">
      <w:pPr>
        <w:rPr>
          <w:rFonts w:ascii="Microsoft Sans Serif"/>
          <w:sz w:val="26"/>
        </w:rPr>
        <w:sectPr w:rsidR="004D007F">
          <w:type w:val="continuous"/>
          <w:pgSz w:w="12240" w:h="15840"/>
          <w:pgMar w:top="720" w:right="600" w:bottom="280" w:left="620" w:header="720" w:footer="720" w:gutter="0"/>
          <w:cols w:space="720"/>
        </w:sectPr>
      </w:pPr>
    </w:p>
    <w:p w14:paraId="0E505C9E" w14:textId="77777777" w:rsidR="004D007F" w:rsidRDefault="00EE6BAC">
      <w:pPr>
        <w:pStyle w:val="Heading1"/>
      </w:pPr>
      <w:r>
        <w:rPr>
          <w:rFonts w:ascii="Microsoft Sans Serif" w:hAnsi="Microsoft Sans Serif"/>
          <w:b w:val="0"/>
          <w:color w:val="2C74B5"/>
        </w:rPr>
        <w:lastRenderedPageBreak/>
        <w:t xml:space="preserve">→ </w:t>
      </w:r>
      <w:r>
        <w:rPr>
          <w:color w:val="2C74B5"/>
        </w:rPr>
        <w:t>Commitment 2: Using Evidence-Based Programs to Close Gaps</w:t>
      </w:r>
    </w:p>
    <w:p w14:paraId="3BFDD9B0" w14:textId="77777777" w:rsidR="004D007F" w:rsidRDefault="00EE6BAC">
      <w:pPr>
        <w:pStyle w:val="Heading3"/>
        <w:ind w:right="919"/>
      </w:pPr>
      <w:r>
        <w:rPr>
          <w:color w:val="1F3862"/>
        </w:rPr>
        <w:t>What evidence-based programs will your charter school adopt, deepen, or continue to best support the closure of achievement and opportunity gaps? What resources will be allocated to these programs?</w:t>
      </w:r>
    </w:p>
    <w:p w14:paraId="149508EF" w14:textId="77777777" w:rsidR="004D007F" w:rsidRDefault="004D007F">
      <w:pPr>
        <w:pStyle w:val="BodyText"/>
        <w:spacing w:before="3"/>
        <w:rPr>
          <w:rFonts w:ascii="Calibri"/>
          <w:b/>
        </w:rPr>
      </w:pPr>
    </w:p>
    <w:p w14:paraId="3484840E" w14:textId="77777777" w:rsidR="004D007F" w:rsidRDefault="00EE6BAC">
      <w:pPr>
        <w:pStyle w:val="BodyText"/>
        <w:ind w:left="207" w:right="686"/>
      </w:pPr>
      <w:r>
        <w:t>Within the last few years, Boston Prep has begun to adopt several strategies focused on meeting the needs of the specific student sub-groups referenced above. Alongside several other ongoing strategies to ensure the success of all of our students, we intend to continue and deepen our work on three important initiatives that are already underway:</w:t>
      </w:r>
    </w:p>
    <w:p w14:paraId="5ACACEA6" w14:textId="77777777" w:rsidR="004D007F" w:rsidRDefault="004D007F">
      <w:pPr>
        <w:pStyle w:val="BodyText"/>
        <w:spacing w:before="10"/>
        <w:rPr>
          <w:sz w:val="2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0"/>
        <w:gridCol w:w="1356"/>
        <w:gridCol w:w="2972"/>
        <w:gridCol w:w="3459"/>
        <w:gridCol w:w="1486"/>
      </w:tblGrid>
      <w:tr w:rsidR="004D007F" w14:paraId="558166D6" w14:textId="77777777">
        <w:trPr>
          <w:trHeight w:hRule="exact" w:val="754"/>
        </w:trPr>
        <w:tc>
          <w:tcPr>
            <w:tcW w:w="1520" w:type="dxa"/>
          </w:tcPr>
          <w:p w14:paraId="31668DAC" w14:textId="77777777" w:rsidR="004D007F" w:rsidRDefault="00EE6BAC">
            <w:pPr>
              <w:pStyle w:val="TableParagraph"/>
              <w:spacing w:before="2"/>
              <w:ind w:right="186"/>
              <w:rPr>
                <w:b/>
              </w:rPr>
            </w:pPr>
            <w:r>
              <w:rPr>
                <w:b/>
              </w:rPr>
              <w:t>Student Sub- Group</w:t>
            </w:r>
          </w:p>
        </w:tc>
        <w:tc>
          <w:tcPr>
            <w:tcW w:w="1356" w:type="dxa"/>
          </w:tcPr>
          <w:p w14:paraId="4655D162" w14:textId="77777777" w:rsidR="004D007F" w:rsidRDefault="00EE6BAC">
            <w:pPr>
              <w:pStyle w:val="TableParagraph"/>
              <w:spacing w:before="2"/>
              <w:ind w:right="432"/>
              <w:rPr>
                <w:b/>
              </w:rPr>
            </w:pPr>
            <w:r>
              <w:rPr>
                <w:b/>
              </w:rPr>
              <w:t>Focused Support</w:t>
            </w:r>
          </w:p>
        </w:tc>
        <w:tc>
          <w:tcPr>
            <w:tcW w:w="2972" w:type="dxa"/>
          </w:tcPr>
          <w:p w14:paraId="654E6488" w14:textId="77777777" w:rsidR="004D007F" w:rsidRDefault="00EE6BAC">
            <w:pPr>
              <w:pStyle w:val="TableParagraph"/>
              <w:spacing w:before="2"/>
              <w:rPr>
                <w:b/>
              </w:rPr>
            </w:pPr>
            <w:r>
              <w:rPr>
                <w:b/>
              </w:rPr>
              <w:t>SY21 Summary</w:t>
            </w:r>
          </w:p>
        </w:tc>
        <w:tc>
          <w:tcPr>
            <w:tcW w:w="3459" w:type="dxa"/>
          </w:tcPr>
          <w:p w14:paraId="0B739DA3" w14:textId="77777777" w:rsidR="004D007F" w:rsidRDefault="00EE6BAC">
            <w:pPr>
              <w:pStyle w:val="TableParagraph"/>
              <w:spacing w:before="2"/>
              <w:ind w:left="100"/>
              <w:rPr>
                <w:b/>
              </w:rPr>
            </w:pPr>
            <w:r>
              <w:rPr>
                <w:b/>
              </w:rPr>
              <w:t>Expected Changes, SY21-SY23</w:t>
            </w:r>
          </w:p>
        </w:tc>
        <w:tc>
          <w:tcPr>
            <w:tcW w:w="1486" w:type="dxa"/>
          </w:tcPr>
          <w:p w14:paraId="6D731CBA" w14:textId="77777777" w:rsidR="004D007F" w:rsidRDefault="00EE6BAC">
            <w:pPr>
              <w:pStyle w:val="TableParagraph"/>
              <w:spacing w:before="2" w:line="247" w:lineRule="exact"/>
              <w:rPr>
                <w:b/>
              </w:rPr>
            </w:pPr>
            <w:r>
              <w:rPr>
                <w:b/>
              </w:rPr>
              <w:t>SOA</w:t>
            </w:r>
          </w:p>
          <w:p w14:paraId="7421F358" w14:textId="77777777" w:rsidR="004D007F" w:rsidRDefault="00EE6BAC">
            <w:pPr>
              <w:pStyle w:val="TableParagraph"/>
              <w:ind w:right="163"/>
              <w:rPr>
                <w:b/>
              </w:rPr>
            </w:pPr>
            <w:r>
              <w:rPr>
                <w:b/>
              </w:rPr>
              <w:t>Category (A- I)</w:t>
            </w:r>
          </w:p>
        </w:tc>
      </w:tr>
      <w:tr w:rsidR="004D007F" w14:paraId="172876D2" w14:textId="77777777">
        <w:trPr>
          <w:trHeight w:hRule="exact" w:val="1743"/>
        </w:trPr>
        <w:tc>
          <w:tcPr>
            <w:tcW w:w="1520" w:type="dxa"/>
          </w:tcPr>
          <w:p w14:paraId="605300EC" w14:textId="77777777" w:rsidR="004D007F" w:rsidRDefault="00EE6BAC">
            <w:pPr>
              <w:pStyle w:val="TableParagraph"/>
            </w:pPr>
            <w:r>
              <w:t>Male students</w:t>
            </w:r>
          </w:p>
        </w:tc>
        <w:tc>
          <w:tcPr>
            <w:tcW w:w="1356" w:type="dxa"/>
          </w:tcPr>
          <w:p w14:paraId="6B574E20" w14:textId="77777777" w:rsidR="004D007F" w:rsidRDefault="00EE6BAC">
            <w:pPr>
              <w:pStyle w:val="TableParagraph"/>
            </w:pPr>
            <w:proofErr w:type="spellStart"/>
            <w:proofErr w:type="gramStart"/>
            <w:r>
              <w:t>Think:Kids</w:t>
            </w:r>
            <w:proofErr w:type="spellEnd"/>
            <w:proofErr w:type="gramEnd"/>
          </w:p>
        </w:tc>
        <w:tc>
          <w:tcPr>
            <w:tcW w:w="2972" w:type="dxa"/>
          </w:tcPr>
          <w:p w14:paraId="0F5D0D27" w14:textId="77777777" w:rsidR="004D007F" w:rsidRDefault="00EE6BAC">
            <w:pPr>
              <w:pStyle w:val="TableParagraph"/>
              <w:ind w:right="199"/>
            </w:pPr>
            <w:r>
              <w:t xml:space="preserve">We are implementing </w:t>
            </w:r>
            <w:proofErr w:type="spellStart"/>
            <w:proofErr w:type="gramStart"/>
            <w:r>
              <w:t>Think:Kids</w:t>
            </w:r>
            <w:proofErr w:type="spellEnd"/>
            <w:proofErr w:type="gramEnd"/>
            <w:r>
              <w:t xml:space="preserve"> as a behavioral and SEL strategy in grades 6-12.</w:t>
            </w:r>
          </w:p>
        </w:tc>
        <w:tc>
          <w:tcPr>
            <w:tcW w:w="3459" w:type="dxa"/>
          </w:tcPr>
          <w:p w14:paraId="7FCE3774" w14:textId="77777777" w:rsidR="004D007F" w:rsidRDefault="00EE6BAC">
            <w:pPr>
              <w:pStyle w:val="TableParagraph"/>
              <w:ind w:left="100" w:right="121"/>
            </w:pPr>
            <w:r>
              <w:t xml:space="preserve">We are working to get teachers trained in the </w:t>
            </w:r>
            <w:proofErr w:type="spellStart"/>
            <w:proofErr w:type="gramStart"/>
            <w:r>
              <w:t>Think:Kids</w:t>
            </w:r>
            <w:proofErr w:type="spellEnd"/>
            <w:proofErr w:type="gramEnd"/>
            <w:r>
              <w:t xml:space="preserve"> certification program. Once we have certified teachers, we can begin to transition some of the training and teacher- coaching on collaborative problem solving in-house.</w:t>
            </w:r>
          </w:p>
        </w:tc>
        <w:tc>
          <w:tcPr>
            <w:tcW w:w="1486" w:type="dxa"/>
          </w:tcPr>
          <w:p w14:paraId="25325660" w14:textId="77777777" w:rsidR="004D007F" w:rsidRDefault="00EE6BAC">
            <w:pPr>
              <w:pStyle w:val="TableParagraph"/>
            </w:pPr>
            <w:r>
              <w:t>C</w:t>
            </w:r>
          </w:p>
        </w:tc>
      </w:tr>
      <w:tr w:rsidR="004D007F" w14:paraId="675A8BF4" w14:textId="77777777">
        <w:trPr>
          <w:trHeight w:hRule="exact" w:val="1248"/>
        </w:trPr>
        <w:tc>
          <w:tcPr>
            <w:tcW w:w="1520" w:type="dxa"/>
          </w:tcPr>
          <w:p w14:paraId="066316E2" w14:textId="77777777" w:rsidR="004D007F" w:rsidRDefault="00EE6BAC">
            <w:pPr>
              <w:pStyle w:val="TableParagraph"/>
              <w:ind w:right="724"/>
            </w:pPr>
            <w:r>
              <w:t>English learners</w:t>
            </w:r>
          </w:p>
        </w:tc>
        <w:tc>
          <w:tcPr>
            <w:tcW w:w="1356" w:type="dxa"/>
          </w:tcPr>
          <w:p w14:paraId="22717F3F" w14:textId="77777777" w:rsidR="004D007F" w:rsidRDefault="00EE6BAC">
            <w:pPr>
              <w:pStyle w:val="TableParagraph"/>
              <w:ind w:right="114"/>
            </w:pPr>
            <w:r>
              <w:t>Expanded learning time</w:t>
            </w:r>
          </w:p>
        </w:tc>
        <w:tc>
          <w:tcPr>
            <w:tcW w:w="2972" w:type="dxa"/>
          </w:tcPr>
          <w:p w14:paraId="772B4EA1" w14:textId="77777777" w:rsidR="004D007F" w:rsidRDefault="00EE6BAC">
            <w:pPr>
              <w:pStyle w:val="TableParagraph"/>
              <w:ind w:right="461"/>
            </w:pPr>
            <w:r>
              <w:t>Boston Prep operates on an extended school day and extended school year.</w:t>
            </w:r>
          </w:p>
        </w:tc>
        <w:tc>
          <w:tcPr>
            <w:tcW w:w="3459" w:type="dxa"/>
          </w:tcPr>
          <w:p w14:paraId="53745FE9" w14:textId="77777777" w:rsidR="004D007F" w:rsidRDefault="00EE6BAC">
            <w:pPr>
              <w:pStyle w:val="TableParagraph"/>
              <w:ind w:left="100" w:right="162"/>
            </w:pPr>
            <w:r>
              <w:t xml:space="preserve">Boston Prep will continue to operate on an extended school day and extended school </w:t>
            </w:r>
            <w:proofErr w:type="gramStart"/>
            <w:r>
              <w:t>year, and</w:t>
            </w:r>
            <w:proofErr w:type="gramEnd"/>
            <w:r>
              <w:t xml:space="preserve"> will ensure that our use of time is aligned to student needs.</w:t>
            </w:r>
          </w:p>
        </w:tc>
        <w:tc>
          <w:tcPr>
            <w:tcW w:w="1486" w:type="dxa"/>
          </w:tcPr>
          <w:p w14:paraId="32905D5D" w14:textId="77777777" w:rsidR="004D007F" w:rsidRDefault="00EE6BAC">
            <w:pPr>
              <w:pStyle w:val="TableParagraph"/>
            </w:pPr>
            <w:r>
              <w:t>A</w:t>
            </w:r>
          </w:p>
        </w:tc>
      </w:tr>
      <w:tr w:rsidR="004D007F" w14:paraId="3DB68C20" w14:textId="77777777">
        <w:trPr>
          <w:trHeight w:hRule="exact" w:val="2734"/>
        </w:trPr>
        <w:tc>
          <w:tcPr>
            <w:tcW w:w="1520" w:type="dxa"/>
          </w:tcPr>
          <w:p w14:paraId="17B8014F" w14:textId="77777777" w:rsidR="004D007F" w:rsidRDefault="00EE6BAC">
            <w:pPr>
              <w:pStyle w:val="TableParagraph"/>
              <w:ind w:right="188"/>
            </w:pPr>
            <w:proofErr w:type="gramStart"/>
            <w:r>
              <w:t>Economically disadvantaged</w:t>
            </w:r>
            <w:proofErr w:type="gramEnd"/>
          </w:p>
        </w:tc>
        <w:tc>
          <w:tcPr>
            <w:tcW w:w="1356" w:type="dxa"/>
          </w:tcPr>
          <w:p w14:paraId="0916FC3C" w14:textId="77777777" w:rsidR="004D007F" w:rsidRDefault="00EE6BAC">
            <w:pPr>
              <w:pStyle w:val="TableParagraph"/>
              <w:ind w:right="272"/>
            </w:pPr>
            <w:r>
              <w:t>Persistence Project</w:t>
            </w:r>
          </w:p>
        </w:tc>
        <w:tc>
          <w:tcPr>
            <w:tcW w:w="2972" w:type="dxa"/>
          </w:tcPr>
          <w:p w14:paraId="51D736AE" w14:textId="77777777" w:rsidR="004D007F" w:rsidRDefault="00EE6BAC">
            <w:pPr>
              <w:pStyle w:val="TableParagraph"/>
              <w:ind w:right="103"/>
            </w:pPr>
            <w:r>
              <w:t xml:space="preserve">Boston Prep provides college preparatory guidance counseling to students beginning in grade </w:t>
            </w:r>
            <w:proofErr w:type="gramStart"/>
            <w:r>
              <w:t>9, and</w:t>
            </w:r>
            <w:proofErr w:type="gramEnd"/>
            <w:r>
              <w:t xml:space="preserve"> continuing through the first years of</w:t>
            </w:r>
            <w:r>
              <w:rPr>
                <w:spacing w:val="-9"/>
              </w:rPr>
              <w:t xml:space="preserve"> </w:t>
            </w:r>
            <w:r>
              <w:t>college.</w:t>
            </w:r>
          </w:p>
        </w:tc>
        <w:tc>
          <w:tcPr>
            <w:tcW w:w="3459" w:type="dxa"/>
          </w:tcPr>
          <w:p w14:paraId="4859837B" w14:textId="77777777" w:rsidR="004D007F" w:rsidRDefault="00EE6BAC">
            <w:pPr>
              <w:pStyle w:val="TableParagraph"/>
              <w:ind w:left="100" w:right="112"/>
            </w:pPr>
            <w:r>
              <w:t xml:space="preserve">Boston Prep will continue to provide these </w:t>
            </w:r>
            <w:proofErr w:type="gramStart"/>
            <w:r>
              <w:t>supports, and</w:t>
            </w:r>
            <w:proofErr w:type="gramEnd"/>
            <w:r>
              <w:t xml:space="preserve"> will continue building out its data set to understand the set of factors that influence our alumni’s ability to persist to and through college. We will use this data set to reflect on what is working, and what additional supports might be needed, particularly for the Boston Prep students and alumni who face the most significant challenges.</w:t>
            </w:r>
          </w:p>
        </w:tc>
        <w:tc>
          <w:tcPr>
            <w:tcW w:w="1486" w:type="dxa"/>
          </w:tcPr>
          <w:p w14:paraId="2D15F075" w14:textId="77777777" w:rsidR="004D007F" w:rsidRDefault="00EE6BAC">
            <w:pPr>
              <w:pStyle w:val="TableParagraph"/>
            </w:pPr>
            <w:r>
              <w:t>I</w:t>
            </w:r>
          </w:p>
        </w:tc>
      </w:tr>
    </w:tbl>
    <w:p w14:paraId="1F2A7661" w14:textId="77777777" w:rsidR="004D007F" w:rsidRDefault="004D007F">
      <w:pPr>
        <w:sectPr w:rsidR="004D007F">
          <w:footerReference w:type="default" r:id="rId11"/>
          <w:pgSz w:w="12240" w:h="15840"/>
          <w:pgMar w:top="640" w:right="600" w:bottom="1160" w:left="620" w:header="0" w:footer="965" w:gutter="0"/>
          <w:pgNumType w:start="2"/>
          <w:cols w:space="720"/>
        </w:sectPr>
      </w:pPr>
    </w:p>
    <w:p w14:paraId="3B0C170B" w14:textId="77777777" w:rsidR="004D007F" w:rsidRDefault="00EE6BAC">
      <w:pPr>
        <w:pStyle w:val="Heading4"/>
        <w:spacing w:before="80"/>
        <w:ind w:left="120"/>
        <w:jc w:val="both"/>
        <w:rPr>
          <w:rFonts w:ascii="Garamond"/>
        </w:rPr>
      </w:pPr>
      <w:r>
        <w:rPr>
          <w:rFonts w:ascii="Garamond"/>
        </w:rPr>
        <w:lastRenderedPageBreak/>
        <w:t>Budget Tables for Programs to Close Gaps</w:t>
      </w:r>
    </w:p>
    <w:p w14:paraId="59DCD67D" w14:textId="77777777" w:rsidR="004D007F" w:rsidRDefault="004D007F">
      <w:pPr>
        <w:pStyle w:val="BodyText"/>
        <w:spacing w:before="10"/>
        <w:rPr>
          <w:b/>
          <w:sz w:val="21"/>
        </w:rPr>
      </w:pPr>
    </w:p>
    <w:tbl>
      <w:tblPr>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3"/>
        <w:gridCol w:w="1759"/>
        <w:gridCol w:w="5663"/>
      </w:tblGrid>
      <w:tr w:rsidR="004D007F" w14:paraId="2EFE4602" w14:textId="77777777">
        <w:trPr>
          <w:trHeight w:hRule="exact" w:val="293"/>
        </w:trPr>
        <w:tc>
          <w:tcPr>
            <w:tcW w:w="3083" w:type="dxa"/>
            <w:shd w:val="clear" w:color="auto" w:fill="D9D9D9"/>
          </w:tcPr>
          <w:p w14:paraId="081D5CEB" w14:textId="77777777" w:rsidR="004D007F" w:rsidRDefault="00EE6BAC">
            <w:pPr>
              <w:pStyle w:val="TableParagraph"/>
              <w:spacing w:line="233" w:lineRule="exact"/>
              <w:ind w:left="100"/>
              <w:rPr>
                <w:b/>
              </w:rPr>
            </w:pPr>
            <w:r>
              <w:rPr>
                <w:b/>
              </w:rPr>
              <w:t>FY21 budget item</w:t>
            </w:r>
          </w:p>
        </w:tc>
        <w:tc>
          <w:tcPr>
            <w:tcW w:w="1759" w:type="dxa"/>
            <w:shd w:val="clear" w:color="auto" w:fill="D9D9D9"/>
          </w:tcPr>
          <w:p w14:paraId="69825F3D" w14:textId="77777777" w:rsidR="004D007F" w:rsidRDefault="00EE6BAC">
            <w:pPr>
              <w:pStyle w:val="TableParagraph"/>
              <w:spacing w:line="233" w:lineRule="exact"/>
              <w:rPr>
                <w:b/>
              </w:rPr>
            </w:pPr>
            <w:r>
              <w:rPr>
                <w:b/>
              </w:rPr>
              <w:t>Amount</w:t>
            </w:r>
          </w:p>
        </w:tc>
        <w:tc>
          <w:tcPr>
            <w:tcW w:w="5663" w:type="dxa"/>
            <w:shd w:val="clear" w:color="auto" w:fill="D9D9D9"/>
          </w:tcPr>
          <w:p w14:paraId="498C8605" w14:textId="77777777" w:rsidR="004D007F" w:rsidRDefault="00EE6BAC">
            <w:pPr>
              <w:pStyle w:val="TableParagraph"/>
              <w:spacing w:line="233" w:lineRule="exact"/>
              <w:ind w:left="105"/>
              <w:rPr>
                <w:b/>
                <w:sz w:val="14"/>
              </w:rPr>
            </w:pPr>
            <w:r>
              <w:rPr>
                <w:b/>
              </w:rPr>
              <w:t>Foundation Category</w:t>
            </w:r>
            <w:r>
              <w:rPr>
                <w:b/>
                <w:position w:val="5"/>
                <w:sz w:val="14"/>
              </w:rPr>
              <w:t>1</w:t>
            </w:r>
          </w:p>
        </w:tc>
      </w:tr>
      <w:tr w:rsidR="004D007F" w14:paraId="43F1C49B" w14:textId="77777777">
        <w:trPr>
          <w:trHeight w:hRule="exact" w:val="296"/>
        </w:trPr>
        <w:tc>
          <w:tcPr>
            <w:tcW w:w="3083" w:type="dxa"/>
            <w:tcBorders>
              <w:top w:val="single" w:sz="29" w:space="0" w:color="D9D9D9"/>
              <w:bottom w:val="single" w:sz="8" w:space="0" w:color="000000"/>
            </w:tcBorders>
          </w:tcPr>
          <w:p w14:paraId="6BD08C8C" w14:textId="77777777" w:rsidR="004D007F" w:rsidRDefault="00EE6BAC">
            <w:pPr>
              <w:pStyle w:val="TableParagraph"/>
              <w:spacing w:line="217" w:lineRule="exact"/>
              <w:ind w:left="0"/>
            </w:pPr>
            <w:proofErr w:type="spellStart"/>
            <w:proofErr w:type="gramStart"/>
            <w:r>
              <w:t>Think:Kids</w:t>
            </w:r>
            <w:proofErr w:type="spellEnd"/>
            <w:proofErr w:type="gramEnd"/>
          </w:p>
        </w:tc>
        <w:tc>
          <w:tcPr>
            <w:tcW w:w="1759" w:type="dxa"/>
            <w:tcBorders>
              <w:top w:val="single" w:sz="29" w:space="0" w:color="D9D9D9"/>
              <w:bottom w:val="single" w:sz="8" w:space="0" w:color="000000"/>
            </w:tcBorders>
          </w:tcPr>
          <w:p w14:paraId="3AACBE30" w14:textId="77777777" w:rsidR="004D007F" w:rsidRDefault="00EE6BAC">
            <w:pPr>
              <w:pStyle w:val="TableParagraph"/>
              <w:spacing w:line="217" w:lineRule="exact"/>
              <w:ind w:left="0"/>
            </w:pPr>
            <w:r>
              <w:t>$50,000</w:t>
            </w:r>
          </w:p>
        </w:tc>
        <w:tc>
          <w:tcPr>
            <w:tcW w:w="5663" w:type="dxa"/>
            <w:tcBorders>
              <w:top w:val="single" w:sz="29" w:space="0" w:color="D9D9D9"/>
              <w:bottom w:val="single" w:sz="8" w:space="0" w:color="000000"/>
            </w:tcBorders>
          </w:tcPr>
          <w:p w14:paraId="1008FD80" w14:textId="77777777" w:rsidR="004D007F" w:rsidRDefault="00EE6BAC">
            <w:pPr>
              <w:pStyle w:val="TableParagraph"/>
              <w:spacing w:line="217" w:lineRule="exact"/>
              <w:ind w:left="0"/>
            </w:pPr>
            <w:r>
              <w:t>Professional Development</w:t>
            </w:r>
          </w:p>
        </w:tc>
      </w:tr>
      <w:tr w:rsidR="004D007F" w14:paraId="7C30E13F" w14:textId="77777777">
        <w:trPr>
          <w:trHeight w:hRule="exact" w:val="646"/>
        </w:trPr>
        <w:tc>
          <w:tcPr>
            <w:tcW w:w="4842" w:type="dxa"/>
            <w:gridSpan w:val="2"/>
            <w:tcBorders>
              <w:top w:val="single" w:sz="8" w:space="0" w:color="000000"/>
            </w:tcBorders>
            <w:shd w:val="clear" w:color="auto" w:fill="D9D9D9"/>
          </w:tcPr>
          <w:p w14:paraId="2D10557D" w14:textId="77777777" w:rsidR="004D007F" w:rsidRDefault="00EE6BAC">
            <w:pPr>
              <w:pStyle w:val="TableParagraph"/>
              <w:spacing w:before="3" w:line="218" w:lineRule="exact"/>
              <w:ind w:left="100" w:right="797"/>
              <w:rPr>
                <w:b/>
              </w:rPr>
            </w:pPr>
            <w:r>
              <w:rPr>
                <w:b/>
              </w:rPr>
              <w:t>Evidence-based program identified by the Department:</w:t>
            </w:r>
          </w:p>
        </w:tc>
        <w:tc>
          <w:tcPr>
            <w:tcW w:w="5663" w:type="dxa"/>
            <w:tcBorders>
              <w:top w:val="single" w:sz="8" w:space="0" w:color="000000"/>
            </w:tcBorders>
          </w:tcPr>
          <w:p w14:paraId="66AC5474" w14:textId="77777777" w:rsidR="004D007F" w:rsidRDefault="00EE6BAC">
            <w:pPr>
              <w:pStyle w:val="TableParagraph"/>
              <w:ind w:left="0"/>
            </w:pPr>
            <w:r>
              <w:t>Increased personnel and services to support holistic student needs</w:t>
            </w:r>
          </w:p>
        </w:tc>
      </w:tr>
      <w:tr w:rsidR="004D007F" w14:paraId="115EED5A" w14:textId="77777777">
        <w:trPr>
          <w:trHeight w:hRule="exact" w:val="614"/>
        </w:trPr>
        <w:tc>
          <w:tcPr>
            <w:tcW w:w="4842" w:type="dxa"/>
            <w:gridSpan w:val="2"/>
            <w:shd w:val="clear" w:color="auto" w:fill="D9D9D9"/>
          </w:tcPr>
          <w:p w14:paraId="7A3E186E" w14:textId="77777777" w:rsidR="004D007F" w:rsidRDefault="00EE6BAC">
            <w:pPr>
              <w:pStyle w:val="TableParagraph"/>
              <w:ind w:left="100"/>
              <w:rPr>
                <w:b/>
              </w:rPr>
            </w:pPr>
            <w:r>
              <w:rPr>
                <w:b/>
              </w:rPr>
              <w:t>SOA program categories:</w:t>
            </w:r>
          </w:p>
        </w:tc>
        <w:tc>
          <w:tcPr>
            <w:tcW w:w="5663" w:type="dxa"/>
          </w:tcPr>
          <w:p w14:paraId="3B3C3F8E" w14:textId="77777777" w:rsidR="004D007F" w:rsidRDefault="00EE6BAC">
            <w:pPr>
              <w:pStyle w:val="TableParagraph"/>
              <w:spacing w:line="256" w:lineRule="auto"/>
              <w:ind w:left="0" w:right="578"/>
            </w:pPr>
            <w:r>
              <w:t>C) Social services to support students’ social-emotional and physical health</w:t>
            </w:r>
          </w:p>
        </w:tc>
      </w:tr>
    </w:tbl>
    <w:p w14:paraId="01C4431B" w14:textId="77777777" w:rsidR="004D007F" w:rsidRDefault="004D007F">
      <w:pPr>
        <w:pStyle w:val="BodyText"/>
        <w:spacing w:before="8" w:after="1"/>
        <w:rPr>
          <w:b/>
          <w:sz w:val="23"/>
        </w:rPr>
      </w:pPr>
    </w:p>
    <w:tbl>
      <w:tblPr>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1"/>
        <w:gridCol w:w="1706"/>
        <w:gridCol w:w="5687"/>
      </w:tblGrid>
      <w:tr w:rsidR="004D007F" w14:paraId="51131307" w14:textId="77777777">
        <w:trPr>
          <w:trHeight w:hRule="exact" w:val="253"/>
        </w:trPr>
        <w:tc>
          <w:tcPr>
            <w:tcW w:w="3071" w:type="dxa"/>
            <w:shd w:val="clear" w:color="auto" w:fill="D9D9D9"/>
          </w:tcPr>
          <w:p w14:paraId="614F1921" w14:textId="77777777" w:rsidR="004D007F" w:rsidRDefault="00EE6BAC">
            <w:pPr>
              <w:pStyle w:val="TableParagraph"/>
              <w:spacing w:line="234" w:lineRule="exact"/>
              <w:ind w:left="100"/>
              <w:rPr>
                <w:b/>
              </w:rPr>
            </w:pPr>
            <w:r>
              <w:rPr>
                <w:b/>
              </w:rPr>
              <w:t>FY21 budget item</w:t>
            </w:r>
          </w:p>
        </w:tc>
        <w:tc>
          <w:tcPr>
            <w:tcW w:w="1706" w:type="dxa"/>
            <w:shd w:val="clear" w:color="auto" w:fill="D9D9D9"/>
          </w:tcPr>
          <w:p w14:paraId="3283FB48" w14:textId="77777777" w:rsidR="004D007F" w:rsidRDefault="00EE6BAC">
            <w:pPr>
              <w:pStyle w:val="TableParagraph"/>
              <w:spacing w:line="234" w:lineRule="exact"/>
              <w:rPr>
                <w:b/>
              </w:rPr>
            </w:pPr>
            <w:r>
              <w:rPr>
                <w:b/>
              </w:rPr>
              <w:t>Amount</w:t>
            </w:r>
          </w:p>
        </w:tc>
        <w:tc>
          <w:tcPr>
            <w:tcW w:w="5687" w:type="dxa"/>
            <w:shd w:val="clear" w:color="auto" w:fill="D9D9D9"/>
          </w:tcPr>
          <w:p w14:paraId="0C4BC00B" w14:textId="77777777" w:rsidR="004D007F" w:rsidRDefault="00EE6BAC">
            <w:pPr>
              <w:pStyle w:val="TableParagraph"/>
              <w:spacing w:line="234" w:lineRule="exact"/>
              <w:ind w:left="105"/>
              <w:rPr>
                <w:b/>
              </w:rPr>
            </w:pPr>
            <w:r>
              <w:rPr>
                <w:b/>
              </w:rPr>
              <w:t>Foundation Category</w:t>
            </w:r>
          </w:p>
        </w:tc>
      </w:tr>
      <w:tr w:rsidR="004D007F" w14:paraId="6A4747C7" w14:textId="77777777">
        <w:trPr>
          <w:trHeight w:hRule="exact" w:val="1825"/>
        </w:trPr>
        <w:tc>
          <w:tcPr>
            <w:tcW w:w="3071" w:type="dxa"/>
            <w:tcBorders>
              <w:bottom w:val="single" w:sz="8" w:space="0" w:color="000000"/>
            </w:tcBorders>
          </w:tcPr>
          <w:p w14:paraId="63CDD3C0" w14:textId="77777777" w:rsidR="004D007F" w:rsidRDefault="00EE6BAC">
            <w:pPr>
              <w:pStyle w:val="TableParagraph"/>
              <w:ind w:left="0"/>
            </w:pPr>
            <w:r>
              <w:t>Expanded school day/year</w:t>
            </w:r>
          </w:p>
        </w:tc>
        <w:tc>
          <w:tcPr>
            <w:tcW w:w="1706" w:type="dxa"/>
            <w:tcBorders>
              <w:bottom w:val="single" w:sz="8" w:space="0" w:color="000000"/>
            </w:tcBorders>
          </w:tcPr>
          <w:p w14:paraId="6A414F47" w14:textId="77777777" w:rsidR="004D007F" w:rsidRDefault="00EE6BAC">
            <w:pPr>
              <w:pStyle w:val="TableParagraph"/>
              <w:ind w:left="-1"/>
            </w:pPr>
            <w:r>
              <w:t>$500,000</w:t>
            </w:r>
          </w:p>
        </w:tc>
        <w:tc>
          <w:tcPr>
            <w:tcW w:w="5687" w:type="dxa"/>
            <w:tcBorders>
              <w:bottom w:val="single" w:sz="8" w:space="0" w:color="000000"/>
            </w:tcBorders>
          </w:tcPr>
          <w:p w14:paraId="668B5186" w14:textId="77777777" w:rsidR="004D007F" w:rsidRDefault="00EE6BAC">
            <w:pPr>
              <w:pStyle w:val="TableParagraph"/>
              <w:ind w:left="-1" w:right="3579"/>
            </w:pPr>
            <w:r>
              <w:t>Administration Instructional Leadership</w:t>
            </w:r>
          </w:p>
          <w:p w14:paraId="09C36FC1" w14:textId="77777777" w:rsidR="004D007F" w:rsidRDefault="00EE6BAC">
            <w:pPr>
              <w:pStyle w:val="TableParagraph"/>
              <w:ind w:left="-1" w:right="2873"/>
            </w:pPr>
            <w:r>
              <w:t>Classroom &amp; Specialist Teachers Other Teaching Services Guidance and Psychological Pupil Services</w:t>
            </w:r>
          </w:p>
          <w:p w14:paraId="29A2EC12" w14:textId="77777777" w:rsidR="004D007F" w:rsidRDefault="00EE6BAC">
            <w:pPr>
              <w:pStyle w:val="TableParagraph"/>
              <w:ind w:left="-1"/>
            </w:pPr>
            <w:r>
              <w:t>Operations and Maintenance</w:t>
            </w:r>
          </w:p>
        </w:tc>
      </w:tr>
      <w:tr w:rsidR="004D007F" w14:paraId="33ADEBE0" w14:textId="77777777">
        <w:trPr>
          <w:trHeight w:hRule="exact" w:val="564"/>
        </w:trPr>
        <w:tc>
          <w:tcPr>
            <w:tcW w:w="4777" w:type="dxa"/>
            <w:gridSpan w:val="2"/>
            <w:tcBorders>
              <w:top w:val="single" w:sz="8" w:space="0" w:color="000000"/>
            </w:tcBorders>
            <w:shd w:val="clear" w:color="auto" w:fill="D9D9D9"/>
          </w:tcPr>
          <w:p w14:paraId="4B9983F2" w14:textId="77777777" w:rsidR="004D007F" w:rsidRDefault="00EE6BAC">
            <w:pPr>
              <w:pStyle w:val="TableParagraph"/>
              <w:spacing w:line="218" w:lineRule="exact"/>
              <w:ind w:left="100" w:right="732"/>
              <w:rPr>
                <w:b/>
              </w:rPr>
            </w:pPr>
            <w:r>
              <w:rPr>
                <w:b/>
              </w:rPr>
              <w:t>Evidence-based program identified by the Department:</w:t>
            </w:r>
          </w:p>
        </w:tc>
        <w:tc>
          <w:tcPr>
            <w:tcW w:w="5687" w:type="dxa"/>
            <w:tcBorders>
              <w:top w:val="single" w:sz="8" w:space="0" w:color="000000"/>
            </w:tcBorders>
          </w:tcPr>
          <w:p w14:paraId="5B67AEE8" w14:textId="77777777" w:rsidR="004D007F" w:rsidRDefault="00EE6BAC">
            <w:pPr>
              <w:pStyle w:val="TableParagraph"/>
              <w:spacing w:line="245" w:lineRule="exact"/>
              <w:ind w:left="-1"/>
            </w:pPr>
            <w:r>
              <w:t>Increased personnel and services to support holistic student needs</w:t>
            </w:r>
          </w:p>
        </w:tc>
      </w:tr>
      <w:tr w:rsidR="004D007F" w14:paraId="0556E87D" w14:textId="77777777">
        <w:trPr>
          <w:trHeight w:hRule="exact" w:val="533"/>
        </w:trPr>
        <w:tc>
          <w:tcPr>
            <w:tcW w:w="4777" w:type="dxa"/>
            <w:gridSpan w:val="2"/>
            <w:shd w:val="clear" w:color="auto" w:fill="D9D9D9"/>
          </w:tcPr>
          <w:p w14:paraId="323EB1F0" w14:textId="77777777" w:rsidR="004D007F" w:rsidRDefault="00EE6BAC">
            <w:pPr>
              <w:pStyle w:val="TableParagraph"/>
              <w:ind w:left="100"/>
              <w:rPr>
                <w:b/>
              </w:rPr>
            </w:pPr>
            <w:r>
              <w:rPr>
                <w:b/>
              </w:rPr>
              <w:t>SOA program categories:</w:t>
            </w:r>
          </w:p>
        </w:tc>
        <w:tc>
          <w:tcPr>
            <w:tcW w:w="5687" w:type="dxa"/>
          </w:tcPr>
          <w:p w14:paraId="2A3D1B8E" w14:textId="77777777" w:rsidR="004D007F" w:rsidRDefault="00EE6BAC">
            <w:pPr>
              <w:pStyle w:val="TableParagraph"/>
              <w:spacing w:line="256" w:lineRule="auto"/>
              <w:ind w:left="-1" w:right="156"/>
            </w:pPr>
            <w:r>
              <w:t>A) Expanded learning time in the form of a longer school day or year</w:t>
            </w:r>
          </w:p>
        </w:tc>
      </w:tr>
    </w:tbl>
    <w:p w14:paraId="7221A4FA" w14:textId="77777777" w:rsidR="004D007F" w:rsidRDefault="004D007F">
      <w:pPr>
        <w:pStyle w:val="BodyText"/>
        <w:spacing w:before="10"/>
        <w:rPr>
          <w:b/>
          <w:sz w:val="23"/>
        </w:rPr>
      </w:pPr>
    </w:p>
    <w:tbl>
      <w:tblPr>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1"/>
        <w:gridCol w:w="1706"/>
        <w:gridCol w:w="5687"/>
      </w:tblGrid>
      <w:tr w:rsidR="004D007F" w14:paraId="326D4BB9" w14:textId="77777777">
        <w:trPr>
          <w:trHeight w:hRule="exact" w:val="252"/>
        </w:trPr>
        <w:tc>
          <w:tcPr>
            <w:tcW w:w="3071" w:type="dxa"/>
            <w:shd w:val="clear" w:color="auto" w:fill="D9D9D9"/>
          </w:tcPr>
          <w:p w14:paraId="0FC2F30D" w14:textId="77777777" w:rsidR="004D007F" w:rsidRDefault="00EE6BAC">
            <w:pPr>
              <w:pStyle w:val="TableParagraph"/>
              <w:spacing w:line="233" w:lineRule="exact"/>
              <w:ind w:left="100"/>
              <w:rPr>
                <w:b/>
              </w:rPr>
            </w:pPr>
            <w:r>
              <w:rPr>
                <w:b/>
              </w:rPr>
              <w:t>FY21 budget item</w:t>
            </w:r>
          </w:p>
        </w:tc>
        <w:tc>
          <w:tcPr>
            <w:tcW w:w="1706" w:type="dxa"/>
            <w:shd w:val="clear" w:color="auto" w:fill="D9D9D9"/>
          </w:tcPr>
          <w:p w14:paraId="44F2E050" w14:textId="77777777" w:rsidR="004D007F" w:rsidRDefault="00EE6BAC">
            <w:pPr>
              <w:pStyle w:val="TableParagraph"/>
              <w:spacing w:line="233" w:lineRule="exact"/>
              <w:rPr>
                <w:b/>
              </w:rPr>
            </w:pPr>
            <w:r>
              <w:rPr>
                <w:b/>
              </w:rPr>
              <w:t>Amount</w:t>
            </w:r>
          </w:p>
        </w:tc>
        <w:tc>
          <w:tcPr>
            <w:tcW w:w="5687" w:type="dxa"/>
            <w:shd w:val="clear" w:color="auto" w:fill="D9D9D9"/>
          </w:tcPr>
          <w:p w14:paraId="34942572" w14:textId="77777777" w:rsidR="004D007F" w:rsidRDefault="00EE6BAC">
            <w:pPr>
              <w:pStyle w:val="TableParagraph"/>
              <w:spacing w:line="233" w:lineRule="exact"/>
              <w:ind w:left="105"/>
              <w:rPr>
                <w:b/>
              </w:rPr>
            </w:pPr>
            <w:r>
              <w:rPr>
                <w:b/>
              </w:rPr>
              <w:t>Foundation Category</w:t>
            </w:r>
          </w:p>
        </w:tc>
      </w:tr>
      <w:tr w:rsidR="004D007F" w14:paraId="75D387A8" w14:textId="77777777">
        <w:trPr>
          <w:trHeight w:hRule="exact" w:val="259"/>
        </w:trPr>
        <w:tc>
          <w:tcPr>
            <w:tcW w:w="3071" w:type="dxa"/>
            <w:tcBorders>
              <w:bottom w:val="single" w:sz="8" w:space="0" w:color="000000"/>
            </w:tcBorders>
          </w:tcPr>
          <w:p w14:paraId="25FED2B9" w14:textId="77777777" w:rsidR="004D007F" w:rsidRDefault="00EE6BAC">
            <w:pPr>
              <w:pStyle w:val="TableParagraph"/>
              <w:ind w:left="0"/>
            </w:pPr>
            <w:r>
              <w:t>Persistence Project: Counselors</w:t>
            </w:r>
          </w:p>
        </w:tc>
        <w:tc>
          <w:tcPr>
            <w:tcW w:w="1706" w:type="dxa"/>
            <w:tcBorders>
              <w:bottom w:val="single" w:sz="8" w:space="0" w:color="000000"/>
            </w:tcBorders>
          </w:tcPr>
          <w:p w14:paraId="3BE6C6DE" w14:textId="77777777" w:rsidR="004D007F" w:rsidRDefault="00EE6BAC">
            <w:pPr>
              <w:pStyle w:val="TableParagraph"/>
              <w:ind w:left="-1"/>
            </w:pPr>
            <w:r>
              <w:t>$225,000</w:t>
            </w:r>
          </w:p>
        </w:tc>
        <w:tc>
          <w:tcPr>
            <w:tcW w:w="5687" w:type="dxa"/>
            <w:tcBorders>
              <w:bottom w:val="single" w:sz="8" w:space="0" w:color="000000"/>
            </w:tcBorders>
          </w:tcPr>
          <w:p w14:paraId="1F680D50" w14:textId="77777777" w:rsidR="004D007F" w:rsidRDefault="00EE6BAC">
            <w:pPr>
              <w:pStyle w:val="TableParagraph"/>
              <w:ind w:left="-1"/>
            </w:pPr>
            <w:r>
              <w:t>Pupil Services</w:t>
            </w:r>
          </w:p>
        </w:tc>
      </w:tr>
      <w:tr w:rsidR="004D007F" w14:paraId="70560CCE" w14:textId="77777777">
        <w:trPr>
          <w:trHeight w:hRule="exact" w:val="565"/>
        </w:trPr>
        <w:tc>
          <w:tcPr>
            <w:tcW w:w="4777" w:type="dxa"/>
            <w:gridSpan w:val="2"/>
            <w:tcBorders>
              <w:top w:val="single" w:sz="8" w:space="0" w:color="000000"/>
            </w:tcBorders>
            <w:shd w:val="clear" w:color="auto" w:fill="D9D9D9"/>
          </w:tcPr>
          <w:p w14:paraId="4F0830D1" w14:textId="77777777" w:rsidR="004D007F" w:rsidRDefault="00EE6BAC">
            <w:pPr>
              <w:pStyle w:val="TableParagraph"/>
              <w:spacing w:before="3" w:line="218" w:lineRule="exact"/>
              <w:ind w:left="100" w:right="732"/>
              <w:rPr>
                <w:b/>
              </w:rPr>
            </w:pPr>
            <w:r>
              <w:rPr>
                <w:b/>
              </w:rPr>
              <w:t>Evidence-based program identified by the Department:</w:t>
            </w:r>
          </w:p>
        </w:tc>
        <w:tc>
          <w:tcPr>
            <w:tcW w:w="5687" w:type="dxa"/>
            <w:tcBorders>
              <w:top w:val="single" w:sz="8" w:space="0" w:color="000000"/>
            </w:tcBorders>
          </w:tcPr>
          <w:p w14:paraId="08459447" w14:textId="77777777" w:rsidR="004D007F" w:rsidRDefault="00EE6BAC">
            <w:pPr>
              <w:pStyle w:val="TableParagraph"/>
              <w:spacing w:line="256" w:lineRule="auto"/>
              <w:ind w:left="-1" w:right="456"/>
            </w:pPr>
            <w:r>
              <w:t>Early College programs focused primarily on students under- represented in higher education</w:t>
            </w:r>
          </w:p>
        </w:tc>
      </w:tr>
      <w:tr w:rsidR="004D007F" w14:paraId="068314B0" w14:textId="77777777">
        <w:trPr>
          <w:trHeight w:hRule="exact" w:val="532"/>
        </w:trPr>
        <w:tc>
          <w:tcPr>
            <w:tcW w:w="4777" w:type="dxa"/>
            <w:gridSpan w:val="2"/>
            <w:shd w:val="clear" w:color="auto" w:fill="D9D9D9"/>
          </w:tcPr>
          <w:p w14:paraId="303630B3" w14:textId="77777777" w:rsidR="004D007F" w:rsidRDefault="00EE6BAC">
            <w:pPr>
              <w:pStyle w:val="TableParagraph"/>
              <w:spacing w:before="1"/>
              <w:ind w:left="100"/>
              <w:rPr>
                <w:b/>
              </w:rPr>
            </w:pPr>
            <w:r>
              <w:rPr>
                <w:b/>
              </w:rPr>
              <w:t>SOA program categories:</w:t>
            </w:r>
          </w:p>
        </w:tc>
        <w:tc>
          <w:tcPr>
            <w:tcW w:w="5687" w:type="dxa"/>
          </w:tcPr>
          <w:p w14:paraId="29F7123A" w14:textId="77777777" w:rsidR="004D007F" w:rsidRDefault="00EE6BAC">
            <w:pPr>
              <w:pStyle w:val="TableParagraph"/>
              <w:spacing w:line="256" w:lineRule="auto"/>
              <w:ind w:left="-1" w:right="539"/>
            </w:pPr>
            <w:r>
              <w:t>I) Developing additional pathways to strengthen college and career readiness</w:t>
            </w:r>
          </w:p>
        </w:tc>
      </w:tr>
    </w:tbl>
    <w:p w14:paraId="6DBD60B4" w14:textId="77777777" w:rsidR="004D007F" w:rsidRDefault="004D007F">
      <w:pPr>
        <w:pStyle w:val="BodyText"/>
        <w:rPr>
          <w:b/>
          <w:sz w:val="20"/>
        </w:rPr>
      </w:pPr>
    </w:p>
    <w:p w14:paraId="1533BF25" w14:textId="77777777" w:rsidR="004D007F" w:rsidRDefault="004D007F">
      <w:pPr>
        <w:pStyle w:val="BodyText"/>
        <w:rPr>
          <w:b/>
          <w:sz w:val="20"/>
        </w:rPr>
      </w:pPr>
    </w:p>
    <w:p w14:paraId="7D38BBB0" w14:textId="77777777" w:rsidR="004D007F" w:rsidRDefault="004D007F">
      <w:pPr>
        <w:pStyle w:val="BodyText"/>
        <w:rPr>
          <w:b/>
          <w:sz w:val="20"/>
        </w:rPr>
      </w:pPr>
    </w:p>
    <w:p w14:paraId="0485598F" w14:textId="77777777" w:rsidR="004D007F" w:rsidRDefault="004D007F">
      <w:pPr>
        <w:pStyle w:val="BodyText"/>
        <w:rPr>
          <w:b/>
          <w:sz w:val="20"/>
        </w:rPr>
      </w:pPr>
    </w:p>
    <w:p w14:paraId="0AC977ED" w14:textId="77777777" w:rsidR="004D007F" w:rsidRDefault="004D007F">
      <w:pPr>
        <w:pStyle w:val="BodyText"/>
        <w:rPr>
          <w:b/>
          <w:sz w:val="20"/>
        </w:rPr>
      </w:pPr>
    </w:p>
    <w:p w14:paraId="6E0A82AE" w14:textId="77777777" w:rsidR="004D007F" w:rsidRDefault="004D007F">
      <w:pPr>
        <w:pStyle w:val="BodyText"/>
        <w:rPr>
          <w:b/>
          <w:sz w:val="20"/>
        </w:rPr>
      </w:pPr>
    </w:p>
    <w:p w14:paraId="24444745" w14:textId="77777777" w:rsidR="004D007F" w:rsidRDefault="004D007F">
      <w:pPr>
        <w:pStyle w:val="BodyText"/>
        <w:rPr>
          <w:b/>
          <w:sz w:val="20"/>
        </w:rPr>
      </w:pPr>
    </w:p>
    <w:p w14:paraId="6A6EF7DB" w14:textId="77777777" w:rsidR="004D007F" w:rsidRDefault="004D007F">
      <w:pPr>
        <w:pStyle w:val="BodyText"/>
        <w:rPr>
          <w:b/>
          <w:sz w:val="20"/>
        </w:rPr>
      </w:pPr>
    </w:p>
    <w:p w14:paraId="3E278BF0" w14:textId="77777777" w:rsidR="004D007F" w:rsidRDefault="004D007F">
      <w:pPr>
        <w:pStyle w:val="BodyText"/>
        <w:rPr>
          <w:b/>
          <w:sz w:val="20"/>
        </w:rPr>
      </w:pPr>
    </w:p>
    <w:p w14:paraId="0E3047F0" w14:textId="77777777" w:rsidR="004D007F" w:rsidRDefault="004D007F">
      <w:pPr>
        <w:pStyle w:val="BodyText"/>
        <w:rPr>
          <w:b/>
          <w:sz w:val="20"/>
        </w:rPr>
      </w:pPr>
    </w:p>
    <w:p w14:paraId="6D447C2E" w14:textId="77777777" w:rsidR="004D007F" w:rsidRDefault="004D007F">
      <w:pPr>
        <w:pStyle w:val="BodyText"/>
        <w:rPr>
          <w:b/>
          <w:sz w:val="20"/>
        </w:rPr>
      </w:pPr>
    </w:p>
    <w:p w14:paraId="775CE12D" w14:textId="77777777" w:rsidR="004D007F" w:rsidRDefault="004D007F">
      <w:pPr>
        <w:pStyle w:val="BodyText"/>
        <w:rPr>
          <w:b/>
          <w:sz w:val="20"/>
        </w:rPr>
      </w:pPr>
    </w:p>
    <w:p w14:paraId="41376DEA" w14:textId="77777777" w:rsidR="004D007F" w:rsidRDefault="004D007F">
      <w:pPr>
        <w:pStyle w:val="BodyText"/>
        <w:rPr>
          <w:b/>
          <w:sz w:val="20"/>
        </w:rPr>
      </w:pPr>
    </w:p>
    <w:p w14:paraId="06807983" w14:textId="77777777" w:rsidR="004D007F" w:rsidRDefault="004D007F">
      <w:pPr>
        <w:pStyle w:val="BodyText"/>
        <w:rPr>
          <w:b/>
          <w:sz w:val="20"/>
        </w:rPr>
      </w:pPr>
    </w:p>
    <w:p w14:paraId="09C23F5B" w14:textId="77777777" w:rsidR="004D007F" w:rsidRDefault="004D007F">
      <w:pPr>
        <w:pStyle w:val="BodyText"/>
        <w:rPr>
          <w:b/>
          <w:sz w:val="20"/>
        </w:rPr>
      </w:pPr>
    </w:p>
    <w:p w14:paraId="7C053256" w14:textId="77777777" w:rsidR="004D007F" w:rsidRDefault="004D007F">
      <w:pPr>
        <w:pStyle w:val="BodyText"/>
        <w:rPr>
          <w:b/>
          <w:sz w:val="20"/>
        </w:rPr>
      </w:pPr>
    </w:p>
    <w:p w14:paraId="6E691ADB" w14:textId="77777777" w:rsidR="004D007F" w:rsidRDefault="004D007F">
      <w:pPr>
        <w:pStyle w:val="BodyText"/>
        <w:rPr>
          <w:b/>
          <w:sz w:val="20"/>
        </w:rPr>
      </w:pPr>
    </w:p>
    <w:p w14:paraId="51382916" w14:textId="77777777" w:rsidR="004D007F" w:rsidRDefault="004D007F">
      <w:pPr>
        <w:pStyle w:val="BodyText"/>
        <w:rPr>
          <w:b/>
          <w:sz w:val="20"/>
        </w:rPr>
      </w:pPr>
    </w:p>
    <w:p w14:paraId="728D0FA0" w14:textId="77777777" w:rsidR="004D007F" w:rsidRDefault="004D007F">
      <w:pPr>
        <w:pStyle w:val="BodyText"/>
        <w:rPr>
          <w:b/>
          <w:sz w:val="20"/>
        </w:rPr>
      </w:pPr>
    </w:p>
    <w:p w14:paraId="289D56C7" w14:textId="77777777" w:rsidR="004D007F" w:rsidRDefault="004D007F">
      <w:pPr>
        <w:pStyle w:val="BodyText"/>
        <w:rPr>
          <w:b/>
          <w:sz w:val="20"/>
        </w:rPr>
      </w:pPr>
    </w:p>
    <w:p w14:paraId="3716C844" w14:textId="77777777" w:rsidR="004D007F" w:rsidRDefault="004D007F">
      <w:pPr>
        <w:pStyle w:val="BodyText"/>
        <w:rPr>
          <w:b/>
          <w:sz w:val="20"/>
        </w:rPr>
      </w:pPr>
    </w:p>
    <w:p w14:paraId="000DA67C" w14:textId="0E53AB1D" w:rsidR="004D007F" w:rsidRDefault="004D007F">
      <w:pPr>
        <w:pStyle w:val="BodyText"/>
        <w:spacing w:before="7"/>
        <w:rPr>
          <w:b/>
          <w:sz w:val="28"/>
        </w:rPr>
      </w:pPr>
    </w:p>
    <w:p w14:paraId="26B884FE" w14:textId="77777777" w:rsidR="004D007F" w:rsidRDefault="00EE6BAC">
      <w:pPr>
        <w:spacing w:before="79" w:line="242" w:lineRule="auto"/>
        <w:ind w:left="120" w:right="874"/>
        <w:jc w:val="both"/>
        <w:rPr>
          <w:rFonts w:ascii="Calibri"/>
          <w:sz w:val="20"/>
        </w:rPr>
      </w:pPr>
      <w:r>
        <w:rPr>
          <w:rFonts w:ascii="Times New Roman"/>
          <w:position w:val="9"/>
          <w:sz w:val="16"/>
        </w:rPr>
        <w:t xml:space="preserve">1 </w:t>
      </w:r>
      <w:r>
        <w:rPr>
          <w:rFonts w:ascii="Calibri"/>
          <w:sz w:val="20"/>
        </w:rPr>
        <w:t>The foundation categories are: Administration; Instructional Leadership; Classroom &amp; Specialist Teachers; Other Teaching Services;</w:t>
      </w:r>
      <w:r>
        <w:rPr>
          <w:rFonts w:ascii="Calibri"/>
          <w:spacing w:val="-4"/>
          <w:sz w:val="20"/>
        </w:rPr>
        <w:t xml:space="preserve"> </w:t>
      </w:r>
      <w:r>
        <w:rPr>
          <w:rFonts w:ascii="Calibri"/>
          <w:sz w:val="20"/>
        </w:rPr>
        <w:t>Professional</w:t>
      </w:r>
      <w:r>
        <w:rPr>
          <w:rFonts w:ascii="Calibri"/>
          <w:spacing w:val="-4"/>
          <w:sz w:val="20"/>
        </w:rPr>
        <w:t xml:space="preserve"> </w:t>
      </w:r>
      <w:r>
        <w:rPr>
          <w:rFonts w:ascii="Calibri"/>
          <w:sz w:val="20"/>
        </w:rPr>
        <w:t>Development;</w:t>
      </w:r>
      <w:r>
        <w:rPr>
          <w:rFonts w:ascii="Calibri"/>
          <w:spacing w:val="-5"/>
          <w:sz w:val="20"/>
        </w:rPr>
        <w:t xml:space="preserve"> </w:t>
      </w:r>
      <w:r>
        <w:rPr>
          <w:rFonts w:ascii="Calibri"/>
          <w:sz w:val="20"/>
        </w:rPr>
        <w:t>Instructional</w:t>
      </w:r>
      <w:r>
        <w:rPr>
          <w:rFonts w:ascii="Calibri"/>
          <w:spacing w:val="-4"/>
          <w:sz w:val="20"/>
        </w:rPr>
        <w:t xml:space="preserve"> </w:t>
      </w:r>
      <w:r>
        <w:rPr>
          <w:rFonts w:ascii="Calibri"/>
          <w:sz w:val="20"/>
        </w:rPr>
        <w:t>Materials,</w:t>
      </w:r>
      <w:r>
        <w:rPr>
          <w:rFonts w:ascii="Calibri"/>
          <w:spacing w:val="-4"/>
          <w:sz w:val="20"/>
        </w:rPr>
        <w:t xml:space="preserve"> </w:t>
      </w:r>
      <w:r>
        <w:rPr>
          <w:rFonts w:ascii="Calibri"/>
          <w:sz w:val="20"/>
        </w:rPr>
        <w:t>Equipment,</w:t>
      </w:r>
      <w:r>
        <w:rPr>
          <w:rFonts w:ascii="Calibri"/>
          <w:spacing w:val="-4"/>
          <w:sz w:val="20"/>
        </w:rPr>
        <w:t xml:space="preserve"> </w:t>
      </w:r>
      <w:r>
        <w:rPr>
          <w:rFonts w:ascii="Calibri"/>
          <w:sz w:val="20"/>
        </w:rPr>
        <w:t>and</w:t>
      </w:r>
      <w:r>
        <w:rPr>
          <w:rFonts w:ascii="Calibri"/>
          <w:spacing w:val="-4"/>
          <w:sz w:val="20"/>
        </w:rPr>
        <w:t xml:space="preserve"> </w:t>
      </w:r>
      <w:r>
        <w:rPr>
          <w:rFonts w:ascii="Calibri"/>
          <w:sz w:val="20"/>
        </w:rPr>
        <w:t>Technology;</w:t>
      </w:r>
      <w:r>
        <w:rPr>
          <w:rFonts w:ascii="Calibri"/>
          <w:spacing w:val="-5"/>
          <w:sz w:val="20"/>
        </w:rPr>
        <w:t xml:space="preserve"> </w:t>
      </w:r>
      <w:r>
        <w:rPr>
          <w:rFonts w:ascii="Calibri"/>
          <w:sz w:val="20"/>
        </w:rPr>
        <w:t>Guidance</w:t>
      </w:r>
      <w:r>
        <w:rPr>
          <w:rFonts w:ascii="Calibri"/>
          <w:spacing w:val="-6"/>
          <w:sz w:val="20"/>
        </w:rPr>
        <w:t xml:space="preserve"> </w:t>
      </w:r>
      <w:r>
        <w:rPr>
          <w:rFonts w:ascii="Calibri"/>
          <w:sz w:val="20"/>
        </w:rPr>
        <w:t>and</w:t>
      </w:r>
      <w:r>
        <w:rPr>
          <w:rFonts w:ascii="Calibri"/>
          <w:spacing w:val="-4"/>
          <w:sz w:val="20"/>
        </w:rPr>
        <w:t xml:space="preserve"> </w:t>
      </w:r>
      <w:r>
        <w:rPr>
          <w:rFonts w:ascii="Calibri"/>
          <w:sz w:val="20"/>
        </w:rPr>
        <w:t>Psychological;</w:t>
      </w:r>
      <w:r>
        <w:rPr>
          <w:rFonts w:ascii="Calibri"/>
          <w:spacing w:val="-3"/>
          <w:sz w:val="20"/>
        </w:rPr>
        <w:t xml:space="preserve"> </w:t>
      </w:r>
      <w:r>
        <w:rPr>
          <w:rFonts w:ascii="Calibri"/>
          <w:sz w:val="20"/>
        </w:rPr>
        <w:t>Pupil Services;</w:t>
      </w:r>
      <w:r>
        <w:rPr>
          <w:rFonts w:ascii="Calibri"/>
          <w:spacing w:val="-5"/>
          <w:sz w:val="20"/>
        </w:rPr>
        <w:t xml:space="preserve"> </w:t>
      </w:r>
      <w:r>
        <w:rPr>
          <w:rFonts w:ascii="Calibri"/>
          <w:sz w:val="20"/>
        </w:rPr>
        <w:t>Operations</w:t>
      </w:r>
      <w:r>
        <w:rPr>
          <w:rFonts w:ascii="Calibri"/>
          <w:spacing w:val="-6"/>
          <w:sz w:val="20"/>
        </w:rPr>
        <w:t xml:space="preserve"> </w:t>
      </w:r>
      <w:r>
        <w:rPr>
          <w:rFonts w:ascii="Calibri"/>
          <w:sz w:val="20"/>
        </w:rPr>
        <w:t>and</w:t>
      </w:r>
      <w:r>
        <w:rPr>
          <w:rFonts w:ascii="Calibri"/>
          <w:spacing w:val="-4"/>
          <w:sz w:val="20"/>
        </w:rPr>
        <w:t xml:space="preserve"> </w:t>
      </w:r>
      <w:r>
        <w:rPr>
          <w:rFonts w:ascii="Calibri"/>
          <w:sz w:val="20"/>
        </w:rPr>
        <w:t>Maintenance;</w:t>
      </w:r>
      <w:r>
        <w:rPr>
          <w:rFonts w:ascii="Calibri"/>
          <w:spacing w:val="-5"/>
          <w:sz w:val="20"/>
        </w:rPr>
        <w:t xml:space="preserve"> </w:t>
      </w:r>
      <w:r>
        <w:rPr>
          <w:rFonts w:ascii="Calibri"/>
          <w:sz w:val="20"/>
        </w:rPr>
        <w:t>Employee</w:t>
      </w:r>
      <w:r>
        <w:rPr>
          <w:rFonts w:ascii="Calibri"/>
          <w:spacing w:val="-5"/>
          <w:sz w:val="20"/>
        </w:rPr>
        <w:t xml:space="preserve"> </w:t>
      </w:r>
      <w:r>
        <w:rPr>
          <w:rFonts w:ascii="Calibri"/>
          <w:sz w:val="20"/>
        </w:rPr>
        <w:t>Benefits/Fixed</w:t>
      </w:r>
      <w:r>
        <w:rPr>
          <w:rFonts w:ascii="Calibri"/>
          <w:spacing w:val="-4"/>
          <w:sz w:val="20"/>
        </w:rPr>
        <w:t xml:space="preserve"> </w:t>
      </w:r>
      <w:r>
        <w:rPr>
          <w:rFonts w:ascii="Calibri"/>
          <w:sz w:val="20"/>
        </w:rPr>
        <w:t>Charges;</w:t>
      </w:r>
      <w:r>
        <w:rPr>
          <w:rFonts w:ascii="Calibri"/>
          <w:spacing w:val="-5"/>
          <w:sz w:val="20"/>
        </w:rPr>
        <w:t xml:space="preserve"> </w:t>
      </w:r>
      <w:r>
        <w:rPr>
          <w:rFonts w:ascii="Calibri"/>
          <w:sz w:val="20"/>
        </w:rPr>
        <w:t>and</w:t>
      </w:r>
      <w:r>
        <w:rPr>
          <w:rFonts w:ascii="Calibri"/>
          <w:spacing w:val="-4"/>
          <w:sz w:val="20"/>
        </w:rPr>
        <w:t xml:space="preserve"> </w:t>
      </w:r>
      <w:r>
        <w:rPr>
          <w:rFonts w:ascii="Calibri"/>
          <w:sz w:val="20"/>
        </w:rPr>
        <w:t>Special</w:t>
      </w:r>
      <w:r>
        <w:rPr>
          <w:rFonts w:ascii="Calibri"/>
          <w:spacing w:val="-5"/>
          <w:sz w:val="20"/>
        </w:rPr>
        <w:t xml:space="preserve"> </w:t>
      </w:r>
      <w:r>
        <w:rPr>
          <w:rFonts w:ascii="Calibri"/>
          <w:sz w:val="20"/>
        </w:rPr>
        <w:t>Education</w:t>
      </w:r>
      <w:r>
        <w:rPr>
          <w:rFonts w:ascii="Calibri"/>
          <w:spacing w:val="-13"/>
          <w:sz w:val="20"/>
        </w:rPr>
        <w:t xml:space="preserve"> </w:t>
      </w:r>
      <w:r>
        <w:rPr>
          <w:rFonts w:ascii="Calibri"/>
          <w:sz w:val="20"/>
        </w:rPr>
        <w:t>Tuition.</w:t>
      </w:r>
    </w:p>
    <w:p w14:paraId="0FD2C29E" w14:textId="77777777" w:rsidR="004D007F" w:rsidRDefault="004D007F">
      <w:pPr>
        <w:spacing w:line="242" w:lineRule="auto"/>
        <w:jc w:val="both"/>
        <w:rPr>
          <w:rFonts w:ascii="Calibri"/>
          <w:sz w:val="20"/>
        </w:rPr>
        <w:sectPr w:rsidR="004D007F">
          <w:pgSz w:w="12240" w:h="15840"/>
          <w:pgMar w:top="640" w:right="600" w:bottom="1160" w:left="600" w:header="0" w:footer="965" w:gutter="0"/>
          <w:cols w:space="720"/>
        </w:sectPr>
      </w:pPr>
    </w:p>
    <w:p w14:paraId="2380ED4F" w14:textId="77777777" w:rsidR="004D007F" w:rsidRDefault="00EE6BAC">
      <w:pPr>
        <w:pStyle w:val="Heading1"/>
      </w:pPr>
      <w:r>
        <w:rPr>
          <w:rFonts w:ascii="Microsoft Sans Serif" w:hAnsi="Microsoft Sans Serif"/>
          <w:b w:val="0"/>
          <w:color w:val="2C74B5"/>
        </w:rPr>
        <w:lastRenderedPageBreak/>
        <w:t xml:space="preserve">→ </w:t>
      </w:r>
      <w:r>
        <w:rPr>
          <w:color w:val="2C74B5"/>
        </w:rPr>
        <w:t>Commitment 3: Monitoring Success with Outcome Metrics and Targets</w:t>
      </w:r>
    </w:p>
    <w:p w14:paraId="241CB53C" w14:textId="77777777" w:rsidR="004D007F" w:rsidRDefault="00EE6BAC">
      <w:pPr>
        <w:pStyle w:val="Heading3"/>
        <w:spacing w:before="145"/>
        <w:ind w:right="602"/>
      </w:pPr>
      <w:r>
        <w:rPr>
          <w:color w:val="1F3862"/>
        </w:rPr>
        <w:t>What metrics will your charter school use to monitor success in reducing disparities in achievement among student subgroups? Select from the list of Department metrics or provide your own.</w:t>
      </w:r>
    </w:p>
    <w:p w14:paraId="7C6187D9" w14:textId="77777777" w:rsidR="004D007F" w:rsidRDefault="004D007F">
      <w:pPr>
        <w:pStyle w:val="BodyText"/>
        <w:spacing w:before="9" w:after="1"/>
        <w:rPr>
          <w:rFonts w:ascii="Calibri"/>
          <w:b/>
          <w:sz w:val="25"/>
        </w:rPr>
      </w:pPr>
    </w:p>
    <w:tbl>
      <w:tblPr>
        <w:tblW w:w="0" w:type="auto"/>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25"/>
        <w:gridCol w:w="4141"/>
      </w:tblGrid>
      <w:tr w:rsidR="004D007F" w14:paraId="1ABEC8D1" w14:textId="77777777">
        <w:trPr>
          <w:trHeight w:hRule="exact" w:val="2467"/>
        </w:trPr>
        <w:tc>
          <w:tcPr>
            <w:tcW w:w="4025" w:type="dxa"/>
          </w:tcPr>
          <w:p w14:paraId="44A593DB" w14:textId="77777777" w:rsidR="004D007F" w:rsidRDefault="00EE6BAC">
            <w:pPr>
              <w:pStyle w:val="TableParagraph"/>
              <w:numPr>
                <w:ilvl w:val="0"/>
                <w:numId w:val="3"/>
              </w:numPr>
              <w:tabs>
                <w:tab w:val="left" w:pos="442"/>
              </w:tabs>
              <w:spacing w:line="196" w:lineRule="exact"/>
              <w:ind w:hanging="242"/>
              <w:rPr>
                <w:rFonts w:ascii="Calibri"/>
                <w:b/>
                <w:sz w:val="23"/>
              </w:rPr>
            </w:pPr>
            <w:r>
              <w:rPr>
                <w:rFonts w:ascii="Calibri"/>
                <w:b/>
                <w:sz w:val="23"/>
              </w:rPr>
              <w:t>Department outcome</w:t>
            </w:r>
            <w:r>
              <w:rPr>
                <w:rFonts w:ascii="Calibri"/>
                <w:b/>
                <w:spacing w:val="-27"/>
                <w:sz w:val="23"/>
              </w:rPr>
              <w:t xml:space="preserve"> </w:t>
            </w:r>
            <w:r>
              <w:rPr>
                <w:rFonts w:ascii="Calibri"/>
                <w:b/>
                <w:sz w:val="23"/>
              </w:rPr>
              <w:t>metrics:</w:t>
            </w:r>
          </w:p>
          <w:p w14:paraId="1F26147F" w14:textId="77777777" w:rsidR="004D007F" w:rsidRDefault="00EE6BAC">
            <w:pPr>
              <w:pStyle w:val="TableParagraph"/>
              <w:numPr>
                <w:ilvl w:val="1"/>
                <w:numId w:val="3"/>
              </w:numPr>
              <w:tabs>
                <w:tab w:val="left" w:pos="800"/>
              </w:tabs>
              <w:spacing w:line="279" w:lineRule="exact"/>
            </w:pPr>
            <w:r>
              <w:t>Improved ELA and</w:t>
            </w:r>
            <w:r>
              <w:rPr>
                <w:spacing w:val="-6"/>
              </w:rPr>
              <w:t xml:space="preserve"> </w:t>
            </w:r>
            <w:r>
              <w:t>Math</w:t>
            </w:r>
          </w:p>
          <w:p w14:paraId="12ED211C" w14:textId="77777777" w:rsidR="004D007F" w:rsidRDefault="00EE6BAC">
            <w:pPr>
              <w:pStyle w:val="TableParagraph"/>
              <w:spacing w:before="11" w:line="249" w:lineRule="auto"/>
              <w:ind w:left="799" w:right="76"/>
            </w:pPr>
            <w:r>
              <w:t xml:space="preserve">achievement for all groups identified </w:t>
            </w:r>
            <w:proofErr w:type="gramStart"/>
            <w:r>
              <w:t>above</w:t>
            </w:r>
            <w:proofErr w:type="gramEnd"/>
          </w:p>
          <w:p w14:paraId="2E1BE1E6" w14:textId="77777777" w:rsidR="004D007F" w:rsidRDefault="00EE6BAC">
            <w:pPr>
              <w:pStyle w:val="TableParagraph"/>
              <w:numPr>
                <w:ilvl w:val="1"/>
                <w:numId w:val="3"/>
              </w:numPr>
              <w:tabs>
                <w:tab w:val="left" w:pos="800"/>
              </w:tabs>
              <w:spacing w:line="244" w:lineRule="exact"/>
            </w:pPr>
            <w:r>
              <w:t>Improved third semester</w:t>
            </w:r>
            <w:r>
              <w:rPr>
                <w:spacing w:val="-14"/>
              </w:rPr>
              <w:t xml:space="preserve"> </w:t>
            </w:r>
            <w:proofErr w:type="gramStart"/>
            <w:r>
              <w:t>college</w:t>
            </w:r>
            <w:proofErr w:type="gramEnd"/>
          </w:p>
          <w:p w14:paraId="7EB60D44" w14:textId="77777777" w:rsidR="004D007F" w:rsidRDefault="00EE6BAC">
            <w:pPr>
              <w:pStyle w:val="TableParagraph"/>
              <w:spacing w:before="3" w:line="242" w:lineRule="auto"/>
              <w:ind w:left="799" w:right="687"/>
            </w:pPr>
            <w:r>
              <w:t xml:space="preserve">persistence rate for all groups identified </w:t>
            </w:r>
            <w:proofErr w:type="gramStart"/>
            <w:r>
              <w:t>above</w:t>
            </w:r>
            <w:proofErr w:type="gramEnd"/>
          </w:p>
          <w:p w14:paraId="2927EC4E" w14:textId="77777777" w:rsidR="004D007F" w:rsidRDefault="00EE6BAC">
            <w:pPr>
              <w:pStyle w:val="TableParagraph"/>
              <w:numPr>
                <w:ilvl w:val="1"/>
                <w:numId w:val="3"/>
              </w:numPr>
              <w:tabs>
                <w:tab w:val="left" w:pos="800"/>
              </w:tabs>
              <w:spacing w:line="262" w:lineRule="exact"/>
            </w:pPr>
            <w:r>
              <w:t>Reduced chronic absenteeism for</w:t>
            </w:r>
            <w:r>
              <w:rPr>
                <w:spacing w:val="-17"/>
              </w:rPr>
              <w:t xml:space="preserve"> </w:t>
            </w:r>
            <w:proofErr w:type="gramStart"/>
            <w:r>
              <w:t>all</w:t>
            </w:r>
            <w:proofErr w:type="gramEnd"/>
          </w:p>
          <w:p w14:paraId="7BA136E3" w14:textId="77777777" w:rsidR="004D007F" w:rsidRDefault="00EE6BAC">
            <w:pPr>
              <w:pStyle w:val="TableParagraph"/>
              <w:spacing w:before="23"/>
              <w:ind w:left="799"/>
            </w:pPr>
            <w:r>
              <w:t>groups identified above</w:t>
            </w:r>
          </w:p>
        </w:tc>
        <w:tc>
          <w:tcPr>
            <w:tcW w:w="4141" w:type="dxa"/>
          </w:tcPr>
          <w:p w14:paraId="72C39866" w14:textId="77777777" w:rsidR="004D007F" w:rsidRDefault="00EE6BAC">
            <w:pPr>
              <w:pStyle w:val="TableParagraph"/>
              <w:numPr>
                <w:ilvl w:val="0"/>
                <w:numId w:val="2"/>
              </w:numPr>
              <w:tabs>
                <w:tab w:val="left" w:pos="449"/>
              </w:tabs>
              <w:spacing w:before="8" w:line="177" w:lineRule="auto"/>
              <w:ind w:right="114" w:firstLine="208"/>
              <w:rPr>
                <w:rFonts w:ascii="Calibri"/>
                <w:b/>
                <w:sz w:val="23"/>
              </w:rPr>
            </w:pPr>
            <w:r>
              <w:rPr>
                <w:rFonts w:ascii="Calibri"/>
                <w:b/>
                <w:sz w:val="23"/>
              </w:rPr>
              <w:t>Custom metrics (must include targets as</w:t>
            </w:r>
            <w:r>
              <w:rPr>
                <w:rFonts w:ascii="Calibri"/>
                <w:b/>
                <w:spacing w:val="-1"/>
                <w:sz w:val="23"/>
              </w:rPr>
              <w:t xml:space="preserve"> </w:t>
            </w:r>
            <w:r>
              <w:rPr>
                <w:rFonts w:ascii="Calibri"/>
                <w:b/>
                <w:sz w:val="23"/>
              </w:rPr>
              <w:t>well):</w:t>
            </w:r>
          </w:p>
          <w:p w14:paraId="54BA7DA9" w14:textId="77777777" w:rsidR="004D007F" w:rsidRDefault="00EE6BAC">
            <w:pPr>
              <w:pStyle w:val="TableParagraph"/>
              <w:numPr>
                <w:ilvl w:val="1"/>
                <w:numId w:val="2"/>
              </w:numPr>
              <w:tabs>
                <w:tab w:val="left" w:pos="800"/>
              </w:tabs>
              <w:spacing w:line="271" w:lineRule="exact"/>
            </w:pPr>
            <w:r>
              <w:t>Reduced suspension rates for</w:t>
            </w:r>
            <w:r>
              <w:rPr>
                <w:spacing w:val="-12"/>
              </w:rPr>
              <w:t xml:space="preserve"> </w:t>
            </w:r>
            <w:r>
              <w:t>all</w:t>
            </w:r>
          </w:p>
          <w:p w14:paraId="117398EF" w14:textId="77777777" w:rsidR="004D007F" w:rsidRDefault="00EE6BAC">
            <w:pPr>
              <w:pStyle w:val="TableParagraph"/>
              <w:spacing w:before="21" w:line="264" w:lineRule="auto"/>
              <w:ind w:left="799" w:right="61"/>
            </w:pPr>
            <w:r>
              <w:t>groups mentioned above (target: &lt;5% suspension rate for all subgroups)</w:t>
            </w:r>
          </w:p>
        </w:tc>
      </w:tr>
    </w:tbl>
    <w:p w14:paraId="242AB20D" w14:textId="77777777" w:rsidR="004D007F" w:rsidRDefault="004D007F">
      <w:pPr>
        <w:pStyle w:val="BodyText"/>
        <w:spacing w:before="9"/>
        <w:rPr>
          <w:rFonts w:ascii="Calibri"/>
          <w:b/>
          <w:sz w:val="30"/>
        </w:rPr>
      </w:pPr>
    </w:p>
    <w:p w14:paraId="14FD5213" w14:textId="77777777" w:rsidR="004D007F" w:rsidRDefault="00EE6BAC">
      <w:pPr>
        <w:tabs>
          <w:tab w:val="left" w:pos="2980"/>
        </w:tabs>
        <w:ind w:left="100"/>
        <w:rPr>
          <w:rFonts w:ascii="Microsoft Sans Serif"/>
          <w:sz w:val="26"/>
        </w:rPr>
      </w:pPr>
      <w:r>
        <w:rPr>
          <w:rFonts w:ascii="Microsoft Sans Serif"/>
          <w:color w:val="2C74B5"/>
          <w:w w:val="99"/>
          <w:sz w:val="26"/>
        </w:rPr>
        <w:t xml:space="preserve"> </w:t>
      </w:r>
      <w:r>
        <w:rPr>
          <w:rFonts w:ascii="Microsoft Sans Serif"/>
          <w:color w:val="2C74B5"/>
          <w:sz w:val="26"/>
        </w:rPr>
        <w:tab/>
      </w:r>
      <w:r>
        <w:rPr>
          <w:rFonts w:ascii="Microsoft Sans Serif"/>
          <w:color w:val="2C74B5"/>
          <w:w w:val="99"/>
          <w:sz w:val="26"/>
        </w:rPr>
        <w:t xml:space="preserve"> </w:t>
      </w:r>
    </w:p>
    <w:p w14:paraId="554262F7" w14:textId="77777777" w:rsidR="004D007F" w:rsidRDefault="004D007F">
      <w:pPr>
        <w:rPr>
          <w:rFonts w:ascii="Microsoft Sans Serif"/>
          <w:sz w:val="26"/>
        </w:rPr>
        <w:sectPr w:rsidR="004D007F">
          <w:pgSz w:w="12240" w:h="15840"/>
          <w:pgMar w:top="640" w:right="600" w:bottom="1160" w:left="620" w:header="0" w:footer="965" w:gutter="0"/>
          <w:cols w:space="720"/>
        </w:sectPr>
      </w:pPr>
    </w:p>
    <w:p w14:paraId="6EDB832E" w14:textId="77777777" w:rsidR="004D007F" w:rsidRDefault="00EE6BAC">
      <w:pPr>
        <w:spacing w:before="79"/>
        <w:ind w:left="107"/>
        <w:rPr>
          <w:rFonts w:ascii="Calibri" w:hAnsi="Calibri"/>
          <w:b/>
          <w:sz w:val="26"/>
        </w:rPr>
      </w:pPr>
      <w:r>
        <w:rPr>
          <w:rFonts w:ascii="Microsoft Sans Serif" w:hAnsi="Microsoft Sans Serif"/>
          <w:color w:val="2C74B5"/>
          <w:sz w:val="26"/>
        </w:rPr>
        <w:lastRenderedPageBreak/>
        <w:t xml:space="preserve">→ </w:t>
      </w:r>
      <w:r>
        <w:rPr>
          <w:rFonts w:ascii="Calibri" w:hAnsi="Calibri"/>
          <w:b/>
          <w:color w:val="2C74B5"/>
          <w:sz w:val="26"/>
        </w:rPr>
        <w:t>Commitment 4: Engaging All Families</w:t>
      </w:r>
    </w:p>
    <w:p w14:paraId="764479AA" w14:textId="77777777" w:rsidR="004D007F" w:rsidRDefault="00EE6BAC">
      <w:pPr>
        <w:spacing w:before="70"/>
        <w:ind w:left="107" w:right="323"/>
        <w:rPr>
          <w:rFonts w:ascii="Calibri" w:hAnsi="Calibri"/>
          <w:b/>
          <w:sz w:val="23"/>
        </w:rPr>
      </w:pPr>
      <w:r>
        <w:rPr>
          <w:rFonts w:ascii="Calibri" w:hAnsi="Calibri"/>
          <w:b/>
          <w:color w:val="1F3862"/>
          <w:sz w:val="23"/>
        </w:rPr>
        <w:t>How will your charter school ensure that all families, particularly those representing the student subgroups most in need of support, have the opportunity to meaningfully engage with the charter school regarding their students’ needs?</w:t>
      </w:r>
    </w:p>
    <w:p w14:paraId="3BFC55A3" w14:textId="77777777" w:rsidR="004D007F" w:rsidRDefault="004D007F">
      <w:pPr>
        <w:pStyle w:val="BodyText"/>
        <w:spacing w:before="5"/>
        <w:rPr>
          <w:rFonts w:ascii="Calibri"/>
          <w:b/>
          <w:sz w:val="20"/>
        </w:rPr>
      </w:pPr>
    </w:p>
    <w:p w14:paraId="5A6E10D3" w14:textId="77777777" w:rsidR="004D007F" w:rsidRDefault="00EE6BAC">
      <w:pPr>
        <w:pStyle w:val="BodyText"/>
        <w:ind w:left="107" w:right="191"/>
      </w:pPr>
      <w:r>
        <w:t>Boston Prep is committed to ensuring that all families, particularly those representing the student subgroups most in need of support, have the opportunity to meaningfully engage with the school regarding their students’ needs. We do this by:</w:t>
      </w:r>
    </w:p>
    <w:p w14:paraId="4B885AD9" w14:textId="77777777" w:rsidR="004D007F" w:rsidRDefault="00EE6BAC">
      <w:pPr>
        <w:pStyle w:val="ListParagraph"/>
        <w:numPr>
          <w:ilvl w:val="0"/>
          <w:numId w:val="1"/>
        </w:numPr>
        <w:tabs>
          <w:tab w:val="left" w:pos="467"/>
          <w:tab w:val="left" w:pos="468"/>
        </w:tabs>
        <w:spacing w:line="267" w:lineRule="exact"/>
      </w:pPr>
      <w:r>
        <w:t>Establishing advisory relationships between teachers, students, and</w:t>
      </w:r>
      <w:r>
        <w:rPr>
          <w:spacing w:val="-23"/>
        </w:rPr>
        <w:t xml:space="preserve"> </w:t>
      </w:r>
      <w:r>
        <w:t>families</w:t>
      </w:r>
    </w:p>
    <w:p w14:paraId="49121BC3" w14:textId="77777777" w:rsidR="004D007F" w:rsidRDefault="00EE6BAC">
      <w:pPr>
        <w:pStyle w:val="ListParagraph"/>
        <w:numPr>
          <w:ilvl w:val="0"/>
          <w:numId w:val="1"/>
        </w:numPr>
        <w:tabs>
          <w:tab w:val="left" w:pos="467"/>
          <w:tab w:val="left" w:pos="468"/>
        </w:tabs>
        <w:spacing w:line="267" w:lineRule="exact"/>
      </w:pPr>
      <w:r>
        <w:t>Calling</w:t>
      </w:r>
      <w:r>
        <w:rPr>
          <w:spacing w:val="-4"/>
        </w:rPr>
        <w:t xml:space="preserve"> </w:t>
      </w:r>
      <w:r>
        <w:t>home</w:t>
      </w:r>
      <w:r>
        <w:rPr>
          <w:spacing w:val="-3"/>
        </w:rPr>
        <w:t xml:space="preserve"> </w:t>
      </w:r>
      <w:r>
        <w:t>to</w:t>
      </w:r>
      <w:r>
        <w:rPr>
          <w:spacing w:val="-3"/>
        </w:rPr>
        <w:t xml:space="preserve"> </w:t>
      </w:r>
      <w:r>
        <w:t>build</w:t>
      </w:r>
      <w:r>
        <w:rPr>
          <w:spacing w:val="-3"/>
        </w:rPr>
        <w:t xml:space="preserve"> </w:t>
      </w:r>
      <w:r>
        <w:t>relationships</w:t>
      </w:r>
      <w:r>
        <w:rPr>
          <w:spacing w:val="-2"/>
        </w:rPr>
        <w:t xml:space="preserve"> </w:t>
      </w:r>
      <w:r>
        <w:t>and</w:t>
      </w:r>
      <w:r>
        <w:rPr>
          <w:spacing w:val="-3"/>
        </w:rPr>
        <w:t xml:space="preserve"> </w:t>
      </w:r>
      <w:r>
        <w:t>to</w:t>
      </w:r>
      <w:r>
        <w:rPr>
          <w:spacing w:val="-3"/>
        </w:rPr>
        <w:t xml:space="preserve"> </w:t>
      </w:r>
      <w:r>
        <w:t>discuss</w:t>
      </w:r>
      <w:r>
        <w:rPr>
          <w:spacing w:val="-5"/>
        </w:rPr>
        <w:t xml:space="preserve"> </w:t>
      </w:r>
      <w:r>
        <w:t>key</w:t>
      </w:r>
      <w:r>
        <w:rPr>
          <w:spacing w:val="-4"/>
        </w:rPr>
        <w:t xml:space="preserve"> </w:t>
      </w:r>
      <w:r>
        <w:t>inputs</w:t>
      </w:r>
      <w:r>
        <w:rPr>
          <w:spacing w:val="-4"/>
        </w:rPr>
        <w:t xml:space="preserve"> </w:t>
      </w:r>
      <w:r>
        <w:t>to</w:t>
      </w:r>
      <w:r>
        <w:rPr>
          <w:spacing w:val="-3"/>
        </w:rPr>
        <w:t xml:space="preserve"> </w:t>
      </w:r>
      <w:r>
        <w:t>success</w:t>
      </w:r>
      <w:r>
        <w:rPr>
          <w:spacing w:val="-2"/>
        </w:rPr>
        <w:t xml:space="preserve"> </w:t>
      </w:r>
      <w:r>
        <w:t>(attendance,</w:t>
      </w:r>
      <w:r>
        <w:rPr>
          <w:spacing w:val="-6"/>
        </w:rPr>
        <w:t xml:space="preserve"> </w:t>
      </w:r>
      <w:r>
        <w:t>work</w:t>
      </w:r>
      <w:r>
        <w:rPr>
          <w:spacing w:val="-3"/>
        </w:rPr>
        <w:t xml:space="preserve"> </w:t>
      </w:r>
      <w:r>
        <w:t>completion,</w:t>
      </w:r>
      <w:r>
        <w:rPr>
          <w:spacing w:val="-3"/>
        </w:rPr>
        <w:t xml:space="preserve"> </w:t>
      </w:r>
      <w:r>
        <w:t>grades)</w:t>
      </w:r>
    </w:p>
    <w:p w14:paraId="56BFD504" w14:textId="77777777" w:rsidR="004D007F" w:rsidRDefault="00EE6BAC">
      <w:pPr>
        <w:pStyle w:val="ListParagraph"/>
        <w:numPr>
          <w:ilvl w:val="0"/>
          <w:numId w:val="1"/>
        </w:numPr>
        <w:tabs>
          <w:tab w:val="left" w:pos="467"/>
          <w:tab w:val="left" w:pos="468"/>
        </w:tabs>
        <w:ind w:right="120"/>
      </w:pPr>
      <w:r>
        <w:t>Convening regular parent/family “Town Hall” conversations, in which parents and families can engage with school leadership about reopening plans and other issues as they</w:t>
      </w:r>
      <w:r>
        <w:rPr>
          <w:spacing w:val="-27"/>
        </w:rPr>
        <w:t xml:space="preserve"> </w:t>
      </w:r>
      <w:proofErr w:type="gramStart"/>
      <w:r>
        <w:t>arise</w:t>
      </w:r>
      <w:proofErr w:type="gramEnd"/>
    </w:p>
    <w:p w14:paraId="185BD7BE" w14:textId="77777777" w:rsidR="004D007F" w:rsidRDefault="00EE6BAC">
      <w:pPr>
        <w:pStyle w:val="ListParagraph"/>
        <w:numPr>
          <w:ilvl w:val="0"/>
          <w:numId w:val="1"/>
        </w:numPr>
        <w:tabs>
          <w:tab w:val="left" w:pos="467"/>
          <w:tab w:val="left" w:pos="468"/>
        </w:tabs>
        <w:spacing w:line="268" w:lineRule="exact"/>
      </w:pPr>
      <w:r>
        <w:t>Organizing monthly Parent Committee</w:t>
      </w:r>
      <w:r>
        <w:rPr>
          <w:spacing w:val="-23"/>
        </w:rPr>
        <w:t xml:space="preserve"> </w:t>
      </w:r>
      <w:r>
        <w:t>conversations</w:t>
      </w:r>
    </w:p>
    <w:p w14:paraId="16704CF9" w14:textId="77777777" w:rsidR="004D007F" w:rsidRDefault="00EE6BAC">
      <w:pPr>
        <w:pStyle w:val="ListParagraph"/>
        <w:numPr>
          <w:ilvl w:val="0"/>
          <w:numId w:val="1"/>
        </w:numPr>
        <w:tabs>
          <w:tab w:val="left" w:pos="467"/>
          <w:tab w:val="left" w:pos="468"/>
        </w:tabs>
        <w:ind w:right="114"/>
      </w:pPr>
      <w:r>
        <w:t>Organizing</w:t>
      </w:r>
      <w:r>
        <w:rPr>
          <w:spacing w:val="-12"/>
        </w:rPr>
        <w:t xml:space="preserve"> </w:t>
      </w:r>
      <w:r>
        <w:t>bi-monthly</w:t>
      </w:r>
      <w:r>
        <w:rPr>
          <w:spacing w:val="-13"/>
        </w:rPr>
        <w:t xml:space="preserve"> </w:t>
      </w:r>
      <w:r>
        <w:t>SEPAC</w:t>
      </w:r>
      <w:r>
        <w:rPr>
          <w:spacing w:val="-13"/>
        </w:rPr>
        <w:t xml:space="preserve"> </w:t>
      </w:r>
      <w:r>
        <w:t>(Special</w:t>
      </w:r>
      <w:r>
        <w:rPr>
          <w:spacing w:val="-12"/>
        </w:rPr>
        <w:t xml:space="preserve"> </w:t>
      </w:r>
      <w:r>
        <w:t>Education</w:t>
      </w:r>
      <w:r>
        <w:rPr>
          <w:spacing w:val="-12"/>
        </w:rPr>
        <w:t xml:space="preserve"> </w:t>
      </w:r>
      <w:r>
        <w:t>Parent</w:t>
      </w:r>
      <w:r>
        <w:rPr>
          <w:spacing w:val="-11"/>
        </w:rPr>
        <w:t xml:space="preserve"> </w:t>
      </w:r>
      <w:r>
        <w:t>Action</w:t>
      </w:r>
      <w:r>
        <w:rPr>
          <w:spacing w:val="-12"/>
        </w:rPr>
        <w:t xml:space="preserve"> </w:t>
      </w:r>
      <w:r>
        <w:t>Committee)</w:t>
      </w:r>
      <w:r>
        <w:rPr>
          <w:spacing w:val="-10"/>
        </w:rPr>
        <w:t xml:space="preserve"> </w:t>
      </w:r>
      <w:r>
        <w:t>and</w:t>
      </w:r>
      <w:r>
        <w:rPr>
          <w:spacing w:val="-14"/>
        </w:rPr>
        <w:t xml:space="preserve"> </w:t>
      </w:r>
      <w:r>
        <w:t>ELPAC</w:t>
      </w:r>
      <w:r>
        <w:rPr>
          <w:spacing w:val="-13"/>
        </w:rPr>
        <w:t xml:space="preserve"> </w:t>
      </w:r>
      <w:r>
        <w:t>(English</w:t>
      </w:r>
      <w:r>
        <w:rPr>
          <w:spacing w:val="-14"/>
        </w:rPr>
        <w:t xml:space="preserve"> </w:t>
      </w:r>
      <w:r>
        <w:t>Learner</w:t>
      </w:r>
      <w:r>
        <w:rPr>
          <w:spacing w:val="-13"/>
        </w:rPr>
        <w:t xml:space="preserve"> </w:t>
      </w:r>
      <w:r>
        <w:t>Parent</w:t>
      </w:r>
      <w:r>
        <w:rPr>
          <w:spacing w:val="-11"/>
        </w:rPr>
        <w:t xml:space="preserve"> </w:t>
      </w:r>
      <w:r>
        <w:t>Action Committee)</w:t>
      </w:r>
      <w:r>
        <w:rPr>
          <w:spacing w:val="-14"/>
        </w:rPr>
        <w:t xml:space="preserve"> </w:t>
      </w:r>
      <w:r>
        <w:t>conversations</w:t>
      </w:r>
    </w:p>
    <w:p w14:paraId="6D45A1BB" w14:textId="77777777" w:rsidR="004D007F" w:rsidRDefault="004D007F">
      <w:pPr>
        <w:pStyle w:val="BodyText"/>
        <w:spacing w:before="7"/>
        <w:rPr>
          <w:sz w:val="32"/>
        </w:rPr>
      </w:pPr>
    </w:p>
    <w:p w14:paraId="235A6265" w14:textId="77777777" w:rsidR="004D007F" w:rsidRDefault="00EE6BAC">
      <w:pPr>
        <w:pStyle w:val="BodyText"/>
        <w:ind w:left="107"/>
      </w:pPr>
      <w:r>
        <w:t>We will measure increases in family engagement based on these efforts by monitoring attendance on an ongoing basis.</w:t>
      </w:r>
    </w:p>
    <w:p w14:paraId="5D7D800D" w14:textId="77777777" w:rsidR="004D007F" w:rsidRDefault="004D007F">
      <w:pPr>
        <w:sectPr w:rsidR="004D007F">
          <w:pgSz w:w="12240" w:h="15840"/>
          <w:pgMar w:top="640" w:right="600" w:bottom="1160" w:left="720" w:header="0" w:footer="965" w:gutter="0"/>
          <w:cols w:space="720"/>
        </w:sectPr>
      </w:pPr>
    </w:p>
    <w:p w14:paraId="32A657E1" w14:textId="77777777" w:rsidR="004D007F" w:rsidRDefault="00EE6BAC">
      <w:pPr>
        <w:pStyle w:val="Heading1"/>
        <w:spacing w:before="19"/>
      </w:pPr>
      <w:r>
        <w:rPr>
          <w:color w:val="2C74B5"/>
        </w:rPr>
        <w:lastRenderedPageBreak/>
        <w:t>Certifications:</w:t>
      </w:r>
    </w:p>
    <w:p w14:paraId="32860E75" w14:textId="77777777" w:rsidR="004D007F" w:rsidRDefault="00EE6BAC">
      <w:pPr>
        <w:pStyle w:val="Heading4"/>
        <w:spacing w:before="75" w:line="244" w:lineRule="auto"/>
        <w:ind w:right="582"/>
        <w:rPr>
          <w:rFonts w:ascii="Microsoft Sans Serif" w:hAnsi="Microsoft Sans Serif"/>
          <w:sz w:val="32"/>
        </w:rPr>
      </w:pPr>
      <w:r>
        <w:rPr>
          <w:rFonts w:ascii="MS Gothic" w:hAnsi="MS Gothic"/>
          <w:color w:val="1F3862"/>
        </w:rPr>
        <w:t xml:space="preserve">☒ </w:t>
      </w:r>
      <w:r>
        <w:rPr>
          <w:color w:val="1F3862"/>
        </w:rPr>
        <w:t>By checking here, I certify that our charter school has engaged stakeholders in our community in accordance with the Student Opportunity Act</w:t>
      </w:r>
      <w:r>
        <w:rPr>
          <w:rFonts w:ascii="Microsoft Sans Serif" w:hAnsi="Microsoft Sans Serif"/>
          <w:w w:val="99"/>
          <w:sz w:val="32"/>
        </w:rPr>
        <w:t xml:space="preserve"> </w:t>
      </w:r>
    </w:p>
    <w:p w14:paraId="5BE56F6D" w14:textId="77777777" w:rsidR="004D007F" w:rsidRDefault="00EE6BAC">
      <w:pPr>
        <w:spacing w:before="188"/>
        <w:ind w:left="207"/>
        <w:rPr>
          <w:rFonts w:ascii="Calibri"/>
          <w:b/>
        </w:rPr>
      </w:pPr>
      <w:r>
        <w:rPr>
          <w:rFonts w:ascii="Calibri"/>
          <w:b/>
          <w:color w:val="1F3862"/>
        </w:rPr>
        <w:t>Please summarize your stakeholder engagement process, including specific groups that were engaged:</w:t>
      </w:r>
    </w:p>
    <w:p w14:paraId="0BF08909" w14:textId="77777777" w:rsidR="004D007F" w:rsidRDefault="004D007F">
      <w:pPr>
        <w:pStyle w:val="BodyText"/>
        <w:rPr>
          <w:rFonts w:ascii="Calibri"/>
          <w:b/>
        </w:rPr>
      </w:pPr>
    </w:p>
    <w:p w14:paraId="25C5C8FB" w14:textId="77777777" w:rsidR="004D007F" w:rsidRDefault="00EE6BAC">
      <w:pPr>
        <w:pStyle w:val="BodyText"/>
        <w:ind w:left="207" w:right="294"/>
      </w:pPr>
      <w:r>
        <w:t>Boston Prep recognizes that family engagement is critical to ensuring successful outcomes for all students. We therefore have been engaging all families, and particularly those who are new to the Boston Prep community (parents of incoming 6</w:t>
      </w:r>
      <w:proofErr w:type="spellStart"/>
      <w:r>
        <w:rPr>
          <w:position w:val="5"/>
          <w:sz w:val="14"/>
        </w:rPr>
        <w:t>th</w:t>
      </w:r>
      <w:proofErr w:type="spellEnd"/>
      <w:r>
        <w:rPr>
          <w:position w:val="5"/>
          <w:sz w:val="14"/>
        </w:rPr>
        <w:t xml:space="preserve"> </w:t>
      </w:r>
      <w:r>
        <w:t>graders, 9</w:t>
      </w:r>
      <w:proofErr w:type="spellStart"/>
      <w:r>
        <w:rPr>
          <w:position w:val="5"/>
          <w:sz w:val="14"/>
        </w:rPr>
        <w:t>th</w:t>
      </w:r>
      <w:proofErr w:type="spellEnd"/>
      <w:r>
        <w:rPr>
          <w:position w:val="5"/>
          <w:sz w:val="14"/>
        </w:rPr>
        <w:t xml:space="preserve"> </w:t>
      </w:r>
      <w:r>
        <w:t xml:space="preserve">graders, etc.), via bi-weekly Boston Prep Town Hall conversations. We began hosting these in the run-up to the beginning of SY21, to gather parent and family input on Boston Prep’s plans to reopen in the midst of the COVID-19 </w:t>
      </w:r>
      <w:proofErr w:type="gramStart"/>
      <w:r>
        <w:t>pandemic, and</w:t>
      </w:r>
      <w:proofErr w:type="gramEnd"/>
      <w:r>
        <w:t xml:space="preserve"> have continued using this approach since then.</w:t>
      </w:r>
    </w:p>
    <w:p w14:paraId="2FBC0D31" w14:textId="77777777" w:rsidR="004D007F" w:rsidRDefault="004D007F">
      <w:pPr>
        <w:pStyle w:val="BodyText"/>
        <w:spacing w:before="9"/>
        <w:rPr>
          <w:sz w:val="21"/>
        </w:rPr>
      </w:pPr>
    </w:p>
    <w:p w14:paraId="5C52D9A1" w14:textId="77777777" w:rsidR="004D007F" w:rsidRDefault="00EE6BAC">
      <w:pPr>
        <w:pStyle w:val="BodyText"/>
        <w:spacing w:before="1"/>
        <w:ind w:left="207" w:right="734"/>
      </w:pPr>
      <w:r>
        <w:t xml:space="preserve">Parents who have engaged in these conversations include parents of male students, English learners, and </w:t>
      </w:r>
      <w:proofErr w:type="gramStart"/>
      <w:r>
        <w:t>economically disadvantaged</w:t>
      </w:r>
      <w:proofErr w:type="gramEnd"/>
      <w:r>
        <w:t xml:space="preserve"> students.</w:t>
      </w:r>
    </w:p>
    <w:p w14:paraId="7173E49B" w14:textId="77777777" w:rsidR="004D007F" w:rsidRDefault="004D007F">
      <w:pPr>
        <w:pStyle w:val="BodyText"/>
        <w:rPr>
          <w:sz w:val="24"/>
        </w:rPr>
      </w:pPr>
    </w:p>
    <w:p w14:paraId="0615F676" w14:textId="77777777" w:rsidR="004D007F" w:rsidRDefault="004D007F">
      <w:pPr>
        <w:pStyle w:val="BodyText"/>
        <w:rPr>
          <w:sz w:val="24"/>
        </w:rPr>
      </w:pPr>
    </w:p>
    <w:p w14:paraId="139CD2EE" w14:textId="77777777" w:rsidR="004D007F" w:rsidRDefault="004D007F">
      <w:pPr>
        <w:pStyle w:val="BodyText"/>
        <w:spacing w:before="7"/>
        <w:rPr>
          <w:sz w:val="19"/>
        </w:rPr>
      </w:pPr>
    </w:p>
    <w:p w14:paraId="0254A192" w14:textId="77777777" w:rsidR="004D007F" w:rsidRDefault="00EE6BAC">
      <w:pPr>
        <w:pStyle w:val="Heading4"/>
        <w:spacing w:line="244" w:lineRule="auto"/>
        <w:ind w:left="100" w:right="490"/>
        <w:rPr>
          <w:rFonts w:ascii="Microsoft Sans Serif" w:hAnsi="Microsoft Sans Serif"/>
          <w:sz w:val="32"/>
        </w:rPr>
      </w:pPr>
      <w:r>
        <w:rPr>
          <w:rFonts w:ascii="MS Gothic" w:hAnsi="MS Gothic"/>
          <w:color w:val="1F3862"/>
        </w:rPr>
        <w:t xml:space="preserve">☒ </w:t>
      </w:r>
      <w:r>
        <w:rPr>
          <w:color w:val="1F3862"/>
        </w:rPr>
        <w:t xml:space="preserve">By checking here, I certify that the </w:t>
      </w:r>
      <w:r>
        <w:rPr>
          <w:rFonts w:ascii="Garamond" w:hAnsi="Garamond"/>
        </w:rPr>
        <w:t xml:space="preserve">Boston Prep Charter Public School </w:t>
      </w:r>
      <w:r>
        <w:rPr>
          <w:color w:val="1F3862"/>
        </w:rPr>
        <w:t>Board of Trustees voted on our Student Opportunity Act Plan.</w:t>
      </w:r>
      <w:r>
        <w:rPr>
          <w:rFonts w:ascii="Microsoft Sans Serif" w:hAnsi="Microsoft Sans Serif"/>
          <w:color w:val="1F3862"/>
          <w:w w:val="99"/>
          <w:sz w:val="32"/>
        </w:rPr>
        <w:t xml:space="preserve"> </w:t>
      </w:r>
    </w:p>
    <w:p w14:paraId="03C71EDB" w14:textId="77777777" w:rsidR="004D007F" w:rsidRDefault="00EE6BAC">
      <w:pPr>
        <w:tabs>
          <w:tab w:val="left" w:pos="3700"/>
        </w:tabs>
        <w:spacing w:before="141"/>
        <w:ind w:left="928"/>
        <w:rPr>
          <w:b/>
        </w:rPr>
      </w:pPr>
      <w:r>
        <w:rPr>
          <w:b/>
        </w:rPr>
        <w:t>Date of</w:t>
      </w:r>
      <w:r>
        <w:rPr>
          <w:b/>
          <w:spacing w:val="-5"/>
        </w:rPr>
        <w:t xml:space="preserve"> </w:t>
      </w:r>
      <w:r>
        <w:rPr>
          <w:b/>
        </w:rPr>
        <w:t>vote:</w:t>
      </w:r>
      <w:r>
        <w:rPr>
          <w:b/>
          <w:spacing w:val="-2"/>
        </w:rPr>
        <w:t xml:space="preserve"> </w:t>
      </w:r>
      <w:r>
        <w:rPr>
          <w:b/>
        </w:rPr>
        <w:t>1/29/21</w:t>
      </w:r>
      <w:r>
        <w:rPr>
          <w:b/>
        </w:rPr>
        <w:tab/>
        <w:t>Outcome of vote: SOA Plan was</w:t>
      </w:r>
      <w:r>
        <w:rPr>
          <w:b/>
          <w:spacing w:val="-9"/>
        </w:rPr>
        <w:t xml:space="preserve"> </w:t>
      </w:r>
      <w:proofErr w:type="gramStart"/>
      <w:r>
        <w:rPr>
          <w:b/>
          <w:u w:val="single"/>
        </w:rPr>
        <w:t>approved</w:t>
      </w:r>
      <w:proofErr w:type="gramEnd"/>
    </w:p>
    <w:sectPr w:rsidR="004D007F">
      <w:pgSz w:w="12240" w:h="15840"/>
      <w:pgMar w:top="700" w:right="600" w:bottom="1160" w:left="620" w:header="0" w:footer="9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C4437" w14:textId="77777777" w:rsidR="00710C82" w:rsidRDefault="00710C82">
      <w:r>
        <w:separator/>
      </w:r>
    </w:p>
  </w:endnote>
  <w:endnote w:type="continuationSeparator" w:id="0">
    <w:p w14:paraId="1499F562" w14:textId="77777777" w:rsidR="00710C82" w:rsidRDefault="00710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Garamond">
    <w:altName w:val="Garamond"/>
    <w:panose1 w:val="02020404030301010803"/>
    <w:charset w:val="00"/>
    <w:family w:val="roman"/>
    <w:pitch w:val="variable"/>
    <w:sig w:usb0="00000287" w:usb1="00000000" w:usb2="00000000" w:usb3="00000000" w:csb0="000000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4B8B5" w14:textId="1B9CDE65" w:rsidR="004D007F" w:rsidRDefault="004C403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46E738C" wp14:editId="3AD82B9C">
              <wp:simplePos x="0" y="0"/>
              <wp:positionH relativeFrom="page">
                <wp:posOffset>7226935</wp:posOffset>
              </wp:positionH>
              <wp:positionV relativeFrom="page">
                <wp:posOffset>9305925</wp:posOffset>
              </wp:positionV>
              <wp:extent cx="114935" cy="152400"/>
              <wp:effectExtent l="0" t="0" r="1905"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B2D05" w14:textId="77777777" w:rsidR="004D007F" w:rsidRDefault="00EE6BAC">
                          <w:pPr>
                            <w:spacing w:line="223" w:lineRule="exact"/>
                            <w:ind w:left="40"/>
                            <w:rPr>
                              <w:rFonts w:ascii="Calibri"/>
                              <w:i/>
                              <w:sz w:val="20"/>
                            </w:rPr>
                          </w:pPr>
                          <w:r>
                            <w:fldChar w:fldCharType="begin"/>
                          </w:r>
                          <w:r>
                            <w:rPr>
                              <w:rFonts w:ascii="Calibri"/>
                              <w:i/>
                              <w:w w:val="99"/>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E738C" id="_x0000_t202" coordsize="21600,21600" o:spt="202" path="m,l,21600r21600,l21600,xe">
              <v:stroke joinstyle="miter"/>
              <v:path gradientshapeok="t" o:connecttype="rect"/>
            </v:shapetype>
            <v:shape id="Text Box 1" o:spid="_x0000_s1027" type="#_x0000_t202" alt="&quot;&quot;" style="position:absolute;margin-left:569.05pt;margin-top:732.75pt;width:9.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" filled="f" stroked="f">
              <v:textbox inset="0,0,0,0">
                <w:txbxContent>
                  <w:p w14:paraId="690B2D05" w14:textId="77777777" w:rsidR="004D007F" w:rsidRDefault="00EE6BAC">
                    <w:pPr>
                      <w:spacing w:line="223" w:lineRule="exact"/>
                      <w:ind w:left="40"/>
                      <w:rPr>
                        <w:rFonts w:ascii="Calibri"/>
                        <w:i/>
                        <w:sz w:val="20"/>
                      </w:rPr>
                    </w:pPr>
                    <w:r>
                      <w:fldChar w:fldCharType="begin"/>
                    </w:r>
                    <w:r>
                      <w:rPr>
                        <w:rFonts w:ascii="Calibri"/>
                        <w:i/>
                        <w:w w:val="99"/>
                        <w:sz w:val="20"/>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B7136" w14:textId="77777777" w:rsidR="00710C82" w:rsidRDefault="00710C82">
      <w:r>
        <w:separator/>
      </w:r>
    </w:p>
  </w:footnote>
  <w:footnote w:type="continuationSeparator" w:id="0">
    <w:p w14:paraId="036280EA" w14:textId="77777777" w:rsidR="00710C82" w:rsidRDefault="00710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72824"/>
    <w:multiLevelType w:val="hybridMultilevel"/>
    <w:tmpl w:val="5524BE62"/>
    <w:lvl w:ilvl="0" w:tplc="43C2DCC4">
      <w:numFmt w:val="bullet"/>
      <w:lvlText w:val=""/>
      <w:lvlJc w:val="left"/>
      <w:pPr>
        <w:ind w:left="820" w:hanging="360"/>
      </w:pPr>
      <w:rPr>
        <w:rFonts w:ascii="Symbol" w:eastAsia="Symbol" w:hAnsi="Symbol" w:cs="Symbol" w:hint="default"/>
        <w:w w:val="100"/>
        <w:sz w:val="16"/>
        <w:szCs w:val="16"/>
      </w:rPr>
    </w:lvl>
    <w:lvl w:ilvl="1" w:tplc="EE189E98">
      <w:numFmt w:val="bullet"/>
      <w:lvlText w:val="•"/>
      <w:lvlJc w:val="left"/>
      <w:pPr>
        <w:ind w:left="1430" w:hanging="360"/>
      </w:pPr>
      <w:rPr>
        <w:rFonts w:hint="default"/>
      </w:rPr>
    </w:lvl>
    <w:lvl w:ilvl="2" w:tplc="9BA239F8">
      <w:numFmt w:val="bullet"/>
      <w:lvlText w:val="•"/>
      <w:lvlJc w:val="left"/>
      <w:pPr>
        <w:ind w:left="2040" w:hanging="360"/>
      </w:pPr>
      <w:rPr>
        <w:rFonts w:hint="default"/>
      </w:rPr>
    </w:lvl>
    <w:lvl w:ilvl="3" w:tplc="6E786244">
      <w:numFmt w:val="bullet"/>
      <w:lvlText w:val="•"/>
      <w:lvlJc w:val="left"/>
      <w:pPr>
        <w:ind w:left="2650" w:hanging="360"/>
      </w:pPr>
      <w:rPr>
        <w:rFonts w:hint="default"/>
      </w:rPr>
    </w:lvl>
    <w:lvl w:ilvl="4" w:tplc="54F015A8">
      <w:numFmt w:val="bullet"/>
      <w:lvlText w:val="•"/>
      <w:lvlJc w:val="left"/>
      <w:pPr>
        <w:ind w:left="3260" w:hanging="360"/>
      </w:pPr>
      <w:rPr>
        <w:rFonts w:hint="default"/>
      </w:rPr>
    </w:lvl>
    <w:lvl w:ilvl="5" w:tplc="330A7BB4">
      <w:numFmt w:val="bullet"/>
      <w:lvlText w:val="•"/>
      <w:lvlJc w:val="left"/>
      <w:pPr>
        <w:ind w:left="3870" w:hanging="360"/>
      </w:pPr>
      <w:rPr>
        <w:rFonts w:hint="default"/>
      </w:rPr>
    </w:lvl>
    <w:lvl w:ilvl="6" w:tplc="0A40BA9E">
      <w:numFmt w:val="bullet"/>
      <w:lvlText w:val="•"/>
      <w:lvlJc w:val="left"/>
      <w:pPr>
        <w:ind w:left="4480" w:hanging="360"/>
      </w:pPr>
      <w:rPr>
        <w:rFonts w:hint="default"/>
      </w:rPr>
    </w:lvl>
    <w:lvl w:ilvl="7" w:tplc="F1C47EA2">
      <w:numFmt w:val="bullet"/>
      <w:lvlText w:val="•"/>
      <w:lvlJc w:val="left"/>
      <w:pPr>
        <w:ind w:left="5090" w:hanging="360"/>
      </w:pPr>
      <w:rPr>
        <w:rFonts w:hint="default"/>
      </w:rPr>
    </w:lvl>
    <w:lvl w:ilvl="8" w:tplc="71509706">
      <w:numFmt w:val="bullet"/>
      <w:lvlText w:val="•"/>
      <w:lvlJc w:val="left"/>
      <w:pPr>
        <w:ind w:left="5700" w:hanging="360"/>
      </w:pPr>
      <w:rPr>
        <w:rFonts w:hint="default"/>
      </w:rPr>
    </w:lvl>
  </w:abstractNum>
  <w:abstractNum w:abstractNumId="1" w15:restartNumberingAfterBreak="0">
    <w:nsid w:val="25EF0BA3"/>
    <w:multiLevelType w:val="hybridMultilevel"/>
    <w:tmpl w:val="2DCEB28C"/>
    <w:lvl w:ilvl="0" w:tplc="20C819A8">
      <w:numFmt w:val="bullet"/>
      <w:lvlText w:val=""/>
      <w:lvlJc w:val="left"/>
      <w:pPr>
        <w:ind w:left="820" w:hanging="360"/>
      </w:pPr>
      <w:rPr>
        <w:rFonts w:ascii="Symbol" w:eastAsia="Symbol" w:hAnsi="Symbol" w:cs="Symbol" w:hint="default"/>
        <w:w w:val="100"/>
        <w:sz w:val="16"/>
        <w:szCs w:val="16"/>
      </w:rPr>
    </w:lvl>
    <w:lvl w:ilvl="1" w:tplc="9B406F42">
      <w:numFmt w:val="bullet"/>
      <w:lvlText w:val="•"/>
      <w:lvlJc w:val="left"/>
      <w:pPr>
        <w:ind w:left="1430" w:hanging="360"/>
      </w:pPr>
      <w:rPr>
        <w:rFonts w:hint="default"/>
      </w:rPr>
    </w:lvl>
    <w:lvl w:ilvl="2" w:tplc="B20859EC">
      <w:numFmt w:val="bullet"/>
      <w:lvlText w:val="•"/>
      <w:lvlJc w:val="left"/>
      <w:pPr>
        <w:ind w:left="2040" w:hanging="360"/>
      </w:pPr>
      <w:rPr>
        <w:rFonts w:hint="default"/>
      </w:rPr>
    </w:lvl>
    <w:lvl w:ilvl="3" w:tplc="1964708E">
      <w:numFmt w:val="bullet"/>
      <w:lvlText w:val="•"/>
      <w:lvlJc w:val="left"/>
      <w:pPr>
        <w:ind w:left="2650" w:hanging="360"/>
      </w:pPr>
      <w:rPr>
        <w:rFonts w:hint="default"/>
      </w:rPr>
    </w:lvl>
    <w:lvl w:ilvl="4" w:tplc="5DC6D2AC">
      <w:numFmt w:val="bullet"/>
      <w:lvlText w:val="•"/>
      <w:lvlJc w:val="left"/>
      <w:pPr>
        <w:ind w:left="3260" w:hanging="360"/>
      </w:pPr>
      <w:rPr>
        <w:rFonts w:hint="default"/>
      </w:rPr>
    </w:lvl>
    <w:lvl w:ilvl="5" w:tplc="90FEC574">
      <w:numFmt w:val="bullet"/>
      <w:lvlText w:val="•"/>
      <w:lvlJc w:val="left"/>
      <w:pPr>
        <w:ind w:left="3870" w:hanging="360"/>
      </w:pPr>
      <w:rPr>
        <w:rFonts w:hint="default"/>
      </w:rPr>
    </w:lvl>
    <w:lvl w:ilvl="6" w:tplc="A9B047CC">
      <w:numFmt w:val="bullet"/>
      <w:lvlText w:val="•"/>
      <w:lvlJc w:val="left"/>
      <w:pPr>
        <w:ind w:left="4480" w:hanging="360"/>
      </w:pPr>
      <w:rPr>
        <w:rFonts w:hint="default"/>
      </w:rPr>
    </w:lvl>
    <w:lvl w:ilvl="7" w:tplc="E38896D2">
      <w:numFmt w:val="bullet"/>
      <w:lvlText w:val="•"/>
      <w:lvlJc w:val="left"/>
      <w:pPr>
        <w:ind w:left="5090" w:hanging="360"/>
      </w:pPr>
      <w:rPr>
        <w:rFonts w:hint="default"/>
      </w:rPr>
    </w:lvl>
    <w:lvl w:ilvl="8" w:tplc="A6408172">
      <w:numFmt w:val="bullet"/>
      <w:lvlText w:val="•"/>
      <w:lvlJc w:val="left"/>
      <w:pPr>
        <w:ind w:left="5700" w:hanging="360"/>
      </w:pPr>
      <w:rPr>
        <w:rFonts w:hint="default"/>
      </w:rPr>
    </w:lvl>
  </w:abstractNum>
  <w:abstractNum w:abstractNumId="2" w15:restartNumberingAfterBreak="0">
    <w:nsid w:val="30B0172C"/>
    <w:multiLevelType w:val="hybridMultilevel"/>
    <w:tmpl w:val="6F00CD50"/>
    <w:lvl w:ilvl="0" w:tplc="29D41956">
      <w:numFmt w:val="bullet"/>
      <w:lvlText w:val=""/>
      <w:lvlJc w:val="left"/>
      <w:pPr>
        <w:ind w:left="820" w:hanging="360"/>
      </w:pPr>
      <w:rPr>
        <w:rFonts w:ascii="Symbol" w:eastAsia="Symbol" w:hAnsi="Symbol" w:cs="Symbol" w:hint="default"/>
        <w:w w:val="100"/>
        <w:sz w:val="16"/>
        <w:szCs w:val="16"/>
      </w:rPr>
    </w:lvl>
    <w:lvl w:ilvl="1" w:tplc="502C2DA6">
      <w:numFmt w:val="bullet"/>
      <w:lvlText w:val="o"/>
      <w:lvlJc w:val="left"/>
      <w:pPr>
        <w:ind w:left="1541" w:hanging="361"/>
      </w:pPr>
      <w:rPr>
        <w:rFonts w:ascii="Courier New" w:eastAsia="Courier New" w:hAnsi="Courier New" w:cs="Courier New" w:hint="default"/>
        <w:w w:val="100"/>
        <w:sz w:val="22"/>
        <w:szCs w:val="22"/>
      </w:rPr>
    </w:lvl>
    <w:lvl w:ilvl="2" w:tplc="A9F6BC4E">
      <w:numFmt w:val="bullet"/>
      <w:lvlText w:val="•"/>
      <w:lvlJc w:val="left"/>
      <w:pPr>
        <w:ind w:left="2137" w:hanging="361"/>
      </w:pPr>
      <w:rPr>
        <w:rFonts w:hint="default"/>
      </w:rPr>
    </w:lvl>
    <w:lvl w:ilvl="3" w:tplc="7F4C04F0">
      <w:numFmt w:val="bullet"/>
      <w:lvlText w:val="•"/>
      <w:lvlJc w:val="left"/>
      <w:pPr>
        <w:ind w:left="2735" w:hanging="361"/>
      </w:pPr>
      <w:rPr>
        <w:rFonts w:hint="default"/>
      </w:rPr>
    </w:lvl>
    <w:lvl w:ilvl="4" w:tplc="D2DA8EBA">
      <w:numFmt w:val="bullet"/>
      <w:lvlText w:val="•"/>
      <w:lvlJc w:val="left"/>
      <w:pPr>
        <w:ind w:left="3333" w:hanging="361"/>
      </w:pPr>
      <w:rPr>
        <w:rFonts w:hint="default"/>
      </w:rPr>
    </w:lvl>
    <w:lvl w:ilvl="5" w:tplc="17FA4CE2">
      <w:numFmt w:val="bullet"/>
      <w:lvlText w:val="•"/>
      <w:lvlJc w:val="left"/>
      <w:pPr>
        <w:ind w:left="3931" w:hanging="361"/>
      </w:pPr>
      <w:rPr>
        <w:rFonts w:hint="default"/>
      </w:rPr>
    </w:lvl>
    <w:lvl w:ilvl="6" w:tplc="E6EED010">
      <w:numFmt w:val="bullet"/>
      <w:lvlText w:val="•"/>
      <w:lvlJc w:val="left"/>
      <w:pPr>
        <w:ind w:left="4529" w:hanging="361"/>
      </w:pPr>
      <w:rPr>
        <w:rFonts w:hint="default"/>
      </w:rPr>
    </w:lvl>
    <w:lvl w:ilvl="7" w:tplc="AE1E4BDC">
      <w:numFmt w:val="bullet"/>
      <w:lvlText w:val="•"/>
      <w:lvlJc w:val="left"/>
      <w:pPr>
        <w:ind w:left="5127" w:hanging="361"/>
      </w:pPr>
      <w:rPr>
        <w:rFonts w:hint="default"/>
      </w:rPr>
    </w:lvl>
    <w:lvl w:ilvl="8" w:tplc="93129BBC">
      <w:numFmt w:val="bullet"/>
      <w:lvlText w:val="•"/>
      <w:lvlJc w:val="left"/>
      <w:pPr>
        <w:ind w:left="5725" w:hanging="361"/>
      </w:pPr>
      <w:rPr>
        <w:rFonts w:hint="default"/>
      </w:rPr>
    </w:lvl>
  </w:abstractNum>
  <w:abstractNum w:abstractNumId="3" w15:restartNumberingAfterBreak="0">
    <w:nsid w:val="55ED3311"/>
    <w:multiLevelType w:val="hybridMultilevel"/>
    <w:tmpl w:val="BD0E68A2"/>
    <w:lvl w:ilvl="0" w:tplc="76E840FC">
      <w:start w:val="1"/>
      <w:numFmt w:val="decimal"/>
      <w:lvlText w:val="%1)"/>
      <w:lvlJc w:val="left"/>
      <w:pPr>
        <w:ind w:left="441" w:hanging="243"/>
        <w:jc w:val="left"/>
      </w:pPr>
      <w:rPr>
        <w:rFonts w:ascii="Calibri" w:eastAsia="Calibri" w:hAnsi="Calibri" w:cs="Calibri" w:hint="default"/>
        <w:b/>
        <w:bCs/>
        <w:w w:val="100"/>
        <w:sz w:val="23"/>
        <w:szCs w:val="23"/>
      </w:rPr>
    </w:lvl>
    <w:lvl w:ilvl="1" w:tplc="5FACE1DE">
      <w:numFmt w:val="bullet"/>
      <w:lvlText w:val="✓"/>
      <w:lvlJc w:val="left"/>
      <w:pPr>
        <w:ind w:left="799" w:hanging="269"/>
      </w:pPr>
      <w:rPr>
        <w:rFonts w:ascii="MS UI Gothic" w:eastAsia="MS UI Gothic" w:hAnsi="MS UI Gothic" w:cs="MS UI Gothic" w:hint="default"/>
        <w:w w:val="76"/>
        <w:sz w:val="22"/>
        <w:szCs w:val="22"/>
      </w:rPr>
    </w:lvl>
    <w:lvl w:ilvl="2" w:tplc="83245A22">
      <w:numFmt w:val="bullet"/>
      <w:lvlText w:val="•"/>
      <w:lvlJc w:val="left"/>
      <w:pPr>
        <w:ind w:left="1157" w:hanging="269"/>
      </w:pPr>
      <w:rPr>
        <w:rFonts w:hint="default"/>
      </w:rPr>
    </w:lvl>
    <w:lvl w:ilvl="3" w:tplc="2F36B2DE">
      <w:numFmt w:val="bullet"/>
      <w:lvlText w:val="•"/>
      <w:lvlJc w:val="left"/>
      <w:pPr>
        <w:ind w:left="1514" w:hanging="269"/>
      </w:pPr>
      <w:rPr>
        <w:rFonts w:hint="default"/>
      </w:rPr>
    </w:lvl>
    <w:lvl w:ilvl="4" w:tplc="9C421936">
      <w:numFmt w:val="bullet"/>
      <w:lvlText w:val="•"/>
      <w:lvlJc w:val="left"/>
      <w:pPr>
        <w:ind w:left="1871" w:hanging="269"/>
      </w:pPr>
      <w:rPr>
        <w:rFonts w:hint="default"/>
      </w:rPr>
    </w:lvl>
    <w:lvl w:ilvl="5" w:tplc="A16C1322">
      <w:numFmt w:val="bullet"/>
      <w:lvlText w:val="•"/>
      <w:lvlJc w:val="left"/>
      <w:pPr>
        <w:ind w:left="2229" w:hanging="269"/>
      </w:pPr>
      <w:rPr>
        <w:rFonts w:hint="default"/>
      </w:rPr>
    </w:lvl>
    <w:lvl w:ilvl="6" w:tplc="8622348A">
      <w:numFmt w:val="bullet"/>
      <w:lvlText w:val="•"/>
      <w:lvlJc w:val="left"/>
      <w:pPr>
        <w:ind w:left="2586" w:hanging="269"/>
      </w:pPr>
      <w:rPr>
        <w:rFonts w:hint="default"/>
      </w:rPr>
    </w:lvl>
    <w:lvl w:ilvl="7" w:tplc="1E589932">
      <w:numFmt w:val="bullet"/>
      <w:lvlText w:val="•"/>
      <w:lvlJc w:val="left"/>
      <w:pPr>
        <w:ind w:left="2943" w:hanging="269"/>
      </w:pPr>
      <w:rPr>
        <w:rFonts w:hint="default"/>
      </w:rPr>
    </w:lvl>
    <w:lvl w:ilvl="8" w:tplc="89201EFC">
      <w:numFmt w:val="bullet"/>
      <w:lvlText w:val="•"/>
      <w:lvlJc w:val="left"/>
      <w:pPr>
        <w:ind w:left="3301" w:hanging="269"/>
      </w:pPr>
      <w:rPr>
        <w:rFonts w:hint="default"/>
      </w:rPr>
    </w:lvl>
  </w:abstractNum>
  <w:abstractNum w:abstractNumId="4" w15:restartNumberingAfterBreak="0">
    <w:nsid w:val="60876194"/>
    <w:multiLevelType w:val="hybridMultilevel"/>
    <w:tmpl w:val="87A0781C"/>
    <w:lvl w:ilvl="0" w:tplc="6792D71A">
      <w:start w:val="2"/>
      <w:numFmt w:val="decimal"/>
      <w:lvlText w:val="%1)"/>
      <w:lvlJc w:val="left"/>
      <w:pPr>
        <w:ind w:left="0" w:hanging="240"/>
        <w:jc w:val="left"/>
      </w:pPr>
      <w:rPr>
        <w:rFonts w:ascii="Calibri" w:eastAsia="Calibri" w:hAnsi="Calibri" w:cs="Calibri" w:hint="default"/>
        <w:b/>
        <w:bCs/>
        <w:w w:val="100"/>
        <w:sz w:val="23"/>
        <w:szCs w:val="23"/>
      </w:rPr>
    </w:lvl>
    <w:lvl w:ilvl="1" w:tplc="BA38AEFC">
      <w:numFmt w:val="bullet"/>
      <w:lvlText w:val="✓"/>
      <w:lvlJc w:val="left"/>
      <w:pPr>
        <w:ind w:left="799" w:hanging="269"/>
      </w:pPr>
      <w:rPr>
        <w:rFonts w:ascii="MS UI Gothic" w:eastAsia="MS UI Gothic" w:hAnsi="MS UI Gothic" w:cs="MS UI Gothic" w:hint="default"/>
        <w:w w:val="76"/>
        <w:sz w:val="22"/>
        <w:szCs w:val="22"/>
      </w:rPr>
    </w:lvl>
    <w:lvl w:ilvl="2" w:tplc="AC665370">
      <w:numFmt w:val="bullet"/>
      <w:lvlText w:val="•"/>
      <w:lvlJc w:val="left"/>
      <w:pPr>
        <w:ind w:left="1170" w:hanging="269"/>
      </w:pPr>
      <w:rPr>
        <w:rFonts w:hint="default"/>
      </w:rPr>
    </w:lvl>
    <w:lvl w:ilvl="3" w:tplc="50A65864">
      <w:numFmt w:val="bullet"/>
      <w:lvlText w:val="•"/>
      <w:lvlJc w:val="left"/>
      <w:pPr>
        <w:ind w:left="1540" w:hanging="269"/>
      </w:pPr>
      <w:rPr>
        <w:rFonts w:hint="default"/>
      </w:rPr>
    </w:lvl>
    <w:lvl w:ilvl="4" w:tplc="7B366666">
      <w:numFmt w:val="bullet"/>
      <w:lvlText w:val="•"/>
      <w:lvlJc w:val="left"/>
      <w:pPr>
        <w:ind w:left="1910" w:hanging="269"/>
      </w:pPr>
      <w:rPr>
        <w:rFonts w:hint="default"/>
      </w:rPr>
    </w:lvl>
    <w:lvl w:ilvl="5" w:tplc="B8CC0732">
      <w:numFmt w:val="bullet"/>
      <w:lvlText w:val="•"/>
      <w:lvlJc w:val="left"/>
      <w:pPr>
        <w:ind w:left="2280" w:hanging="269"/>
      </w:pPr>
      <w:rPr>
        <w:rFonts w:hint="default"/>
      </w:rPr>
    </w:lvl>
    <w:lvl w:ilvl="6" w:tplc="79AA0322">
      <w:numFmt w:val="bullet"/>
      <w:lvlText w:val="•"/>
      <w:lvlJc w:val="left"/>
      <w:pPr>
        <w:ind w:left="2650" w:hanging="269"/>
      </w:pPr>
      <w:rPr>
        <w:rFonts w:hint="default"/>
      </w:rPr>
    </w:lvl>
    <w:lvl w:ilvl="7" w:tplc="7CA09C94">
      <w:numFmt w:val="bullet"/>
      <w:lvlText w:val="•"/>
      <w:lvlJc w:val="left"/>
      <w:pPr>
        <w:ind w:left="3020" w:hanging="269"/>
      </w:pPr>
      <w:rPr>
        <w:rFonts w:hint="default"/>
      </w:rPr>
    </w:lvl>
    <w:lvl w:ilvl="8" w:tplc="84564D94">
      <w:numFmt w:val="bullet"/>
      <w:lvlText w:val="•"/>
      <w:lvlJc w:val="left"/>
      <w:pPr>
        <w:ind w:left="3391" w:hanging="269"/>
      </w:pPr>
      <w:rPr>
        <w:rFonts w:hint="default"/>
      </w:rPr>
    </w:lvl>
  </w:abstractNum>
  <w:abstractNum w:abstractNumId="5" w15:restartNumberingAfterBreak="0">
    <w:nsid w:val="7E8C05B9"/>
    <w:multiLevelType w:val="hybridMultilevel"/>
    <w:tmpl w:val="6E3A2A56"/>
    <w:lvl w:ilvl="0" w:tplc="AFE8FB10">
      <w:numFmt w:val="bullet"/>
      <w:lvlText w:val="-"/>
      <w:lvlJc w:val="left"/>
      <w:pPr>
        <w:ind w:left="468" w:hanging="360"/>
      </w:pPr>
      <w:rPr>
        <w:rFonts w:ascii="Calibri" w:eastAsia="Calibri" w:hAnsi="Calibri" w:cs="Calibri" w:hint="default"/>
        <w:w w:val="100"/>
        <w:sz w:val="22"/>
        <w:szCs w:val="22"/>
      </w:rPr>
    </w:lvl>
    <w:lvl w:ilvl="1" w:tplc="3BDA9918">
      <w:numFmt w:val="bullet"/>
      <w:lvlText w:val="•"/>
      <w:lvlJc w:val="left"/>
      <w:pPr>
        <w:ind w:left="1506" w:hanging="360"/>
      </w:pPr>
      <w:rPr>
        <w:rFonts w:hint="default"/>
      </w:rPr>
    </w:lvl>
    <w:lvl w:ilvl="2" w:tplc="C2BAFB56">
      <w:numFmt w:val="bullet"/>
      <w:lvlText w:val="•"/>
      <w:lvlJc w:val="left"/>
      <w:pPr>
        <w:ind w:left="2552" w:hanging="360"/>
      </w:pPr>
      <w:rPr>
        <w:rFonts w:hint="default"/>
      </w:rPr>
    </w:lvl>
    <w:lvl w:ilvl="3" w:tplc="A27616BE">
      <w:numFmt w:val="bullet"/>
      <w:lvlText w:val="•"/>
      <w:lvlJc w:val="left"/>
      <w:pPr>
        <w:ind w:left="3598" w:hanging="360"/>
      </w:pPr>
      <w:rPr>
        <w:rFonts w:hint="default"/>
      </w:rPr>
    </w:lvl>
    <w:lvl w:ilvl="4" w:tplc="CC6A9C4A">
      <w:numFmt w:val="bullet"/>
      <w:lvlText w:val="•"/>
      <w:lvlJc w:val="left"/>
      <w:pPr>
        <w:ind w:left="4644" w:hanging="360"/>
      </w:pPr>
      <w:rPr>
        <w:rFonts w:hint="default"/>
      </w:rPr>
    </w:lvl>
    <w:lvl w:ilvl="5" w:tplc="5C4641B4">
      <w:numFmt w:val="bullet"/>
      <w:lvlText w:val="•"/>
      <w:lvlJc w:val="left"/>
      <w:pPr>
        <w:ind w:left="5690" w:hanging="360"/>
      </w:pPr>
      <w:rPr>
        <w:rFonts w:hint="default"/>
      </w:rPr>
    </w:lvl>
    <w:lvl w:ilvl="6" w:tplc="F64444E2">
      <w:numFmt w:val="bullet"/>
      <w:lvlText w:val="•"/>
      <w:lvlJc w:val="left"/>
      <w:pPr>
        <w:ind w:left="6736" w:hanging="360"/>
      </w:pPr>
      <w:rPr>
        <w:rFonts w:hint="default"/>
      </w:rPr>
    </w:lvl>
    <w:lvl w:ilvl="7" w:tplc="11D43A80">
      <w:numFmt w:val="bullet"/>
      <w:lvlText w:val="•"/>
      <w:lvlJc w:val="left"/>
      <w:pPr>
        <w:ind w:left="7782" w:hanging="360"/>
      </w:pPr>
      <w:rPr>
        <w:rFonts w:hint="default"/>
      </w:rPr>
    </w:lvl>
    <w:lvl w:ilvl="8" w:tplc="D04EF912">
      <w:numFmt w:val="bullet"/>
      <w:lvlText w:val="•"/>
      <w:lvlJc w:val="left"/>
      <w:pPr>
        <w:ind w:left="8828" w:hanging="360"/>
      </w:pPr>
      <w:rPr>
        <w:rFont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07F"/>
    <w:rsid w:val="00223BE7"/>
    <w:rsid w:val="004C403A"/>
    <w:rsid w:val="004D007F"/>
    <w:rsid w:val="005E3193"/>
    <w:rsid w:val="006E0732"/>
    <w:rsid w:val="00710C82"/>
    <w:rsid w:val="00DF7925"/>
    <w:rsid w:val="00E037F9"/>
    <w:rsid w:val="00E17D51"/>
    <w:rsid w:val="00EE6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FA8B2"/>
  <w15:docId w15:val="{B81239AB-AAFA-4E6E-ADD1-42E4FD72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pPr>
      <w:spacing w:before="79"/>
      <w:ind w:left="207"/>
      <w:outlineLvl w:val="0"/>
    </w:pPr>
    <w:rPr>
      <w:rFonts w:ascii="Calibri" w:eastAsia="Calibri" w:hAnsi="Calibri" w:cs="Calibri"/>
      <w:b/>
      <w:bCs/>
      <w:sz w:val="26"/>
      <w:szCs w:val="26"/>
    </w:rPr>
  </w:style>
  <w:style w:type="paragraph" w:styleId="Heading2">
    <w:name w:val="heading 2"/>
    <w:basedOn w:val="Normal"/>
    <w:uiPriority w:val="9"/>
    <w:unhideWhenUsed/>
    <w:qFormat/>
    <w:pPr>
      <w:ind w:left="100"/>
      <w:outlineLvl w:val="1"/>
    </w:pPr>
    <w:rPr>
      <w:rFonts w:ascii="Microsoft Sans Serif" w:eastAsia="Microsoft Sans Serif" w:hAnsi="Microsoft Sans Serif" w:cs="Microsoft Sans Serif"/>
      <w:sz w:val="26"/>
      <w:szCs w:val="26"/>
    </w:rPr>
  </w:style>
  <w:style w:type="paragraph" w:styleId="Heading3">
    <w:name w:val="heading 3"/>
    <w:basedOn w:val="Normal"/>
    <w:uiPriority w:val="9"/>
    <w:unhideWhenUsed/>
    <w:qFormat/>
    <w:pPr>
      <w:spacing w:before="70"/>
      <w:ind w:left="207" w:right="323"/>
      <w:outlineLvl w:val="2"/>
    </w:pPr>
    <w:rPr>
      <w:rFonts w:ascii="Calibri" w:eastAsia="Calibri" w:hAnsi="Calibri" w:cs="Calibri"/>
      <w:b/>
      <w:bCs/>
      <w:sz w:val="23"/>
      <w:szCs w:val="23"/>
    </w:rPr>
  </w:style>
  <w:style w:type="paragraph" w:styleId="Heading4">
    <w:name w:val="heading 4"/>
    <w:basedOn w:val="Normal"/>
    <w:uiPriority w:val="9"/>
    <w:unhideWhenUsed/>
    <w:qFormat/>
    <w:pPr>
      <w:ind w:left="207"/>
      <w:outlineLvl w:val="3"/>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8" w:hanging="360"/>
    </w:pPr>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profiles.doe.mass.edu/profiles/student.aspx?orgtypecode=5&amp;amp;leftNavId=16823&amp;amp;fycode=2020&amp;amp;orgcode=041600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files.doe.mass.edu/ssdr/default.aspx?orgcode=04160000&amp;amp;fycode=2020"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profiles.doe.mass.edu/nsc/gradsattendingcollege_dist.aspx?orgcode=04160000&amp;amp;orgtypecode=5&amp;amp;TYPE=DISTRICT&amp;amp;fycode=2019" TargetMode="External"/><Relationship Id="rId4" Type="http://schemas.openxmlformats.org/officeDocument/2006/relationships/webSettings" Target="webSettings.xml"/><Relationship Id="rId9" Type="http://schemas.openxmlformats.org/officeDocument/2006/relationships/hyperlink" Target="https://profiles.doe.mass.edu/profiles/student.aspx?orgtypecode=5&amp;amp;leftNavId=16823&amp;amp;fycode=2020&amp;amp;orgcode=04160000"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18DE7B-6AF0-41DC-BACC-0BDD484D8FE5}"/>
</file>

<file path=customXml/itemProps2.xml><?xml version="1.0" encoding="utf-8"?>
<ds:datastoreItem xmlns:ds="http://schemas.openxmlformats.org/officeDocument/2006/customXml" ds:itemID="{1C6948A2-CF84-4E65-A479-A13571F42325}"/>
</file>

<file path=customXml/itemProps3.xml><?xml version="1.0" encoding="utf-8"?>
<ds:datastoreItem xmlns:ds="http://schemas.openxmlformats.org/officeDocument/2006/customXml" ds:itemID="{47FF8EEC-F931-4B3F-ABEB-B93F5DE3A806}"/>
</file>

<file path=docProps/app.xml><?xml version="1.0" encoding="utf-8"?>
<Properties xmlns="http://schemas.openxmlformats.org/officeDocument/2006/extended-properties" xmlns:vt="http://schemas.openxmlformats.org/officeDocument/2006/docPropsVTypes">
  <Template>Normal</Template>
  <TotalTime>3</TotalTime>
  <Pages>6</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Boston Prep Charter Public School Student Opportunity Act Plan: SY 2021-2023</vt:lpstr>
    </vt:vector>
  </TitlesOfParts>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Prep Charter Public School Student Opportunity Act Plan: SY 2021-2023</dc:title>
  <dc:subject>Student Opportunity Act Plan: SY 2021-2023</dc:subject>
  <dc:creator>DESE</dc:creator>
  <cp:lastModifiedBy>DeLorenzo, Lee E (DESE)</cp:lastModifiedBy>
  <cp:revision>6</cp:revision>
  <dcterms:created xsi:type="dcterms:W3CDTF">2021-03-11T14:42:00Z</dcterms:created>
  <dcterms:modified xsi:type="dcterms:W3CDTF">2021-03-24T15:16:00Z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2021-03-09T00:00:00Z</vt:filetime>
  </property>
  <property fmtid="{D5CDD505-2E9C-101B-9397-08002B2CF9AE}" pid="3" name="Creator">
    <vt:lpwstr>Microsoft® Word 2016</vt:lpwstr>
  </property>
  <property fmtid="{D5CDD505-2E9C-101B-9397-08002B2CF9AE}" pid="4" name="LastSaved">
    <vt:filetime>2021-03-11T00:00:00Z</vt:filetime>
  </property>
  <property fmtid="{D5CDD505-2E9C-101B-9397-08002B2CF9AE}" pid="5" name="ContentTypeId">
    <vt:lpwstr>0x010100A293676B7F9F114D8D4D17C37E9BF771</vt:lpwstr>
  </property>
</Properties>
</file>