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16443" w14:textId="77777777" w:rsidR="00625226" w:rsidRDefault="00625226" w:rsidP="000070D2">
      <w:pPr>
        <w:rPr>
          <w:rFonts w:ascii="Calibri" w:eastAsia="Calibri" w:hAnsi="Calibri" w:cs="Calibri"/>
          <w:sz w:val="22"/>
          <w:szCs w:val="22"/>
        </w:rPr>
      </w:pPr>
    </w:p>
    <w:p w14:paraId="73D03182" w14:textId="58F393E1" w:rsidR="0076100D" w:rsidRPr="00DC58A2" w:rsidRDefault="0076100D" w:rsidP="008A6AB9">
      <w:pPr>
        <w:widowControl w:val="0"/>
        <w:autoSpaceDE w:val="0"/>
        <w:autoSpaceDN w:val="0"/>
        <w:jc w:val="center"/>
        <w:outlineLvl w:val="1"/>
        <w:rPr>
          <w:rFonts w:eastAsia="Calibri"/>
          <w:b/>
          <w:color w:val="000000" w:themeColor="text1"/>
          <w:sz w:val="28"/>
          <w:szCs w:val="28"/>
        </w:rPr>
      </w:pPr>
      <w:r w:rsidRPr="00DC58A2">
        <w:rPr>
          <w:rFonts w:eastAsia="Calibri"/>
          <w:b/>
          <w:color w:val="000000" w:themeColor="text1"/>
          <w:sz w:val="28"/>
          <w:szCs w:val="28"/>
        </w:rPr>
        <w:t>Student Opportunity Act Plan: SY 2021-2023</w:t>
      </w:r>
    </w:p>
    <w:p w14:paraId="137D0F49" w14:textId="1320A3EF" w:rsidR="008A6AB9" w:rsidRPr="002D34AC" w:rsidRDefault="008A6AB9" w:rsidP="008A6AB9">
      <w:pPr>
        <w:widowControl w:val="0"/>
        <w:autoSpaceDE w:val="0"/>
        <w:autoSpaceDN w:val="0"/>
        <w:jc w:val="center"/>
        <w:outlineLvl w:val="1"/>
        <w:rPr>
          <w:rFonts w:eastAsia="Calibri"/>
          <w:b/>
          <w:bCs/>
          <w:i/>
          <w:color w:val="0070C0"/>
          <w:sz w:val="28"/>
          <w:szCs w:val="28"/>
        </w:rPr>
      </w:pPr>
      <w:r w:rsidRPr="002D34AC">
        <w:rPr>
          <w:rFonts w:eastAsia="Calibri"/>
          <w:b/>
          <w:bCs/>
          <w:i/>
          <w:color w:val="0070C0"/>
          <w:sz w:val="28"/>
          <w:szCs w:val="28"/>
        </w:rPr>
        <w:t>Foxborough Regional Charter School</w:t>
      </w:r>
    </w:p>
    <w:p w14:paraId="150839E5" w14:textId="77777777" w:rsidR="0076100D" w:rsidRPr="00515FB5" w:rsidRDefault="0076100D" w:rsidP="0076100D">
      <w:pPr>
        <w:widowControl w:val="0"/>
        <w:autoSpaceDE w:val="0"/>
        <w:autoSpaceDN w:val="0"/>
        <w:spacing w:before="7"/>
        <w:rPr>
          <w:rFonts w:eastAsia="Calibri"/>
          <w:b/>
          <w:color w:val="000000" w:themeColor="text1"/>
        </w:rPr>
      </w:pPr>
    </w:p>
    <w:p w14:paraId="77A1CECB" w14:textId="77777777" w:rsidR="0076100D" w:rsidRPr="00515FB5" w:rsidRDefault="0076100D" w:rsidP="0076100D">
      <w:pPr>
        <w:widowControl w:val="0"/>
        <w:autoSpaceDE w:val="0"/>
        <w:autoSpaceDN w:val="0"/>
        <w:spacing w:before="85"/>
        <w:ind w:left="107"/>
        <w:outlineLvl w:val="2"/>
        <w:rPr>
          <w:rFonts w:eastAsia="Calibri"/>
          <w:b/>
          <w:bCs/>
        </w:rPr>
      </w:pPr>
      <w:r w:rsidRPr="00515FB5">
        <w:rPr>
          <w:rFonts w:eastAsia="Calibri"/>
          <w:bCs/>
          <w:color w:val="2D74B5"/>
        </w:rPr>
        <w:t xml:space="preserve">→ </w:t>
      </w:r>
      <w:r w:rsidRPr="00515FB5">
        <w:rPr>
          <w:rFonts w:eastAsia="Calibri"/>
          <w:b/>
          <w:bCs/>
          <w:color w:val="2D74B5"/>
        </w:rPr>
        <w:t>Commitment 1: Focusing on Student Subgroups</w:t>
      </w:r>
    </w:p>
    <w:p w14:paraId="15874253" w14:textId="77777777" w:rsidR="0076100D" w:rsidRPr="00515FB5" w:rsidRDefault="0076100D" w:rsidP="0076100D">
      <w:pPr>
        <w:widowControl w:val="0"/>
        <w:autoSpaceDE w:val="0"/>
        <w:autoSpaceDN w:val="0"/>
        <w:spacing w:before="70"/>
        <w:ind w:left="107" w:right="890"/>
        <w:outlineLvl w:val="5"/>
        <w:rPr>
          <w:rFonts w:eastAsia="Calibri"/>
          <w:b/>
          <w:bCs/>
        </w:rPr>
      </w:pPr>
      <w:r w:rsidRPr="00515FB5">
        <w:rPr>
          <w:rFonts w:eastAsia="Calibri"/>
          <w:b/>
          <w:bCs/>
          <w:color w:val="1F3863"/>
        </w:rPr>
        <w:t>Which student groups will require focused support to ensure all students achieve at high levels in school and are successfully prepared for life?</w:t>
      </w:r>
    </w:p>
    <w:p w14:paraId="0108384F" w14:textId="77777777" w:rsidR="0076100D" w:rsidRPr="00515FB5" w:rsidRDefault="0076100D" w:rsidP="005B1CD5">
      <w:pPr>
        <w:widowControl w:val="0"/>
        <w:tabs>
          <w:tab w:val="left" w:pos="828"/>
          <w:tab w:val="left" w:pos="829"/>
        </w:tabs>
        <w:autoSpaceDE w:val="0"/>
        <w:autoSpaceDN w:val="0"/>
        <w:spacing w:before="2"/>
        <w:rPr>
          <w:rFonts w:eastAsia="Calibri"/>
          <w:b/>
        </w:rPr>
      </w:pPr>
    </w:p>
    <w:p w14:paraId="3364CD1F" w14:textId="7A67C87C" w:rsidR="005B1CD5" w:rsidRPr="00515FB5" w:rsidRDefault="005B1CD5">
      <w:pPr>
        <w:pStyle w:val="NormalWeb"/>
        <w:shd w:val="clear" w:color="auto" w:fill="FFFFFF"/>
        <w:spacing w:before="0" w:beforeAutospacing="0" w:after="0" w:afterAutospacing="0"/>
        <w:divId w:val="2091660279"/>
        <w:rPr>
          <w:color w:val="000000"/>
        </w:rPr>
      </w:pPr>
      <w:r w:rsidRPr="00515FB5">
        <w:rPr>
          <w:color w:val="000000"/>
        </w:rPr>
        <w:t xml:space="preserve">Foxborough Regional </w:t>
      </w:r>
      <w:r w:rsidR="00F47827">
        <w:rPr>
          <w:color w:val="000000"/>
        </w:rPr>
        <w:t>Charter School serves nearly 1.700</w:t>
      </w:r>
      <w:r w:rsidRPr="00515FB5">
        <w:rPr>
          <w:color w:val="000000"/>
        </w:rPr>
        <w:t xml:space="preserve"> students from over 20 different sending districts. Of these students, over 7 percent of them are English Learners and almost 10 percent are students with disabilities. Based on our review of English Learners and students with disabilities, it is apparent that these two subgroups are not achieving the same level of success on MCAS outcomes as their peers. </w:t>
      </w:r>
    </w:p>
    <w:p w14:paraId="3D1DEE5D" w14:textId="77777777" w:rsidR="005B1CD5" w:rsidRPr="00515FB5" w:rsidRDefault="005B1CD5" w:rsidP="005B1CD5">
      <w:pPr>
        <w:shd w:val="clear" w:color="auto" w:fill="FFFFFF"/>
        <w:divId w:val="2091660279"/>
        <w:rPr>
          <w:rFonts w:eastAsiaTheme="minorEastAsia"/>
          <w:color w:val="000000"/>
        </w:rPr>
      </w:pPr>
    </w:p>
    <w:p w14:paraId="404E2B6E" w14:textId="77777777" w:rsidR="005B1CD5" w:rsidRPr="00515FB5" w:rsidRDefault="005B1CD5" w:rsidP="00515FB5">
      <w:pPr>
        <w:shd w:val="clear" w:color="auto" w:fill="FFFFFF"/>
        <w:jc w:val="both"/>
        <w:divId w:val="2091660279"/>
        <w:rPr>
          <w:rFonts w:eastAsiaTheme="minorEastAsia"/>
          <w:color w:val="000000"/>
        </w:rPr>
      </w:pPr>
      <w:r w:rsidRPr="00515FB5">
        <w:rPr>
          <w:rFonts w:eastAsiaTheme="minorEastAsia"/>
          <w:color w:val="000000"/>
        </w:rPr>
        <w:t>A review of the progress on grades 3-8 MCAS assessment data over the past three years, illuminates the discrepancies in MCAS Achievement for these two subgroups. We can see that our percentage of overall students who either meet or exceed the expectations on the English Language Arts MCAS has remained relatively the same over the past three years, with an average of 47.6 percent of all students meeting or exceeding expectations. Within our subgroups however, there is a glaring gap in achievement. Throughout the past three years, an average of only 13 percent of our English Learner students in grades 3-8 have met or exceeded expectations on the ELA MCAS. Likewise, only 13 percent of our Grades 3-8 students with disabilities have met or exceeded expectations on the ELA MCAS.</w:t>
      </w:r>
    </w:p>
    <w:p w14:paraId="11E5019E" w14:textId="77777777" w:rsidR="005B1CD5" w:rsidRPr="00515FB5" w:rsidRDefault="005B1CD5" w:rsidP="005B1CD5">
      <w:pPr>
        <w:shd w:val="clear" w:color="auto" w:fill="FFFFFF"/>
        <w:divId w:val="2091660279"/>
        <w:rPr>
          <w:rFonts w:eastAsiaTheme="minorEastAsia"/>
          <w:color w:val="000000"/>
        </w:rPr>
      </w:pPr>
    </w:p>
    <w:p w14:paraId="197BB808" w14:textId="77777777" w:rsidR="005B1CD5" w:rsidRPr="00515FB5" w:rsidRDefault="005B1CD5" w:rsidP="00515FB5">
      <w:pPr>
        <w:shd w:val="clear" w:color="auto" w:fill="FFFFFF"/>
        <w:jc w:val="both"/>
        <w:divId w:val="2091660279"/>
        <w:rPr>
          <w:rFonts w:eastAsiaTheme="minorEastAsia"/>
          <w:color w:val="000000"/>
        </w:rPr>
      </w:pPr>
      <w:r w:rsidRPr="00515FB5">
        <w:rPr>
          <w:rFonts w:eastAsiaTheme="minorEastAsia"/>
          <w:color w:val="000000"/>
        </w:rPr>
        <w:t>Our Math MCAS data does not vary much from our ELA MCAS data. A review of the data depicts a discrepancy in the percentage of our subgroups meeting or exceeding Math MCAS expectations. While the percentage of our overall student population meeting or exceeding Math MCAS expectations is fairly low with an average of 39.7 percent, our subgroups demonstrate only a small percentage of this number. Only an average of 10.3 percent of our English Learners and 12 percent of our students with disabilities have met or exceeded the Math MCAS expectations over the past three years. </w:t>
      </w:r>
    </w:p>
    <w:p w14:paraId="3A4FD623" w14:textId="77777777" w:rsidR="005B1CD5" w:rsidRPr="00515FB5" w:rsidRDefault="005B1CD5" w:rsidP="005B1CD5">
      <w:pPr>
        <w:shd w:val="clear" w:color="auto" w:fill="FFFFFF"/>
        <w:divId w:val="2091660279"/>
        <w:rPr>
          <w:rFonts w:eastAsiaTheme="minorEastAsia"/>
          <w:color w:val="000000"/>
        </w:rPr>
      </w:pPr>
    </w:p>
    <w:p w14:paraId="23D6BE47" w14:textId="77777777" w:rsidR="005B1CD5" w:rsidRPr="00515FB5" w:rsidRDefault="005B1CD5" w:rsidP="005B1CD5">
      <w:pPr>
        <w:shd w:val="clear" w:color="auto" w:fill="FFFFFF"/>
        <w:divId w:val="2091660279"/>
        <w:rPr>
          <w:rFonts w:eastAsiaTheme="minorEastAsia"/>
          <w:color w:val="000000"/>
        </w:rPr>
      </w:pPr>
      <w:r w:rsidRPr="00515FB5">
        <w:rPr>
          <w:rFonts w:eastAsiaTheme="minorEastAsia"/>
          <w:color w:val="000000"/>
        </w:rPr>
        <w:t>When looking at this data, it becomes clear that our native English speakers and students without disabilities are driving the success of our MCAS data. </w:t>
      </w:r>
    </w:p>
    <w:p w14:paraId="004E812A" w14:textId="77777777" w:rsidR="005B1CD5" w:rsidRPr="00515FB5" w:rsidRDefault="005B1CD5" w:rsidP="005B1CD5">
      <w:pPr>
        <w:shd w:val="clear" w:color="auto" w:fill="FFFFFF"/>
        <w:divId w:val="2091660279"/>
        <w:rPr>
          <w:rFonts w:eastAsiaTheme="minorEastAsia"/>
          <w:color w:val="000000"/>
        </w:rPr>
      </w:pPr>
    </w:p>
    <w:p w14:paraId="5EBDD3CA" w14:textId="77777777" w:rsidR="005B1CD5" w:rsidRPr="00515FB5" w:rsidRDefault="005B1CD5" w:rsidP="005B1CD5">
      <w:pPr>
        <w:shd w:val="clear" w:color="auto" w:fill="FFFFFF"/>
        <w:divId w:val="2091660279"/>
        <w:rPr>
          <w:rFonts w:eastAsiaTheme="minorEastAsia"/>
          <w:color w:val="000000"/>
        </w:rPr>
      </w:pPr>
      <w:r w:rsidRPr="00515FB5">
        <w:rPr>
          <w:rFonts w:eastAsiaTheme="minorEastAsia"/>
          <w:b/>
          <w:bCs/>
          <w:color w:val="000000"/>
        </w:rPr>
        <w:t>ELA Grades 3-8 ALL</w:t>
      </w:r>
    </w:p>
    <w:p w14:paraId="3372DAAE" w14:textId="77777777" w:rsidR="005B1CD5" w:rsidRPr="00515FB5" w:rsidRDefault="005B1CD5" w:rsidP="005B1CD5">
      <w:pPr>
        <w:shd w:val="clear" w:color="auto" w:fill="FFFFFF"/>
        <w:divId w:val="2091660279"/>
        <w:rPr>
          <w:rFonts w:eastAsiaTheme="minorEastAsia"/>
          <w:color w:val="000000"/>
        </w:rPr>
      </w:pPr>
      <w:r w:rsidRPr="00515FB5">
        <w:rPr>
          <w:rFonts w:eastAsiaTheme="minorEastAsia"/>
          <w:color w:val="000000"/>
        </w:rPr>
        <w:t>2019: % Meeting or Exceeding 49</w:t>
      </w:r>
    </w:p>
    <w:p w14:paraId="583C1575" w14:textId="77777777" w:rsidR="005B1CD5" w:rsidRPr="00515FB5" w:rsidRDefault="005B1CD5" w:rsidP="005B1CD5">
      <w:pPr>
        <w:shd w:val="clear" w:color="auto" w:fill="FFFFFF"/>
        <w:divId w:val="2091660279"/>
        <w:rPr>
          <w:rFonts w:eastAsiaTheme="minorEastAsia"/>
          <w:color w:val="000000"/>
        </w:rPr>
      </w:pPr>
      <w:r w:rsidRPr="00515FB5">
        <w:rPr>
          <w:rFonts w:eastAsiaTheme="minorEastAsia"/>
          <w:color w:val="000000"/>
        </w:rPr>
        <w:t>2018: % Meeting or Exceeding 45</w:t>
      </w:r>
    </w:p>
    <w:p w14:paraId="141017F4" w14:textId="77777777" w:rsidR="005B1CD5" w:rsidRPr="00515FB5" w:rsidRDefault="005B1CD5" w:rsidP="005B1CD5">
      <w:pPr>
        <w:shd w:val="clear" w:color="auto" w:fill="FFFFFF"/>
        <w:divId w:val="2091660279"/>
        <w:rPr>
          <w:rFonts w:eastAsiaTheme="minorEastAsia"/>
          <w:color w:val="000000"/>
        </w:rPr>
      </w:pPr>
      <w:r w:rsidRPr="00515FB5">
        <w:rPr>
          <w:rFonts w:eastAsiaTheme="minorEastAsia"/>
          <w:color w:val="000000"/>
        </w:rPr>
        <w:t>2017: % Meeting or Exceeding 49</w:t>
      </w:r>
    </w:p>
    <w:p w14:paraId="48739513" w14:textId="77777777" w:rsidR="005B1CD5" w:rsidRPr="00515FB5" w:rsidRDefault="005B1CD5" w:rsidP="005B1CD5">
      <w:pPr>
        <w:shd w:val="clear" w:color="auto" w:fill="FFFFFF"/>
        <w:divId w:val="2091660279"/>
        <w:rPr>
          <w:rFonts w:eastAsiaTheme="minorEastAsia"/>
          <w:color w:val="000000"/>
        </w:rPr>
      </w:pPr>
    </w:p>
    <w:p w14:paraId="152AE4E7" w14:textId="77777777" w:rsidR="005B1CD5" w:rsidRPr="00515FB5" w:rsidRDefault="005B1CD5" w:rsidP="005B1CD5">
      <w:pPr>
        <w:shd w:val="clear" w:color="auto" w:fill="FFFFFF"/>
        <w:divId w:val="2091660279"/>
        <w:rPr>
          <w:rFonts w:eastAsiaTheme="minorEastAsia"/>
          <w:color w:val="000000"/>
        </w:rPr>
      </w:pPr>
      <w:r w:rsidRPr="00515FB5">
        <w:rPr>
          <w:rFonts w:eastAsiaTheme="minorEastAsia"/>
          <w:b/>
          <w:bCs/>
          <w:color w:val="000000"/>
        </w:rPr>
        <w:t>ELA Grades 3-8 EL</w:t>
      </w:r>
    </w:p>
    <w:p w14:paraId="299C3415" w14:textId="77777777" w:rsidR="005B1CD5" w:rsidRPr="00515FB5" w:rsidRDefault="005B1CD5" w:rsidP="005B1CD5">
      <w:pPr>
        <w:shd w:val="clear" w:color="auto" w:fill="FFFFFF"/>
        <w:divId w:val="2091660279"/>
        <w:rPr>
          <w:rFonts w:eastAsiaTheme="minorEastAsia"/>
          <w:color w:val="000000"/>
        </w:rPr>
      </w:pPr>
      <w:r w:rsidRPr="00515FB5">
        <w:rPr>
          <w:rFonts w:eastAsiaTheme="minorEastAsia"/>
          <w:color w:val="000000"/>
        </w:rPr>
        <w:t>2019: % Meeting or Exceeding 6</w:t>
      </w:r>
    </w:p>
    <w:p w14:paraId="6886CC03" w14:textId="77777777" w:rsidR="005B1CD5" w:rsidRPr="00515FB5" w:rsidRDefault="005B1CD5" w:rsidP="005B1CD5">
      <w:pPr>
        <w:shd w:val="clear" w:color="auto" w:fill="FFFFFF"/>
        <w:divId w:val="2091660279"/>
        <w:rPr>
          <w:rFonts w:eastAsiaTheme="minorEastAsia"/>
          <w:color w:val="000000"/>
        </w:rPr>
      </w:pPr>
      <w:r w:rsidRPr="00515FB5">
        <w:rPr>
          <w:rFonts w:eastAsiaTheme="minorEastAsia"/>
          <w:color w:val="000000"/>
        </w:rPr>
        <w:t>2018: % Meeting or Exceeding 20</w:t>
      </w:r>
    </w:p>
    <w:p w14:paraId="164D8CBF" w14:textId="77777777" w:rsidR="005B1CD5" w:rsidRPr="00515FB5" w:rsidRDefault="005B1CD5" w:rsidP="005B1CD5">
      <w:pPr>
        <w:shd w:val="clear" w:color="auto" w:fill="FFFFFF"/>
        <w:divId w:val="2091660279"/>
        <w:rPr>
          <w:rFonts w:eastAsiaTheme="minorEastAsia"/>
          <w:color w:val="000000"/>
        </w:rPr>
      </w:pPr>
      <w:r w:rsidRPr="00515FB5">
        <w:rPr>
          <w:rFonts w:eastAsiaTheme="minorEastAsia"/>
          <w:color w:val="000000"/>
        </w:rPr>
        <w:t>2017: % Meeting or Exceeding 13</w:t>
      </w:r>
    </w:p>
    <w:p w14:paraId="381D4651" w14:textId="77777777" w:rsidR="005B1CD5" w:rsidRPr="00515FB5" w:rsidRDefault="005B1CD5" w:rsidP="005B1CD5">
      <w:pPr>
        <w:shd w:val="clear" w:color="auto" w:fill="FFFFFF"/>
        <w:divId w:val="2091660279"/>
        <w:rPr>
          <w:rFonts w:eastAsiaTheme="minorEastAsia"/>
          <w:color w:val="000000"/>
        </w:rPr>
      </w:pPr>
    </w:p>
    <w:p w14:paraId="561F5D7A" w14:textId="77777777" w:rsidR="005B1CD5" w:rsidRPr="00515FB5" w:rsidRDefault="005B1CD5" w:rsidP="005B1CD5">
      <w:pPr>
        <w:shd w:val="clear" w:color="auto" w:fill="FFFFFF"/>
        <w:divId w:val="2091660279"/>
        <w:rPr>
          <w:rFonts w:eastAsiaTheme="minorEastAsia"/>
          <w:color w:val="000000"/>
        </w:rPr>
      </w:pPr>
      <w:r w:rsidRPr="00515FB5">
        <w:rPr>
          <w:rFonts w:eastAsiaTheme="minorEastAsia"/>
          <w:b/>
          <w:bCs/>
          <w:color w:val="000000"/>
        </w:rPr>
        <w:t>ELA Grades 3-8 SPED</w:t>
      </w:r>
    </w:p>
    <w:p w14:paraId="0C51F92D" w14:textId="77777777" w:rsidR="005B1CD5" w:rsidRPr="00515FB5" w:rsidRDefault="005B1CD5" w:rsidP="005B1CD5">
      <w:pPr>
        <w:shd w:val="clear" w:color="auto" w:fill="FFFFFF"/>
        <w:divId w:val="2091660279"/>
        <w:rPr>
          <w:rFonts w:eastAsiaTheme="minorEastAsia"/>
          <w:color w:val="000000"/>
        </w:rPr>
      </w:pPr>
      <w:r w:rsidRPr="00515FB5">
        <w:rPr>
          <w:rFonts w:eastAsiaTheme="minorEastAsia"/>
          <w:color w:val="000000"/>
        </w:rPr>
        <w:t>2019: % Meeting or Exceeding 13</w:t>
      </w:r>
    </w:p>
    <w:p w14:paraId="3FD0DD62" w14:textId="77777777" w:rsidR="005B1CD5" w:rsidRPr="00515FB5" w:rsidRDefault="005B1CD5" w:rsidP="005B1CD5">
      <w:pPr>
        <w:shd w:val="clear" w:color="auto" w:fill="FFFFFF"/>
        <w:divId w:val="2091660279"/>
        <w:rPr>
          <w:rFonts w:eastAsiaTheme="minorEastAsia"/>
          <w:color w:val="000000"/>
        </w:rPr>
      </w:pPr>
      <w:r w:rsidRPr="00515FB5">
        <w:rPr>
          <w:rFonts w:eastAsiaTheme="minorEastAsia"/>
          <w:color w:val="000000"/>
        </w:rPr>
        <w:t>2018: % Meeting or Exceeding 12</w:t>
      </w:r>
    </w:p>
    <w:p w14:paraId="4AC9CE9E" w14:textId="77777777" w:rsidR="005B1CD5" w:rsidRPr="00515FB5" w:rsidRDefault="005B1CD5" w:rsidP="005B1CD5">
      <w:pPr>
        <w:shd w:val="clear" w:color="auto" w:fill="FFFFFF"/>
        <w:divId w:val="2091660279"/>
        <w:rPr>
          <w:rFonts w:eastAsiaTheme="minorEastAsia"/>
          <w:color w:val="000000"/>
        </w:rPr>
      </w:pPr>
      <w:r w:rsidRPr="00515FB5">
        <w:rPr>
          <w:rFonts w:eastAsiaTheme="minorEastAsia"/>
          <w:color w:val="000000"/>
        </w:rPr>
        <w:t>2017: % Meeting or Exceeding 14</w:t>
      </w:r>
    </w:p>
    <w:p w14:paraId="3B087152" w14:textId="77777777" w:rsidR="00515FB5" w:rsidRDefault="00515FB5">
      <w:pPr>
        <w:spacing w:after="160" w:line="259" w:lineRule="auto"/>
        <w:rPr>
          <w:rFonts w:eastAsiaTheme="minorEastAsia"/>
          <w:b/>
          <w:bCs/>
          <w:color w:val="000000"/>
        </w:rPr>
      </w:pPr>
      <w:r>
        <w:rPr>
          <w:rFonts w:eastAsiaTheme="minorEastAsia"/>
          <w:b/>
          <w:bCs/>
          <w:color w:val="000000"/>
        </w:rPr>
        <w:br w:type="page"/>
      </w:r>
    </w:p>
    <w:p w14:paraId="4DF01C2C" w14:textId="77777777" w:rsidR="005B1CD5" w:rsidRPr="00515FB5" w:rsidRDefault="005B1CD5" w:rsidP="005B1CD5">
      <w:pPr>
        <w:shd w:val="clear" w:color="auto" w:fill="FFFFFF"/>
        <w:divId w:val="2091660279"/>
        <w:rPr>
          <w:rFonts w:eastAsiaTheme="minorEastAsia"/>
          <w:color w:val="000000"/>
        </w:rPr>
      </w:pPr>
      <w:r w:rsidRPr="00515FB5">
        <w:rPr>
          <w:rFonts w:eastAsiaTheme="minorEastAsia"/>
          <w:b/>
          <w:bCs/>
          <w:color w:val="000000"/>
        </w:rPr>
        <w:lastRenderedPageBreak/>
        <w:t>Math Grades 3-8 ALL</w:t>
      </w:r>
    </w:p>
    <w:p w14:paraId="0F75A578" w14:textId="77777777" w:rsidR="005B1CD5" w:rsidRPr="00515FB5" w:rsidRDefault="005B1CD5" w:rsidP="005B1CD5">
      <w:pPr>
        <w:shd w:val="clear" w:color="auto" w:fill="FFFFFF"/>
        <w:divId w:val="2091660279"/>
        <w:rPr>
          <w:rFonts w:eastAsiaTheme="minorEastAsia"/>
          <w:color w:val="000000"/>
        </w:rPr>
      </w:pPr>
      <w:r w:rsidRPr="00515FB5">
        <w:rPr>
          <w:rFonts w:eastAsiaTheme="minorEastAsia"/>
          <w:color w:val="000000"/>
        </w:rPr>
        <w:t>2019: % Meeting or Exceeding 37</w:t>
      </w:r>
    </w:p>
    <w:p w14:paraId="2F59AC22" w14:textId="77777777" w:rsidR="005B1CD5" w:rsidRPr="00515FB5" w:rsidRDefault="005B1CD5" w:rsidP="005B1CD5">
      <w:pPr>
        <w:shd w:val="clear" w:color="auto" w:fill="FFFFFF"/>
        <w:divId w:val="2091660279"/>
        <w:rPr>
          <w:rFonts w:eastAsiaTheme="minorEastAsia"/>
          <w:color w:val="000000"/>
        </w:rPr>
      </w:pPr>
      <w:r w:rsidRPr="00515FB5">
        <w:rPr>
          <w:rFonts w:eastAsiaTheme="minorEastAsia"/>
          <w:color w:val="000000"/>
        </w:rPr>
        <w:t>2018: % Meeting or Exceeding 43</w:t>
      </w:r>
    </w:p>
    <w:p w14:paraId="1E2D6F64" w14:textId="77777777" w:rsidR="005B1CD5" w:rsidRPr="00515FB5" w:rsidRDefault="005B1CD5" w:rsidP="005B1CD5">
      <w:pPr>
        <w:shd w:val="clear" w:color="auto" w:fill="FFFFFF"/>
        <w:divId w:val="2091660279"/>
        <w:rPr>
          <w:rFonts w:eastAsiaTheme="minorEastAsia"/>
          <w:color w:val="000000"/>
        </w:rPr>
      </w:pPr>
      <w:r w:rsidRPr="00515FB5">
        <w:rPr>
          <w:rFonts w:eastAsiaTheme="minorEastAsia"/>
          <w:color w:val="000000"/>
        </w:rPr>
        <w:t>2017: % Meeting or Exceeding 39</w:t>
      </w:r>
    </w:p>
    <w:p w14:paraId="50171D67" w14:textId="77777777" w:rsidR="005B1CD5" w:rsidRPr="00515FB5" w:rsidRDefault="005B1CD5" w:rsidP="005B1CD5">
      <w:pPr>
        <w:shd w:val="clear" w:color="auto" w:fill="FFFFFF"/>
        <w:divId w:val="2091660279"/>
        <w:rPr>
          <w:rFonts w:eastAsiaTheme="minorEastAsia"/>
          <w:color w:val="000000"/>
        </w:rPr>
      </w:pPr>
    </w:p>
    <w:p w14:paraId="21CFDC99" w14:textId="77777777" w:rsidR="005B1CD5" w:rsidRPr="00515FB5" w:rsidRDefault="005B1CD5" w:rsidP="005B1CD5">
      <w:pPr>
        <w:shd w:val="clear" w:color="auto" w:fill="FFFFFF"/>
        <w:divId w:val="2091660279"/>
        <w:rPr>
          <w:rFonts w:eastAsiaTheme="minorEastAsia"/>
          <w:color w:val="000000"/>
        </w:rPr>
      </w:pPr>
      <w:r w:rsidRPr="00515FB5">
        <w:rPr>
          <w:rFonts w:eastAsiaTheme="minorEastAsia"/>
          <w:b/>
          <w:bCs/>
          <w:color w:val="000000"/>
        </w:rPr>
        <w:t>Math Grades 3-8 EL</w:t>
      </w:r>
    </w:p>
    <w:p w14:paraId="3E4EADCD" w14:textId="77777777" w:rsidR="005B1CD5" w:rsidRPr="00515FB5" w:rsidRDefault="005B1CD5" w:rsidP="005B1CD5">
      <w:pPr>
        <w:shd w:val="clear" w:color="auto" w:fill="FFFFFF"/>
        <w:divId w:val="2091660279"/>
        <w:rPr>
          <w:rFonts w:eastAsiaTheme="minorEastAsia"/>
          <w:color w:val="000000"/>
        </w:rPr>
      </w:pPr>
      <w:r w:rsidRPr="00515FB5">
        <w:rPr>
          <w:rFonts w:eastAsiaTheme="minorEastAsia"/>
          <w:color w:val="000000"/>
        </w:rPr>
        <w:t>2019: % Meeting or Exceeding 4</w:t>
      </w:r>
    </w:p>
    <w:p w14:paraId="6B6E719A" w14:textId="77777777" w:rsidR="005B1CD5" w:rsidRPr="00515FB5" w:rsidRDefault="005B1CD5" w:rsidP="005B1CD5">
      <w:pPr>
        <w:shd w:val="clear" w:color="auto" w:fill="FFFFFF"/>
        <w:divId w:val="2091660279"/>
        <w:rPr>
          <w:rFonts w:eastAsiaTheme="minorEastAsia"/>
          <w:color w:val="000000"/>
        </w:rPr>
      </w:pPr>
      <w:r w:rsidRPr="00515FB5">
        <w:rPr>
          <w:rFonts w:eastAsiaTheme="minorEastAsia"/>
          <w:color w:val="000000"/>
        </w:rPr>
        <w:t>2018: % Meeting or Exceeding 18</w:t>
      </w:r>
    </w:p>
    <w:p w14:paraId="070922E0" w14:textId="77777777" w:rsidR="005B1CD5" w:rsidRPr="00515FB5" w:rsidRDefault="005B1CD5" w:rsidP="005B1CD5">
      <w:pPr>
        <w:shd w:val="clear" w:color="auto" w:fill="FFFFFF"/>
        <w:divId w:val="2091660279"/>
        <w:rPr>
          <w:rFonts w:eastAsiaTheme="minorEastAsia"/>
          <w:color w:val="000000"/>
        </w:rPr>
      </w:pPr>
      <w:r w:rsidRPr="00515FB5">
        <w:rPr>
          <w:rFonts w:eastAsiaTheme="minorEastAsia"/>
          <w:color w:val="000000"/>
        </w:rPr>
        <w:t>2017: % Meeting or Exceeding 9</w:t>
      </w:r>
    </w:p>
    <w:p w14:paraId="048B9DA8" w14:textId="77777777" w:rsidR="005B1CD5" w:rsidRPr="00515FB5" w:rsidRDefault="005B1CD5" w:rsidP="005B1CD5">
      <w:pPr>
        <w:shd w:val="clear" w:color="auto" w:fill="FFFFFF"/>
        <w:divId w:val="2091660279"/>
        <w:rPr>
          <w:rFonts w:eastAsiaTheme="minorEastAsia"/>
          <w:color w:val="000000"/>
        </w:rPr>
      </w:pPr>
    </w:p>
    <w:p w14:paraId="7B2BE4EF" w14:textId="77777777" w:rsidR="005B1CD5" w:rsidRPr="00515FB5" w:rsidRDefault="005B1CD5" w:rsidP="005B1CD5">
      <w:pPr>
        <w:shd w:val="clear" w:color="auto" w:fill="FFFFFF"/>
        <w:divId w:val="2091660279"/>
        <w:rPr>
          <w:rFonts w:eastAsiaTheme="minorEastAsia"/>
          <w:color w:val="000000"/>
        </w:rPr>
      </w:pPr>
      <w:r w:rsidRPr="00515FB5">
        <w:rPr>
          <w:rFonts w:eastAsiaTheme="minorEastAsia"/>
          <w:b/>
          <w:bCs/>
          <w:color w:val="000000"/>
        </w:rPr>
        <w:t>Math Grades 3-8 SPED</w:t>
      </w:r>
    </w:p>
    <w:p w14:paraId="5DFA99C9" w14:textId="77777777" w:rsidR="005B1CD5" w:rsidRPr="00515FB5" w:rsidRDefault="005B1CD5" w:rsidP="005B1CD5">
      <w:pPr>
        <w:shd w:val="clear" w:color="auto" w:fill="FFFFFF"/>
        <w:divId w:val="2091660279"/>
        <w:rPr>
          <w:rFonts w:eastAsiaTheme="minorEastAsia"/>
          <w:color w:val="000000"/>
        </w:rPr>
      </w:pPr>
      <w:r w:rsidRPr="00515FB5">
        <w:rPr>
          <w:rFonts w:eastAsiaTheme="minorEastAsia"/>
          <w:color w:val="000000"/>
        </w:rPr>
        <w:t>2019: % Meeting or Exceeding 10</w:t>
      </w:r>
    </w:p>
    <w:p w14:paraId="71EAA2B0" w14:textId="77777777" w:rsidR="005B1CD5" w:rsidRPr="00515FB5" w:rsidRDefault="005B1CD5" w:rsidP="005B1CD5">
      <w:pPr>
        <w:shd w:val="clear" w:color="auto" w:fill="FFFFFF"/>
        <w:divId w:val="2091660279"/>
        <w:rPr>
          <w:rFonts w:eastAsiaTheme="minorEastAsia"/>
          <w:color w:val="000000"/>
        </w:rPr>
      </w:pPr>
      <w:r w:rsidRPr="00515FB5">
        <w:rPr>
          <w:rFonts w:eastAsiaTheme="minorEastAsia"/>
          <w:color w:val="000000"/>
        </w:rPr>
        <w:t>2018: % Meeting or Exceeding 15</w:t>
      </w:r>
    </w:p>
    <w:p w14:paraId="51701EA4" w14:textId="77777777" w:rsidR="0076100D" w:rsidRPr="00515FB5" w:rsidRDefault="005B1CD5" w:rsidP="0089155D">
      <w:pPr>
        <w:shd w:val="clear" w:color="auto" w:fill="FFFFFF"/>
        <w:divId w:val="2091660279"/>
        <w:rPr>
          <w:rFonts w:eastAsiaTheme="minorEastAsia"/>
          <w:color w:val="000000"/>
        </w:rPr>
      </w:pPr>
      <w:r w:rsidRPr="00515FB5">
        <w:rPr>
          <w:rFonts w:eastAsiaTheme="minorEastAsia"/>
          <w:color w:val="000000"/>
        </w:rPr>
        <w:t>2017: % Meeting or Exceeding 11</w:t>
      </w:r>
    </w:p>
    <w:p w14:paraId="55545836" w14:textId="77777777" w:rsidR="0076100D" w:rsidRPr="00515FB5" w:rsidRDefault="0076100D" w:rsidP="0076100D">
      <w:pPr>
        <w:widowControl w:val="0"/>
        <w:autoSpaceDE w:val="0"/>
        <w:autoSpaceDN w:val="0"/>
        <w:rPr>
          <w:rFonts w:eastAsia="Calibri"/>
        </w:rPr>
      </w:pPr>
    </w:p>
    <w:p w14:paraId="1FC8F945" w14:textId="77777777" w:rsidR="0076100D" w:rsidRPr="00515FB5" w:rsidRDefault="0076100D" w:rsidP="0076100D">
      <w:pPr>
        <w:widowControl w:val="0"/>
        <w:autoSpaceDE w:val="0"/>
        <w:autoSpaceDN w:val="0"/>
        <w:ind w:left="107"/>
        <w:outlineLvl w:val="2"/>
        <w:rPr>
          <w:rFonts w:eastAsia="Calibri"/>
          <w:b/>
          <w:bCs/>
        </w:rPr>
      </w:pPr>
      <w:r w:rsidRPr="00515FB5">
        <w:rPr>
          <w:rFonts w:eastAsia="Calibri"/>
          <w:bCs/>
          <w:color w:val="2D74B5"/>
        </w:rPr>
        <w:t xml:space="preserve">→ </w:t>
      </w:r>
      <w:r w:rsidRPr="00515FB5">
        <w:rPr>
          <w:rFonts w:eastAsia="Calibri"/>
          <w:b/>
          <w:bCs/>
          <w:color w:val="2D74B5"/>
        </w:rPr>
        <w:t>Commitment 2: Using Evidence-Based Programs to Close Gaps</w:t>
      </w:r>
    </w:p>
    <w:p w14:paraId="7C0F83E2" w14:textId="77777777" w:rsidR="0076100D" w:rsidRPr="00515FB5" w:rsidRDefault="0076100D" w:rsidP="0076100D">
      <w:pPr>
        <w:widowControl w:val="0"/>
        <w:autoSpaceDE w:val="0"/>
        <w:autoSpaceDN w:val="0"/>
        <w:spacing w:before="73"/>
        <w:ind w:left="107" w:right="344"/>
        <w:outlineLvl w:val="5"/>
        <w:rPr>
          <w:rFonts w:eastAsia="Calibri"/>
          <w:b/>
          <w:bCs/>
        </w:rPr>
      </w:pPr>
      <w:r w:rsidRPr="00515FB5">
        <w:rPr>
          <w:rFonts w:eastAsia="Calibri"/>
          <w:b/>
          <w:bCs/>
          <w:color w:val="1F3863"/>
        </w:rPr>
        <w:t>What evidence-based programs will your charter school adopt, deepen, or continue to best support the closure of achievement and opportunity gaps? What resources will be allocated to these programs?</w:t>
      </w:r>
    </w:p>
    <w:p w14:paraId="7A4381AA" w14:textId="77777777" w:rsidR="00747F01" w:rsidRDefault="00747F01" w:rsidP="0076100D">
      <w:pPr>
        <w:widowControl w:val="0"/>
        <w:autoSpaceDE w:val="0"/>
        <w:autoSpaceDN w:val="0"/>
        <w:rPr>
          <w:rFonts w:eastAsia="Calibri"/>
          <w:b/>
          <w:bCs/>
        </w:rPr>
      </w:pPr>
    </w:p>
    <w:p w14:paraId="0AD24DAC" w14:textId="77777777" w:rsidR="0076100D" w:rsidRPr="00515FB5" w:rsidRDefault="0076100D" w:rsidP="0076100D">
      <w:pPr>
        <w:widowControl w:val="0"/>
        <w:autoSpaceDE w:val="0"/>
        <w:autoSpaceDN w:val="0"/>
        <w:rPr>
          <w:rFonts w:eastAsia="Calibri"/>
          <w:b/>
          <w:bCs/>
        </w:rPr>
      </w:pPr>
      <w:r w:rsidRPr="00515FB5">
        <w:rPr>
          <w:rFonts w:eastAsia="Calibri"/>
          <w:b/>
          <w:bCs/>
        </w:rPr>
        <w:t>Evidence-based program #1:</w:t>
      </w:r>
      <w:r w:rsidR="00515FB5" w:rsidRPr="00515FB5">
        <w:rPr>
          <w:rFonts w:eastAsia="Calibri"/>
          <w:b/>
          <w:bCs/>
        </w:rPr>
        <w:t xml:space="preserve"> Supporting educators to implement high-quality, aligned curriculum</w:t>
      </w:r>
    </w:p>
    <w:p w14:paraId="40FA7D27" w14:textId="77777777" w:rsidR="00E54B5B" w:rsidRPr="00515FB5" w:rsidRDefault="00E54B5B" w:rsidP="0076100D">
      <w:pPr>
        <w:widowControl w:val="0"/>
        <w:autoSpaceDE w:val="0"/>
        <w:autoSpaceDN w:val="0"/>
        <w:rPr>
          <w:rFonts w:eastAsia="Calibri"/>
          <w:b/>
          <w:bCs/>
        </w:rPr>
      </w:pPr>
    </w:p>
    <w:p w14:paraId="64A00773" w14:textId="599FD439" w:rsidR="00E54B5B" w:rsidRPr="00515FB5" w:rsidRDefault="00E54B5B" w:rsidP="00E54B5B">
      <w:pPr>
        <w:divId w:val="871723970"/>
        <w:rPr>
          <w:rFonts w:eastAsiaTheme="minorEastAsia"/>
          <w:color w:val="000000"/>
        </w:rPr>
      </w:pPr>
      <w:r w:rsidRPr="00515FB5">
        <w:rPr>
          <w:rFonts w:eastAsiaTheme="minorEastAsia"/>
          <w:color w:val="000000"/>
        </w:rPr>
        <w:t xml:space="preserve">Foxborough Regional Charter </w:t>
      </w:r>
      <w:proofErr w:type="gramStart"/>
      <w:r w:rsidRPr="00515FB5">
        <w:rPr>
          <w:rFonts w:eastAsiaTheme="minorEastAsia"/>
          <w:color w:val="000000"/>
        </w:rPr>
        <w:t>School(</w:t>
      </w:r>
      <w:proofErr w:type="gramEnd"/>
      <w:r w:rsidRPr="00515FB5">
        <w:rPr>
          <w:rFonts w:eastAsiaTheme="minorEastAsia"/>
          <w:color w:val="000000"/>
        </w:rPr>
        <w:t xml:space="preserve">FRCS) serves </w:t>
      </w:r>
      <w:r w:rsidR="00F47827">
        <w:rPr>
          <w:rFonts w:eastAsiaTheme="minorEastAsia"/>
          <w:color w:val="000000"/>
        </w:rPr>
        <w:t>nearly 1,700</w:t>
      </w:r>
      <w:r w:rsidRPr="00515FB5">
        <w:rPr>
          <w:rFonts w:eastAsiaTheme="minorEastAsia"/>
          <w:color w:val="000000"/>
        </w:rPr>
        <w:t xml:space="preserve"> students from 2</w:t>
      </w:r>
      <w:r w:rsidR="00F47827">
        <w:rPr>
          <w:rFonts w:eastAsiaTheme="minorEastAsia"/>
          <w:color w:val="000000"/>
        </w:rPr>
        <w:t>0</w:t>
      </w:r>
      <w:r w:rsidRPr="00515FB5">
        <w:rPr>
          <w:rFonts w:eastAsiaTheme="minorEastAsia"/>
          <w:color w:val="000000"/>
        </w:rPr>
        <w:t xml:space="preserve"> neighboring communities. In the last five years, 2015-2020, our school community has seen a change in student demographics. Based on a review of student demographics this shift can be attributed to redistribution in the number of students from various sending districts which is underscored by our changing data in Kindergarten enrollment. This data review focuses specifically on the Black and Latinx subgroups of students most often associated with being economically disadvantaged.  FRCS has seen over a 250% increase in Black and Latinx Kindergarten student enrollment. We are also experiencing close to a 50% increase in the overall Black and Latinx student population in our K-12 enrollment. This is in juxtaposition to the near 19% increase</w:t>
      </w:r>
      <w:r w:rsidR="00702BEA" w:rsidRPr="00515FB5">
        <w:rPr>
          <w:rFonts w:eastAsiaTheme="minorEastAsia"/>
          <w:color w:val="000000"/>
        </w:rPr>
        <w:t>,</w:t>
      </w:r>
      <w:r w:rsidRPr="00515FB5">
        <w:rPr>
          <w:rFonts w:eastAsiaTheme="minorEastAsia"/>
          <w:color w:val="000000"/>
        </w:rPr>
        <w:t xml:space="preserve"> which the state is reporting in the same demographic. </w:t>
      </w:r>
    </w:p>
    <w:p w14:paraId="6A4AAF26" w14:textId="77777777" w:rsidR="00E54B5B" w:rsidRPr="00515FB5" w:rsidRDefault="00E54B5B" w:rsidP="00E54B5B">
      <w:pPr>
        <w:divId w:val="871723970"/>
        <w:rPr>
          <w:color w:val="000000"/>
        </w:rPr>
      </w:pPr>
    </w:p>
    <w:p w14:paraId="4E2E45FB" w14:textId="77777777" w:rsidR="00E54B5B" w:rsidRPr="00515FB5" w:rsidRDefault="00702BEA" w:rsidP="00E54B5B">
      <w:pPr>
        <w:divId w:val="871723970"/>
        <w:rPr>
          <w:rFonts w:eastAsiaTheme="minorEastAsia"/>
          <w:color w:val="000000"/>
        </w:rPr>
      </w:pPr>
      <w:r w:rsidRPr="00515FB5">
        <w:rPr>
          <w:rFonts w:eastAsiaTheme="minorEastAsia"/>
          <w:color w:val="000000"/>
        </w:rPr>
        <w:t>A review of the progress i</w:t>
      </w:r>
      <w:r w:rsidR="00E54B5B" w:rsidRPr="00515FB5">
        <w:rPr>
          <w:rFonts w:eastAsiaTheme="minorEastAsia"/>
          <w:color w:val="000000"/>
        </w:rPr>
        <w:t>n grades 3-8 MCAS asses</w:t>
      </w:r>
      <w:r w:rsidRPr="00515FB5">
        <w:rPr>
          <w:rFonts w:eastAsiaTheme="minorEastAsia"/>
          <w:color w:val="000000"/>
        </w:rPr>
        <w:t>sment data over the last three years</w:t>
      </w:r>
      <w:r w:rsidR="00E54B5B" w:rsidRPr="00515FB5">
        <w:rPr>
          <w:rFonts w:eastAsiaTheme="minorEastAsia"/>
          <w:color w:val="000000"/>
        </w:rPr>
        <w:t> further captures discrepancies in MCAS Achievement for Black and Latinx students. Analysis shows an average of 40% of overall students within these three years meeting or exceeding Mathematics MCAS between 201</w:t>
      </w:r>
      <w:r w:rsidR="00144D6D" w:rsidRPr="00515FB5">
        <w:rPr>
          <w:rFonts w:eastAsiaTheme="minorEastAsia"/>
          <w:color w:val="000000"/>
        </w:rPr>
        <w:t>7</w:t>
      </w:r>
      <w:r w:rsidR="00E54B5B" w:rsidRPr="00515FB5">
        <w:rPr>
          <w:rFonts w:eastAsiaTheme="minorEastAsia"/>
          <w:color w:val="000000"/>
        </w:rPr>
        <w:t>-201</w:t>
      </w:r>
      <w:r w:rsidR="00144D6D" w:rsidRPr="00515FB5">
        <w:rPr>
          <w:rFonts w:eastAsiaTheme="minorEastAsia"/>
          <w:color w:val="000000"/>
        </w:rPr>
        <w:t>9</w:t>
      </w:r>
      <w:r w:rsidR="00E54B5B" w:rsidRPr="00515FB5">
        <w:rPr>
          <w:rFonts w:eastAsiaTheme="minorEastAsia"/>
          <w:color w:val="000000"/>
        </w:rPr>
        <w:t>. Examination of our subgroups reveals white students performed at 48% in the meets or exceeds category. On average only 41% of all Latinx students achieved a meets or exceeding designation and a glaring achievement gap emerges with only 24% of Black/African American students meeting or exceeding on Mathematics MCAS. This is even more poignant when you consider 55% of our student population is Black or Latinx, by far the fastest-growing subgroup at FRCS.</w:t>
      </w:r>
    </w:p>
    <w:p w14:paraId="603F8DB7" w14:textId="77777777" w:rsidR="00E54B5B" w:rsidRPr="00515FB5" w:rsidRDefault="00E54B5B" w:rsidP="00E54B5B">
      <w:pPr>
        <w:divId w:val="871723970"/>
        <w:rPr>
          <w:color w:val="000000"/>
        </w:rPr>
      </w:pPr>
    </w:p>
    <w:p w14:paraId="012C9607" w14:textId="77777777" w:rsidR="00E54B5B" w:rsidRPr="00515FB5" w:rsidRDefault="00E54B5B" w:rsidP="00E54B5B">
      <w:pPr>
        <w:divId w:val="871723970"/>
        <w:rPr>
          <w:rFonts w:eastAsiaTheme="minorEastAsia"/>
          <w:color w:val="000000"/>
        </w:rPr>
      </w:pPr>
      <w:r w:rsidRPr="00515FB5">
        <w:rPr>
          <w:rFonts w:eastAsiaTheme="minorEastAsia"/>
          <w:color w:val="000000"/>
        </w:rPr>
        <w:t>The analysis of both the change in school demographics in the last five years and achievement data as related to MCAS in the last three years is the catalyst for a shift in our curricular resources and supports. We are currently curating a high-quality phonics program specifically aimed at closing the opportunity gap in primary grades as well as a high-quality mathematics program focused on closing achievement gaps for our students. The selected elementary mathematics program will vertically align to our newly adopted middle school mathematics curriculum. Professional development planning is underway to ensure the proper implementation of new programming.</w:t>
      </w:r>
    </w:p>
    <w:p w14:paraId="26843747" w14:textId="77777777" w:rsidR="00E54B5B" w:rsidRPr="00515FB5" w:rsidRDefault="00E54B5B" w:rsidP="00E54B5B">
      <w:pPr>
        <w:divId w:val="871723970"/>
        <w:rPr>
          <w:color w:val="000000"/>
        </w:rPr>
      </w:pPr>
    </w:p>
    <w:p w14:paraId="39496321" w14:textId="77777777" w:rsidR="00747F01" w:rsidRDefault="00747F01">
      <w:pPr>
        <w:spacing w:after="160" w:line="259" w:lineRule="auto"/>
        <w:rPr>
          <w:rFonts w:eastAsiaTheme="minorEastAsia"/>
          <w:b/>
          <w:bCs/>
          <w:color w:val="000000"/>
        </w:rPr>
      </w:pPr>
      <w:r>
        <w:rPr>
          <w:rFonts w:eastAsiaTheme="minorEastAsia"/>
          <w:b/>
          <w:bCs/>
          <w:color w:val="000000"/>
        </w:rPr>
        <w:br w:type="page"/>
      </w:r>
    </w:p>
    <w:p w14:paraId="4F6CC124" w14:textId="77777777" w:rsidR="00E54B5B" w:rsidRPr="00515FB5" w:rsidRDefault="00E54B5B" w:rsidP="00E54B5B">
      <w:pPr>
        <w:divId w:val="871723970"/>
        <w:rPr>
          <w:rFonts w:eastAsiaTheme="minorEastAsia"/>
          <w:color w:val="000000"/>
        </w:rPr>
      </w:pPr>
      <w:r w:rsidRPr="00515FB5">
        <w:rPr>
          <w:rFonts w:eastAsiaTheme="minorEastAsia"/>
          <w:b/>
          <w:bCs/>
          <w:color w:val="000000"/>
        </w:rPr>
        <w:lastRenderedPageBreak/>
        <w:t>Student Demographics- Kindergarten </w:t>
      </w:r>
    </w:p>
    <w:p w14:paraId="1A3A63A3" w14:textId="77777777" w:rsidR="00E54B5B" w:rsidRPr="00515FB5" w:rsidRDefault="00E54B5B" w:rsidP="00E54B5B">
      <w:pPr>
        <w:divId w:val="871723970"/>
        <w:rPr>
          <w:rFonts w:eastAsiaTheme="minorEastAsia"/>
          <w:color w:val="000000"/>
        </w:rPr>
      </w:pPr>
      <w:r w:rsidRPr="00515FB5">
        <w:rPr>
          <w:rFonts w:eastAsiaTheme="minorEastAsia"/>
          <w:color w:val="000000"/>
        </w:rPr>
        <w:t>2015:  8%   of students Black and Latinx</w:t>
      </w:r>
    </w:p>
    <w:p w14:paraId="4D0D2AB9" w14:textId="77777777" w:rsidR="00E54B5B" w:rsidRPr="00515FB5" w:rsidRDefault="00E54B5B" w:rsidP="00E54B5B">
      <w:pPr>
        <w:divId w:val="871723970"/>
        <w:rPr>
          <w:rFonts w:eastAsiaTheme="minorEastAsia"/>
          <w:color w:val="000000"/>
        </w:rPr>
      </w:pPr>
      <w:r w:rsidRPr="00515FB5">
        <w:rPr>
          <w:rFonts w:eastAsiaTheme="minorEastAsia"/>
          <w:color w:val="000000"/>
        </w:rPr>
        <w:t>2020:  28% of students Black and Latinx</w:t>
      </w:r>
    </w:p>
    <w:p w14:paraId="0D2CD221" w14:textId="77777777" w:rsidR="00E54B5B" w:rsidRPr="00515FB5" w:rsidRDefault="00E54B5B" w:rsidP="00E54B5B">
      <w:pPr>
        <w:divId w:val="871723970"/>
        <w:rPr>
          <w:rFonts w:eastAsiaTheme="minorEastAsia"/>
          <w:color w:val="000000"/>
        </w:rPr>
      </w:pPr>
      <w:r w:rsidRPr="00515FB5">
        <w:rPr>
          <w:rFonts w:eastAsiaTheme="minorEastAsia"/>
          <w:color w:val="000000"/>
        </w:rPr>
        <w:t>Overall increase 250% since 2015 </w:t>
      </w:r>
    </w:p>
    <w:p w14:paraId="0B85E414" w14:textId="77777777" w:rsidR="00E54B5B" w:rsidRPr="00515FB5" w:rsidRDefault="00E54B5B" w:rsidP="00E54B5B">
      <w:pPr>
        <w:divId w:val="871723970"/>
        <w:rPr>
          <w:color w:val="000000"/>
        </w:rPr>
      </w:pPr>
    </w:p>
    <w:p w14:paraId="2A8B8D90" w14:textId="77777777" w:rsidR="00E54B5B" w:rsidRPr="00515FB5" w:rsidRDefault="00E54B5B" w:rsidP="00E54B5B">
      <w:pPr>
        <w:divId w:val="871723970"/>
        <w:rPr>
          <w:rFonts w:eastAsiaTheme="minorEastAsia"/>
          <w:color w:val="000000"/>
        </w:rPr>
      </w:pPr>
      <w:r w:rsidRPr="00515FB5">
        <w:rPr>
          <w:rFonts w:eastAsiaTheme="minorEastAsia"/>
          <w:b/>
          <w:bCs/>
          <w:color w:val="000000"/>
        </w:rPr>
        <w:t>Student Demographics- Overall Student Population</w:t>
      </w:r>
    </w:p>
    <w:p w14:paraId="46C28CED" w14:textId="77777777" w:rsidR="00E54B5B" w:rsidRPr="00515FB5" w:rsidRDefault="00E54B5B" w:rsidP="00E54B5B">
      <w:pPr>
        <w:divId w:val="871723970"/>
        <w:rPr>
          <w:rFonts w:eastAsiaTheme="minorEastAsia"/>
          <w:color w:val="000000"/>
        </w:rPr>
      </w:pPr>
      <w:r w:rsidRPr="00515FB5">
        <w:rPr>
          <w:rFonts w:eastAsiaTheme="minorEastAsia"/>
          <w:color w:val="000000"/>
        </w:rPr>
        <w:t>2015:  30% of students Black and Latinx</w:t>
      </w:r>
    </w:p>
    <w:p w14:paraId="30A5421B" w14:textId="77777777" w:rsidR="00E54B5B" w:rsidRPr="00515FB5" w:rsidRDefault="00E54B5B" w:rsidP="00E54B5B">
      <w:pPr>
        <w:divId w:val="871723970"/>
        <w:rPr>
          <w:rFonts w:eastAsiaTheme="minorEastAsia"/>
          <w:color w:val="000000"/>
        </w:rPr>
      </w:pPr>
      <w:r w:rsidRPr="00515FB5">
        <w:rPr>
          <w:rFonts w:eastAsiaTheme="minorEastAsia"/>
          <w:color w:val="000000"/>
        </w:rPr>
        <w:t>2020:  55% of students Black and Latinx</w:t>
      </w:r>
    </w:p>
    <w:p w14:paraId="4EE5CFC3" w14:textId="77777777" w:rsidR="00E54B5B" w:rsidRPr="00515FB5" w:rsidRDefault="00E54B5B" w:rsidP="00E54B5B">
      <w:pPr>
        <w:divId w:val="871723970"/>
        <w:rPr>
          <w:rFonts w:eastAsiaTheme="minorEastAsia"/>
          <w:color w:val="000000"/>
        </w:rPr>
      </w:pPr>
      <w:r w:rsidRPr="00515FB5">
        <w:rPr>
          <w:rFonts w:eastAsiaTheme="minorEastAsia"/>
          <w:color w:val="000000"/>
        </w:rPr>
        <w:t>Overall increase 50% since 2015 </w:t>
      </w:r>
    </w:p>
    <w:p w14:paraId="61605064" w14:textId="77777777" w:rsidR="00E54B5B" w:rsidRPr="00515FB5" w:rsidRDefault="00E54B5B" w:rsidP="00E54B5B">
      <w:pPr>
        <w:divId w:val="871723970"/>
        <w:rPr>
          <w:color w:val="000000"/>
        </w:rPr>
      </w:pPr>
    </w:p>
    <w:p w14:paraId="46F90364" w14:textId="77777777" w:rsidR="00E54B5B" w:rsidRPr="00515FB5" w:rsidRDefault="00E54B5B" w:rsidP="00E54B5B">
      <w:pPr>
        <w:divId w:val="871723970"/>
        <w:rPr>
          <w:rFonts w:eastAsiaTheme="minorEastAsia"/>
          <w:color w:val="000000"/>
        </w:rPr>
      </w:pPr>
      <w:r w:rsidRPr="00515FB5">
        <w:rPr>
          <w:rFonts w:eastAsiaTheme="minorEastAsia"/>
          <w:b/>
          <w:bCs/>
          <w:color w:val="000000"/>
        </w:rPr>
        <w:t>Student Demographics- Statewide</w:t>
      </w:r>
    </w:p>
    <w:p w14:paraId="5A03DEDB" w14:textId="77777777" w:rsidR="00E54B5B" w:rsidRPr="00515FB5" w:rsidRDefault="00E54B5B" w:rsidP="00E54B5B">
      <w:pPr>
        <w:divId w:val="871723970"/>
        <w:rPr>
          <w:rFonts w:eastAsiaTheme="minorEastAsia"/>
          <w:color w:val="000000"/>
        </w:rPr>
      </w:pPr>
      <w:r w:rsidRPr="00515FB5">
        <w:rPr>
          <w:rFonts w:eastAsiaTheme="minorEastAsia"/>
          <w:color w:val="000000"/>
        </w:rPr>
        <w:t>2015:  27% of students Black and Latinx</w:t>
      </w:r>
    </w:p>
    <w:p w14:paraId="618954FE" w14:textId="77777777" w:rsidR="00E54B5B" w:rsidRPr="00515FB5" w:rsidRDefault="00E54B5B" w:rsidP="00E54B5B">
      <w:pPr>
        <w:divId w:val="871723970"/>
        <w:rPr>
          <w:rFonts w:eastAsiaTheme="minorEastAsia"/>
          <w:color w:val="000000"/>
        </w:rPr>
      </w:pPr>
      <w:r w:rsidRPr="00515FB5">
        <w:rPr>
          <w:rFonts w:eastAsiaTheme="minorEastAsia"/>
          <w:color w:val="000000"/>
        </w:rPr>
        <w:t>2020:  32% of students Black and Latinx</w:t>
      </w:r>
    </w:p>
    <w:p w14:paraId="6C8E8184" w14:textId="77777777" w:rsidR="00E54B5B" w:rsidRPr="00515FB5" w:rsidRDefault="00E54B5B" w:rsidP="00E54B5B">
      <w:pPr>
        <w:divId w:val="871723970"/>
        <w:rPr>
          <w:rFonts w:eastAsiaTheme="minorEastAsia"/>
          <w:color w:val="000000"/>
        </w:rPr>
      </w:pPr>
      <w:r w:rsidRPr="00515FB5">
        <w:rPr>
          <w:rFonts w:eastAsiaTheme="minorEastAsia"/>
          <w:color w:val="000000"/>
        </w:rPr>
        <w:t>Overall increase of 19% since 2015 </w:t>
      </w:r>
    </w:p>
    <w:p w14:paraId="320B9EB6" w14:textId="77777777" w:rsidR="00E54B5B" w:rsidRPr="00515FB5" w:rsidRDefault="00E54B5B" w:rsidP="00E54B5B">
      <w:pPr>
        <w:divId w:val="871723970"/>
        <w:rPr>
          <w:color w:val="000000"/>
        </w:rPr>
      </w:pPr>
    </w:p>
    <w:p w14:paraId="02D48C67" w14:textId="77777777" w:rsidR="00E54B5B" w:rsidRPr="00515FB5" w:rsidRDefault="00E54B5B" w:rsidP="00E54B5B">
      <w:pPr>
        <w:shd w:val="clear" w:color="auto" w:fill="FFFFFF"/>
        <w:divId w:val="871723970"/>
        <w:rPr>
          <w:rFonts w:eastAsiaTheme="minorEastAsia"/>
          <w:color w:val="000000"/>
        </w:rPr>
      </w:pPr>
      <w:r w:rsidRPr="00515FB5">
        <w:rPr>
          <w:rFonts w:eastAsiaTheme="minorEastAsia"/>
          <w:b/>
          <w:bCs/>
          <w:color w:val="000000"/>
        </w:rPr>
        <w:t>Math Grades 3-8 ALL</w:t>
      </w:r>
    </w:p>
    <w:p w14:paraId="2F1B0E8E" w14:textId="77777777" w:rsidR="00E54B5B" w:rsidRPr="00515FB5" w:rsidRDefault="00E54B5B" w:rsidP="00E54B5B">
      <w:pPr>
        <w:shd w:val="clear" w:color="auto" w:fill="FFFFFF"/>
        <w:divId w:val="871723970"/>
        <w:rPr>
          <w:rFonts w:eastAsiaTheme="minorEastAsia"/>
          <w:color w:val="000000"/>
        </w:rPr>
      </w:pPr>
      <w:r w:rsidRPr="00515FB5">
        <w:rPr>
          <w:rFonts w:eastAsiaTheme="minorEastAsia"/>
          <w:color w:val="000000"/>
        </w:rPr>
        <w:t>2019: 37% Meeting or Exceeding </w:t>
      </w:r>
    </w:p>
    <w:p w14:paraId="3C0A2DD6" w14:textId="77777777" w:rsidR="00E54B5B" w:rsidRPr="00515FB5" w:rsidRDefault="00E54B5B" w:rsidP="00E54B5B">
      <w:pPr>
        <w:shd w:val="clear" w:color="auto" w:fill="FFFFFF"/>
        <w:divId w:val="871723970"/>
        <w:rPr>
          <w:rFonts w:eastAsiaTheme="minorEastAsia"/>
          <w:color w:val="000000"/>
        </w:rPr>
      </w:pPr>
      <w:r w:rsidRPr="00515FB5">
        <w:rPr>
          <w:rFonts w:eastAsiaTheme="minorEastAsia"/>
          <w:color w:val="000000"/>
        </w:rPr>
        <w:t>2018: 43% Meeting or Exceeding </w:t>
      </w:r>
    </w:p>
    <w:p w14:paraId="6D8D49D3" w14:textId="77777777" w:rsidR="00E54B5B" w:rsidRPr="00515FB5" w:rsidRDefault="00E54B5B" w:rsidP="00E54B5B">
      <w:pPr>
        <w:shd w:val="clear" w:color="auto" w:fill="FFFFFF"/>
        <w:divId w:val="871723970"/>
        <w:rPr>
          <w:rFonts w:eastAsiaTheme="minorEastAsia"/>
          <w:color w:val="000000"/>
        </w:rPr>
      </w:pPr>
      <w:r w:rsidRPr="00515FB5">
        <w:rPr>
          <w:rFonts w:eastAsiaTheme="minorEastAsia"/>
          <w:color w:val="000000"/>
        </w:rPr>
        <w:t>2017: 39% Meeting or Exceeding </w:t>
      </w:r>
    </w:p>
    <w:p w14:paraId="605610BF" w14:textId="77777777" w:rsidR="00515FB5" w:rsidRDefault="00E54B5B" w:rsidP="00747F01">
      <w:pPr>
        <w:shd w:val="clear" w:color="auto" w:fill="FFFFFF"/>
        <w:rPr>
          <w:rFonts w:eastAsiaTheme="minorEastAsia"/>
          <w:b/>
          <w:bCs/>
          <w:color w:val="000000"/>
        </w:rPr>
      </w:pPr>
      <w:r w:rsidRPr="00515FB5">
        <w:rPr>
          <w:rFonts w:eastAsiaTheme="minorEastAsia"/>
          <w:color w:val="000000"/>
        </w:rPr>
        <w:t> </w:t>
      </w:r>
    </w:p>
    <w:p w14:paraId="60CD5B35" w14:textId="77777777" w:rsidR="00E54B5B" w:rsidRPr="00515FB5" w:rsidRDefault="00E54B5B" w:rsidP="00E54B5B">
      <w:pPr>
        <w:shd w:val="clear" w:color="auto" w:fill="FFFFFF"/>
        <w:divId w:val="871723970"/>
        <w:rPr>
          <w:rFonts w:eastAsiaTheme="minorEastAsia"/>
          <w:color w:val="000000"/>
        </w:rPr>
      </w:pPr>
      <w:r w:rsidRPr="00515FB5">
        <w:rPr>
          <w:rFonts w:eastAsiaTheme="minorEastAsia"/>
          <w:b/>
          <w:bCs/>
          <w:color w:val="000000"/>
        </w:rPr>
        <w:t>Math Grades 3-8 White Students </w:t>
      </w:r>
    </w:p>
    <w:p w14:paraId="4130E8B4" w14:textId="77777777" w:rsidR="00E54B5B" w:rsidRPr="00515FB5" w:rsidRDefault="00E54B5B" w:rsidP="00E54B5B">
      <w:pPr>
        <w:shd w:val="clear" w:color="auto" w:fill="FFFFFF"/>
        <w:divId w:val="871723970"/>
        <w:rPr>
          <w:rFonts w:eastAsiaTheme="minorEastAsia"/>
          <w:color w:val="000000"/>
        </w:rPr>
      </w:pPr>
      <w:r w:rsidRPr="00515FB5">
        <w:rPr>
          <w:rFonts w:eastAsiaTheme="minorEastAsia"/>
          <w:color w:val="000000"/>
        </w:rPr>
        <w:t>2019: 47% Meeting or Exceeding </w:t>
      </w:r>
    </w:p>
    <w:p w14:paraId="0C5C232D" w14:textId="77777777" w:rsidR="00E54B5B" w:rsidRPr="00515FB5" w:rsidRDefault="00E54B5B" w:rsidP="00E54B5B">
      <w:pPr>
        <w:shd w:val="clear" w:color="auto" w:fill="FFFFFF"/>
        <w:divId w:val="871723970"/>
        <w:rPr>
          <w:rFonts w:eastAsiaTheme="minorEastAsia"/>
          <w:color w:val="000000"/>
        </w:rPr>
      </w:pPr>
      <w:r w:rsidRPr="00515FB5">
        <w:rPr>
          <w:rFonts w:eastAsiaTheme="minorEastAsia"/>
          <w:color w:val="000000"/>
        </w:rPr>
        <w:t>2018: 53% Meeting or Exceeding </w:t>
      </w:r>
    </w:p>
    <w:p w14:paraId="45BE2A66" w14:textId="77777777" w:rsidR="00E54B5B" w:rsidRPr="00515FB5" w:rsidRDefault="00E54B5B" w:rsidP="00E54B5B">
      <w:pPr>
        <w:shd w:val="clear" w:color="auto" w:fill="FFFFFF"/>
        <w:divId w:val="871723970"/>
        <w:rPr>
          <w:rFonts w:eastAsiaTheme="minorEastAsia"/>
          <w:color w:val="000000"/>
        </w:rPr>
      </w:pPr>
      <w:r w:rsidRPr="00515FB5">
        <w:rPr>
          <w:rFonts w:eastAsiaTheme="minorEastAsia"/>
          <w:color w:val="000000"/>
        </w:rPr>
        <w:t>2017: 45% Meeting or Exceeding  </w:t>
      </w:r>
    </w:p>
    <w:p w14:paraId="2B6D559C" w14:textId="77777777" w:rsidR="00E54B5B" w:rsidRPr="00515FB5" w:rsidRDefault="00E54B5B" w:rsidP="00E54B5B">
      <w:pPr>
        <w:shd w:val="clear" w:color="auto" w:fill="FFFFFF"/>
        <w:divId w:val="871723970"/>
        <w:rPr>
          <w:rFonts w:eastAsiaTheme="minorEastAsia"/>
          <w:color w:val="000000"/>
        </w:rPr>
      </w:pPr>
      <w:r w:rsidRPr="00515FB5">
        <w:rPr>
          <w:rFonts w:eastAsiaTheme="minorEastAsia"/>
          <w:color w:val="000000"/>
        </w:rPr>
        <w:t> </w:t>
      </w:r>
    </w:p>
    <w:p w14:paraId="1C7A1140" w14:textId="77777777" w:rsidR="00E54B5B" w:rsidRPr="00515FB5" w:rsidRDefault="00E54B5B" w:rsidP="00E54B5B">
      <w:pPr>
        <w:shd w:val="clear" w:color="auto" w:fill="FFFFFF"/>
        <w:divId w:val="871723970"/>
        <w:rPr>
          <w:rFonts w:eastAsiaTheme="minorEastAsia"/>
          <w:color w:val="000000"/>
        </w:rPr>
      </w:pPr>
      <w:r w:rsidRPr="00515FB5">
        <w:rPr>
          <w:rFonts w:eastAsiaTheme="minorEastAsia"/>
          <w:color w:val="000000"/>
        </w:rPr>
        <w:t> </w:t>
      </w:r>
      <w:r w:rsidRPr="00515FB5">
        <w:rPr>
          <w:rFonts w:eastAsiaTheme="minorEastAsia"/>
          <w:b/>
          <w:bCs/>
          <w:color w:val="000000"/>
        </w:rPr>
        <w:t>Math Grades 3-8 Black/African American </w:t>
      </w:r>
    </w:p>
    <w:p w14:paraId="11F473FC" w14:textId="77777777" w:rsidR="00E54B5B" w:rsidRPr="00515FB5" w:rsidRDefault="00E54B5B" w:rsidP="00E54B5B">
      <w:pPr>
        <w:shd w:val="clear" w:color="auto" w:fill="FFFFFF"/>
        <w:divId w:val="871723970"/>
        <w:rPr>
          <w:rFonts w:eastAsiaTheme="minorEastAsia"/>
          <w:color w:val="000000"/>
        </w:rPr>
      </w:pPr>
      <w:r w:rsidRPr="00515FB5">
        <w:rPr>
          <w:rFonts w:eastAsiaTheme="minorEastAsia"/>
          <w:color w:val="000000"/>
        </w:rPr>
        <w:t>2019: 24% Meeting or Exceeding </w:t>
      </w:r>
    </w:p>
    <w:p w14:paraId="6A1232B5" w14:textId="77777777" w:rsidR="00E54B5B" w:rsidRPr="00515FB5" w:rsidRDefault="00E54B5B" w:rsidP="00E54B5B">
      <w:pPr>
        <w:shd w:val="clear" w:color="auto" w:fill="FFFFFF"/>
        <w:divId w:val="871723970"/>
        <w:rPr>
          <w:rFonts w:eastAsiaTheme="minorEastAsia"/>
          <w:color w:val="000000"/>
        </w:rPr>
      </w:pPr>
      <w:r w:rsidRPr="00515FB5">
        <w:rPr>
          <w:rFonts w:eastAsiaTheme="minorEastAsia"/>
          <w:color w:val="000000"/>
        </w:rPr>
        <w:t>2018: 27% Meeting or Exceeding </w:t>
      </w:r>
    </w:p>
    <w:p w14:paraId="57303161" w14:textId="77777777" w:rsidR="00E54B5B" w:rsidRPr="00515FB5" w:rsidRDefault="00E54B5B" w:rsidP="00E54B5B">
      <w:pPr>
        <w:shd w:val="clear" w:color="auto" w:fill="FFFFFF"/>
        <w:divId w:val="871723970"/>
        <w:rPr>
          <w:rFonts w:eastAsiaTheme="minorEastAsia"/>
          <w:color w:val="000000"/>
        </w:rPr>
      </w:pPr>
      <w:r w:rsidRPr="00515FB5">
        <w:rPr>
          <w:rFonts w:eastAsiaTheme="minorEastAsia"/>
          <w:color w:val="000000"/>
        </w:rPr>
        <w:t>2017: 22% Meeting or Exceeding </w:t>
      </w:r>
    </w:p>
    <w:p w14:paraId="6EE33818" w14:textId="77777777" w:rsidR="00E54B5B" w:rsidRPr="00515FB5" w:rsidRDefault="00E54B5B" w:rsidP="00E54B5B">
      <w:pPr>
        <w:shd w:val="clear" w:color="auto" w:fill="FFFFFF"/>
        <w:divId w:val="871723970"/>
        <w:rPr>
          <w:rFonts w:eastAsiaTheme="minorEastAsia"/>
          <w:color w:val="000000"/>
        </w:rPr>
      </w:pPr>
      <w:r w:rsidRPr="00515FB5">
        <w:rPr>
          <w:rFonts w:eastAsiaTheme="minorEastAsia"/>
          <w:color w:val="000000"/>
        </w:rPr>
        <w:t> </w:t>
      </w:r>
    </w:p>
    <w:p w14:paraId="1DEBD31A" w14:textId="77777777" w:rsidR="00E54B5B" w:rsidRPr="00515FB5" w:rsidRDefault="00E54B5B" w:rsidP="00E54B5B">
      <w:pPr>
        <w:shd w:val="clear" w:color="auto" w:fill="FFFFFF"/>
        <w:divId w:val="871723970"/>
        <w:rPr>
          <w:rFonts w:eastAsiaTheme="minorEastAsia"/>
          <w:color w:val="000000"/>
        </w:rPr>
      </w:pPr>
      <w:r w:rsidRPr="00515FB5">
        <w:rPr>
          <w:rFonts w:eastAsiaTheme="minorEastAsia"/>
          <w:color w:val="000000"/>
        </w:rPr>
        <w:t> </w:t>
      </w:r>
      <w:r w:rsidRPr="00515FB5">
        <w:rPr>
          <w:rFonts w:eastAsiaTheme="minorEastAsia"/>
          <w:b/>
          <w:bCs/>
          <w:color w:val="000000"/>
        </w:rPr>
        <w:t>Math Grades 3-8 Latinx</w:t>
      </w:r>
    </w:p>
    <w:p w14:paraId="7B0E52F3" w14:textId="77777777" w:rsidR="00E54B5B" w:rsidRPr="00515FB5" w:rsidRDefault="00E54B5B" w:rsidP="00E54B5B">
      <w:pPr>
        <w:shd w:val="clear" w:color="auto" w:fill="FFFFFF"/>
        <w:divId w:val="871723970"/>
        <w:rPr>
          <w:rFonts w:eastAsiaTheme="minorEastAsia"/>
          <w:color w:val="000000"/>
        </w:rPr>
      </w:pPr>
      <w:r w:rsidRPr="00515FB5">
        <w:rPr>
          <w:rFonts w:eastAsiaTheme="minorEastAsia"/>
          <w:color w:val="000000"/>
        </w:rPr>
        <w:t>2019: 34% Meeting or Exceeding </w:t>
      </w:r>
    </w:p>
    <w:p w14:paraId="6F91318E" w14:textId="77777777" w:rsidR="00E54B5B" w:rsidRPr="00515FB5" w:rsidRDefault="00E54B5B" w:rsidP="00E54B5B">
      <w:pPr>
        <w:shd w:val="clear" w:color="auto" w:fill="FFFFFF"/>
        <w:divId w:val="871723970"/>
        <w:rPr>
          <w:rFonts w:eastAsiaTheme="minorEastAsia"/>
          <w:color w:val="000000"/>
        </w:rPr>
      </w:pPr>
      <w:r w:rsidRPr="00515FB5">
        <w:rPr>
          <w:rFonts w:eastAsiaTheme="minorEastAsia"/>
          <w:color w:val="000000"/>
        </w:rPr>
        <w:t>2018: 43% Meeting or Exceeding </w:t>
      </w:r>
    </w:p>
    <w:p w14:paraId="30270967" w14:textId="77777777" w:rsidR="00E54B5B" w:rsidRPr="00515FB5" w:rsidRDefault="00E54B5B" w:rsidP="00E54B5B">
      <w:pPr>
        <w:shd w:val="clear" w:color="auto" w:fill="FFFFFF"/>
        <w:divId w:val="871723970"/>
        <w:rPr>
          <w:rFonts w:eastAsiaTheme="minorEastAsia"/>
          <w:color w:val="000000"/>
        </w:rPr>
      </w:pPr>
      <w:r w:rsidRPr="00515FB5">
        <w:rPr>
          <w:rFonts w:eastAsiaTheme="minorEastAsia"/>
          <w:color w:val="000000"/>
        </w:rPr>
        <w:t>2017: 47% Meeting or Exceeding </w:t>
      </w:r>
    </w:p>
    <w:p w14:paraId="64A06EC9" w14:textId="77777777" w:rsidR="00E54B5B" w:rsidRPr="00515FB5" w:rsidRDefault="00E54B5B" w:rsidP="00E54B5B">
      <w:pPr>
        <w:divId w:val="871723970"/>
        <w:rPr>
          <w:color w:val="000000"/>
        </w:rPr>
      </w:pPr>
    </w:p>
    <w:tbl>
      <w:tblPr>
        <w:tblW w:w="10847" w:type="dxa"/>
        <w:tblCellMar>
          <w:top w:w="15" w:type="dxa"/>
          <w:left w:w="15" w:type="dxa"/>
          <w:bottom w:w="15" w:type="dxa"/>
          <w:right w:w="15" w:type="dxa"/>
        </w:tblCellMar>
        <w:tblLook w:val="04A0" w:firstRow="1" w:lastRow="0" w:firstColumn="1" w:lastColumn="0" w:noHBand="0" w:noVBand="1"/>
      </w:tblPr>
      <w:tblGrid>
        <w:gridCol w:w="4580"/>
        <w:gridCol w:w="662"/>
        <w:gridCol w:w="1402"/>
        <w:gridCol w:w="4203"/>
      </w:tblGrid>
      <w:tr w:rsidR="00E54B5B" w:rsidRPr="00515FB5" w14:paraId="1A06897A" w14:textId="77777777" w:rsidTr="00B35B57">
        <w:trPr>
          <w:divId w:val="871723970"/>
          <w:trHeight w:val="123"/>
        </w:trPr>
        <w:tc>
          <w:tcPr>
            <w:tcW w:w="524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9C701F6" w14:textId="77777777" w:rsidR="00E54B5B" w:rsidRPr="00515FB5" w:rsidRDefault="00E54B5B" w:rsidP="00E54B5B">
            <w:pPr>
              <w:ind w:left="300"/>
              <w:rPr>
                <w:rFonts w:eastAsiaTheme="minorEastAsia"/>
              </w:rPr>
            </w:pPr>
            <w:r w:rsidRPr="00515FB5">
              <w:rPr>
                <w:rFonts w:eastAsiaTheme="minorEastAsia"/>
                <w:b/>
                <w:bCs/>
                <w:color w:val="201F1E"/>
              </w:rPr>
              <w:t>FY21 budget item </w:t>
            </w:r>
          </w:p>
        </w:tc>
        <w:tc>
          <w:tcPr>
            <w:tcW w:w="140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2A33E9D" w14:textId="77777777" w:rsidR="00E54B5B" w:rsidRPr="00515FB5" w:rsidRDefault="00E54B5B" w:rsidP="00E54B5B">
            <w:pPr>
              <w:ind w:left="300"/>
              <w:rPr>
                <w:rFonts w:eastAsiaTheme="minorEastAsia"/>
              </w:rPr>
            </w:pPr>
            <w:r w:rsidRPr="00515FB5">
              <w:rPr>
                <w:rFonts w:eastAsiaTheme="minorEastAsia"/>
                <w:b/>
                <w:bCs/>
                <w:color w:val="201F1E"/>
              </w:rPr>
              <w:t>Amount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BA5FDCE" w14:textId="77777777" w:rsidR="00E54B5B" w:rsidRPr="00515FB5" w:rsidRDefault="00E54B5B" w:rsidP="00E54B5B">
            <w:pPr>
              <w:ind w:left="300"/>
              <w:rPr>
                <w:rFonts w:eastAsiaTheme="minorEastAsia"/>
              </w:rPr>
            </w:pPr>
            <w:r w:rsidRPr="00515FB5">
              <w:rPr>
                <w:rFonts w:eastAsiaTheme="minorEastAsia"/>
                <w:b/>
                <w:bCs/>
                <w:color w:val="201F1E"/>
              </w:rPr>
              <w:t>Foundation Category</w:t>
            </w:r>
            <w:r w:rsidRPr="00515FB5">
              <w:rPr>
                <w:rFonts w:eastAsiaTheme="minorEastAsia"/>
                <w:b/>
                <w:bCs/>
                <w:color w:val="201F1E"/>
                <w:vertAlign w:val="superscript"/>
              </w:rPr>
              <w:t>[1]</w:t>
            </w:r>
            <w:r w:rsidRPr="00515FB5">
              <w:rPr>
                <w:rFonts w:eastAsiaTheme="minorEastAsia"/>
                <w:b/>
                <w:bCs/>
                <w:color w:val="201F1E"/>
              </w:rPr>
              <w:t> </w:t>
            </w:r>
          </w:p>
        </w:tc>
      </w:tr>
      <w:tr w:rsidR="00E54B5B" w:rsidRPr="00515FB5" w14:paraId="71FB2BBF" w14:textId="77777777" w:rsidTr="00B35B57">
        <w:trPr>
          <w:divId w:val="871723970"/>
          <w:trHeight w:val="258"/>
        </w:trPr>
        <w:tc>
          <w:tcPr>
            <w:tcW w:w="524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4C54C" w14:textId="77777777" w:rsidR="00E54B5B" w:rsidRPr="00515FB5" w:rsidRDefault="00E54B5B" w:rsidP="00E54B5B">
            <w:pPr>
              <w:ind w:left="200"/>
              <w:rPr>
                <w:rFonts w:eastAsiaTheme="minorEastAsia"/>
              </w:rPr>
            </w:pPr>
            <w:r w:rsidRPr="00515FB5">
              <w:rPr>
                <w:rFonts w:eastAsiaTheme="minorEastAsia"/>
                <w:color w:val="201F1E"/>
              </w:rPr>
              <w:t> Phonics Program </w:t>
            </w:r>
          </w:p>
        </w:tc>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19C06" w14:textId="77777777" w:rsidR="00E54B5B" w:rsidRPr="00515FB5" w:rsidRDefault="00E54B5B" w:rsidP="00144D6D">
            <w:pPr>
              <w:ind w:left="200"/>
              <w:rPr>
                <w:rFonts w:eastAsiaTheme="minorEastAsia"/>
              </w:rPr>
            </w:pPr>
            <w:r w:rsidRPr="00515FB5">
              <w:rPr>
                <w:rFonts w:eastAsiaTheme="minorEastAsia"/>
                <w:color w:val="201F1E"/>
              </w:rPr>
              <w:t> </w:t>
            </w:r>
            <w:r w:rsidR="00144D6D" w:rsidRPr="00515FB5">
              <w:rPr>
                <w:rFonts w:eastAsiaTheme="minorEastAsia"/>
                <w:color w:val="201F1E"/>
              </w:rPr>
              <w:t>$31,000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B5A7C" w14:textId="77777777" w:rsidR="00E54B5B" w:rsidRPr="00515FB5" w:rsidRDefault="00E54B5B" w:rsidP="00E54B5B">
            <w:pPr>
              <w:ind w:left="200"/>
              <w:rPr>
                <w:rFonts w:eastAsiaTheme="minorEastAsia"/>
              </w:rPr>
            </w:pPr>
            <w:r w:rsidRPr="00515FB5">
              <w:rPr>
                <w:rFonts w:eastAsiaTheme="minorEastAsia"/>
                <w:color w:val="201F1E"/>
              </w:rPr>
              <w:t> Instructional Materials </w:t>
            </w:r>
          </w:p>
        </w:tc>
      </w:tr>
      <w:tr w:rsidR="00E54B5B" w:rsidRPr="00515FB5" w14:paraId="3DD5E36B" w14:textId="77777777" w:rsidTr="00B35B57">
        <w:trPr>
          <w:divId w:val="871723970"/>
          <w:trHeight w:val="213"/>
        </w:trPr>
        <w:tc>
          <w:tcPr>
            <w:tcW w:w="524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A4362" w14:textId="77777777" w:rsidR="00E54B5B" w:rsidRPr="00515FB5" w:rsidRDefault="00E54B5B" w:rsidP="00E54B5B">
            <w:pPr>
              <w:ind w:left="200"/>
              <w:rPr>
                <w:rFonts w:eastAsiaTheme="minorEastAsia"/>
              </w:rPr>
            </w:pPr>
            <w:r w:rsidRPr="00515FB5">
              <w:rPr>
                <w:rFonts w:eastAsiaTheme="minorEastAsia"/>
                <w:color w:val="201F1E"/>
              </w:rPr>
              <w:t> K-4 Mathematics Program </w:t>
            </w:r>
          </w:p>
        </w:tc>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7F054" w14:textId="77777777" w:rsidR="00E54B5B" w:rsidRPr="00515FB5" w:rsidRDefault="00E54B5B" w:rsidP="00144D6D">
            <w:pPr>
              <w:ind w:left="200"/>
              <w:rPr>
                <w:rFonts w:eastAsiaTheme="minorEastAsia"/>
              </w:rPr>
            </w:pPr>
            <w:r w:rsidRPr="00515FB5">
              <w:rPr>
                <w:rFonts w:eastAsiaTheme="minorEastAsia"/>
                <w:color w:val="201F1E"/>
              </w:rPr>
              <w:t> </w:t>
            </w:r>
            <w:r w:rsidR="00144D6D" w:rsidRPr="00515FB5">
              <w:rPr>
                <w:rFonts w:eastAsiaTheme="minorEastAsia"/>
                <w:color w:val="201F1E"/>
              </w:rPr>
              <w:t>$33,000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B854E" w14:textId="77777777" w:rsidR="00E54B5B" w:rsidRPr="00515FB5" w:rsidRDefault="00E54B5B" w:rsidP="00E54B5B">
            <w:pPr>
              <w:ind w:left="200"/>
              <w:rPr>
                <w:rFonts w:eastAsiaTheme="minorEastAsia"/>
              </w:rPr>
            </w:pPr>
            <w:r w:rsidRPr="00515FB5">
              <w:rPr>
                <w:rFonts w:eastAsiaTheme="minorEastAsia"/>
                <w:color w:val="201F1E"/>
              </w:rPr>
              <w:t>  Instructional Materials </w:t>
            </w:r>
          </w:p>
        </w:tc>
      </w:tr>
      <w:tr w:rsidR="00E54B5B" w:rsidRPr="00515FB5" w14:paraId="3457E407" w14:textId="77777777" w:rsidTr="00B35B57">
        <w:trPr>
          <w:divId w:val="871723970"/>
          <w:trHeight w:val="537"/>
        </w:trPr>
        <w:tc>
          <w:tcPr>
            <w:tcW w:w="524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250CB" w14:textId="77777777" w:rsidR="00E54B5B" w:rsidRPr="00515FB5" w:rsidRDefault="00E54B5B" w:rsidP="00E54B5B">
            <w:pPr>
              <w:ind w:left="200"/>
              <w:rPr>
                <w:rFonts w:eastAsiaTheme="minorEastAsia"/>
              </w:rPr>
            </w:pPr>
            <w:r w:rsidRPr="00515FB5">
              <w:rPr>
                <w:rFonts w:eastAsiaTheme="minorEastAsia"/>
                <w:color w:val="201F1E"/>
              </w:rPr>
              <w:t>Programming coherence &amp; Professional Learning </w:t>
            </w:r>
          </w:p>
        </w:tc>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25C2F" w14:textId="77777777" w:rsidR="00E54B5B" w:rsidRPr="00515FB5" w:rsidRDefault="00E54B5B" w:rsidP="00E54B5B">
            <w:pPr>
              <w:ind w:left="200"/>
              <w:rPr>
                <w:rFonts w:eastAsiaTheme="minorEastAsia"/>
              </w:rPr>
            </w:pPr>
            <w:r w:rsidRPr="00515FB5">
              <w:rPr>
                <w:rFonts w:eastAsiaTheme="minorEastAsia"/>
                <w:color w:val="201F1E"/>
              </w:rPr>
              <w:t> </w:t>
            </w:r>
            <w:r w:rsidR="00144D6D" w:rsidRPr="00515FB5">
              <w:rPr>
                <w:rFonts w:eastAsiaTheme="minorEastAsia"/>
                <w:color w:val="201F1E"/>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721C8" w14:textId="77777777" w:rsidR="00E54B5B" w:rsidRPr="00515FB5" w:rsidRDefault="00E54B5B" w:rsidP="00E54B5B">
            <w:pPr>
              <w:ind w:left="200"/>
              <w:rPr>
                <w:rFonts w:eastAsiaTheme="minorEastAsia"/>
              </w:rPr>
            </w:pPr>
            <w:r w:rsidRPr="00515FB5">
              <w:rPr>
                <w:rFonts w:eastAsiaTheme="minorEastAsia"/>
                <w:color w:val="201F1E"/>
              </w:rPr>
              <w:t> Professional Development</w:t>
            </w:r>
          </w:p>
        </w:tc>
      </w:tr>
      <w:tr w:rsidR="00E54B5B" w:rsidRPr="00515FB5" w14:paraId="6007517C" w14:textId="77777777" w:rsidTr="00B35B57">
        <w:trPr>
          <w:divId w:val="871723970"/>
          <w:trHeight w:val="500"/>
        </w:trPr>
        <w:tc>
          <w:tcPr>
            <w:tcW w:w="45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AD3A960" w14:textId="77777777" w:rsidR="00E54B5B" w:rsidRPr="00515FB5" w:rsidRDefault="00E54B5B" w:rsidP="00E54B5B">
            <w:pPr>
              <w:ind w:left="300"/>
              <w:rPr>
                <w:rFonts w:eastAsiaTheme="minorEastAsia"/>
              </w:rPr>
            </w:pPr>
            <w:r w:rsidRPr="00515FB5">
              <w:rPr>
                <w:rFonts w:eastAsiaTheme="minorEastAsia"/>
                <w:b/>
                <w:bCs/>
                <w:color w:val="201F1E"/>
              </w:rPr>
              <w:t>Evidence-based program identified by the Department: </w:t>
            </w:r>
          </w:p>
        </w:tc>
        <w:tc>
          <w:tcPr>
            <w:tcW w:w="626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590A2" w14:textId="77777777" w:rsidR="00E54B5B" w:rsidRPr="00515FB5" w:rsidRDefault="00E54B5B" w:rsidP="00E54B5B">
            <w:pPr>
              <w:ind w:left="200"/>
              <w:rPr>
                <w:rFonts w:eastAsiaTheme="minorEastAsia"/>
              </w:rPr>
            </w:pPr>
            <w:r w:rsidRPr="00515FB5">
              <w:rPr>
                <w:rFonts w:eastAsiaTheme="minorEastAsia"/>
                <w:color w:val="201F1E"/>
              </w:rPr>
              <w:t xml:space="preserve"> ***The dept. has formed a committee to determine phonics programming between Fountas and Pinnell and </w:t>
            </w:r>
            <w:proofErr w:type="spellStart"/>
            <w:r w:rsidRPr="00515FB5">
              <w:rPr>
                <w:rFonts w:eastAsiaTheme="minorEastAsia"/>
                <w:color w:val="201F1E"/>
              </w:rPr>
              <w:t>Fundations</w:t>
            </w:r>
            <w:proofErr w:type="spellEnd"/>
          </w:p>
          <w:p w14:paraId="775A58A3" w14:textId="77777777" w:rsidR="00E54B5B" w:rsidRPr="00515FB5" w:rsidRDefault="00E54B5B" w:rsidP="00E54B5B">
            <w:pPr>
              <w:ind w:left="200"/>
              <w:rPr>
                <w:rFonts w:eastAsiaTheme="minorEastAsia"/>
              </w:rPr>
            </w:pPr>
            <w:r w:rsidRPr="00515FB5">
              <w:rPr>
                <w:rFonts w:eastAsiaTheme="minorEastAsia"/>
                <w:color w:val="201F1E"/>
              </w:rPr>
              <w:t>****The dept. Has formed a committee to select a high-quality curriculum vetted by Curate and ED Reports</w:t>
            </w:r>
          </w:p>
        </w:tc>
      </w:tr>
      <w:tr w:rsidR="00E54B5B" w:rsidRPr="00515FB5" w14:paraId="19B9E2A6" w14:textId="77777777" w:rsidTr="00B35B57">
        <w:trPr>
          <w:divId w:val="871723970"/>
          <w:trHeight w:val="240"/>
        </w:trPr>
        <w:tc>
          <w:tcPr>
            <w:tcW w:w="45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3CDEE06" w14:textId="77777777" w:rsidR="00E54B5B" w:rsidRPr="00515FB5" w:rsidRDefault="00E54B5B" w:rsidP="00E54B5B">
            <w:pPr>
              <w:ind w:left="300"/>
              <w:rPr>
                <w:rFonts w:eastAsiaTheme="minorEastAsia"/>
              </w:rPr>
            </w:pPr>
            <w:r w:rsidRPr="00515FB5">
              <w:rPr>
                <w:rFonts w:eastAsiaTheme="minorEastAsia"/>
                <w:b/>
                <w:bCs/>
                <w:color w:val="201F1E"/>
              </w:rPr>
              <w:t>SOA program categories: </w:t>
            </w:r>
          </w:p>
        </w:tc>
        <w:tc>
          <w:tcPr>
            <w:tcW w:w="626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105D7" w14:textId="77777777" w:rsidR="00E54B5B" w:rsidRPr="00515FB5" w:rsidRDefault="00E54B5B" w:rsidP="00E54B5B">
            <w:pPr>
              <w:ind w:left="200"/>
              <w:rPr>
                <w:rFonts w:eastAsiaTheme="minorEastAsia"/>
              </w:rPr>
            </w:pPr>
            <w:r w:rsidRPr="00515FB5">
              <w:rPr>
                <w:rFonts w:eastAsiaTheme="minorEastAsia"/>
                <w:color w:val="201F1E"/>
              </w:rPr>
              <w:t> Enhanced Core Instruction </w:t>
            </w:r>
          </w:p>
        </w:tc>
      </w:tr>
    </w:tbl>
    <w:p w14:paraId="0B38B01B" w14:textId="77777777" w:rsidR="00E54B5B" w:rsidRPr="00515FB5" w:rsidRDefault="00E54B5B" w:rsidP="00E54B5B">
      <w:pPr>
        <w:shd w:val="clear" w:color="auto" w:fill="FFFFFF"/>
        <w:divId w:val="871723970"/>
        <w:rPr>
          <w:rFonts w:eastAsiaTheme="minorEastAsia"/>
          <w:color w:val="000000"/>
        </w:rPr>
      </w:pPr>
      <w:r w:rsidRPr="00515FB5">
        <w:rPr>
          <w:rFonts w:eastAsiaTheme="minorEastAsia"/>
          <w:color w:val="201F1E"/>
        </w:rPr>
        <w:lastRenderedPageBreak/>
        <w:t> </w:t>
      </w:r>
    </w:p>
    <w:p w14:paraId="18C8BF52" w14:textId="77777777" w:rsidR="00515FB5" w:rsidRDefault="00515FB5" w:rsidP="00CF72C9">
      <w:pPr>
        <w:rPr>
          <w:rFonts w:eastAsia="Calibri"/>
          <w:b/>
          <w:bCs/>
        </w:rPr>
      </w:pPr>
      <w:r w:rsidRPr="00515FB5">
        <w:rPr>
          <w:rFonts w:eastAsia="Calibri"/>
          <w:b/>
          <w:bCs/>
        </w:rPr>
        <w:t>Evidence-based program #</w:t>
      </w:r>
      <w:r w:rsidR="00812945">
        <w:rPr>
          <w:rFonts w:eastAsia="Calibri"/>
          <w:b/>
          <w:bCs/>
        </w:rPr>
        <w:t>2</w:t>
      </w:r>
      <w:r w:rsidRPr="00515FB5">
        <w:rPr>
          <w:rFonts w:eastAsia="Calibri"/>
          <w:b/>
          <w:bCs/>
        </w:rPr>
        <w:t xml:space="preserve">: </w:t>
      </w:r>
      <w:r>
        <w:rPr>
          <w:rFonts w:eastAsia="Calibri"/>
          <w:b/>
          <w:bCs/>
        </w:rPr>
        <w:t>Early College programs focused primarily on students under-represented in higher education</w:t>
      </w:r>
    </w:p>
    <w:p w14:paraId="68607983" w14:textId="77777777" w:rsidR="00515FB5" w:rsidRDefault="00515FB5" w:rsidP="00CF72C9">
      <w:pPr>
        <w:rPr>
          <w:rFonts w:eastAsia="Calibri"/>
          <w:b/>
          <w:bCs/>
        </w:rPr>
      </w:pPr>
    </w:p>
    <w:p w14:paraId="582296CA" w14:textId="77777777" w:rsidR="00CF72C9" w:rsidRPr="00515FB5" w:rsidRDefault="00CF72C9" w:rsidP="00CF72C9">
      <w:r w:rsidRPr="00515FB5">
        <w:t xml:space="preserve">FRCS encourages all students to participate in preparation and planning for higher education through our curriculum, School Counseling programming, and student leadership and service emphasis.  </w:t>
      </w:r>
    </w:p>
    <w:p w14:paraId="41FFBB6B" w14:textId="77777777" w:rsidR="00CF72C9" w:rsidRPr="00515FB5" w:rsidRDefault="00CF72C9" w:rsidP="00CF72C9">
      <w:pPr>
        <w:pStyle w:val="ListParagraph"/>
        <w:numPr>
          <w:ilvl w:val="0"/>
          <w:numId w:val="17"/>
        </w:numPr>
        <w:spacing w:after="160" w:line="259" w:lineRule="auto"/>
        <w:jc w:val="left"/>
        <w:rPr>
          <w:rFonts w:ascii="Times New Roman" w:hAnsi="Times New Roman"/>
        </w:rPr>
      </w:pPr>
      <w:r w:rsidRPr="00515FB5">
        <w:rPr>
          <w:rFonts w:ascii="Times New Roman" w:hAnsi="Times New Roman"/>
        </w:rPr>
        <w:t xml:space="preserve">Our Dual Enrollment program is available to juniors and seniors with online, in-school scheduling.  Seniors are also able to dual enroll as full time high school/college freshmen.  </w:t>
      </w:r>
    </w:p>
    <w:p w14:paraId="0AC5D144" w14:textId="77777777" w:rsidR="00CF72C9" w:rsidRPr="00515FB5" w:rsidRDefault="00CF72C9" w:rsidP="00CF72C9">
      <w:pPr>
        <w:pStyle w:val="ListParagraph"/>
        <w:numPr>
          <w:ilvl w:val="0"/>
          <w:numId w:val="17"/>
        </w:numPr>
        <w:spacing w:after="160" w:line="259" w:lineRule="auto"/>
        <w:jc w:val="left"/>
        <w:rPr>
          <w:rFonts w:ascii="Times New Roman" w:hAnsi="Times New Roman"/>
        </w:rPr>
      </w:pPr>
      <w:r w:rsidRPr="00515FB5">
        <w:rPr>
          <w:rFonts w:ascii="Times New Roman" w:hAnsi="Times New Roman"/>
        </w:rPr>
        <w:t>All students participate in the College and Career Readiness Practicum</w:t>
      </w:r>
      <w:r w:rsidR="00515FB5">
        <w:rPr>
          <w:rFonts w:ascii="Times New Roman" w:hAnsi="Times New Roman"/>
        </w:rPr>
        <w:t>,</w:t>
      </w:r>
      <w:r w:rsidRPr="00515FB5">
        <w:rPr>
          <w:rFonts w:ascii="Times New Roman" w:hAnsi="Times New Roman"/>
        </w:rPr>
        <w:t xml:space="preserve"> which includes 16 college/career elements and recommended family supports.</w:t>
      </w:r>
    </w:p>
    <w:p w14:paraId="61F9C590" w14:textId="77777777" w:rsidR="00CF72C9" w:rsidRPr="00515FB5" w:rsidRDefault="00CF72C9" w:rsidP="00CF72C9">
      <w:pPr>
        <w:pStyle w:val="ListParagraph"/>
        <w:numPr>
          <w:ilvl w:val="0"/>
          <w:numId w:val="17"/>
        </w:numPr>
        <w:spacing w:after="160" w:line="259" w:lineRule="auto"/>
        <w:jc w:val="left"/>
        <w:rPr>
          <w:rFonts w:ascii="Times New Roman" w:hAnsi="Times New Roman"/>
        </w:rPr>
      </w:pPr>
      <w:r w:rsidRPr="00515FB5">
        <w:rPr>
          <w:rFonts w:ascii="Times New Roman" w:hAnsi="Times New Roman"/>
        </w:rPr>
        <w:t>We partner with local colleges in a variety of ways including informational visits, On-the-Spot admissions interviews, campus tours, guest speakers, and post-application transition trips.</w:t>
      </w:r>
    </w:p>
    <w:p w14:paraId="461D176E" w14:textId="77777777" w:rsidR="00CF72C9" w:rsidRPr="00515FB5" w:rsidRDefault="00CF72C9" w:rsidP="00CF72C9">
      <w:pPr>
        <w:pStyle w:val="ListParagraph"/>
        <w:numPr>
          <w:ilvl w:val="0"/>
          <w:numId w:val="17"/>
        </w:numPr>
        <w:spacing w:after="160" w:line="259" w:lineRule="auto"/>
        <w:jc w:val="left"/>
        <w:rPr>
          <w:rFonts w:ascii="Times New Roman" w:hAnsi="Times New Roman"/>
        </w:rPr>
      </w:pPr>
      <w:r w:rsidRPr="00515FB5">
        <w:rPr>
          <w:rFonts w:ascii="Times New Roman" w:hAnsi="Times New Roman"/>
        </w:rPr>
        <w:t xml:space="preserve">The newly created Applied Learning Center provides career and technical exploration, skill building opportunities, and community/business outreach with an emphasis on design/build and technical/computer training. </w:t>
      </w:r>
    </w:p>
    <w:p w14:paraId="6518A2F0" w14:textId="77777777" w:rsidR="00CF72C9" w:rsidRPr="00515FB5" w:rsidRDefault="00CF72C9" w:rsidP="00CF72C9">
      <w:pPr>
        <w:pStyle w:val="ListParagraph"/>
        <w:numPr>
          <w:ilvl w:val="0"/>
          <w:numId w:val="17"/>
        </w:numPr>
        <w:spacing w:after="160" w:line="259" w:lineRule="auto"/>
        <w:jc w:val="left"/>
        <w:rPr>
          <w:rFonts w:ascii="Times New Roman" w:hAnsi="Times New Roman"/>
        </w:rPr>
      </w:pPr>
      <w:r w:rsidRPr="00515FB5">
        <w:rPr>
          <w:rFonts w:ascii="Times New Roman" w:hAnsi="Times New Roman"/>
        </w:rPr>
        <w:t>We have expanded our school counseling staff with 1.3 FTE in the last year.</w:t>
      </w:r>
    </w:p>
    <w:p w14:paraId="7D2FB211" w14:textId="77777777" w:rsidR="00CF72C9" w:rsidRPr="00515FB5" w:rsidRDefault="00CF72C9" w:rsidP="00CF72C9">
      <w:r w:rsidRPr="00515FB5">
        <w:t>Program Development - FY 22/23 – students of color, low-income students and students with disabilities</w:t>
      </w:r>
    </w:p>
    <w:p w14:paraId="29CF310F" w14:textId="77777777" w:rsidR="00CF72C9" w:rsidRPr="00515FB5" w:rsidRDefault="00CF72C9" w:rsidP="00CF72C9">
      <w:pPr>
        <w:pStyle w:val="ListParagraph"/>
        <w:numPr>
          <w:ilvl w:val="0"/>
          <w:numId w:val="18"/>
        </w:numPr>
        <w:spacing w:after="160" w:line="259" w:lineRule="auto"/>
        <w:jc w:val="left"/>
        <w:rPr>
          <w:rFonts w:ascii="Times New Roman" w:hAnsi="Times New Roman"/>
        </w:rPr>
      </w:pPr>
      <w:r w:rsidRPr="00515FB5">
        <w:rPr>
          <w:rFonts w:ascii="Times New Roman" w:hAnsi="Times New Roman"/>
        </w:rPr>
        <w:t>Provide funds for dual enrollment course fees for low-income students and students with disabilities.  Continue with Massachusetts public schools and expand to include Rhode Island College EEP program.</w:t>
      </w:r>
    </w:p>
    <w:p w14:paraId="0C99E219" w14:textId="77777777" w:rsidR="00CF72C9" w:rsidRPr="00515FB5" w:rsidRDefault="00CF72C9" w:rsidP="00CF72C9">
      <w:pPr>
        <w:pStyle w:val="ListParagraph"/>
        <w:numPr>
          <w:ilvl w:val="0"/>
          <w:numId w:val="18"/>
        </w:numPr>
        <w:spacing w:after="160" w:line="259" w:lineRule="auto"/>
        <w:jc w:val="left"/>
        <w:rPr>
          <w:rFonts w:ascii="Times New Roman" w:hAnsi="Times New Roman"/>
        </w:rPr>
      </w:pPr>
      <w:r w:rsidRPr="00515FB5">
        <w:rPr>
          <w:rFonts w:ascii="Times New Roman" w:hAnsi="Times New Roman"/>
        </w:rPr>
        <w:t>Increase recruiting for Early College opportunities through scheduling, Advisory curriculum, and family outreach</w:t>
      </w:r>
    </w:p>
    <w:p w14:paraId="06837DCD" w14:textId="77777777" w:rsidR="00CF72C9" w:rsidRPr="00515FB5" w:rsidRDefault="00CF72C9" w:rsidP="00CF72C9">
      <w:pPr>
        <w:pStyle w:val="ListParagraph"/>
        <w:numPr>
          <w:ilvl w:val="0"/>
          <w:numId w:val="18"/>
        </w:numPr>
        <w:spacing w:after="160" w:line="259" w:lineRule="auto"/>
        <w:jc w:val="left"/>
        <w:rPr>
          <w:rFonts w:ascii="Times New Roman" w:hAnsi="Times New Roman"/>
        </w:rPr>
      </w:pPr>
      <w:r w:rsidRPr="00515FB5">
        <w:rPr>
          <w:rFonts w:ascii="Times New Roman" w:hAnsi="Times New Roman"/>
        </w:rPr>
        <w:t>Provide instruction for early college skills and oversight for course engagement and success</w:t>
      </w:r>
    </w:p>
    <w:p w14:paraId="7D7DD518" w14:textId="77777777" w:rsidR="00CF72C9" w:rsidRPr="00515FB5" w:rsidRDefault="00CF72C9" w:rsidP="00CF72C9">
      <w:pPr>
        <w:pStyle w:val="ListParagraph"/>
        <w:numPr>
          <w:ilvl w:val="0"/>
          <w:numId w:val="18"/>
        </w:numPr>
        <w:spacing w:after="160" w:line="259" w:lineRule="auto"/>
        <w:jc w:val="left"/>
        <w:rPr>
          <w:rFonts w:ascii="Times New Roman" w:hAnsi="Times New Roman"/>
        </w:rPr>
      </w:pPr>
      <w:r w:rsidRPr="00515FB5">
        <w:rPr>
          <w:rFonts w:ascii="Times New Roman" w:hAnsi="Times New Roman"/>
        </w:rPr>
        <w:t>Partner with Massachusetts Rehabilitation Commission and incorporate Pre-ETS services for student support and higher education readiness for students with disabilities</w:t>
      </w:r>
    </w:p>
    <w:p w14:paraId="5F64FFB0" w14:textId="77777777" w:rsidR="00CF72C9" w:rsidRPr="00515FB5" w:rsidRDefault="00CF72C9" w:rsidP="00CF72C9">
      <w:pPr>
        <w:pStyle w:val="ListParagraph"/>
        <w:numPr>
          <w:ilvl w:val="0"/>
          <w:numId w:val="18"/>
        </w:numPr>
        <w:spacing w:after="160" w:line="259" w:lineRule="auto"/>
        <w:jc w:val="left"/>
        <w:rPr>
          <w:rFonts w:ascii="Times New Roman" w:hAnsi="Times New Roman"/>
        </w:rPr>
      </w:pPr>
      <w:r w:rsidRPr="00515FB5">
        <w:rPr>
          <w:rFonts w:ascii="Times New Roman" w:hAnsi="Times New Roman"/>
        </w:rPr>
        <w:t xml:space="preserve">Expand partnerships with local colleges and business for early college/career student engagement </w:t>
      </w:r>
    </w:p>
    <w:tbl>
      <w:tblPr>
        <w:tblW w:w="9606" w:type="dxa"/>
        <w:tblInd w:w="194" w:type="dxa"/>
        <w:shd w:val="clear" w:color="auto" w:fill="FFFFFF"/>
        <w:tblCellMar>
          <w:top w:w="15" w:type="dxa"/>
          <w:left w:w="15" w:type="dxa"/>
          <w:bottom w:w="15" w:type="dxa"/>
          <w:right w:w="15" w:type="dxa"/>
        </w:tblCellMar>
        <w:tblLook w:val="04A0" w:firstRow="1" w:lastRow="0" w:firstColumn="1" w:lastColumn="0" w:noHBand="0" w:noVBand="1"/>
      </w:tblPr>
      <w:tblGrid>
        <w:gridCol w:w="3080"/>
        <w:gridCol w:w="1760"/>
        <w:gridCol w:w="4766"/>
      </w:tblGrid>
      <w:tr w:rsidR="00CF72C9" w:rsidRPr="00515FB5" w14:paraId="743313C8" w14:textId="77777777" w:rsidTr="00A877E0">
        <w:trPr>
          <w:trHeight w:val="291"/>
        </w:trPr>
        <w:tc>
          <w:tcPr>
            <w:tcW w:w="308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p w14:paraId="40B1FA73" w14:textId="77777777" w:rsidR="00CF72C9" w:rsidRPr="00515FB5" w:rsidRDefault="00CF72C9" w:rsidP="00A877E0">
            <w:pPr>
              <w:spacing w:line="219" w:lineRule="atLeast"/>
              <w:ind w:left="100"/>
              <w:rPr>
                <w:color w:val="201F1E"/>
              </w:rPr>
            </w:pPr>
            <w:r w:rsidRPr="00515FB5">
              <w:rPr>
                <w:b/>
                <w:bCs/>
                <w:color w:val="201F1E"/>
                <w:bdr w:val="none" w:sz="0" w:space="0" w:color="auto" w:frame="1"/>
              </w:rPr>
              <w:t>FY21 budget item </w:t>
            </w:r>
          </w:p>
        </w:tc>
        <w:tc>
          <w:tcPr>
            <w:tcW w:w="1760" w:type="dxa"/>
            <w:tcBorders>
              <w:top w:val="single" w:sz="8" w:space="0" w:color="000000"/>
              <w:left w:val="nil"/>
              <w:bottom w:val="single" w:sz="8" w:space="0" w:color="000000"/>
              <w:right w:val="single" w:sz="8" w:space="0" w:color="000000"/>
            </w:tcBorders>
            <w:shd w:val="clear" w:color="auto" w:fill="D9D9D9"/>
            <w:tcMar>
              <w:top w:w="0" w:type="dxa"/>
              <w:left w:w="0" w:type="dxa"/>
              <w:bottom w:w="0" w:type="dxa"/>
              <w:right w:w="0" w:type="dxa"/>
            </w:tcMar>
            <w:vAlign w:val="center"/>
            <w:hideMark/>
          </w:tcPr>
          <w:p w14:paraId="06E1DCC1" w14:textId="77777777" w:rsidR="00CF72C9" w:rsidRPr="00515FB5" w:rsidRDefault="00CF72C9" w:rsidP="00A877E0">
            <w:pPr>
              <w:spacing w:line="219" w:lineRule="atLeast"/>
              <w:ind w:left="103"/>
              <w:rPr>
                <w:color w:val="201F1E"/>
              </w:rPr>
            </w:pPr>
            <w:r w:rsidRPr="00515FB5">
              <w:rPr>
                <w:b/>
                <w:bCs/>
                <w:color w:val="000000"/>
                <w:bdr w:val="none" w:sz="0" w:space="0" w:color="auto" w:frame="1"/>
              </w:rPr>
              <w:t>Amount</w:t>
            </w:r>
            <w:r w:rsidRPr="00515FB5">
              <w:rPr>
                <w:b/>
                <w:bCs/>
                <w:color w:val="201F1E"/>
                <w:bdr w:val="none" w:sz="0" w:space="0" w:color="auto" w:frame="1"/>
              </w:rPr>
              <w:t> </w:t>
            </w:r>
          </w:p>
        </w:tc>
        <w:tc>
          <w:tcPr>
            <w:tcW w:w="4766" w:type="dxa"/>
            <w:tcBorders>
              <w:top w:val="single" w:sz="8" w:space="0" w:color="000000"/>
              <w:left w:val="nil"/>
              <w:bottom w:val="single" w:sz="8" w:space="0" w:color="000000"/>
              <w:right w:val="single" w:sz="8" w:space="0" w:color="000000"/>
            </w:tcBorders>
            <w:shd w:val="clear" w:color="auto" w:fill="D9D9D9"/>
            <w:tcMar>
              <w:top w:w="0" w:type="dxa"/>
              <w:left w:w="0" w:type="dxa"/>
              <w:bottom w:w="0" w:type="dxa"/>
              <w:right w:w="0" w:type="dxa"/>
            </w:tcMar>
            <w:vAlign w:val="center"/>
            <w:hideMark/>
          </w:tcPr>
          <w:p w14:paraId="21DE9CD3" w14:textId="77777777" w:rsidR="00CF72C9" w:rsidRPr="00515FB5" w:rsidRDefault="00CF72C9" w:rsidP="00A877E0">
            <w:pPr>
              <w:spacing w:line="219" w:lineRule="atLeast"/>
              <w:ind w:left="105"/>
              <w:rPr>
                <w:color w:val="201F1E"/>
              </w:rPr>
            </w:pPr>
            <w:r w:rsidRPr="00515FB5">
              <w:rPr>
                <w:b/>
                <w:bCs/>
                <w:color w:val="000000"/>
                <w:bdr w:val="none" w:sz="0" w:space="0" w:color="auto" w:frame="1"/>
              </w:rPr>
              <w:t>Foundation Category[1]</w:t>
            </w:r>
            <w:r w:rsidRPr="00515FB5">
              <w:rPr>
                <w:b/>
                <w:bCs/>
                <w:color w:val="201F1E"/>
                <w:bdr w:val="none" w:sz="0" w:space="0" w:color="auto" w:frame="1"/>
              </w:rPr>
              <w:t> </w:t>
            </w:r>
          </w:p>
        </w:tc>
      </w:tr>
      <w:tr w:rsidR="00CF72C9" w:rsidRPr="00515FB5" w14:paraId="58AE9A51" w14:textId="77777777" w:rsidTr="00A877E0">
        <w:trPr>
          <w:trHeight w:val="292"/>
        </w:trPr>
        <w:tc>
          <w:tcPr>
            <w:tcW w:w="308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68AC448" w14:textId="77777777" w:rsidR="00CF72C9" w:rsidRPr="00515FB5" w:rsidRDefault="00CF72C9" w:rsidP="00A877E0">
            <w:pPr>
              <w:rPr>
                <w:color w:val="201F1E"/>
              </w:rPr>
            </w:pPr>
            <w:r w:rsidRPr="00515FB5">
              <w:rPr>
                <w:color w:val="201F1E"/>
                <w:bdr w:val="none" w:sz="0" w:space="0" w:color="auto" w:frame="1"/>
              </w:rPr>
              <w:t> Dual Enrollment - course fees</w:t>
            </w:r>
          </w:p>
        </w:tc>
        <w:tc>
          <w:tcPr>
            <w:tcW w:w="1760"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7498FC42" w14:textId="77777777" w:rsidR="00CF72C9" w:rsidRPr="00515FB5" w:rsidRDefault="00CF72C9" w:rsidP="00A877E0">
            <w:pPr>
              <w:rPr>
                <w:color w:val="201F1E"/>
              </w:rPr>
            </w:pPr>
            <w:r w:rsidRPr="00515FB5">
              <w:rPr>
                <w:color w:val="201F1E"/>
                <w:bdr w:val="none" w:sz="0" w:space="0" w:color="auto" w:frame="1"/>
              </w:rPr>
              <w:t> $12,000</w:t>
            </w:r>
          </w:p>
        </w:tc>
        <w:tc>
          <w:tcPr>
            <w:tcW w:w="4766"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2C1264B7" w14:textId="77777777" w:rsidR="00CF72C9" w:rsidRPr="00515FB5" w:rsidRDefault="00CF72C9" w:rsidP="00A877E0">
            <w:pPr>
              <w:rPr>
                <w:color w:val="201F1E"/>
              </w:rPr>
            </w:pPr>
            <w:r w:rsidRPr="00515FB5">
              <w:rPr>
                <w:color w:val="201F1E"/>
                <w:bdr w:val="none" w:sz="0" w:space="0" w:color="auto" w:frame="1"/>
              </w:rPr>
              <w:t> Other Teaching Services</w:t>
            </w:r>
          </w:p>
        </w:tc>
      </w:tr>
      <w:tr w:rsidR="00CF72C9" w:rsidRPr="00515FB5" w14:paraId="6A3749A4" w14:textId="77777777" w:rsidTr="00A877E0">
        <w:trPr>
          <w:trHeight w:val="292"/>
        </w:trPr>
        <w:tc>
          <w:tcPr>
            <w:tcW w:w="308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630D76" w14:textId="77777777" w:rsidR="00CF72C9" w:rsidRPr="00515FB5" w:rsidRDefault="00CF72C9" w:rsidP="00A877E0">
            <w:pPr>
              <w:rPr>
                <w:color w:val="201F1E"/>
                <w:bdr w:val="none" w:sz="0" w:space="0" w:color="auto" w:frame="1"/>
              </w:rPr>
            </w:pPr>
            <w:r w:rsidRPr="00515FB5">
              <w:rPr>
                <w:color w:val="201F1E"/>
                <w:bdr w:val="none" w:sz="0" w:space="0" w:color="auto" w:frame="1"/>
              </w:rPr>
              <w:t xml:space="preserve"> Early College Instruction and Advising</w:t>
            </w:r>
          </w:p>
        </w:tc>
        <w:tc>
          <w:tcPr>
            <w:tcW w:w="1760"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tcPr>
          <w:p w14:paraId="1C084142" w14:textId="77777777" w:rsidR="00CF72C9" w:rsidRPr="00515FB5" w:rsidRDefault="00CF72C9" w:rsidP="00A877E0">
            <w:pPr>
              <w:rPr>
                <w:color w:val="201F1E"/>
                <w:bdr w:val="none" w:sz="0" w:space="0" w:color="auto" w:frame="1"/>
              </w:rPr>
            </w:pPr>
            <w:r w:rsidRPr="00515FB5">
              <w:rPr>
                <w:color w:val="201F1E"/>
                <w:bdr w:val="none" w:sz="0" w:space="0" w:color="auto" w:frame="1"/>
              </w:rPr>
              <w:t> $19,600</w:t>
            </w:r>
          </w:p>
        </w:tc>
        <w:tc>
          <w:tcPr>
            <w:tcW w:w="4766"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tcPr>
          <w:p w14:paraId="03BC4F35" w14:textId="77777777" w:rsidR="00CF72C9" w:rsidRPr="00515FB5" w:rsidRDefault="00CF72C9" w:rsidP="00A877E0">
            <w:pPr>
              <w:rPr>
                <w:color w:val="201F1E"/>
                <w:bdr w:val="none" w:sz="0" w:space="0" w:color="auto" w:frame="1"/>
              </w:rPr>
            </w:pPr>
            <w:r w:rsidRPr="00515FB5">
              <w:rPr>
                <w:color w:val="201F1E"/>
                <w:bdr w:val="none" w:sz="0" w:space="0" w:color="auto" w:frame="1"/>
              </w:rPr>
              <w:t> Classroom and Specialist Teachers</w:t>
            </w:r>
          </w:p>
        </w:tc>
      </w:tr>
      <w:tr w:rsidR="00CF72C9" w:rsidRPr="00515FB5" w14:paraId="1A9101FF" w14:textId="77777777" w:rsidTr="00A877E0">
        <w:trPr>
          <w:trHeight w:val="292"/>
        </w:trPr>
        <w:tc>
          <w:tcPr>
            <w:tcW w:w="308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6110AEB" w14:textId="77777777" w:rsidR="00CF72C9" w:rsidRPr="00515FB5" w:rsidRDefault="00CF72C9" w:rsidP="00A877E0">
            <w:pPr>
              <w:rPr>
                <w:color w:val="201F1E"/>
              </w:rPr>
            </w:pPr>
            <w:r w:rsidRPr="00515FB5">
              <w:rPr>
                <w:color w:val="201F1E"/>
                <w:bdr w:val="none" w:sz="0" w:space="0" w:color="auto" w:frame="1"/>
              </w:rPr>
              <w:t> College/Career partnering</w:t>
            </w:r>
          </w:p>
        </w:tc>
        <w:tc>
          <w:tcPr>
            <w:tcW w:w="1760"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36DCBA41" w14:textId="77777777" w:rsidR="00CF72C9" w:rsidRPr="00515FB5" w:rsidRDefault="00CF72C9" w:rsidP="00A877E0">
            <w:pPr>
              <w:rPr>
                <w:color w:val="201F1E"/>
              </w:rPr>
            </w:pPr>
            <w:r w:rsidRPr="00515FB5">
              <w:rPr>
                <w:color w:val="201F1E"/>
                <w:bdr w:val="none" w:sz="0" w:space="0" w:color="auto" w:frame="1"/>
              </w:rPr>
              <w:t> $3,000</w:t>
            </w:r>
          </w:p>
        </w:tc>
        <w:tc>
          <w:tcPr>
            <w:tcW w:w="4766"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4CE22422" w14:textId="77777777" w:rsidR="00CF72C9" w:rsidRPr="00515FB5" w:rsidRDefault="00CF72C9" w:rsidP="00A877E0">
            <w:pPr>
              <w:rPr>
                <w:color w:val="201F1E"/>
              </w:rPr>
            </w:pPr>
            <w:r w:rsidRPr="00515FB5">
              <w:rPr>
                <w:color w:val="201F1E"/>
                <w:bdr w:val="none" w:sz="0" w:space="0" w:color="auto" w:frame="1"/>
              </w:rPr>
              <w:t xml:space="preserve"> Other Teaching Services; Operations and Maintenance</w:t>
            </w:r>
          </w:p>
        </w:tc>
      </w:tr>
      <w:tr w:rsidR="00CF72C9" w:rsidRPr="00515FB5" w14:paraId="558A1734" w14:textId="77777777" w:rsidTr="00A877E0">
        <w:trPr>
          <w:trHeight w:val="297"/>
        </w:trPr>
        <w:tc>
          <w:tcPr>
            <w:tcW w:w="4840" w:type="dxa"/>
            <w:gridSpan w:val="2"/>
            <w:tcBorders>
              <w:top w:val="nil"/>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p w14:paraId="48065EB7" w14:textId="77777777" w:rsidR="00CF72C9" w:rsidRPr="00515FB5" w:rsidRDefault="00CF72C9" w:rsidP="00A877E0">
            <w:pPr>
              <w:spacing w:line="219" w:lineRule="atLeast"/>
              <w:ind w:left="100"/>
              <w:rPr>
                <w:color w:val="201F1E"/>
              </w:rPr>
            </w:pPr>
            <w:r w:rsidRPr="00515FB5">
              <w:rPr>
                <w:b/>
                <w:bCs/>
                <w:color w:val="000000"/>
                <w:bdr w:val="none" w:sz="0" w:space="0" w:color="auto" w:frame="1"/>
              </w:rPr>
              <w:t>Evidence-based program identified by the Department:</w:t>
            </w:r>
            <w:r w:rsidRPr="00515FB5">
              <w:rPr>
                <w:b/>
                <w:bCs/>
                <w:color w:val="201F1E"/>
                <w:bdr w:val="none" w:sz="0" w:space="0" w:color="auto" w:frame="1"/>
              </w:rPr>
              <w:t> </w:t>
            </w:r>
          </w:p>
        </w:tc>
        <w:tc>
          <w:tcPr>
            <w:tcW w:w="4766"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376C6C78" w14:textId="77777777" w:rsidR="00CF72C9" w:rsidRPr="00515FB5" w:rsidRDefault="00CF72C9" w:rsidP="00A877E0">
            <w:pPr>
              <w:spacing w:line="254" w:lineRule="atLeast"/>
              <w:rPr>
                <w:color w:val="201F1E"/>
              </w:rPr>
            </w:pPr>
            <w:r w:rsidRPr="00515FB5">
              <w:rPr>
                <w:color w:val="201F1E"/>
                <w:bdr w:val="none" w:sz="0" w:space="0" w:color="auto" w:frame="1"/>
              </w:rPr>
              <w:t> Early College</w:t>
            </w:r>
          </w:p>
        </w:tc>
      </w:tr>
      <w:tr w:rsidR="00CF72C9" w:rsidRPr="00515FB5" w14:paraId="6FEF6A61" w14:textId="77777777" w:rsidTr="00A877E0">
        <w:trPr>
          <w:trHeight w:val="294"/>
        </w:trPr>
        <w:tc>
          <w:tcPr>
            <w:tcW w:w="4840" w:type="dxa"/>
            <w:gridSpan w:val="2"/>
            <w:tcBorders>
              <w:top w:val="nil"/>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p w14:paraId="2DA8F70A" w14:textId="77777777" w:rsidR="00CF72C9" w:rsidRPr="00515FB5" w:rsidRDefault="00CF72C9" w:rsidP="00A877E0">
            <w:pPr>
              <w:spacing w:line="254" w:lineRule="atLeast"/>
              <w:ind w:left="100"/>
              <w:rPr>
                <w:color w:val="201F1E"/>
              </w:rPr>
            </w:pPr>
            <w:r w:rsidRPr="00515FB5">
              <w:rPr>
                <w:b/>
                <w:bCs/>
                <w:color w:val="000000"/>
                <w:bdr w:val="none" w:sz="0" w:space="0" w:color="auto" w:frame="1"/>
              </w:rPr>
              <w:t>SOA program categories:</w:t>
            </w:r>
            <w:r w:rsidRPr="00515FB5">
              <w:rPr>
                <w:b/>
                <w:bCs/>
                <w:color w:val="201F1E"/>
                <w:bdr w:val="none" w:sz="0" w:space="0" w:color="auto" w:frame="1"/>
              </w:rPr>
              <w:t> </w:t>
            </w:r>
          </w:p>
        </w:tc>
        <w:tc>
          <w:tcPr>
            <w:tcW w:w="4766"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461A099B" w14:textId="77777777" w:rsidR="00CF72C9" w:rsidRPr="00515FB5" w:rsidRDefault="00CF72C9" w:rsidP="00A877E0">
            <w:pPr>
              <w:spacing w:line="254" w:lineRule="atLeast"/>
              <w:rPr>
                <w:color w:val="201F1E"/>
              </w:rPr>
            </w:pPr>
            <w:r w:rsidRPr="00515FB5">
              <w:rPr>
                <w:color w:val="201F1E"/>
                <w:bdr w:val="none" w:sz="0" w:space="0" w:color="auto" w:frame="1"/>
              </w:rPr>
              <w:t>(I) Developing additional pathways to strengthen college and career readiness</w:t>
            </w:r>
          </w:p>
        </w:tc>
      </w:tr>
    </w:tbl>
    <w:p w14:paraId="4ED0FABB" w14:textId="77777777" w:rsidR="00CF72C9" w:rsidRPr="00515FB5" w:rsidRDefault="00CF72C9" w:rsidP="00CF72C9">
      <w:pPr>
        <w:shd w:val="clear" w:color="auto" w:fill="FFFFFF"/>
        <w:rPr>
          <w:color w:val="201F1E"/>
        </w:rPr>
      </w:pPr>
      <w:r w:rsidRPr="00515FB5">
        <w:rPr>
          <w:color w:val="201F1E"/>
          <w:bdr w:val="none" w:sz="0" w:space="0" w:color="auto" w:frame="1"/>
        </w:rPr>
        <w:t> </w:t>
      </w:r>
    </w:p>
    <w:p w14:paraId="422FBC90" w14:textId="77777777" w:rsidR="00C13F17" w:rsidRDefault="00DB1415" w:rsidP="00DB1415">
      <w:pPr>
        <w:spacing w:after="160" w:line="259" w:lineRule="auto"/>
        <w:rPr>
          <w:b/>
        </w:rPr>
      </w:pPr>
      <w:r>
        <w:rPr>
          <w:rFonts w:eastAsia="Calibri"/>
          <w:b/>
          <w:bCs/>
        </w:rPr>
        <w:t>E</w:t>
      </w:r>
      <w:r w:rsidR="00515FB5" w:rsidRPr="00515FB5">
        <w:rPr>
          <w:rFonts w:eastAsia="Calibri"/>
          <w:b/>
          <w:bCs/>
        </w:rPr>
        <w:t>vidence-based program #</w:t>
      </w:r>
      <w:r w:rsidR="00812945">
        <w:rPr>
          <w:rFonts w:eastAsia="Calibri"/>
          <w:b/>
          <w:bCs/>
        </w:rPr>
        <w:t>3</w:t>
      </w:r>
      <w:r w:rsidR="00515FB5" w:rsidRPr="00515FB5">
        <w:rPr>
          <w:rFonts w:eastAsia="Calibri"/>
          <w:b/>
          <w:bCs/>
        </w:rPr>
        <w:t xml:space="preserve">: </w:t>
      </w:r>
      <w:r w:rsidR="00C13F17" w:rsidRPr="00515FB5">
        <w:rPr>
          <w:b/>
        </w:rPr>
        <w:t>Expanded access to career-technical education, including “After Dark” district-vocational partnerships and innovation pathways reflecting local labor market priorities</w:t>
      </w:r>
    </w:p>
    <w:p w14:paraId="3C61B7FB" w14:textId="77777777" w:rsidR="00C13F17" w:rsidRPr="00515FB5" w:rsidRDefault="00C13F17" w:rsidP="00C13F17">
      <w:r w:rsidRPr="00515FB5">
        <w:t>FRCS is increasing emphasis on Career-Technical Education and Work-Based Learning skills and experiences to support post-secondary success in higher education and work.</w:t>
      </w:r>
    </w:p>
    <w:p w14:paraId="0BDBDF98" w14:textId="77777777" w:rsidR="00C13F17" w:rsidRPr="00515FB5" w:rsidRDefault="00C13F17" w:rsidP="00C13F17">
      <w:pPr>
        <w:pStyle w:val="ListParagraph"/>
        <w:numPr>
          <w:ilvl w:val="0"/>
          <w:numId w:val="17"/>
        </w:numPr>
        <w:spacing w:after="160" w:line="259" w:lineRule="auto"/>
        <w:jc w:val="left"/>
        <w:rPr>
          <w:rFonts w:ascii="Times New Roman" w:hAnsi="Times New Roman"/>
        </w:rPr>
      </w:pPr>
      <w:r w:rsidRPr="00515FB5">
        <w:rPr>
          <w:rFonts w:ascii="Times New Roman" w:hAnsi="Times New Roman"/>
        </w:rPr>
        <w:t xml:space="preserve">The newly created Applied Learning Center provides career and technical exploration, skill building opportunities, and community/business outreach with an emphasis on design/build and technical/computer training. </w:t>
      </w:r>
    </w:p>
    <w:p w14:paraId="0D1D81AB" w14:textId="77777777" w:rsidR="00C13F17" w:rsidRPr="00515FB5" w:rsidRDefault="00C13F17" w:rsidP="00C13F17">
      <w:pPr>
        <w:pStyle w:val="ListParagraph"/>
        <w:numPr>
          <w:ilvl w:val="0"/>
          <w:numId w:val="17"/>
        </w:numPr>
        <w:spacing w:after="160" w:line="259" w:lineRule="auto"/>
        <w:jc w:val="left"/>
        <w:rPr>
          <w:rFonts w:ascii="Times New Roman" w:hAnsi="Times New Roman"/>
        </w:rPr>
      </w:pPr>
      <w:r w:rsidRPr="00515FB5">
        <w:rPr>
          <w:rFonts w:ascii="Times New Roman" w:hAnsi="Times New Roman"/>
        </w:rPr>
        <w:t>Career and workplace based learning opportunities have been expanded with the Experiential Early Release Program and offering courses incorporating internships and practicum experiences.</w:t>
      </w:r>
    </w:p>
    <w:p w14:paraId="4004407B" w14:textId="77777777" w:rsidR="00C13F17" w:rsidRPr="00515FB5" w:rsidRDefault="00C13F17" w:rsidP="00C13F17">
      <w:pPr>
        <w:pStyle w:val="ListParagraph"/>
        <w:numPr>
          <w:ilvl w:val="0"/>
          <w:numId w:val="17"/>
        </w:numPr>
        <w:spacing w:after="160" w:line="259" w:lineRule="auto"/>
        <w:jc w:val="left"/>
        <w:rPr>
          <w:rFonts w:ascii="Times New Roman" w:hAnsi="Times New Roman"/>
        </w:rPr>
      </w:pPr>
      <w:r w:rsidRPr="00515FB5">
        <w:rPr>
          <w:rFonts w:ascii="Times New Roman" w:hAnsi="Times New Roman"/>
        </w:rPr>
        <w:lastRenderedPageBreak/>
        <w:t>We have partnered with Southeastern Technical Institute’s “after dark” dual enrollment program.</w:t>
      </w:r>
    </w:p>
    <w:p w14:paraId="7E2A93D5" w14:textId="77777777" w:rsidR="00C13F17" w:rsidRPr="00515FB5" w:rsidRDefault="00C13F17" w:rsidP="00C13F17">
      <w:pPr>
        <w:pStyle w:val="ListParagraph"/>
        <w:numPr>
          <w:ilvl w:val="0"/>
          <w:numId w:val="17"/>
        </w:numPr>
        <w:spacing w:after="160" w:line="259" w:lineRule="auto"/>
        <w:jc w:val="left"/>
        <w:rPr>
          <w:rFonts w:ascii="Times New Roman" w:hAnsi="Times New Roman"/>
        </w:rPr>
      </w:pPr>
      <w:r w:rsidRPr="00515FB5">
        <w:rPr>
          <w:rFonts w:ascii="Times New Roman" w:hAnsi="Times New Roman"/>
        </w:rPr>
        <w:t>We are collaborating with local and state agencies (Connecting Activities, Workforce Boards, Chamber of Commerce, Year-up, etc) for student training and career services.</w:t>
      </w:r>
    </w:p>
    <w:p w14:paraId="42765AD3" w14:textId="77777777" w:rsidR="00C13F17" w:rsidRPr="00515FB5" w:rsidRDefault="00C13F17" w:rsidP="00C13F17">
      <w:r w:rsidRPr="00515FB5">
        <w:t>Program Development FY 22/23 – students of color, low-income students and students with disabilities</w:t>
      </w:r>
    </w:p>
    <w:p w14:paraId="518721A6" w14:textId="77777777" w:rsidR="00C13F17" w:rsidRPr="00515FB5" w:rsidRDefault="00C13F17" w:rsidP="00C13F17">
      <w:pPr>
        <w:pStyle w:val="ListParagraph"/>
        <w:numPr>
          <w:ilvl w:val="0"/>
          <w:numId w:val="18"/>
        </w:numPr>
        <w:spacing w:after="160" w:line="259" w:lineRule="auto"/>
        <w:jc w:val="left"/>
        <w:rPr>
          <w:rFonts w:ascii="Times New Roman" w:hAnsi="Times New Roman"/>
        </w:rPr>
      </w:pPr>
      <w:r w:rsidRPr="00515FB5">
        <w:rPr>
          <w:rFonts w:ascii="Times New Roman" w:hAnsi="Times New Roman"/>
        </w:rPr>
        <w:t>Expand CTE and Work-Applied Learning footprint and equipment to increase student capacity (including Middle School) and training for high skill/high demand careers</w:t>
      </w:r>
    </w:p>
    <w:p w14:paraId="4822C4B5" w14:textId="77777777" w:rsidR="00C13F17" w:rsidRPr="00515FB5" w:rsidRDefault="00C13F17" w:rsidP="00C13F17">
      <w:pPr>
        <w:pStyle w:val="ListParagraph"/>
        <w:numPr>
          <w:ilvl w:val="0"/>
          <w:numId w:val="18"/>
        </w:numPr>
        <w:spacing w:after="160" w:line="259" w:lineRule="auto"/>
        <w:jc w:val="left"/>
        <w:rPr>
          <w:rFonts w:ascii="Times New Roman" w:hAnsi="Times New Roman"/>
        </w:rPr>
      </w:pPr>
      <w:r w:rsidRPr="00515FB5">
        <w:rPr>
          <w:rFonts w:ascii="Times New Roman" w:hAnsi="Times New Roman"/>
        </w:rPr>
        <w:t>Increase recruiting for and student participation in Career-Technical Education through scheduling, Advisory curriculum, and family outreach</w:t>
      </w:r>
    </w:p>
    <w:p w14:paraId="78E120B4" w14:textId="77777777" w:rsidR="00C13F17" w:rsidRPr="00515FB5" w:rsidRDefault="00C13F17" w:rsidP="00C13F17">
      <w:pPr>
        <w:pStyle w:val="ListParagraph"/>
        <w:numPr>
          <w:ilvl w:val="0"/>
          <w:numId w:val="18"/>
        </w:numPr>
        <w:spacing w:after="160" w:line="259" w:lineRule="auto"/>
        <w:jc w:val="left"/>
        <w:rPr>
          <w:rFonts w:ascii="Times New Roman" w:hAnsi="Times New Roman"/>
        </w:rPr>
      </w:pPr>
      <w:r w:rsidRPr="00515FB5">
        <w:rPr>
          <w:rFonts w:ascii="Times New Roman" w:hAnsi="Times New Roman"/>
        </w:rPr>
        <w:t>Increase possibilities for CTE and Work-Based Learning programming (such as Innovation Pathway through incorporating programs such as Project Lead the Way and partnering with related business and career organizations)</w:t>
      </w:r>
    </w:p>
    <w:p w14:paraId="6FB08822" w14:textId="77777777" w:rsidR="00C13F17" w:rsidRPr="00515FB5" w:rsidRDefault="00C13F17" w:rsidP="00C13F17">
      <w:pPr>
        <w:pStyle w:val="ListParagraph"/>
        <w:numPr>
          <w:ilvl w:val="0"/>
          <w:numId w:val="18"/>
        </w:numPr>
        <w:spacing w:after="160" w:line="259" w:lineRule="auto"/>
        <w:jc w:val="left"/>
        <w:rPr>
          <w:rFonts w:ascii="Times New Roman" w:hAnsi="Times New Roman"/>
        </w:rPr>
      </w:pPr>
      <w:r w:rsidRPr="00515FB5">
        <w:rPr>
          <w:rFonts w:ascii="Times New Roman" w:hAnsi="Times New Roman"/>
        </w:rPr>
        <w:t>Expand partnerships with local and state agencies and career organizations</w:t>
      </w:r>
    </w:p>
    <w:p w14:paraId="62636C2C" w14:textId="77777777" w:rsidR="00C13F17" w:rsidRPr="00515FB5" w:rsidRDefault="00C13F17" w:rsidP="00C13F17">
      <w:pPr>
        <w:pStyle w:val="ListParagraph"/>
        <w:rPr>
          <w:rFonts w:ascii="Times New Roman" w:hAnsi="Times New Roman"/>
        </w:rPr>
      </w:pPr>
    </w:p>
    <w:tbl>
      <w:tblPr>
        <w:tblW w:w="9606" w:type="dxa"/>
        <w:tblInd w:w="194" w:type="dxa"/>
        <w:shd w:val="clear" w:color="auto" w:fill="FFFFFF"/>
        <w:tblCellMar>
          <w:top w:w="15" w:type="dxa"/>
          <w:left w:w="15" w:type="dxa"/>
          <w:bottom w:w="15" w:type="dxa"/>
          <w:right w:w="15" w:type="dxa"/>
        </w:tblCellMar>
        <w:tblLook w:val="04A0" w:firstRow="1" w:lastRow="0" w:firstColumn="1" w:lastColumn="0" w:noHBand="0" w:noVBand="1"/>
      </w:tblPr>
      <w:tblGrid>
        <w:gridCol w:w="4144"/>
        <w:gridCol w:w="1024"/>
        <w:gridCol w:w="4438"/>
      </w:tblGrid>
      <w:tr w:rsidR="00C13F17" w:rsidRPr="00515FB5" w14:paraId="1D70E077" w14:textId="77777777" w:rsidTr="00973D78">
        <w:trPr>
          <w:trHeight w:val="291"/>
        </w:trPr>
        <w:tc>
          <w:tcPr>
            <w:tcW w:w="4206"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p w14:paraId="1B39BC83" w14:textId="77777777" w:rsidR="00C13F17" w:rsidRPr="00515FB5" w:rsidRDefault="00C13F17" w:rsidP="00973D78">
            <w:pPr>
              <w:spacing w:line="219" w:lineRule="atLeast"/>
              <w:ind w:left="100"/>
              <w:rPr>
                <w:color w:val="201F1E"/>
              </w:rPr>
            </w:pPr>
            <w:r w:rsidRPr="00515FB5">
              <w:rPr>
                <w:b/>
                <w:bCs/>
                <w:color w:val="201F1E"/>
                <w:bdr w:val="none" w:sz="0" w:space="0" w:color="auto" w:frame="1"/>
              </w:rPr>
              <w:t>FY21 budget item </w:t>
            </w:r>
          </w:p>
        </w:tc>
        <w:tc>
          <w:tcPr>
            <w:tcW w:w="900" w:type="dxa"/>
            <w:tcBorders>
              <w:top w:val="single" w:sz="8" w:space="0" w:color="000000"/>
              <w:left w:val="nil"/>
              <w:bottom w:val="single" w:sz="8" w:space="0" w:color="000000"/>
              <w:right w:val="single" w:sz="8" w:space="0" w:color="000000"/>
            </w:tcBorders>
            <w:shd w:val="clear" w:color="auto" w:fill="D9D9D9"/>
            <w:tcMar>
              <w:top w:w="0" w:type="dxa"/>
              <w:left w:w="0" w:type="dxa"/>
              <w:bottom w:w="0" w:type="dxa"/>
              <w:right w:w="0" w:type="dxa"/>
            </w:tcMar>
            <w:vAlign w:val="center"/>
            <w:hideMark/>
          </w:tcPr>
          <w:p w14:paraId="1101AFFB" w14:textId="77777777" w:rsidR="00C13F17" w:rsidRPr="00515FB5" w:rsidRDefault="00C13F17" w:rsidP="00973D78">
            <w:pPr>
              <w:spacing w:line="219" w:lineRule="atLeast"/>
              <w:ind w:left="103"/>
              <w:rPr>
                <w:color w:val="201F1E"/>
              </w:rPr>
            </w:pPr>
            <w:r w:rsidRPr="00515FB5">
              <w:rPr>
                <w:b/>
                <w:bCs/>
                <w:color w:val="000000"/>
                <w:bdr w:val="none" w:sz="0" w:space="0" w:color="auto" w:frame="1"/>
              </w:rPr>
              <w:t>Amount</w:t>
            </w:r>
            <w:r w:rsidRPr="00515FB5">
              <w:rPr>
                <w:b/>
                <w:bCs/>
                <w:color w:val="201F1E"/>
                <w:bdr w:val="none" w:sz="0" w:space="0" w:color="auto" w:frame="1"/>
              </w:rPr>
              <w:t> </w:t>
            </w:r>
          </w:p>
        </w:tc>
        <w:tc>
          <w:tcPr>
            <w:tcW w:w="4500" w:type="dxa"/>
            <w:tcBorders>
              <w:top w:val="single" w:sz="8" w:space="0" w:color="000000"/>
              <w:left w:val="nil"/>
              <w:bottom w:val="single" w:sz="8" w:space="0" w:color="000000"/>
              <w:right w:val="single" w:sz="8" w:space="0" w:color="000000"/>
            </w:tcBorders>
            <w:shd w:val="clear" w:color="auto" w:fill="D9D9D9"/>
            <w:tcMar>
              <w:top w:w="0" w:type="dxa"/>
              <w:left w:w="0" w:type="dxa"/>
              <w:bottom w:w="0" w:type="dxa"/>
              <w:right w:w="0" w:type="dxa"/>
            </w:tcMar>
            <w:vAlign w:val="center"/>
            <w:hideMark/>
          </w:tcPr>
          <w:p w14:paraId="08C8E11E" w14:textId="77777777" w:rsidR="00C13F17" w:rsidRPr="00515FB5" w:rsidRDefault="00C13F17" w:rsidP="00973D78">
            <w:pPr>
              <w:spacing w:line="219" w:lineRule="atLeast"/>
              <w:ind w:left="105"/>
              <w:rPr>
                <w:color w:val="201F1E"/>
              </w:rPr>
            </w:pPr>
            <w:r w:rsidRPr="00515FB5">
              <w:rPr>
                <w:b/>
                <w:bCs/>
                <w:color w:val="000000"/>
                <w:bdr w:val="none" w:sz="0" w:space="0" w:color="auto" w:frame="1"/>
              </w:rPr>
              <w:t>Foundation Category[1]</w:t>
            </w:r>
            <w:r w:rsidRPr="00515FB5">
              <w:rPr>
                <w:b/>
                <w:bCs/>
                <w:color w:val="201F1E"/>
                <w:bdr w:val="none" w:sz="0" w:space="0" w:color="auto" w:frame="1"/>
              </w:rPr>
              <w:t> </w:t>
            </w:r>
          </w:p>
        </w:tc>
      </w:tr>
      <w:tr w:rsidR="00C13F17" w:rsidRPr="00515FB5" w14:paraId="0ECFF1A5" w14:textId="77777777" w:rsidTr="00973D78">
        <w:trPr>
          <w:trHeight w:val="292"/>
        </w:trPr>
        <w:tc>
          <w:tcPr>
            <w:tcW w:w="4206"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E600149" w14:textId="77777777" w:rsidR="00C13F17" w:rsidRPr="00515FB5" w:rsidRDefault="00C13F17" w:rsidP="00973D78">
            <w:pPr>
              <w:rPr>
                <w:color w:val="201F1E"/>
              </w:rPr>
            </w:pPr>
            <w:r w:rsidRPr="00515FB5">
              <w:rPr>
                <w:color w:val="201F1E"/>
                <w:bdr w:val="none" w:sz="0" w:space="0" w:color="auto" w:frame="1"/>
              </w:rPr>
              <w:t xml:space="preserve"> Expand CTE and Work-Based Learning footprint </w:t>
            </w:r>
          </w:p>
        </w:tc>
        <w:tc>
          <w:tcPr>
            <w:tcW w:w="900"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141E0F03" w14:textId="77777777" w:rsidR="00C13F17" w:rsidRPr="00515FB5" w:rsidRDefault="00C13F17" w:rsidP="00973D78">
            <w:pPr>
              <w:rPr>
                <w:color w:val="201F1E"/>
              </w:rPr>
            </w:pPr>
            <w:r w:rsidRPr="00515FB5">
              <w:rPr>
                <w:color w:val="201F1E"/>
                <w:bdr w:val="none" w:sz="0" w:space="0" w:color="auto" w:frame="1"/>
              </w:rPr>
              <w:t xml:space="preserve"> $20,000</w:t>
            </w:r>
          </w:p>
        </w:tc>
        <w:tc>
          <w:tcPr>
            <w:tcW w:w="4500"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6032901F" w14:textId="77777777" w:rsidR="00C13F17" w:rsidRPr="00515FB5" w:rsidRDefault="00C13F17" w:rsidP="00973D78">
            <w:pPr>
              <w:rPr>
                <w:color w:val="201F1E"/>
              </w:rPr>
            </w:pPr>
            <w:r w:rsidRPr="00515FB5">
              <w:rPr>
                <w:color w:val="201F1E"/>
                <w:bdr w:val="none" w:sz="0" w:space="0" w:color="auto" w:frame="1"/>
              </w:rPr>
              <w:t> Operations and Maintenance</w:t>
            </w:r>
          </w:p>
        </w:tc>
      </w:tr>
      <w:tr w:rsidR="00C13F17" w:rsidRPr="00515FB5" w14:paraId="2433AE1C" w14:textId="77777777" w:rsidTr="00973D78">
        <w:trPr>
          <w:trHeight w:val="292"/>
        </w:trPr>
        <w:tc>
          <w:tcPr>
            <w:tcW w:w="4206"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760E7F" w14:textId="77777777" w:rsidR="00C13F17" w:rsidRPr="00515FB5" w:rsidRDefault="00C13F17" w:rsidP="00973D78">
            <w:pPr>
              <w:rPr>
                <w:color w:val="201F1E"/>
                <w:bdr w:val="none" w:sz="0" w:space="0" w:color="auto" w:frame="1"/>
              </w:rPr>
            </w:pPr>
            <w:r w:rsidRPr="00515FB5">
              <w:rPr>
                <w:color w:val="201F1E"/>
                <w:bdr w:val="none" w:sz="0" w:space="0" w:color="auto" w:frame="1"/>
              </w:rPr>
              <w:t xml:space="preserve"> Expand CTE and Work-Based Learning equipment</w:t>
            </w:r>
          </w:p>
        </w:tc>
        <w:tc>
          <w:tcPr>
            <w:tcW w:w="900"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tcPr>
          <w:p w14:paraId="7E1709E1" w14:textId="77777777" w:rsidR="00C13F17" w:rsidRPr="00515FB5" w:rsidRDefault="00C13F17" w:rsidP="00973D78">
            <w:pPr>
              <w:rPr>
                <w:color w:val="201F1E"/>
                <w:bdr w:val="none" w:sz="0" w:space="0" w:color="auto" w:frame="1"/>
              </w:rPr>
            </w:pPr>
            <w:r w:rsidRPr="00515FB5">
              <w:rPr>
                <w:color w:val="201F1E"/>
                <w:bdr w:val="none" w:sz="0" w:space="0" w:color="auto" w:frame="1"/>
              </w:rPr>
              <w:t xml:space="preserve"> $10,000</w:t>
            </w:r>
          </w:p>
        </w:tc>
        <w:tc>
          <w:tcPr>
            <w:tcW w:w="4500"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tcPr>
          <w:p w14:paraId="54E30495" w14:textId="77777777" w:rsidR="00C13F17" w:rsidRPr="00515FB5" w:rsidRDefault="00C13F17" w:rsidP="00973D78">
            <w:pPr>
              <w:rPr>
                <w:color w:val="201F1E"/>
                <w:bdr w:val="none" w:sz="0" w:space="0" w:color="auto" w:frame="1"/>
              </w:rPr>
            </w:pPr>
            <w:r w:rsidRPr="00515FB5">
              <w:rPr>
                <w:color w:val="201F1E"/>
                <w:bdr w:val="none" w:sz="0" w:space="0" w:color="auto" w:frame="1"/>
              </w:rPr>
              <w:t xml:space="preserve"> Instructional M, E, &amp; T (Capital Skills Grant)</w:t>
            </w:r>
          </w:p>
        </w:tc>
      </w:tr>
      <w:tr w:rsidR="00C13F17" w:rsidRPr="00515FB5" w14:paraId="21717BD1" w14:textId="77777777" w:rsidTr="00973D78">
        <w:trPr>
          <w:trHeight w:val="292"/>
        </w:trPr>
        <w:tc>
          <w:tcPr>
            <w:tcW w:w="4206"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DAB23D0" w14:textId="77777777" w:rsidR="00C13F17" w:rsidRPr="00515FB5" w:rsidRDefault="00C13F17" w:rsidP="00973D78">
            <w:pPr>
              <w:rPr>
                <w:color w:val="201F1E"/>
              </w:rPr>
            </w:pPr>
            <w:r w:rsidRPr="00515FB5">
              <w:rPr>
                <w:color w:val="201F1E"/>
                <w:bdr w:val="none" w:sz="0" w:space="0" w:color="auto" w:frame="1"/>
              </w:rPr>
              <w:t xml:space="preserve"> Explore CTE and Work-Based Learning programs and associated curriculum </w:t>
            </w:r>
          </w:p>
        </w:tc>
        <w:tc>
          <w:tcPr>
            <w:tcW w:w="900"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5989D2E1" w14:textId="77777777" w:rsidR="00C13F17" w:rsidRPr="00515FB5" w:rsidRDefault="00C13F17" w:rsidP="00973D78">
            <w:pPr>
              <w:rPr>
                <w:color w:val="201F1E"/>
              </w:rPr>
            </w:pPr>
            <w:r w:rsidRPr="00515FB5">
              <w:rPr>
                <w:color w:val="201F1E"/>
                <w:bdr w:val="none" w:sz="0" w:space="0" w:color="auto" w:frame="1"/>
              </w:rPr>
              <w:t> $25,000</w:t>
            </w:r>
          </w:p>
        </w:tc>
        <w:tc>
          <w:tcPr>
            <w:tcW w:w="4500"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176BE65F" w14:textId="77777777" w:rsidR="00C13F17" w:rsidRPr="00515FB5" w:rsidRDefault="00C13F17" w:rsidP="00973D78">
            <w:pPr>
              <w:rPr>
                <w:color w:val="201F1E"/>
              </w:rPr>
            </w:pPr>
            <w:r w:rsidRPr="00515FB5">
              <w:rPr>
                <w:color w:val="201F1E"/>
                <w:bdr w:val="none" w:sz="0" w:space="0" w:color="auto" w:frame="1"/>
              </w:rPr>
              <w:t> Instructional M, E, T (One 8 Grant); Classroom and Specialist Teachers</w:t>
            </w:r>
          </w:p>
        </w:tc>
      </w:tr>
      <w:tr w:rsidR="00C13F17" w:rsidRPr="00515FB5" w14:paraId="7BB443A8" w14:textId="77777777" w:rsidTr="00973D78">
        <w:trPr>
          <w:trHeight w:val="297"/>
        </w:trPr>
        <w:tc>
          <w:tcPr>
            <w:tcW w:w="5106" w:type="dxa"/>
            <w:gridSpan w:val="2"/>
            <w:tcBorders>
              <w:top w:val="nil"/>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p w14:paraId="19A7C856" w14:textId="77777777" w:rsidR="00C13F17" w:rsidRPr="00515FB5" w:rsidRDefault="00C13F17" w:rsidP="00973D78">
            <w:pPr>
              <w:spacing w:line="219" w:lineRule="atLeast"/>
              <w:ind w:left="100"/>
              <w:rPr>
                <w:color w:val="201F1E"/>
              </w:rPr>
            </w:pPr>
            <w:r w:rsidRPr="00515FB5">
              <w:rPr>
                <w:b/>
                <w:bCs/>
                <w:color w:val="000000"/>
                <w:bdr w:val="none" w:sz="0" w:space="0" w:color="auto" w:frame="1"/>
              </w:rPr>
              <w:t>Evidence-based program identified by the Department:</w:t>
            </w:r>
            <w:r w:rsidRPr="00515FB5">
              <w:rPr>
                <w:b/>
                <w:bCs/>
                <w:color w:val="201F1E"/>
                <w:bdr w:val="none" w:sz="0" w:space="0" w:color="auto" w:frame="1"/>
              </w:rPr>
              <w:t> </w:t>
            </w:r>
          </w:p>
        </w:tc>
        <w:tc>
          <w:tcPr>
            <w:tcW w:w="4500"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54BD42B0" w14:textId="77777777" w:rsidR="00C13F17" w:rsidRPr="00515FB5" w:rsidRDefault="00C13F17" w:rsidP="00973D78">
            <w:pPr>
              <w:spacing w:line="254" w:lineRule="atLeast"/>
              <w:rPr>
                <w:color w:val="201F1E"/>
              </w:rPr>
            </w:pPr>
            <w:r w:rsidRPr="00515FB5">
              <w:rPr>
                <w:color w:val="201F1E"/>
                <w:bdr w:val="none" w:sz="0" w:space="0" w:color="auto" w:frame="1"/>
              </w:rPr>
              <w:t xml:space="preserve"> Expand access to CTE</w:t>
            </w:r>
          </w:p>
        </w:tc>
      </w:tr>
      <w:tr w:rsidR="00C13F17" w:rsidRPr="00515FB5" w14:paraId="4562E137" w14:textId="77777777" w:rsidTr="00973D78">
        <w:trPr>
          <w:trHeight w:val="294"/>
        </w:trPr>
        <w:tc>
          <w:tcPr>
            <w:tcW w:w="5106" w:type="dxa"/>
            <w:gridSpan w:val="2"/>
            <w:tcBorders>
              <w:top w:val="nil"/>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p w14:paraId="4D948F8C" w14:textId="77777777" w:rsidR="00C13F17" w:rsidRPr="00515FB5" w:rsidRDefault="00C13F17" w:rsidP="00973D78">
            <w:pPr>
              <w:spacing w:line="254" w:lineRule="atLeast"/>
              <w:ind w:left="100"/>
              <w:rPr>
                <w:color w:val="201F1E"/>
              </w:rPr>
            </w:pPr>
            <w:r w:rsidRPr="00515FB5">
              <w:rPr>
                <w:b/>
                <w:bCs/>
                <w:color w:val="000000"/>
                <w:bdr w:val="none" w:sz="0" w:space="0" w:color="auto" w:frame="1"/>
              </w:rPr>
              <w:t>SOA program categories:</w:t>
            </w:r>
            <w:r w:rsidRPr="00515FB5">
              <w:rPr>
                <w:b/>
                <w:bCs/>
                <w:color w:val="201F1E"/>
                <w:bdr w:val="none" w:sz="0" w:space="0" w:color="auto" w:frame="1"/>
              </w:rPr>
              <w:t> </w:t>
            </w:r>
          </w:p>
        </w:tc>
        <w:tc>
          <w:tcPr>
            <w:tcW w:w="4500"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5753D017" w14:textId="77777777" w:rsidR="00C13F17" w:rsidRPr="00515FB5" w:rsidRDefault="00C13F17" w:rsidP="00973D78">
            <w:pPr>
              <w:spacing w:line="254" w:lineRule="atLeast"/>
              <w:rPr>
                <w:color w:val="201F1E"/>
              </w:rPr>
            </w:pPr>
            <w:r w:rsidRPr="00515FB5">
              <w:rPr>
                <w:color w:val="201F1E"/>
                <w:bdr w:val="none" w:sz="0" w:space="0" w:color="auto" w:frame="1"/>
              </w:rPr>
              <w:t>(I) Developing additional pathways to strengthen college and career readiness</w:t>
            </w:r>
          </w:p>
        </w:tc>
      </w:tr>
    </w:tbl>
    <w:p w14:paraId="7D66D32B" w14:textId="77777777" w:rsidR="00A6725C" w:rsidRDefault="00A6725C">
      <w:pPr>
        <w:spacing w:after="160" w:line="259" w:lineRule="auto"/>
        <w:rPr>
          <w:rFonts w:eastAsia="Calibri"/>
          <w:bCs/>
          <w:color w:val="2D74B5"/>
        </w:rPr>
      </w:pPr>
    </w:p>
    <w:p w14:paraId="6CC010CE" w14:textId="77777777" w:rsidR="0076100D" w:rsidRPr="00515FB5" w:rsidRDefault="0076100D" w:rsidP="0076100D">
      <w:pPr>
        <w:widowControl w:val="0"/>
        <w:autoSpaceDE w:val="0"/>
        <w:autoSpaceDN w:val="0"/>
        <w:spacing w:before="86"/>
        <w:ind w:left="107"/>
        <w:outlineLvl w:val="2"/>
        <w:rPr>
          <w:rFonts w:eastAsia="Calibri"/>
          <w:b/>
          <w:bCs/>
        </w:rPr>
      </w:pPr>
      <w:r w:rsidRPr="00515FB5">
        <w:rPr>
          <w:rFonts w:eastAsia="Calibri"/>
          <w:bCs/>
          <w:color w:val="2D74B5"/>
        </w:rPr>
        <w:t xml:space="preserve">→ </w:t>
      </w:r>
      <w:r w:rsidRPr="00515FB5">
        <w:rPr>
          <w:rFonts w:eastAsia="Calibri"/>
          <w:b/>
          <w:bCs/>
          <w:color w:val="2D74B5"/>
        </w:rPr>
        <w:t>Commitment 3: Monitoring Success with Outcome Metrics and Targets</w:t>
      </w:r>
    </w:p>
    <w:p w14:paraId="1F51962A" w14:textId="77777777" w:rsidR="0076100D" w:rsidRPr="00515FB5" w:rsidRDefault="0076100D" w:rsidP="0076100D">
      <w:pPr>
        <w:widowControl w:val="0"/>
        <w:autoSpaceDE w:val="0"/>
        <w:autoSpaceDN w:val="0"/>
        <w:spacing w:before="148"/>
        <w:ind w:left="107" w:right="358"/>
        <w:rPr>
          <w:rFonts w:eastAsia="Calibri"/>
          <w:i/>
          <w:color w:val="1F3863"/>
        </w:rPr>
      </w:pPr>
      <w:r w:rsidRPr="00515FB5">
        <w:rPr>
          <w:rFonts w:eastAsia="Calibri"/>
          <w:b/>
          <w:color w:val="1F3863"/>
        </w:rPr>
        <w:t>What metrics will your charter school use to monitor success in reducing disparities in achievement among student subgroups? Select from the list of</w:t>
      </w:r>
      <w:r w:rsidR="00CE204E" w:rsidRPr="00515FB5">
        <w:rPr>
          <w:rFonts w:eastAsia="Calibri"/>
          <w:b/>
          <w:color w:val="1F3863"/>
        </w:rPr>
        <w:t xml:space="preserve"> Department</w:t>
      </w:r>
      <w:r w:rsidRPr="00515FB5">
        <w:rPr>
          <w:rFonts w:eastAsia="Calibri"/>
          <w:b/>
          <w:color w:val="1F3863"/>
        </w:rPr>
        <w:t xml:space="preserve"> metrics or provide your own. </w:t>
      </w:r>
    </w:p>
    <w:p w14:paraId="17FA8F52" w14:textId="77777777" w:rsidR="00747F01" w:rsidRPr="00515FB5" w:rsidRDefault="0076100D" w:rsidP="00DB1415">
      <w:pPr>
        <w:widowControl w:val="0"/>
        <w:tabs>
          <w:tab w:val="left" w:pos="828"/>
          <w:tab w:val="left" w:pos="829"/>
        </w:tabs>
        <w:autoSpaceDE w:val="0"/>
        <w:autoSpaceDN w:val="0"/>
        <w:ind w:right="133"/>
        <w:rPr>
          <w:rFonts w:eastAsia="Calibri"/>
          <w:i/>
        </w:rPr>
      </w:pPr>
      <w:r w:rsidRPr="00747F01">
        <w:t xml:space="preserve"> </w:t>
      </w: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5"/>
        <w:gridCol w:w="5850"/>
      </w:tblGrid>
      <w:tr w:rsidR="00747F01" w:rsidRPr="00515FB5" w14:paraId="04A86869" w14:textId="77777777" w:rsidTr="00A6725C">
        <w:trPr>
          <w:trHeight w:hRule="exact" w:val="1990"/>
        </w:trPr>
        <w:tc>
          <w:tcPr>
            <w:tcW w:w="4025" w:type="dxa"/>
            <w:hideMark/>
          </w:tcPr>
          <w:p w14:paraId="0258E9E6" w14:textId="77777777" w:rsidR="00747F01" w:rsidRPr="00515FB5" w:rsidRDefault="00747F01" w:rsidP="00973D78">
            <w:pPr>
              <w:widowControl w:val="0"/>
              <w:numPr>
                <w:ilvl w:val="0"/>
                <w:numId w:val="1"/>
              </w:numPr>
              <w:tabs>
                <w:tab w:val="left" w:pos="442"/>
              </w:tabs>
              <w:autoSpaceDE w:val="0"/>
              <w:autoSpaceDN w:val="0"/>
              <w:spacing w:line="211" w:lineRule="exact"/>
              <w:ind w:hanging="241"/>
              <w:jc w:val="both"/>
              <w:rPr>
                <w:rFonts w:eastAsia="Arial"/>
                <w:b/>
              </w:rPr>
            </w:pPr>
            <w:r w:rsidRPr="00515FB5">
              <w:rPr>
                <w:rFonts w:eastAsia="Arial"/>
                <w:b/>
              </w:rPr>
              <w:t>Department outcome</w:t>
            </w:r>
            <w:r w:rsidRPr="00515FB5">
              <w:rPr>
                <w:rFonts w:eastAsia="Arial"/>
                <w:b/>
                <w:spacing w:val="-14"/>
              </w:rPr>
              <w:t xml:space="preserve"> </w:t>
            </w:r>
            <w:r w:rsidRPr="00515FB5">
              <w:rPr>
                <w:rFonts w:eastAsia="Arial"/>
                <w:b/>
              </w:rPr>
              <w:t>metrics:</w:t>
            </w:r>
          </w:p>
          <w:p w14:paraId="2811DD5F" w14:textId="77777777" w:rsidR="00747F01" w:rsidRPr="00515FB5" w:rsidRDefault="00747F01" w:rsidP="00973D78">
            <w:pPr>
              <w:widowControl w:val="0"/>
              <w:numPr>
                <w:ilvl w:val="1"/>
                <w:numId w:val="1"/>
              </w:numPr>
              <w:tabs>
                <w:tab w:val="left" w:pos="800"/>
              </w:tabs>
              <w:autoSpaceDE w:val="0"/>
              <w:autoSpaceDN w:val="0"/>
              <w:spacing w:line="269" w:lineRule="exact"/>
              <w:ind w:hanging="268"/>
              <w:rPr>
                <w:rFonts w:eastAsia="Arial"/>
              </w:rPr>
            </w:pPr>
            <w:r>
              <w:rPr>
                <w:rFonts w:eastAsia="Arial"/>
              </w:rPr>
              <w:t>Student Achievement</w:t>
            </w:r>
          </w:p>
          <w:p w14:paraId="50663D8F" w14:textId="77777777" w:rsidR="00747F01" w:rsidRPr="00515FB5" w:rsidRDefault="00747F01" w:rsidP="00973D78">
            <w:pPr>
              <w:widowControl w:val="0"/>
              <w:numPr>
                <w:ilvl w:val="1"/>
                <w:numId w:val="1"/>
              </w:numPr>
              <w:tabs>
                <w:tab w:val="left" w:pos="800"/>
              </w:tabs>
              <w:autoSpaceDE w:val="0"/>
              <w:autoSpaceDN w:val="0"/>
              <w:spacing w:line="269" w:lineRule="exact"/>
              <w:ind w:hanging="268"/>
              <w:rPr>
                <w:rFonts w:eastAsia="Arial"/>
              </w:rPr>
            </w:pPr>
            <w:r>
              <w:rPr>
                <w:rFonts w:eastAsia="Arial"/>
              </w:rPr>
              <w:t>Student Growth</w:t>
            </w:r>
          </w:p>
          <w:p w14:paraId="7D5482B1" w14:textId="77777777" w:rsidR="00747F01" w:rsidRPr="00515FB5" w:rsidRDefault="00747F01" w:rsidP="00973D78">
            <w:pPr>
              <w:widowControl w:val="0"/>
              <w:numPr>
                <w:ilvl w:val="1"/>
                <w:numId w:val="1"/>
              </w:numPr>
              <w:tabs>
                <w:tab w:val="left" w:pos="800"/>
              </w:tabs>
              <w:autoSpaceDE w:val="0"/>
              <w:autoSpaceDN w:val="0"/>
              <w:spacing w:line="269" w:lineRule="exact"/>
              <w:ind w:hanging="268"/>
              <w:rPr>
                <w:rFonts w:eastAsia="Arial"/>
              </w:rPr>
            </w:pPr>
            <w:r>
              <w:rPr>
                <w:rFonts w:eastAsia="Arial"/>
              </w:rPr>
              <w:t>Post-Secondary Success</w:t>
            </w:r>
          </w:p>
          <w:p w14:paraId="2E26C826" w14:textId="77777777" w:rsidR="00747F01" w:rsidRPr="00515FB5" w:rsidRDefault="00747F01" w:rsidP="00973D78">
            <w:pPr>
              <w:widowControl w:val="0"/>
              <w:autoSpaceDE w:val="0"/>
              <w:autoSpaceDN w:val="0"/>
              <w:spacing w:line="278" w:lineRule="exact"/>
              <w:ind w:left="531"/>
              <w:rPr>
                <w:rFonts w:eastAsia="Arial"/>
              </w:rPr>
            </w:pPr>
          </w:p>
        </w:tc>
        <w:tc>
          <w:tcPr>
            <w:tcW w:w="5850" w:type="dxa"/>
            <w:hideMark/>
          </w:tcPr>
          <w:p w14:paraId="20D9196C" w14:textId="77777777" w:rsidR="00747F01" w:rsidRPr="00747F01" w:rsidRDefault="00747F01" w:rsidP="00747F01">
            <w:pPr>
              <w:widowControl w:val="0"/>
              <w:autoSpaceDE w:val="0"/>
              <w:autoSpaceDN w:val="0"/>
              <w:spacing w:line="211" w:lineRule="exact"/>
              <w:rPr>
                <w:rFonts w:eastAsia="Arial"/>
                <w:b/>
              </w:rPr>
            </w:pPr>
            <w:r w:rsidRPr="00515FB5">
              <w:rPr>
                <w:rFonts w:eastAsia="Arial"/>
                <w:b/>
              </w:rPr>
              <w:t xml:space="preserve">    2) Custom metrics (must include targets as well):</w:t>
            </w:r>
          </w:p>
          <w:p w14:paraId="43B0FFE1" w14:textId="77777777" w:rsidR="00747F01" w:rsidRDefault="00747F01" w:rsidP="00973D78">
            <w:pPr>
              <w:widowControl w:val="0"/>
              <w:numPr>
                <w:ilvl w:val="1"/>
                <w:numId w:val="1"/>
              </w:numPr>
              <w:tabs>
                <w:tab w:val="left" w:pos="800"/>
              </w:tabs>
              <w:autoSpaceDE w:val="0"/>
              <w:autoSpaceDN w:val="0"/>
              <w:spacing w:line="269" w:lineRule="exact"/>
              <w:ind w:hanging="268"/>
              <w:rPr>
                <w:rFonts w:eastAsia="Arial"/>
              </w:rPr>
            </w:pPr>
            <w:r w:rsidRPr="00747F01">
              <w:rPr>
                <w:rFonts w:eastAsia="Arial"/>
              </w:rPr>
              <w:t>Establish Career-Technical Education and Work-Based Learning programming and increase 10% of students participating</w:t>
            </w:r>
          </w:p>
          <w:p w14:paraId="785524B0" w14:textId="77777777" w:rsidR="00747F01" w:rsidRPr="00515FB5" w:rsidRDefault="00747F01" w:rsidP="00973D78">
            <w:pPr>
              <w:widowControl w:val="0"/>
              <w:numPr>
                <w:ilvl w:val="1"/>
                <w:numId w:val="1"/>
              </w:numPr>
              <w:tabs>
                <w:tab w:val="left" w:pos="800"/>
              </w:tabs>
              <w:autoSpaceDE w:val="0"/>
              <w:autoSpaceDN w:val="0"/>
              <w:spacing w:line="269" w:lineRule="exact"/>
              <w:ind w:hanging="268"/>
              <w:rPr>
                <w:rFonts w:eastAsia="Arial"/>
              </w:rPr>
            </w:pPr>
            <w:r>
              <w:rPr>
                <w:rFonts w:eastAsia="Arial"/>
              </w:rPr>
              <w:t>Increase 10% of 11</w:t>
            </w:r>
            <w:r w:rsidRPr="00747F01">
              <w:rPr>
                <w:rFonts w:eastAsia="Arial"/>
                <w:vertAlign w:val="superscript"/>
              </w:rPr>
              <w:t>th</w:t>
            </w:r>
            <w:r>
              <w:rPr>
                <w:rFonts w:eastAsia="Arial"/>
              </w:rPr>
              <w:t xml:space="preserve"> and 12</w:t>
            </w:r>
            <w:r w:rsidRPr="00747F01">
              <w:rPr>
                <w:rFonts w:eastAsia="Arial"/>
                <w:vertAlign w:val="superscript"/>
              </w:rPr>
              <w:t>th</w:t>
            </w:r>
            <w:r>
              <w:rPr>
                <w:rFonts w:eastAsia="Arial"/>
              </w:rPr>
              <w:t xml:space="preserve"> grade students (total and by subgroup) completing dual enrollment coursework</w:t>
            </w:r>
          </w:p>
          <w:p w14:paraId="756D7EDA" w14:textId="77777777" w:rsidR="00747F01" w:rsidRPr="00515FB5" w:rsidRDefault="00747F01" w:rsidP="00973D78">
            <w:pPr>
              <w:widowControl w:val="0"/>
              <w:autoSpaceDE w:val="0"/>
              <w:autoSpaceDN w:val="0"/>
              <w:spacing w:line="264" w:lineRule="exact"/>
              <w:ind w:left="1177"/>
              <w:rPr>
                <w:rFonts w:eastAsia="Arial"/>
              </w:rPr>
            </w:pPr>
          </w:p>
        </w:tc>
      </w:tr>
    </w:tbl>
    <w:p w14:paraId="4BBA3752" w14:textId="77777777" w:rsidR="0076100D" w:rsidRPr="00515FB5" w:rsidRDefault="0076100D" w:rsidP="0076100D">
      <w:pPr>
        <w:widowControl w:val="0"/>
        <w:autoSpaceDE w:val="0"/>
        <w:autoSpaceDN w:val="0"/>
        <w:spacing w:before="12"/>
        <w:rPr>
          <w:rFonts w:eastAsia="Calibri"/>
          <w:i/>
        </w:rPr>
      </w:pPr>
    </w:p>
    <w:p w14:paraId="41E920F3" w14:textId="77777777" w:rsidR="0076100D" w:rsidRPr="00515FB5" w:rsidRDefault="0076100D" w:rsidP="0076100D">
      <w:pPr>
        <w:widowControl w:val="0"/>
        <w:autoSpaceDE w:val="0"/>
        <w:autoSpaceDN w:val="0"/>
        <w:ind w:left="107"/>
        <w:outlineLvl w:val="2"/>
        <w:rPr>
          <w:rFonts w:eastAsia="Calibri"/>
          <w:b/>
          <w:bCs/>
        </w:rPr>
      </w:pPr>
      <w:r w:rsidRPr="00515FB5">
        <w:rPr>
          <w:rFonts w:eastAsia="Calibri"/>
          <w:bCs/>
          <w:color w:val="2D74B5"/>
        </w:rPr>
        <w:t xml:space="preserve">→ </w:t>
      </w:r>
      <w:r w:rsidRPr="00515FB5">
        <w:rPr>
          <w:rFonts w:eastAsia="Calibri"/>
          <w:b/>
          <w:bCs/>
          <w:color w:val="2D74B5"/>
        </w:rPr>
        <w:t>Commitment 4: Engaging All Families</w:t>
      </w:r>
    </w:p>
    <w:p w14:paraId="27A1F427" w14:textId="77777777" w:rsidR="0076100D" w:rsidRPr="00515FB5" w:rsidRDefault="0076100D" w:rsidP="0076100D">
      <w:pPr>
        <w:widowControl w:val="0"/>
        <w:autoSpaceDE w:val="0"/>
        <w:autoSpaceDN w:val="0"/>
        <w:spacing w:before="73"/>
        <w:ind w:left="107" w:right="221"/>
        <w:outlineLvl w:val="5"/>
        <w:rPr>
          <w:rFonts w:eastAsia="Calibri"/>
          <w:b/>
          <w:bCs/>
        </w:rPr>
      </w:pPr>
      <w:r w:rsidRPr="00515FB5">
        <w:rPr>
          <w:rFonts w:eastAsia="Calibri"/>
          <w:b/>
          <w:bCs/>
          <w:color w:val="1F3863"/>
        </w:rPr>
        <w:t>How will your charter school ensure that all families, particularly those representing the student subgroups most in need of support, have the opportunity to meaningfully engage with the charter school regarding their students’ needs?</w:t>
      </w:r>
    </w:p>
    <w:p w14:paraId="0B2048E6" w14:textId="77777777" w:rsidR="0076100D" w:rsidRPr="00515FB5" w:rsidRDefault="0076100D" w:rsidP="0076100D">
      <w:pPr>
        <w:pStyle w:val="ListParagraph"/>
        <w:widowControl w:val="0"/>
        <w:numPr>
          <w:ilvl w:val="0"/>
          <w:numId w:val="2"/>
        </w:numPr>
        <w:tabs>
          <w:tab w:val="left" w:pos="828"/>
          <w:tab w:val="left" w:pos="829"/>
        </w:tabs>
        <w:autoSpaceDE w:val="0"/>
        <w:autoSpaceDN w:val="0"/>
        <w:spacing w:before="2" w:after="0"/>
        <w:ind w:hanging="360"/>
        <w:contextualSpacing w:val="0"/>
        <w:jc w:val="left"/>
        <w:rPr>
          <w:rFonts w:ascii="Times New Roman" w:hAnsi="Times New Roman"/>
        </w:rPr>
      </w:pPr>
      <w:r w:rsidRPr="00515FB5">
        <w:rPr>
          <w:rFonts w:ascii="Times New Roman" w:hAnsi="Times New Roman"/>
          <w:i/>
          <w:iCs/>
        </w:rPr>
        <w:t>[</w:t>
      </w:r>
      <w:r w:rsidR="009A4C78" w:rsidRPr="00515FB5">
        <w:rPr>
          <w:rFonts w:ascii="Times New Roman" w:hAnsi="Times New Roman"/>
          <w:i/>
          <w:iCs/>
        </w:rPr>
        <w:t xml:space="preserve">Use the prompts to answer the questions above. </w:t>
      </w:r>
      <w:r w:rsidRPr="00515FB5">
        <w:rPr>
          <w:rFonts w:ascii="Times New Roman" w:hAnsi="Times New Roman"/>
          <w:i/>
          <w:iCs/>
        </w:rPr>
        <w:t xml:space="preserve">Delete the prompts below before submission] </w:t>
      </w:r>
    </w:p>
    <w:p w14:paraId="70995307" w14:textId="77777777" w:rsidR="0076100D" w:rsidRPr="00515FB5" w:rsidRDefault="0076100D" w:rsidP="0076100D">
      <w:pPr>
        <w:pStyle w:val="ListParagraph"/>
        <w:widowControl w:val="0"/>
        <w:numPr>
          <w:ilvl w:val="0"/>
          <w:numId w:val="2"/>
        </w:numPr>
        <w:tabs>
          <w:tab w:val="left" w:pos="828"/>
          <w:tab w:val="left" w:pos="829"/>
        </w:tabs>
        <w:autoSpaceDE w:val="0"/>
        <w:autoSpaceDN w:val="0"/>
        <w:spacing w:before="1" w:after="0"/>
        <w:ind w:right="492" w:hanging="360"/>
        <w:contextualSpacing w:val="0"/>
        <w:jc w:val="left"/>
        <w:rPr>
          <w:rFonts w:ascii="Times New Roman" w:hAnsi="Times New Roman"/>
        </w:rPr>
      </w:pPr>
      <w:r w:rsidRPr="00515FB5">
        <w:rPr>
          <w:rFonts w:ascii="Times New Roman" w:hAnsi="Times New Roman"/>
        </w:rPr>
        <w:t>Describe your charter school’s ongoing plan for engaging families, including targeted strategies for families of</w:t>
      </w:r>
      <w:r w:rsidR="00181660" w:rsidRPr="00515FB5">
        <w:rPr>
          <w:rFonts w:ascii="Times New Roman" w:hAnsi="Times New Roman"/>
        </w:rPr>
        <w:t xml:space="preserve"> student groups identified for support (e.g. </w:t>
      </w:r>
      <w:r w:rsidRPr="00515FB5">
        <w:rPr>
          <w:rFonts w:ascii="Times New Roman" w:hAnsi="Times New Roman"/>
        </w:rPr>
        <w:t>low- income students, English learners, and students with disabilities</w:t>
      </w:r>
      <w:r w:rsidR="00181660" w:rsidRPr="00515FB5">
        <w:rPr>
          <w:rFonts w:ascii="Times New Roman" w:hAnsi="Times New Roman"/>
        </w:rPr>
        <w:t>).</w:t>
      </w:r>
      <w:r w:rsidRPr="00515FB5">
        <w:rPr>
          <w:rFonts w:ascii="Times New Roman" w:hAnsi="Times New Roman"/>
        </w:rPr>
        <w:t xml:space="preserve"> </w:t>
      </w:r>
    </w:p>
    <w:p w14:paraId="45132B94" w14:textId="77777777" w:rsidR="0076100D" w:rsidRPr="00515FB5" w:rsidRDefault="0076100D" w:rsidP="0076100D">
      <w:pPr>
        <w:pStyle w:val="ListParagraph"/>
        <w:widowControl w:val="0"/>
        <w:numPr>
          <w:ilvl w:val="0"/>
          <w:numId w:val="2"/>
        </w:numPr>
        <w:tabs>
          <w:tab w:val="left" w:pos="828"/>
          <w:tab w:val="left" w:pos="829"/>
        </w:tabs>
        <w:autoSpaceDE w:val="0"/>
        <w:autoSpaceDN w:val="0"/>
        <w:spacing w:after="0" w:line="255" w:lineRule="exact"/>
        <w:ind w:hanging="360"/>
        <w:contextualSpacing w:val="0"/>
        <w:jc w:val="left"/>
        <w:rPr>
          <w:rFonts w:ascii="Times New Roman" w:hAnsi="Times New Roman"/>
        </w:rPr>
      </w:pPr>
      <w:r w:rsidRPr="00515FB5">
        <w:rPr>
          <w:rFonts w:ascii="Times New Roman" w:hAnsi="Times New Roman"/>
        </w:rPr>
        <w:lastRenderedPageBreak/>
        <w:t>Explain how your charter school will measure increases in family engagement based on these</w:t>
      </w:r>
      <w:r w:rsidRPr="00515FB5">
        <w:rPr>
          <w:rFonts w:ascii="Times New Roman" w:hAnsi="Times New Roman"/>
          <w:spacing w:val="-27"/>
        </w:rPr>
        <w:t xml:space="preserve"> </w:t>
      </w:r>
      <w:r w:rsidRPr="00515FB5">
        <w:rPr>
          <w:rFonts w:ascii="Times New Roman" w:hAnsi="Times New Roman"/>
        </w:rPr>
        <w:t>efforts.</w:t>
      </w:r>
    </w:p>
    <w:p w14:paraId="0B7BA64F" w14:textId="77777777" w:rsidR="0076100D" w:rsidRPr="00515FB5" w:rsidRDefault="0076100D" w:rsidP="0076100D">
      <w:pPr>
        <w:widowControl w:val="0"/>
        <w:autoSpaceDE w:val="0"/>
        <w:autoSpaceDN w:val="0"/>
        <w:rPr>
          <w:rFonts w:eastAsia="Calibri"/>
          <w:b/>
        </w:rPr>
      </w:pPr>
    </w:p>
    <w:p w14:paraId="21A7DA80" w14:textId="77777777" w:rsidR="00951D7F" w:rsidRPr="00515FB5" w:rsidRDefault="00951D7F" w:rsidP="00951D7F">
      <w:pPr>
        <w:spacing w:line="324" w:lineRule="atLeast"/>
        <w:divId w:val="1322343745"/>
        <w:rPr>
          <w:rFonts w:eastAsiaTheme="minorEastAsia"/>
          <w:color w:val="000000"/>
        </w:rPr>
      </w:pPr>
      <w:r w:rsidRPr="00515FB5">
        <w:rPr>
          <w:rFonts w:eastAsiaTheme="minorEastAsia"/>
          <w:color w:val="000000"/>
        </w:rPr>
        <w:t>The Foxborough Regional Charter School (FRCS) commits itself to educating and supporting all students and implements general and specific programming to meet the needs of its diverse student population and their families.</w:t>
      </w:r>
    </w:p>
    <w:p w14:paraId="3F762403" w14:textId="77777777" w:rsidR="00951D7F" w:rsidRPr="00515FB5" w:rsidRDefault="00951D7F" w:rsidP="00951D7F">
      <w:pPr>
        <w:spacing w:line="324" w:lineRule="atLeast"/>
        <w:divId w:val="1322343745"/>
        <w:rPr>
          <w:rFonts w:eastAsiaTheme="minorEastAsia"/>
          <w:color w:val="000000"/>
        </w:rPr>
      </w:pPr>
      <w:r w:rsidRPr="00515FB5">
        <w:rPr>
          <w:rFonts w:eastAsiaTheme="minorEastAsia"/>
          <w:color w:val="000000"/>
        </w:rPr>
        <w:t>The following opportunities and practices are offered to parents/guardians to engage:</w:t>
      </w:r>
    </w:p>
    <w:p w14:paraId="325053D1" w14:textId="77777777" w:rsidR="00951D7F" w:rsidRPr="00515FB5" w:rsidRDefault="00951D7F" w:rsidP="00951D7F">
      <w:pPr>
        <w:ind w:hanging="270"/>
        <w:divId w:val="1318219907"/>
        <w:rPr>
          <w:color w:val="000000"/>
        </w:rPr>
      </w:pPr>
      <w:r w:rsidRPr="00515FB5">
        <w:rPr>
          <w:color w:val="000000"/>
        </w:rPr>
        <w:t></w:t>
      </w:r>
      <w:r w:rsidR="00151B4E">
        <w:rPr>
          <w:color w:val="000000"/>
        </w:rPr>
        <w:t xml:space="preserve"> </w:t>
      </w:r>
      <w:r w:rsidRPr="00515FB5">
        <w:rPr>
          <w:color w:val="000000"/>
        </w:rPr>
        <w:t>Communications: Weekly newsletters, information emails. Written communication is translated through our website to several languages.</w:t>
      </w:r>
    </w:p>
    <w:p w14:paraId="4EAC52C4" w14:textId="77777777" w:rsidR="00951D7F" w:rsidRPr="00515FB5" w:rsidRDefault="00951D7F" w:rsidP="00951D7F">
      <w:pPr>
        <w:ind w:hanging="270"/>
        <w:divId w:val="1924531756"/>
        <w:rPr>
          <w:color w:val="000000"/>
        </w:rPr>
      </w:pPr>
      <w:r w:rsidRPr="00515FB5">
        <w:rPr>
          <w:color w:val="000000"/>
        </w:rPr>
        <w:t></w:t>
      </w:r>
      <w:r w:rsidR="00151B4E">
        <w:rPr>
          <w:color w:val="000000"/>
        </w:rPr>
        <w:t xml:space="preserve"> </w:t>
      </w:r>
      <w:r w:rsidRPr="00515FB5">
        <w:rPr>
          <w:color w:val="000000"/>
        </w:rPr>
        <w:t>Events: Information session on Start of School, Back to School night, Math Night, Literacy night and Parent Teacher conferences.</w:t>
      </w:r>
    </w:p>
    <w:p w14:paraId="43EFFAE0" w14:textId="77777777" w:rsidR="00951D7F" w:rsidRPr="00515FB5" w:rsidRDefault="00951D7F" w:rsidP="00951D7F">
      <w:pPr>
        <w:ind w:hanging="270"/>
        <w:divId w:val="1394040290"/>
        <w:rPr>
          <w:color w:val="000000"/>
        </w:rPr>
      </w:pPr>
      <w:r w:rsidRPr="00515FB5">
        <w:rPr>
          <w:color w:val="000000"/>
        </w:rPr>
        <w:t></w:t>
      </w:r>
      <w:r w:rsidR="00151B4E">
        <w:rPr>
          <w:color w:val="000000"/>
        </w:rPr>
        <w:t xml:space="preserve"> </w:t>
      </w:r>
      <w:r w:rsidRPr="00515FB5">
        <w:rPr>
          <w:color w:val="000000"/>
        </w:rPr>
        <w:t>Volunteers: Parents are encouraged to join several volunteer programs to engage with other families and the school: Parent Ambassadors, Cultural Ambassadors and Parent organization (PIE).</w:t>
      </w:r>
    </w:p>
    <w:p w14:paraId="68783CC3" w14:textId="77777777" w:rsidR="00951D7F" w:rsidRPr="00515FB5" w:rsidRDefault="00951D7F" w:rsidP="00951D7F">
      <w:pPr>
        <w:ind w:hanging="270"/>
        <w:divId w:val="1142040890"/>
        <w:rPr>
          <w:color w:val="000000"/>
        </w:rPr>
      </w:pPr>
      <w:r w:rsidRPr="00515FB5">
        <w:rPr>
          <w:color w:val="000000"/>
        </w:rPr>
        <w:t></w:t>
      </w:r>
      <w:r w:rsidR="00151B4E">
        <w:rPr>
          <w:color w:val="000000"/>
        </w:rPr>
        <w:t xml:space="preserve"> </w:t>
      </w:r>
      <w:r w:rsidRPr="00515FB5">
        <w:rPr>
          <w:color w:val="000000"/>
        </w:rPr>
        <w:t>Community Interpreters are provided through the family engagement office to facilitate the communication between the teachers and parents who are not fluent in English.</w:t>
      </w:r>
    </w:p>
    <w:p w14:paraId="67BFF96D" w14:textId="77777777" w:rsidR="00951D7F" w:rsidRPr="00515FB5" w:rsidRDefault="00951D7F" w:rsidP="00951D7F">
      <w:pPr>
        <w:ind w:hanging="270"/>
        <w:divId w:val="576937289"/>
        <w:rPr>
          <w:color w:val="000000"/>
        </w:rPr>
      </w:pPr>
      <w:r w:rsidRPr="00515FB5">
        <w:rPr>
          <w:color w:val="000000"/>
        </w:rPr>
        <w:t></w:t>
      </w:r>
      <w:r w:rsidR="00151B4E">
        <w:rPr>
          <w:color w:val="000000"/>
        </w:rPr>
        <w:t xml:space="preserve"> </w:t>
      </w:r>
      <w:r w:rsidRPr="00515FB5">
        <w:rPr>
          <w:color w:val="000000"/>
        </w:rPr>
        <w:t>Special Education Parent Advisory Committee encourages parents of special education students to engage with other parents and the school and advocate for their students.</w:t>
      </w:r>
    </w:p>
    <w:p w14:paraId="4AD0BCB7" w14:textId="77777777" w:rsidR="00951D7F" w:rsidRPr="00515FB5" w:rsidRDefault="00951D7F" w:rsidP="00951D7F">
      <w:pPr>
        <w:ind w:hanging="270"/>
        <w:divId w:val="1576626100"/>
        <w:rPr>
          <w:color w:val="000000"/>
        </w:rPr>
      </w:pPr>
      <w:r w:rsidRPr="00515FB5">
        <w:rPr>
          <w:color w:val="000000"/>
        </w:rPr>
        <w:t></w:t>
      </w:r>
      <w:r w:rsidR="00151B4E">
        <w:rPr>
          <w:color w:val="000000"/>
        </w:rPr>
        <w:t xml:space="preserve"> </w:t>
      </w:r>
      <w:r w:rsidRPr="00515FB5">
        <w:rPr>
          <w:color w:val="000000"/>
        </w:rPr>
        <w:t>Parent surveys are sent out for Family Engagement purposes and planning purposes for the following school year.</w:t>
      </w:r>
    </w:p>
    <w:p w14:paraId="44E48475" w14:textId="77777777" w:rsidR="00951D7F" w:rsidRPr="00515FB5" w:rsidRDefault="00951D7F" w:rsidP="00951D7F">
      <w:pPr>
        <w:ind w:hanging="270"/>
        <w:divId w:val="369502349"/>
        <w:rPr>
          <w:color w:val="000000"/>
        </w:rPr>
      </w:pPr>
      <w:r w:rsidRPr="00515FB5">
        <w:rPr>
          <w:color w:val="000000"/>
        </w:rPr>
        <w:t></w:t>
      </w:r>
      <w:r w:rsidR="00151B4E">
        <w:rPr>
          <w:color w:val="000000"/>
        </w:rPr>
        <w:t xml:space="preserve"> </w:t>
      </w:r>
      <w:r w:rsidRPr="00515FB5">
        <w:rPr>
          <w:color w:val="000000"/>
        </w:rPr>
        <w:t>Parent Advisory Group – FRCS is looking to create an advisory group that will engage parents and faculty to communicate with each.</w:t>
      </w:r>
    </w:p>
    <w:p w14:paraId="0DBA5D64" w14:textId="77777777" w:rsidR="00951D7F" w:rsidRPr="00515FB5" w:rsidRDefault="00951D7F" w:rsidP="00951D7F">
      <w:pPr>
        <w:spacing w:line="324" w:lineRule="atLeast"/>
        <w:divId w:val="1322343745"/>
        <w:rPr>
          <w:rFonts w:eastAsiaTheme="minorEastAsia"/>
          <w:color w:val="000000"/>
        </w:rPr>
      </w:pPr>
      <w:r w:rsidRPr="00515FB5">
        <w:rPr>
          <w:rFonts w:eastAsiaTheme="minorEastAsia"/>
          <w:color w:val="000000"/>
        </w:rPr>
        <w:t> </w:t>
      </w:r>
    </w:p>
    <w:p w14:paraId="419D737C" w14:textId="77777777" w:rsidR="00951D7F" w:rsidRPr="00515FB5" w:rsidRDefault="00951D7F" w:rsidP="00951D7F">
      <w:pPr>
        <w:spacing w:line="324" w:lineRule="atLeast"/>
        <w:divId w:val="1322343745"/>
        <w:rPr>
          <w:rFonts w:eastAsiaTheme="minorEastAsia"/>
          <w:color w:val="000000"/>
        </w:rPr>
      </w:pPr>
      <w:r w:rsidRPr="00515FB5">
        <w:rPr>
          <w:rFonts w:eastAsiaTheme="minorEastAsia"/>
          <w:color w:val="000000"/>
        </w:rPr>
        <w:t>The Foxborough Charter School will measure the increase in family engagement based on participation. The participation rate will indicate the success of a particular program or event.</w:t>
      </w:r>
    </w:p>
    <w:p w14:paraId="506431B0" w14:textId="77777777" w:rsidR="00FD5CE8" w:rsidRDefault="00FD5CE8" w:rsidP="00FD5CE8">
      <w:pPr>
        <w:spacing w:after="160" w:line="259" w:lineRule="auto"/>
        <w:rPr>
          <w:rFonts w:eastAsia="Calibri"/>
          <w:b/>
          <w:bCs/>
          <w:color w:val="2D74B5"/>
        </w:rPr>
      </w:pPr>
    </w:p>
    <w:p w14:paraId="2ED31E61" w14:textId="77777777" w:rsidR="0076100D" w:rsidRPr="00FD5CE8" w:rsidRDefault="0076100D" w:rsidP="00FD5CE8">
      <w:pPr>
        <w:spacing w:after="160" w:line="259" w:lineRule="auto"/>
        <w:rPr>
          <w:rFonts w:eastAsia="Calibri"/>
          <w:b/>
          <w:bCs/>
          <w:color w:val="2D74B5"/>
        </w:rPr>
      </w:pPr>
      <w:r w:rsidRPr="00515FB5">
        <w:rPr>
          <w:rFonts w:eastAsia="Calibri"/>
          <w:b/>
          <w:bCs/>
          <w:color w:val="2D74B5"/>
        </w:rPr>
        <w:t>Certifications:</w:t>
      </w:r>
    </w:p>
    <w:p w14:paraId="74414939" w14:textId="77777777" w:rsidR="0076100D" w:rsidRPr="00515FB5" w:rsidRDefault="00B1347C" w:rsidP="0076100D">
      <w:pPr>
        <w:widowControl w:val="0"/>
        <w:tabs>
          <w:tab w:val="left" w:pos="466"/>
        </w:tabs>
        <w:autoSpaceDE w:val="0"/>
        <w:autoSpaceDN w:val="0"/>
        <w:spacing w:before="114"/>
        <w:ind w:left="108" w:right="467"/>
        <w:outlineLvl w:val="6"/>
        <w:rPr>
          <w:rFonts w:eastAsia="Calibri"/>
          <w:b/>
          <w:bCs/>
        </w:rPr>
      </w:pPr>
      <w:sdt>
        <w:sdtPr>
          <w:rPr>
            <w:rFonts w:eastAsia="Calibri"/>
            <w:b/>
            <w:bCs/>
            <w:color w:val="1F3863"/>
          </w:rPr>
          <w:id w:val="1340269586"/>
          <w14:checkbox>
            <w14:checked w14:val="1"/>
            <w14:checkedState w14:val="2612" w14:font="MS Gothic"/>
            <w14:uncheckedState w14:val="2610" w14:font="MS Gothic"/>
          </w14:checkbox>
        </w:sdtPr>
        <w:sdtEndPr/>
        <w:sdtContent>
          <w:r w:rsidR="00FD5CE8">
            <w:rPr>
              <w:rFonts w:ascii="MS Gothic" w:eastAsia="MS Gothic" w:hAnsi="MS Gothic" w:hint="eastAsia"/>
              <w:b/>
              <w:bCs/>
              <w:color w:val="1F3863"/>
            </w:rPr>
            <w:t>☒</w:t>
          </w:r>
        </w:sdtContent>
      </w:sdt>
      <w:r w:rsidR="0076100D" w:rsidRPr="00515FB5">
        <w:rPr>
          <w:rFonts w:eastAsia="Calibri"/>
          <w:b/>
          <w:bCs/>
          <w:color w:val="1F3863"/>
        </w:rPr>
        <w:t xml:space="preserve">  By</w:t>
      </w:r>
      <w:r w:rsidR="0076100D" w:rsidRPr="00515FB5">
        <w:rPr>
          <w:rFonts w:eastAsia="Calibri"/>
          <w:b/>
          <w:bCs/>
          <w:color w:val="1F3863"/>
          <w:spacing w:val="-4"/>
        </w:rPr>
        <w:t xml:space="preserve"> </w:t>
      </w:r>
      <w:r w:rsidR="0076100D" w:rsidRPr="00515FB5">
        <w:rPr>
          <w:rFonts w:eastAsia="Calibri"/>
          <w:b/>
          <w:bCs/>
          <w:color w:val="1F3863"/>
        </w:rPr>
        <w:t>checking</w:t>
      </w:r>
      <w:r w:rsidR="0076100D" w:rsidRPr="00515FB5">
        <w:rPr>
          <w:rFonts w:eastAsia="Calibri"/>
          <w:b/>
          <w:bCs/>
          <w:color w:val="1F3863"/>
          <w:spacing w:val="1"/>
        </w:rPr>
        <w:t xml:space="preserve"> </w:t>
      </w:r>
      <w:r w:rsidR="0076100D" w:rsidRPr="00515FB5">
        <w:rPr>
          <w:rFonts w:eastAsia="Calibri"/>
          <w:b/>
          <w:bCs/>
          <w:color w:val="1F3863"/>
        </w:rPr>
        <w:t>here,</w:t>
      </w:r>
      <w:r w:rsidR="0076100D" w:rsidRPr="00515FB5">
        <w:rPr>
          <w:rFonts w:eastAsia="Calibri"/>
          <w:b/>
          <w:bCs/>
          <w:color w:val="1F3863"/>
          <w:spacing w:val="-4"/>
        </w:rPr>
        <w:t xml:space="preserve"> </w:t>
      </w:r>
      <w:r w:rsidR="0076100D" w:rsidRPr="00515FB5">
        <w:rPr>
          <w:rFonts w:eastAsia="Calibri"/>
          <w:b/>
          <w:bCs/>
          <w:color w:val="1F3863"/>
        </w:rPr>
        <w:t>I</w:t>
      </w:r>
      <w:r w:rsidR="0076100D" w:rsidRPr="00515FB5">
        <w:rPr>
          <w:rFonts w:eastAsia="Calibri"/>
          <w:b/>
          <w:bCs/>
          <w:color w:val="1F3863"/>
          <w:spacing w:val="-1"/>
        </w:rPr>
        <w:t xml:space="preserve"> </w:t>
      </w:r>
      <w:r w:rsidR="0076100D" w:rsidRPr="00515FB5">
        <w:rPr>
          <w:rFonts w:eastAsia="Calibri"/>
          <w:b/>
          <w:bCs/>
          <w:color w:val="1F3863"/>
        </w:rPr>
        <w:t>certify</w:t>
      </w:r>
      <w:r w:rsidR="0076100D" w:rsidRPr="00515FB5">
        <w:rPr>
          <w:rFonts w:eastAsia="Calibri"/>
          <w:b/>
          <w:bCs/>
          <w:color w:val="1F3863"/>
          <w:spacing w:val="-4"/>
        </w:rPr>
        <w:t xml:space="preserve"> </w:t>
      </w:r>
      <w:r w:rsidR="0076100D" w:rsidRPr="00515FB5">
        <w:rPr>
          <w:rFonts w:eastAsia="Calibri"/>
          <w:b/>
          <w:bCs/>
          <w:color w:val="1F3863"/>
        </w:rPr>
        <w:t>that</w:t>
      </w:r>
      <w:r w:rsidR="0076100D" w:rsidRPr="00515FB5">
        <w:rPr>
          <w:rFonts w:eastAsia="Calibri"/>
          <w:b/>
          <w:bCs/>
          <w:color w:val="1F3863"/>
          <w:spacing w:val="-2"/>
        </w:rPr>
        <w:t xml:space="preserve"> </w:t>
      </w:r>
      <w:r w:rsidR="0076100D" w:rsidRPr="00515FB5">
        <w:rPr>
          <w:rFonts w:eastAsia="Calibri"/>
          <w:b/>
          <w:bCs/>
          <w:color w:val="1F3863"/>
        </w:rPr>
        <w:t>our</w:t>
      </w:r>
      <w:r w:rsidR="0076100D" w:rsidRPr="00515FB5">
        <w:rPr>
          <w:rFonts w:eastAsia="Calibri"/>
          <w:b/>
          <w:bCs/>
          <w:color w:val="1F3863"/>
          <w:spacing w:val="-2"/>
        </w:rPr>
        <w:t xml:space="preserve"> </w:t>
      </w:r>
      <w:r w:rsidR="0076100D" w:rsidRPr="00515FB5">
        <w:rPr>
          <w:rFonts w:eastAsia="Calibri"/>
          <w:b/>
          <w:bCs/>
          <w:color w:val="1F3863"/>
        </w:rPr>
        <w:t>charter school</w:t>
      </w:r>
      <w:r w:rsidR="0076100D" w:rsidRPr="00515FB5">
        <w:rPr>
          <w:rFonts w:eastAsia="Calibri"/>
          <w:b/>
          <w:bCs/>
          <w:color w:val="1F3863"/>
          <w:spacing w:val="-2"/>
        </w:rPr>
        <w:t xml:space="preserve"> </w:t>
      </w:r>
      <w:r w:rsidR="0076100D" w:rsidRPr="00515FB5">
        <w:rPr>
          <w:rFonts w:eastAsia="Calibri"/>
          <w:b/>
          <w:bCs/>
          <w:color w:val="1F3863"/>
        </w:rPr>
        <w:t>has</w:t>
      </w:r>
      <w:r w:rsidR="0076100D" w:rsidRPr="00515FB5">
        <w:rPr>
          <w:rFonts w:eastAsia="Calibri"/>
          <w:b/>
          <w:bCs/>
          <w:color w:val="1F3863"/>
          <w:spacing w:val="-2"/>
        </w:rPr>
        <w:t xml:space="preserve"> </w:t>
      </w:r>
      <w:r w:rsidR="0076100D" w:rsidRPr="00515FB5">
        <w:rPr>
          <w:rFonts w:eastAsia="Calibri"/>
          <w:b/>
          <w:bCs/>
          <w:color w:val="1F3863"/>
        </w:rPr>
        <w:t>engaged</w:t>
      </w:r>
      <w:r w:rsidR="0076100D" w:rsidRPr="00515FB5">
        <w:rPr>
          <w:rFonts w:eastAsia="Calibri"/>
          <w:b/>
          <w:bCs/>
          <w:color w:val="1F3863"/>
          <w:spacing w:val="-3"/>
        </w:rPr>
        <w:t xml:space="preserve"> </w:t>
      </w:r>
      <w:r w:rsidR="0076100D" w:rsidRPr="00515FB5">
        <w:rPr>
          <w:rFonts w:eastAsia="Calibri"/>
          <w:b/>
          <w:bCs/>
          <w:color w:val="1F3863"/>
        </w:rPr>
        <w:t>stakeholders</w:t>
      </w:r>
      <w:r w:rsidR="0076100D" w:rsidRPr="00515FB5">
        <w:rPr>
          <w:rFonts w:eastAsia="Calibri"/>
          <w:b/>
          <w:bCs/>
          <w:color w:val="1F3863"/>
          <w:spacing w:val="-4"/>
        </w:rPr>
        <w:t xml:space="preserve"> </w:t>
      </w:r>
      <w:r w:rsidR="0076100D" w:rsidRPr="00515FB5">
        <w:rPr>
          <w:rFonts w:eastAsia="Calibri"/>
          <w:b/>
          <w:bCs/>
          <w:color w:val="1F3863"/>
        </w:rPr>
        <w:t>in</w:t>
      </w:r>
      <w:r w:rsidR="0076100D" w:rsidRPr="00515FB5">
        <w:rPr>
          <w:rFonts w:eastAsia="Calibri"/>
          <w:b/>
          <w:bCs/>
          <w:color w:val="1F3863"/>
          <w:spacing w:val="-3"/>
        </w:rPr>
        <w:t xml:space="preserve"> </w:t>
      </w:r>
      <w:r w:rsidR="0076100D" w:rsidRPr="00515FB5">
        <w:rPr>
          <w:rFonts w:eastAsia="Calibri"/>
          <w:b/>
          <w:bCs/>
          <w:color w:val="1F3863"/>
        </w:rPr>
        <w:t>our</w:t>
      </w:r>
      <w:r w:rsidR="0076100D" w:rsidRPr="00515FB5">
        <w:rPr>
          <w:rFonts w:eastAsia="Calibri"/>
          <w:b/>
          <w:bCs/>
          <w:color w:val="1F3863"/>
          <w:spacing w:val="-6"/>
        </w:rPr>
        <w:t xml:space="preserve"> </w:t>
      </w:r>
      <w:r w:rsidR="0076100D" w:rsidRPr="00515FB5">
        <w:rPr>
          <w:rFonts w:eastAsia="Calibri"/>
          <w:b/>
          <w:bCs/>
          <w:color w:val="1F3863"/>
        </w:rPr>
        <w:t>community</w:t>
      </w:r>
      <w:r w:rsidR="0076100D" w:rsidRPr="00515FB5">
        <w:rPr>
          <w:rFonts w:eastAsia="Calibri"/>
          <w:b/>
          <w:bCs/>
          <w:color w:val="1F3863"/>
          <w:spacing w:val="-2"/>
        </w:rPr>
        <w:t xml:space="preserve"> </w:t>
      </w:r>
      <w:r w:rsidR="0076100D" w:rsidRPr="00515FB5">
        <w:rPr>
          <w:rFonts w:eastAsia="Calibri"/>
          <w:b/>
          <w:bCs/>
          <w:color w:val="1F3863"/>
        </w:rPr>
        <w:t>in</w:t>
      </w:r>
      <w:r w:rsidR="0076100D" w:rsidRPr="00515FB5">
        <w:rPr>
          <w:rFonts w:eastAsia="Calibri"/>
          <w:b/>
          <w:bCs/>
          <w:color w:val="1F3863"/>
          <w:spacing w:val="-6"/>
        </w:rPr>
        <w:t xml:space="preserve"> </w:t>
      </w:r>
      <w:r w:rsidR="0076100D" w:rsidRPr="00515FB5">
        <w:rPr>
          <w:rFonts w:eastAsia="Calibri"/>
          <w:b/>
          <w:bCs/>
          <w:color w:val="1F3863"/>
        </w:rPr>
        <w:t>accordance</w:t>
      </w:r>
      <w:r w:rsidR="0076100D" w:rsidRPr="00515FB5">
        <w:rPr>
          <w:rFonts w:eastAsia="Calibri"/>
          <w:b/>
          <w:bCs/>
          <w:color w:val="1F3863"/>
          <w:spacing w:val="-3"/>
        </w:rPr>
        <w:t xml:space="preserve"> </w:t>
      </w:r>
      <w:r w:rsidR="0076100D" w:rsidRPr="00515FB5">
        <w:rPr>
          <w:rFonts w:eastAsia="Calibri"/>
          <w:b/>
          <w:bCs/>
          <w:color w:val="1F3863"/>
        </w:rPr>
        <w:t>with</w:t>
      </w:r>
      <w:r w:rsidR="0076100D" w:rsidRPr="00515FB5">
        <w:rPr>
          <w:rFonts w:eastAsia="Calibri"/>
          <w:b/>
          <w:bCs/>
          <w:color w:val="1F3863"/>
          <w:spacing w:val="-5"/>
        </w:rPr>
        <w:t xml:space="preserve"> </w:t>
      </w:r>
      <w:r w:rsidR="0076100D" w:rsidRPr="00515FB5">
        <w:rPr>
          <w:rFonts w:eastAsia="Calibri"/>
          <w:b/>
          <w:bCs/>
          <w:color w:val="1F3863"/>
        </w:rPr>
        <w:t>the Student Opportunity</w:t>
      </w:r>
      <w:r w:rsidR="0076100D" w:rsidRPr="00515FB5">
        <w:rPr>
          <w:rFonts w:eastAsia="Calibri"/>
          <w:b/>
          <w:bCs/>
          <w:color w:val="1F3863"/>
          <w:spacing w:val="-8"/>
        </w:rPr>
        <w:t xml:space="preserve"> </w:t>
      </w:r>
      <w:r w:rsidR="0076100D" w:rsidRPr="00515FB5">
        <w:rPr>
          <w:rFonts w:eastAsia="Calibri"/>
          <w:b/>
          <w:bCs/>
          <w:color w:val="1F3863"/>
        </w:rPr>
        <w:t>Act</w:t>
      </w:r>
    </w:p>
    <w:p w14:paraId="07A315AF" w14:textId="77777777" w:rsidR="0076100D" w:rsidRPr="00515FB5" w:rsidRDefault="0076100D" w:rsidP="0076100D">
      <w:pPr>
        <w:widowControl w:val="0"/>
        <w:autoSpaceDE w:val="0"/>
        <w:autoSpaceDN w:val="0"/>
        <w:spacing w:before="194"/>
        <w:ind w:left="107"/>
        <w:rPr>
          <w:rFonts w:eastAsia="Calibri"/>
          <w:b/>
        </w:rPr>
      </w:pPr>
      <w:r w:rsidRPr="00515FB5">
        <w:rPr>
          <w:rFonts w:eastAsia="Calibri"/>
          <w:b/>
          <w:color w:val="1F3863"/>
        </w:rPr>
        <w:t>Please summarize your stakeholder engagement process, including specific groups that were engaged:</w:t>
      </w:r>
    </w:p>
    <w:p w14:paraId="1683855C" w14:textId="77777777" w:rsidR="0076100D" w:rsidRPr="00515FB5" w:rsidRDefault="0076100D" w:rsidP="0076100D">
      <w:pPr>
        <w:widowControl w:val="0"/>
        <w:autoSpaceDE w:val="0"/>
        <w:autoSpaceDN w:val="0"/>
        <w:rPr>
          <w:rFonts w:eastAsia="Calibri"/>
        </w:rPr>
      </w:pPr>
    </w:p>
    <w:p w14:paraId="4E9FE965" w14:textId="77777777" w:rsidR="0076100D" w:rsidRPr="00515FB5" w:rsidRDefault="007279BA" w:rsidP="0076100D">
      <w:pPr>
        <w:widowControl w:val="0"/>
        <w:autoSpaceDE w:val="0"/>
        <w:autoSpaceDN w:val="0"/>
        <w:rPr>
          <w:rFonts w:eastAsia="Calibri"/>
        </w:rPr>
      </w:pPr>
      <w:r>
        <w:rPr>
          <w:rFonts w:eastAsia="Calibri"/>
        </w:rPr>
        <w:t>We engaged teachers, administrators,</w:t>
      </w:r>
      <w:r w:rsidR="008E7AFE">
        <w:rPr>
          <w:rFonts w:eastAsia="Calibri"/>
        </w:rPr>
        <w:t xml:space="preserve"> school families and students to determine needs.  Their feedback was synthesized to create our Student Opportunity Act Plan</w:t>
      </w:r>
      <w:r>
        <w:rPr>
          <w:rFonts w:eastAsia="Calibri"/>
        </w:rPr>
        <w:t>.</w:t>
      </w:r>
    </w:p>
    <w:p w14:paraId="67C9B2C3" w14:textId="77777777" w:rsidR="0076100D" w:rsidRPr="00515FB5" w:rsidRDefault="0076100D" w:rsidP="0076100D">
      <w:pPr>
        <w:widowControl w:val="0"/>
        <w:autoSpaceDE w:val="0"/>
        <w:autoSpaceDN w:val="0"/>
        <w:spacing w:before="4"/>
        <w:rPr>
          <w:rFonts w:eastAsia="Calibri"/>
        </w:rPr>
      </w:pPr>
    </w:p>
    <w:p w14:paraId="3FDBD255" w14:textId="3D2F4C2F" w:rsidR="0076100D" w:rsidRPr="00515FB5" w:rsidRDefault="00B1347C" w:rsidP="0076100D">
      <w:pPr>
        <w:widowControl w:val="0"/>
        <w:tabs>
          <w:tab w:val="left" w:pos="476"/>
        </w:tabs>
        <w:autoSpaceDE w:val="0"/>
        <w:autoSpaceDN w:val="0"/>
        <w:spacing w:before="1"/>
        <w:outlineLvl w:val="6"/>
        <w:rPr>
          <w:rFonts w:eastAsia="Calibri"/>
          <w:b/>
          <w:bCs/>
          <w:color w:val="1F3863"/>
        </w:rPr>
      </w:pPr>
      <w:sdt>
        <w:sdtPr>
          <w:rPr>
            <w:rFonts w:eastAsia="Calibri"/>
            <w:b/>
            <w:bCs/>
            <w:color w:val="1F3863"/>
          </w:rPr>
          <w:id w:val="-2100400922"/>
          <w14:checkbox>
            <w14:checked w14:val="1"/>
            <w14:checkedState w14:val="2612" w14:font="MS Gothic"/>
            <w14:uncheckedState w14:val="2610" w14:font="MS Gothic"/>
          </w14:checkbox>
        </w:sdtPr>
        <w:sdtEndPr/>
        <w:sdtContent>
          <w:r w:rsidR="00F47827">
            <w:rPr>
              <w:rFonts w:ascii="MS Gothic" w:eastAsia="MS Gothic" w:hAnsi="MS Gothic" w:hint="eastAsia"/>
              <w:b/>
              <w:bCs/>
              <w:color w:val="1F3863"/>
            </w:rPr>
            <w:t>☒</w:t>
          </w:r>
        </w:sdtContent>
      </w:sdt>
      <w:r w:rsidR="0076100D" w:rsidRPr="00515FB5">
        <w:rPr>
          <w:rFonts w:eastAsia="Calibri"/>
          <w:b/>
          <w:bCs/>
          <w:color w:val="1F3863"/>
        </w:rPr>
        <w:t xml:space="preserve">  By</w:t>
      </w:r>
      <w:r w:rsidR="0076100D" w:rsidRPr="00515FB5">
        <w:rPr>
          <w:rFonts w:eastAsia="Calibri"/>
          <w:b/>
          <w:bCs/>
          <w:color w:val="1F3863"/>
          <w:spacing w:val="-4"/>
        </w:rPr>
        <w:t xml:space="preserve"> </w:t>
      </w:r>
      <w:r w:rsidR="0076100D" w:rsidRPr="00515FB5">
        <w:rPr>
          <w:rFonts w:eastAsia="Calibri"/>
          <w:b/>
          <w:bCs/>
          <w:color w:val="1F3863"/>
        </w:rPr>
        <w:t>checking</w:t>
      </w:r>
      <w:r w:rsidR="0076100D" w:rsidRPr="00515FB5">
        <w:rPr>
          <w:rFonts w:eastAsia="Calibri"/>
          <w:b/>
          <w:bCs/>
          <w:color w:val="1F3863"/>
          <w:spacing w:val="-4"/>
        </w:rPr>
        <w:t xml:space="preserve"> </w:t>
      </w:r>
      <w:r w:rsidR="0076100D" w:rsidRPr="00515FB5">
        <w:rPr>
          <w:rFonts w:eastAsia="Calibri"/>
          <w:b/>
          <w:bCs/>
          <w:color w:val="1F3863"/>
        </w:rPr>
        <w:t>here,</w:t>
      </w:r>
      <w:r w:rsidR="0076100D" w:rsidRPr="00515FB5">
        <w:rPr>
          <w:rFonts w:eastAsia="Calibri"/>
          <w:b/>
          <w:bCs/>
          <w:color w:val="1F3863"/>
          <w:spacing w:val="-4"/>
        </w:rPr>
        <w:t xml:space="preserve"> </w:t>
      </w:r>
      <w:r w:rsidR="0076100D" w:rsidRPr="00515FB5">
        <w:rPr>
          <w:rFonts w:eastAsia="Calibri"/>
          <w:b/>
          <w:bCs/>
          <w:color w:val="1F3863"/>
        </w:rPr>
        <w:t>I</w:t>
      </w:r>
      <w:r w:rsidR="0076100D" w:rsidRPr="00515FB5">
        <w:rPr>
          <w:rFonts w:eastAsia="Calibri"/>
          <w:b/>
          <w:bCs/>
          <w:color w:val="1F3863"/>
          <w:spacing w:val="-3"/>
        </w:rPr>
        <w:t xml:space="preserve"> </w:t>
      </w:r>
      <w:r w:rsidR="0076100D" w:rsidRPr="00515FB5">
        <w:rPr>
          <w:rFonts w:eastAsia="Calibri"/>
          <w:b/>
          <w:bCs/>
          <w:color w:val="1F3863"/>
        </w:rPr>
        <w:t>certify</w:t>
      </w:r>
      <w:r w:rsidR="0076100D" w:rsidRPr="00515FB5">
        <w:rPr>
          <w:rFonts w:eastAsia="Calibri"/>
          <w:b/>
          <w:bCs/>
          <w:color w:val="1F3863"/>
          <w:spacing w:val="-4"/>
        </w:rPr>
        <w:t xml:space="preserve"> </w:t>
      </w:r>
      <w:r w:rsidR="0076100D" w:rsidRPr="00515FB5">
        <w:rPr>
          <w:rFonts w:eastAsia="Calibri"/>
          <w:b/>
          <w:bCs/>
          <w:color w:val="1F3863"/>
        </w:rPr>
        <w:t>that</w:t>
      </w:r>
      <w:r w:rsidR="0076100D" w:rsidRPr="00515FB5">
        <w:rPr>
          <w:rFonts w:eastAsia="Calibri"/>
          <w:b/>
          <w:bCs/>
          <w:color w:val="1F3863"/>
          <w:spacing w:val="-2"/>
        </w:rPr>
        <w:t xml:space="preserve"> </w:t>
      </w:r>
      <w:r w:rsidR="007279BA">
        <w:rPr>
          <w:rFonts w:eastAsia="Calibri"/>
          <w:b/>
          <w:bCs/>
          <w:color w:val="1F3863"/>
        </w:rPr>
        <w:t>the Foxborough Regional Charter School</w:t>
      </w:r>
      <w:r w:rsidR="0076100D" w:rsidRPr="00515FB5">
        <w:rPr>
          <w:rFonts w:eastAsia="Calibri"/>
          <w:b/>
          <w:bCs/>
          <w:color w:val="1F3863"/>
        </w:rPr>
        <w:t xml:space="preserve"> Board of Trustees</w:t>
      </w:r>
      <w:r w:rsidR="0076100D" w:rsidRPr="00515FB5">
        <w:rPr>
          <w:rFonts w:eastAsia="Calibri"/>
          <w:b/>
          <w:bCs/>
          <w:color w:val="1F3863"/>
          <w:spacing w:val="-3"/>
        </w:rPr>
        <w:t xml:space="preserve"> </w:t>
      </w:r>
      <w:r w:rsidR="0076100D" w:rsidRPr="00515FB5">
        <w:rPr>
          <w:rFonts w:eastAsia="Calibri"/>
          <w:b/>
          <w:bCs/>
          <w:color w:val="1F3863"/>
        </w:rPr>
        <w:t>voted</w:t>
      </w:r>
      <w:r w:rsidR="0076100D" w:rsidRPr="00515FB5">
        <w:rPr>
          <w:rFonts w:eastAsia="Calibri"/>
          <w:b/>
          <w:bCs/>
          <w:color w:val="1F3863"/>
          <w:spacing w:val="-4"/>
        </w:rPr>
        <w:t xml:space="preserve"> </w:t>
      </w:r>
      <w:r w:rsidR="0076100D" w:rsidRPr="00515FB5">
        <w:rPr>
          <w:rFonts w:eastAsia="Calibri"/>
          <w:b/>
          <w:bCs/>
          <w:color w:val="1F3863"/>
        </w:rPr>
        <w:t>on</w:t>
      </w:r>
      <w:r w:rsidR="0076100D" w:rsidRPr="00515FB5">
        <w:rPr>
          <w:rFonts w:eastAsia="Calibri"/>
          <w:b/>
          <w:bCs/>
          <w:color w:val="1F3863"/>
          <w:spacing w:val="-3"/>
        </w:rPr>
        <w:t xml:space="preserve"> </w:t>
      </w:r>
      <w:r w:rsidR="0076100D" w:rsidRPr="00515FB5">
        <w:rPr>
          <w:rFonts w:eastAsia="Calibri"/>
          <w:b/>
          <w:bCs/>
          <w:color w:val="1F3863"/>
        </w:rPr>
        <w:t>our</w:t>
      </w:r>
      <w:r w:rsidR="0076100D" w:rsidRPr="00515FB5">
        <w:rPr>
          <w:rFonts w:eastAsia="Calibri"/>
          <w:b/>
          <w:bCs/>
          <w:color w:val="1F3863"/>
          <w:spacing w:val="-4"/>
        </w:rPr>
        <w:t xml:space="preserve"> </w:t>
      </w:r>
      <w:r w:rsidR="0076100D" w:rsidRPr="00515FB5">
        <w:rPr>
          <w:rFonts w:eastAsia="Calibri"/>
          <w:b/>
          <w:bCs/>
          <w:color w:val="1F3863"/>
        </w:rPr>
        <w:t>Student</w:t>
      </w:r>
      <w:r w:rsidR="0076100D" w:rsidRPr="00515FB5">
        <w:rPr>
          <w:rFonts w:eastAsia="Calibri"/>
          <w:b/>
          <w:bCs/>
          <w:color w:val="1F3863"/>
          <w:spacing w:val="-2"/>
        </w:rPr>
        <w:t xml:space="preserve"> </w:t>
      </w:r>
      <w:r w:rsidR="0076100D" w:rsidRPr="00515FB5">
        <w:rPr>
          <w:rFonts w:eastAsia="Calibri"/>
          <w:b/>
          <w:bCs/>
          <w:color w:val="1F3863"/>
        </w:rPr>
        <w:t>Opportunity</w:t>
      </w:r>
      <w:r w:rsidR="0076100D" w:rsidRPr="00515FB5">
        <w:rPr>
          <w:rFonts w:eastAsia="Calibri"/>
          <w:b/>
          <w:bCs/>
          <w:color w:val="1F3863"/>
          <w:spacing w:val="-2"/>
        </w:rPr>
        <w:t xml:space="preserve"> Act </w:t>
      </w:r>
      <w:r w:rsidR="0076100D" w:rsidRPr="00515FB5">
        <w:rPr>
          <w:rFonts w:eastAsia="Calibri"/>
          <w:b/>
          <w:bCs/>
          <w:color w:val="1F3863"/>
        </w:rPr>
        <w:t>Plan.</w:t>
      </w:r>
    </w:p>
    <w:p w14:paraId="6F20EB81" w14:textId="4A877743" w:rsidR="0076100D" w:rsidRPr="00515FB5" w:rsidRDefault="0076100D" w:rsidP="0076100D">
      <w:pPr>
        <w:widowControl w:val="0"/>
        <w:tabs>
          <w:tab w:val="left" w:pos="829"/>
          <w:tab w:val="left" w:pos="2988"/>
        </w:tabs>
        <w:autoSpaceDE w:val="0"/>
        <w:autoSpaceDN w:val="0"/>
        <w:spacing w:before="146"/>
        <w:ind w:left="828"/>
      </w:pPr>
      <w:r w:rsidRPr="00515FB5">
        <w:rPr>
          <w:rFonts w:eastAsia="Calibri"/>
          <w:b/>
          <w:color w:val="1F3863"/>
        </w:rPr>
        <w:t>Date of vote:</w:t>
      </w:r>
      <w:r w:rsidR="00F47827">
        <w:rPr>
          <w:rFonts w:eastAsia="Calibri"/>
          <w:b/>
          <w:color w:val="1F3863"/>
        </w:rPr>
        <w:t xml:space="preserve"> 2/9/21</w:t>
      </w:r>
      <w:r w:rsidRPr="00515FB5">
        <w:rPr>
          <w:rFonts w:eastAsia="Calibri"/>
          <w:b/>
          <w:color w:val="1F3863"/>
        </w:rPr>
        <w:tab/>
        <w:t>Outcome of</w:t>
      </w:r>
      <w:r w:rsidRPr="00515FB5">
        <w:rPr>
          <w:rFonts w:eastAsia="Calibri"/>
          <w:b/>
          <w:color w:val="1F3863"/>
          <w:spacing w:val="-3"/>
        </w:rPr>
        <w:t xml:space="preserve"> </w:t>
      </w:r>
      <w:r w:rsidRPr="00515FB5">
        <w:rPr>
          <w:rFonts w:eastAsia="Calibri"/>
          <w:b/>
          <w:color w:val="1F3863"/>
        </w:rPr>
        <w:t>vote:</w:t>
      </w:r>
      <w:r w:rsidR="00F47827">
        <w:rPr>
          <w:rFonts w:eastAsia="Calibri"/>
          <w:b/>
          <w:color w:val="1F3863"/>
        </w:rPr>
        <w:t xml:space="preserve"> 6 to 0 in favor.</w:t>
      </w:r>
    </w:p>
    <w:p w14:paraId="5CF7B1E4" w14:textId="77777777" w:rsidR="0076100D" w:rsidRPr="00515FB5" w:rsidRDefault="0076100D" w:rsidP="0076100D"/>
    <w:sectPr w:rsidR="0076100D" w:rsidRPr="00515FB5" w:rsidSect="00625226">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C2EFA" w14:textId="77777777" w:rsidR="00B1347C" w:rsidRDefault="00B1347C" w:rsidP="0076100D">
      <w:r>
        <w:separator/>
      </w:r>
    </w:p>
  </w:endnote>
  <w:endnote w:type="continuationSeparator" w:id="0">
    <w:p w14:paraId="1691D1B5" w14:textId="77777777" w:rsidR="00B1347C" w:rsidRDefault="00B1347C" w:rsidP="0076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629208"/>
      <w:docPartObj>
        <w:docPartGallery w:val="Page Numbers (Bottom of Page)"/>
        <w:docPartUnique/>
      </w:docPartObj>
    </w:sdtPr>
    <w:sdtEndPr>
      <w:rPr>
        <w:noProof/>
      </w:rPr>
    </w:sdtEndPr>
    <w:sdtContent>
      <w:p w14:paraId="0626CC96" w14:textId="6E84C22C" w:rsidR="0062728C" w:rsidRDefault="0062728C">
        <w:pPr>
          <w:pStyle w:val="Footer"/>
          <w:jc w:val="right"/>
        </w:pPr>
        <w:r>
          <w:fldChar w:fldCharType="begin"/>
        </w:r>
        <w:r>
          <w:instrText xml:space="preserve"> PAGE   \* MERGEFORMAT </w:instrText>
        </w:r>
        <w:r>
          <w:fldChar w:fldCharType="separate"/>
        </w:r>
        <w:r w:rsidR="00F47827">
          <w:rPr>
            <w:noProof/>
          </w:rPr>
          <w:t>5</w:t>
        </w:r>
        <w:r>
          <w:rPr>
            <w:noProof/>
          </w:rPr>
          <w:fldChar w:fldCharType="end"/>
        </w:r>
      </w:p>
    </w:sdtContent>
  </w:sdt>
  <w:p w14:paraId="1983489F" w14:textId="77777777" w:rsidR="0062728C" w:rsidRDefault="00627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A4690" w14:textId="77777777" w:rsidR="00075697" w:rsidRDefault="00B1347C" w:rsidP="00181660">
    <w:pPr>
      <w:pStyle w:val="Footer"/>
    </w:pPr>
  </w:p>
  <w:p w14:paraId="4391C9CB" w14:textId="77777777" w:rsidR="00075697" w:rsidRDefault="00B134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B5EAA" w14:textId="77777777" w:rsidR="00B1347C" w:rsidRDefault="00B1347C" w:rsidP="0076100D">
      <w:r>
        <w:separator/>
      </w:r>
    </w:p>
  </w:footnote>
  <w:footnote w:type="continuationSeparator" w:id="0">
    <w:p w14:paraId="497BD894" w14:textId="77777777" w:rsidR="00B1347C" w:rsidRDefault="00B1347C" w:rsidP="00761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427"/>
    <w:multiLevelType w:val="hybridMultilevel"/>
    <w:tmpl w:val="403E091E"/>
    <w:lvl w:ilvl="0" w:tplc="45DC57C0">
      <w:numFmt w:val="decimal"/>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04CB1"/>
    <w:multiLevelType w:val="hybridMultilevel"/>
    <w:tmpl w:val="864E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C14"/>
    <w:multiLevelType w:val="hybridMultilevel"/>
    <w:tmpl w:val="BF2A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3366D"/>
    <w:multiLevelType w:val="hybridMultilevel"/>
    <w:tmpl w:val="5AEA5932"/>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4" w15:restartNumberingAfterBreak="0">
    <w:nsid w:val="3444558F"/>
    <w:multiLevelType w:val="hybridMultilevel"/>
    <w:tmpl w:val="0CAA47BC"/>
    <w:lvl w:ilvl="0" w:tplc="49EE7DF2">
      <w:start w:val="1"/>
      <w:numFmt w:val="decimal"/>
      <w:lvlText w:val="%1."/>
      <w:lvlJc w:val="left"/>
      <w:pPr>
        <w:ind w:left="108" w:hanging="212"/>
      </w:pPr>
      <w:rPr>
        <w:rFonts w:ascii="Calibri" w:eastAsia="Calibri" w:hAnsi="Calibri" w:cs="Calibri" w:hint="default"/>
        <w:b/>
        <w:bCs/>
        <w:w w:val="100"/>
        <w:sz w:val="21"/>
        <w:szCs w:val="21"/>
      </w:rPr>
    </w:lvl>
    <w:lvl w:ilvl="1" w:tplc="4154A5D2">
      <w:start w:val="1"/>
      <w:numFmt w:val="upperLetter"/>
      <w:lvlText w:val="%2."/>
      <w:lvlJc w:val="left"/>
      <w:pPr>
        <w:ind w:left="801" w:hanging="242"/>
      </w:pPr>
      <w:rPr>
        <w:rFonts w:ascii="Calibri" w:eastAsia="Calibri" w:hAnsi="Calibri" w:cs="Calibri" w:hint="default"/>
        <w:b/>
        <w:bCs/>
        <w:color w:val="2D74B5"/>
        <w:w w:val="100"/>
        <w:sz w:val="22"/>
        <w:szCs w:val="22"/>
      </w:rPr>
    </w:lvl>
    <w:lvl w:ilvl="2" w:tplc="0296A316">
      <w:numFmt w:val="bullet"/>
      <w:lvlText w:val="✓"/>
      <w:lvlJc w:val="left"/>
      <w:pPr>
        <w:ind w:left="1279" w:hanging="360"/>
      </w:pPr>
      <w:rPr>
        <w:rFonts w:ascii="MS UI Gothic" w:eastAsia="MS UI Gothic" w:hAnsi="MS UI Gothic" w:cs="MS UI Gothic" w:hint="default"/>
        <w:w w:val="78"/>
        <w:sz w:val="22"/>
        <w:szCs w:val="22"/>
      </w:rPr>
    </w:lvl>
    <w:lvl w:ilvl="3" w:tplc="22ECFC06">
      <w:numFmt w:val="bullet"/>
      <w:lvlText w:val="•"/>
      <w:lvlJc w:val="left"/>
      <w:pPr>
        <w:ind w:left="2425" w:hanging="360"/>
      </w:pPr>
      <w:rPr>
        <w:rFonts w:hint="default"/>
      </w:rPr>
    </w:lvl>
    <w:lvl w:ilvl="4" w:tplc="2EFCD042">
      <w:numFmt w:val="bullet"/>
      <w:lvlText w:val="•"/>
      <w:lvlJc w:val="left"/>
      <w:pPr>
        <w:ind w:left="3570" w:hanging="360"/>
      </w:pPr>
      <w:rPr>
        <w:rFonts w:hint="default"/>
      </w:rPr>
    </w:lvl>
    <w:lvl w:ilvl="5" w:tplc="01C40C12">
      <w:numFmt w:val="bullet"/>
      <w:lvlText w:val="•"/>
      <w:lvlJc w:val="left"/>
      <w:pPr>
        <w:ind w:left="4715" w:hanging="360"/>
      </w:pPr>
      <w:rPr>
        <w:rFonts w:hint="default"/>
      </w:rPr>
    </w:lvl>
    <w:lvl w:ilvl="6" w:tplc="4B4C1C42">
      <w:numFmt w:val="bullet"/>
      <w:lvlText w:val="•"/>
      <w:lvlJc w:val="left"/>
      <w:pPr>
        <w:ind w:left="5860" w:hanging="360"/>
      </w:pPr>
      <w:rPr>
        <w:rFonts w:hint="default"/>
      </w:rPr>
    </w:lvl>
    <w:lvl w:ilvl="7" w:tplc="9020819E">
      <w:numFmt w:val="bullet"/>
      <w:lvlText w:val="•"/>
      <w:lvlJc w:val="left"/>
      <w:pPr>
        <w:ind w:left="7005" w:hanging="360"/>
      </w:pPr>
      <w:rPr>
        <w:rFonts w:hint="default"/>
      </w:rPr>
    </w:lvl>
    <w:lvl w:ilvl="8" w:tplc="32C2993C">
      <w:numFmt w:val="bullet"/>
      <w:lvlText w:val="•"/>
      <w:lvlJc w:val="left"/>
      <w:pPr>
        <w:ind w:left="8150" w:hanging="360"/>
      </w:pPr>
      <w:rPr>
        <w:rFonts w:hint="default"/>
      </w:rPr>
    </w:lvl>
  </w:abstractNum>
  <w:abstractNum w:abstractNumId="5" w15:restartNumberingAfterBreak="0">
    <w:nsid w:val="34D80C44"/>
    <w:multiLevelType w:val="hybridMultilevel"/>
    <w:tmpl w:val="67B8609C"/>
    <w:lvl w:ilvl="0" w:tplc="B9CAF0EC">
      <w:numFmt w:val="bullet"/>
      <w:lvlText w:val=""/>
      <w:lvlJc w:val="left"/>
      <w:pPr>
        <w:ind w:left="628" w:hanging="269"/>
      </w:pPr>
      <w:rPr>
        <w:rFonts w:ascii="Symbol" w:eastAsia="Symbol" w:hAnsi="Symbol" w:cs="Symbol" w:hint="default"/>
        <w:w w:val="99"/>
        <w:sz w:val="20"/>
        <w:szCs w:val="20"/>
      </w:rPr>
    </w:lvl>
    <w:lvl w:ilvl="1" w:tplc="331AF6F6">
      <w:numFmt w:val="bullet"/>
      <w:lvlText w:val="•"/>
      <w:lvlJc w:val="left"/>
      <w:pPr>
        <w:ind w:left="1341" w:hanging="269"/>
      </w:pPr>
      <w:rPr>
        <w:rFonts w:hint="default"/>
      </w:rPr>
    </w:lvl>
    <w:lvl w:ilvl="2" w:tplc="F4F63FAC">
      <w:numFmt w:val="bullet"/>
      <w:lvlText w:val="•"/>
      <w:lvlJc w:val="left"/>
      <w:pPr>
        <w:ind w:left="2063" w:hanging="269"/>
      </w:pPr>
      <w:rPr>
        <w:rFonts w:hint="default"/>
      </w:rPr>
    </w:lvl>
    <w:lvl w:ilvl="3" w:tplc="01E64B02">
      <w:numFmt w:val="bullet"/>
      <w:lvlText w:val="•"/>
      <w:lvlJc w:val="left"/>
      <w:pPr>
        <w:ind w:left="2784" w:hanging="269"/>
      </w:pPr>
      <w:rPr>
        <w:rFonts w:hint="default"/>
      </w:rPr>
    </w:lvl>
    <w:lvl w:ilvl="4" w:tplc="15BC42D6">
      <w:numFmt w:val="bullet"/>
      <w:lvlText w:val="•"/>
      <w:lvlJc w:val="left"/>
      <w:pPr>
        <w:ind w:left="3506" w:hanging="269"/>
      </w:pPr>
      <w:rPr>
        <w:rFonts w:hint="default"/>
      </w:rPr>
    </w:lvl>
    <w:lvl w:ilvl="5" w:tplc="582AD6A8">
      <w:numFmt w:val="bullet"/>
      <w:lvlText w:val="•"/>
      <w:lvlJc w:val="left"/>
      <w:pPr>
        <w:ind w:left="4227" w:hanging="269"/>
      </w:pPr>
      <w:rPr>
        <w:rFonts w:hint="default"/>
      </w:rPr>
    </w:lvl>
    <w:lvl w:ilvl="6" w:tplc="8D24105E">
      <w:numFmt w:val="bullet"/>
      <w:lvlText w:val="•"/>
      <w:lvlJc w:val="left"/>
      <w:pPr>
        <w:ind w:left="4949" w:hanging="269"/>
      </w:pPr>
      <w:rPr>
        <w:rFonts w:hint="default"/>
      </w:rPr>
    </w:lvl>
    <w:lvl w:ilvl="7" w:tplc="50ECBF74">
      <w:numFmt w:val="bullet"/>
      <w:lvlText w:val="•"/>
      <w:lvlJc w:val="left"/>
      <w:pPr>
        <w:ind w:left="5670" w:hanging="269"/>
      </w:pPr>
      <w:rPr>
        <w:rFonts w:hint="default"/>
      </w:rPr>
    </w:lvl>
    <w:lvl w:ilvl="8" w:tplc="4498C9D0">
      <w:numFmt w:val="bullet"/>
      <w:lvlText w:val="•"/>
      <w:lvlJc w:val="left"/>
      <w:pPr>
        <w:ind w:left="6392" w:hanging="269"/>
      </w:pPr>
      <w:rPr>
        <w:rFonts w:hint="default"/>
      </w:rPr>
    </w:lvl>
  </w:abstractNum>
  <w:abstractNum w:abstractNumId="6" w15:restartNumberingAfterBreak="0">
    <w:nsid w:val="37132164"/>
    <w:multiLevelType w:val="hybridMultilevel"/>
    <w:tmpl w:val="4E30F4B6"/>
    <w:lvl w:ilvl="0" w:tplc="A6B4E5B6">
      <w:start w:val="2"/>
      <w:numFmt w:val="decimal"/>
      <w:lvlText w:val="%1)"/>
      <w:lvlJc w:val="left"/>
      <w:pPr>
        <w:ind w:left="420" w:hanging="243"/>
      </w:pPr>
      <w:rPr>
        <w:rFonts w:ascii="Calibri" w:eastAsia="Calibri" w:hAnsi="Calibri" w:cs="Calibri" w:hint="default"/>
        <w:b/>
        <w:bCs/>
        <w:w w:val="100"/>
        <w:sz w:val="23"/>
        <w:szCs w:val="23"/>
      </w:rPr>
    </w:lvl>
    <w:lvl w:ilvl="1" w:tplc="158C1DC8">
      <w:numFmt w:val="bullet"/>
      <w:lvlText w:val="✓"/>
      <w:lvlJc w:val="left"/>
      <w:pPr>
        <w:ind w:left="778" w:hanging="269"/>
      </w:pPr>
      <w:rPr>
        <w:rFonts w:ascii="MS UI Gothic" w:eastAsia="MS UI Gothic" w:hAnsi="MS UI Gothic" w:cs="MS UI Gothic" w:hint="default"/>
        <w:w w:val="79"/>
        <w:sz w:val="21"/>
        <w:szCs w:val="21"/>
      </w:rPr>
    </w:lvl>
    <w:lvl w:ilvl="2" w:tplc="0B7AC5EA">
      <w:numFmt w:val="bullet"/>
      <w:lvlText w:val="•"/>
      <w:lvlJc w:val="left"/>
      <w:pPr>
        <w:ind w:left="1143" w:hanging="269"/>
      </w:pPr>
      <w:rPr>
        <w:rFonts w:hint="default"/>
      </w:rPr>
    </w:lvl>
    <w:lvl w:ilvl="3" w:tplc="18A6ED1E">
      <w:numFmt w:val="bullet"/>
      <w:lvlText w:val="•"/>
      <w:lvlJc w:val="left"/>
      <w:pPr>
        <w:ind w:left="1507" w:hanging="269"/>
      </w:pPr>
      <w:rPr>
        <w:rFonts w:hint="default"/>
      </w:rPr>
    </w:lvl>
    <w:lvl w:ilvl="4" w:tplc="5BE4BF32">
      <w:numFmt w:val="bullet"/>
      <w:lvlText w:val="•"/>
      <w:lvlJc w:val="left"/>
      <w:pPr>
        <w:ind w:left="1871" w:hanging="269"/>
      </w:pPr>
      <w:rPr>
        <w:rFonts w:hint="default"/>
      </w:rPr>
    </w:lvl>
    <w:lvl w:ilvl="5" w:tplc="84D697DC">
      <w:numFmt w:val="bullet"/>
      <w:lvlText w:val="•"/>
      <w:lvlJc w:val="left"/>
      <w:pPr>
        <w:ind w:left="2234" w:hanging="269"/>
      </w:pPr>
      <w:rPr>
        <w:rFonts w:hint="default"/>
      </w:rPr>
    </w:lvl>
    <w:lvl w:ilvl="6" w:tplc="5C268B24">
      <w:numFmt w:val="bullet"/>
      <w:lvlText w:val="•"/>
      <w:lvlJc w:val="left"/>
      <w:pPr>
        <w:ind w:left="2598" w:hanging="269"/>
      </w:pPr>
      <w:rPr>
        <w:rFonts w:hint="default"/>
      </w:rPr>
    </w:lvl>
    <w:lvl w:ilvl="7" w:tplc="72CA4BB6">
      <w:numFmt w:val="bullet"/>
      <w:lvlText w:val="•"/>
      <w:lvlJc w:val="left"/>
      <w:pPr>
        <w:ind w:left="2962" w:hanging="269"/>
      </w:pPr>
      <w:rPr>
        <w:rFonts w:hint="default"/>
      </w:rPr>
    </w:lvl>
    <w:lvl w:ilvl="8" w:tplc="173A4D3E">
      <w:numFmt w:val="bullet"/>
      <w:lvlText w:val="•"/>
      <w:lvlJc w:val="left"/>
      <w:pPr>
        <w:ind w:left="3326" w:hanging="269"/>
      </w:pPr>
      <w:rPr>
        <w:rFonts w:hint="default"/>
      </w:rPr>
    </w:lvl>
  </w:abstractNum>
  <w:abstractNum w:abstractNumId="7" w15:restartNumberingAfterBreak="0">
    <w:nsid w:val="473C0BC8"/>
    <w:multiLevelType w:val="hybridMultilevel"/>
    <w:tmpl w:val="6980F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7A2EB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C0F22A3"/>
    <w:multiLevelType w:val="hybridMultilevel"/>
    <w:tmpl w:val="0468422C"/>
    <w:lvl w:ilvl="0" w:tplc="07464630">
      <w:numFmt w:val="bullet"/>
      <w:lvlText w:val=""/>
      <w:lvlJc w:val="left"/>
      <w:pPr>
        <w:ind w:left="628" w:hanging="269"/>
      </w:pPr>
      <w:rPr>
        <w:rFonts w:ascii="Symbol" w:eastAsia="Symbol" w:hAnsi="Symbol" w:cs="Symbol" w:hint="default"/>
        <w:w w:val="99"/>
        <w:sz w:val="20"/>
        <w:szCs w:val="20"/>
      </w:rPr>
    </w:lvl>
    <w:lvl w:ilvl="1" w:tplc="F68CF9F6">
      <w:numFmt w:val="bullet"/>
      <w:lvlText w:val="•"/>
      <w:lvlJc w:val="left"/>
      <w:pPr>
        <w:ind w:left="1341" w:hanging="269"/>
      </w:pPr>
      <w:rPr>
        <w:rFonts w:hint="default"/>
      </w:rPr>
    </w:lvl>
    <w:lvl w:ilvl="2" w:tplc="FB940926">
      <w:numFmt w:val="bullet"/>
      <w:lvlText w:val="•"/>
      <w:lvlJc w:val="left"/>
      <w:pPr>
        <w:ind w:left="2063" w:hanging="269"/>
      </w:pPr>
      <w:rPr>
        <w:rFonts w:hint="default"/>
      </w:rPr>
    </w:lvl>
    <w:lvl w:ilvl="3" w:tplc="4A9E1BDA">
      <w:numFmt w:val="bullet"/>
      <w:lvlText w:val="•"/>
      <w:lvlJc w:val="left"/>
      <w:pPr>
        <w:ind w:left="2784" w:hanging="269"/>
      </w:pPr>
      <w:rPr>
        <w:rFonts w:hint="default"/>
      </w:rPr>
    </w:lvl>
    <w:lvl w:ilvl="4" w:tplc="F9F25AC8">
      <w:numFmt w:val="bullet"/>
      <w:lvlText w:val="•"/>
      <w:lvlJc w:val="left"/>
      <w:pPr>
        <w:ind w:left="3506" w:hanging="269"/>
      </w:pPr>
      <w:rPr>
        <w:rFonts w:hint="default"/>
      </w:rPr>
    </w:lvl>
    <w:lvl w:ilvl="5" w:tplc="3F2CE97A">
      <w:numFmt w:val="bullet"/>
      <w:lvlText w:val="•"/>
      <w:lvlJc w:val="left"/>
      <w:pPr>
        <w:ind w:left="4227" w:hanging="269"/>
      </w:pPr>
      <w:rPr>
        <w:rFonts w:hint="default"/>
      </w:rPr>
    </w:lvl>
    <w:lvl w:ilvl="6" w:tplc="7EC6172A">
      <w:numFmt w:val="bullet"/>
      <w:lvlText w:val="•"/>
      <w:lvlJc w:val="left"/>
      <w:pPr>
        <w:ind w:left="4949" w:hanging="269"/>
      </w:pPr>
      <w:rPr>
        <w:rFonts w:hint="default"/>
      </w:rPr>
    </w:lvl>
    <w:lvl w:ilvl="7" w:tplc="F35CBE5A">
      <w:numFmt w:val="bullet"/>
      <w:lvlText w:val="•"/>
      <w:lvlJc w:val="left"/>
      <w:pPr>
        <w:ind w:left="5670" w:hanging="269"/>
      </w:pPr>
      <w:rPr>
        <w:rFonts w:hint="default"/>
      </w:rPr>
    </w:lvl>
    <w:lvl w:ilvl="8" w:tplc="029A0E88">
      <w:numFmt w:val="bullet"/>
      <w:lvlText w:val="•"/>
      <w:lvlJc w:val="left"/>
      <w:pPr>
        <w:ind w:left="6392" w:hanging="269"/>
      </w:pPr>
      <w:rPr>
        <w:rFonts w:hint="default"/>
      </w:rPr>
    </w:lvl>
  </w:abstractNum>
  <w:abstractNum w:abstractNumId="10" w15:restartNumberingAfterBreak="0">
    <w:nsid w:val="54795BC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C404F44"/>
    <w:multiLevelType w:val="hybridMultilevel"/>
    <w:tmpl w:val="35D0B574"/>
    <w:lvl w:ilvl="0" w:tplc="97E8303E">
      <w:numFmt w:val="bullet"/>
      <w:lvlText w:val=""/>
      <w:lvlJc w:val="left"/>
      <w:pPr>
        <w:ind w:left="628" w:hanging="269"/>
      </w:pPr>
      <w:rPr>
        <w:rFonts w:ascii="Symbol" w:eastAsia="Symbol" w:hAnsi="Symbol" w:cs="Symbol" w:hint="default"/>
        <w:w w:val="99"/>
        <w:sz w:val="20"/>
        <w:szCs w:val="20"/>
      </w:rPr>
    </w:lvl>
    <w:lvl w:ilvl="1" w:tplc="3C3ACCFE">
      <w:numFmt w:val="bullet"/>
      <w:lvlText w:val="•"/>
      <w:lvlJc w:val="left"/>
      <w:pPr>
        <w:ind w:left="1341" w:hanging="269"/>
      </w:pPr>
      <w:rPr>
        <w:rFonts w:hint="default"/>
      </w:rPr>
    </w:lvl>
    <w:lvl w:ilvl="2" w:tplc="AB4623BA">
      <w:numFmt w:val="bullet"/>
      <w:lvlText w:val="•"/>
      <w:lvlJc w:val="left"/>
      <w:pPr>
        <w:ind w:left="2063" w:hanging="269"/>
      </w:pPr>
      <w:rPr>
        <w:rFonts w:hint="default"/>
      </w:rPr>
    </w:lvl>
    <w:lvl w:ilvl="3" w:tplc="FE744F4A">
      <w:numFmt w:val="bullet"/>
      <w:lvlText w:val="•"/>
      <w:lvlJc w:val="left"/>
      <w:pPr>
        <w:ind w:left="2784" w:hanging="269"/>
      </w:pPr>
      <w:rPr>
        <w:rFonts w:hint="default"/>
      </w:rPr>
    </w:lvl>
    <w:lvl w:ilvl="4" w:tplc="453A3D76">
      <w:numFmt w:val="bullet"/>
      <w:lvlText w:val="•"/>
      <w:lvlJc w:val="left"/>
      <w:pPr>
        <w:ind w:left="3506" w:hanging="269"/>
      </w:pPr>
      <w:rPr>
        <w:rFonts w:hint="default"/>
      </w:rPr>
    </w:lvl>
    <w:lvl w:ilvl="5" w:tplc="5F1AEFE0">
      <w:numFmt w:val="bullet"/>
      <w:lvlText w:val="•"/>
      <w:lvlJc w:val="left"/>
      <w:pPr>
        <w:ind w:left="4227" w:hanging="269"/>
      </w:pPr>
      <w:rPr>
        <w:rFonts w:hint="default"/>
      </w:rPr>
    </w:lvl>
    <w:lvl w:ilvl="6" w:tplc="1312DC34">
      <w:numFmt w:val="bullet"/>
      <w:lvlText w:val="•"/>
      <w:lvlJc w:val="left"/>
      <w:pPr>
        <w:ind w:left="4949" w:hanging="269"/>
      </w:pPr>
      <w:rPr>
        <w:rFonts w:hint="default"/>
      </w:rPr>
    </w:lvl>
    <w:lvl w:ilvl="7" w:tplc="2F7E3B7A">
      <w:numFmt w:val="bullet"/>
      <w:lvlText w:val="•"/>
      <w:lvlJc w:val="left"/>
      <w:pPr>
        <w:ind w:left="5670" w:hanging="269"/>
      </w:pPr>
      <w:rPr>
        <w:rFonts w:hint="default"/>
      </w:rPr>
    </w:lvl>
    <w:lvl w:ilvl="8" w:tplc="2292A516">
      <w:numFmt w:val="bullet"/>
      <w:lvlText w:val="•"/>
      <w:lvlJc w:val="left"/>
      <w:pPr>
        <w:ind w:left="6392" w:hanging="269"/>
      </w:pPr>
      <w:rPr>
        <w:rFonts w:hint="default"/>
      </w:rPr>
    </w:lvl>
  </w:abstractNum>
  <w:abstractNum w:abstractNumId="12" w15:restartNumberingAfterBreak="0">
    <w:nsid w:val="64A01A58"/>
    <w:multiLevelType w:val="hybridMultilevel"/>
    <w:tmpl w:val="A058DE24"/>
    <w:lvl w:ilvl="0" w:tplc="9D5C39EE">
      <w:numFmt w:val="bullet"/>
      <w:lvlText w:val=""/>
      <w:lvlJc w:val="left"/>
      <w:pPr>
        <w:ind w:left="628" w:hanging="269"/>
      </w:pPr>
      <w:rPr>
        <w:rFonts w:ascii="Symbol" w:eastAsia="Symbol" w:hAnsi="Symbol" w:cs="Symbol" w:hint="default"/>
        <w:w w:val="99"/>
        <w:sz w:val="20"/>
        <w:szCs w:val="20"/>
      </w:rPr>
    </w:lvl>
    <w:lvl w:ilvl="1" w:tplc="B100C090">
      <w:numFmt w:val="bullet"/>
      <w:lvlText w:val="•"/>
      <w:lvlJc w:val="left"/>
      <w:pPr>
        <w:ind w:left="1341" w:hanging="269"/>
      </w:pPr>
      <w:rPr>
        <w:rFonts w:hint="default"/>
      </w:rPr>
    </w:lvl>
    <w:lvl w:ilvl="2" w:tplc="E360595A">
      <w:numFmt w:val="bullet"/>
      <w:lvlText w:val="•"/>
      <w:lvlJc w:val="left"/>
      <w:pPr>
        <w:ind w:left="2063" w:hanging="269"/>
      </w:pPr>
      <w:rPr>
        <w:rFonts w:hint="default"/>
      </w:rPr>
    </w:lvl>
    <w:lvl w:ilvl="3" w:tplc="28ACC3EA">
      <w:numFmt w:val="bullet"/>
      <w:lvlText w:val="•"/>
      <w:lvlJc w:val="left"/>
      <w:pPr>
        <w:ind w:left="2784" w:hanging="269"/>
      </w:pPr>
      <w:rPr>
        <w:rFonts w:hint="default"/>
      </w:rPr>
    </w:lvl>
    <w:lvl w:ilvl="4" w:tplc="7A28E674">
      <w:numFmt w:val="bullet"/>
      <w:lvlText w:val="•"/>
      <w:lvlJc w:val="left"/>
      <w:pPr>
        <w:ind w:left="3506" w:hanging="269"/>
      </w:pPr>
      <w:rPr>
        <w:rFonts w:hint="default"/>
      </w:rPr>
    </w:lvl>
    <w:lvl w:ilvl="5" w:tplc="9BA6B334">
      <w:numFmt w:val="bullet"/>
      <w:lvlText w:val="•"/>
      <w:lvlJc w:val="left"/>
      <w:pPr>
        <w:ind w:left="4227" w:hanging="269"/>
      </w:pPr>
      <w:rPr>
        <w:rFonts w:hint="default"/>
      </w:rPr>
    </w:lvl>
    <w:lvl w:ilvl="6" w:tplc="5CCA46E8">
      <w:numFmt w:val="bullet"/>
      <w:lvlText w:val="•"/>
      <w:lvlJc w:val="left"/>
      <w:pPr>
        <w:ind w:left="4949" w:hanging="269"/>
      </w:pPr>
      <w:rPr>
        <w:rFonts w:hint="default"/>
      </w:rPr>
    </w:lvl>
    <w:lvl w:ilvl="7" w:tplc="BFB04CD0">
      <w:numFmt w:val="bullet"/>
      <w:lvlText w:val="•"/>
      <w:lvlJc w:val="left"/>
      <w:pPr>
        <w:ind w:left="5670" w:hanging="269"/>
      </w:pPr>
      <w:rPr>
        <w:rFonts w:hint="default"/>
      </w:rPr>
    </w:lvl>
    <w:lvl w:ilvl="8" w:tplc="527CB088">
      <w:numFmt w:val="bullet"/>
      <w:lvlText w:val="•"/>
      <w:lvlJc w:val="left"/>
      <w:pPr>
        <w:ind w:left="6392" w:hanging="269"/>
      </w:pPr>
      <w:rPr>
        <w:rFonts w:hint="default"/>
      </w:rPr>
    </w:lvl>
  </w:abstractNum>
  <w:abstractNum w:abstractNumId="13" w15:restartNumberingAfterBreak="0">
    <w:nsid w:val="69C040DC"/>
    <w:multiLevelType w:val="hybridMultilevel"/>
    <w:tmpl w:val="F85A38F2"/>
    <w:lvl w:ilvl="0" w:tplc="1BC4A90C">
      <w:numFmt w:val="bullet"/>
      <w:lvlText w:val=""/>
      <w:lvlJc w:val="left"/>
      <w:pPr>
        <w:ind w:left="628" w:hanging="269"/>
      </w:pPr>
      <w:rPr>
        <w:rFonts w:ascii="Symbol" w:eastAsia="Symbol" w:hAnsi="Symbol" w:cs="Symbol" w:hint="default"/>
        <w:w w:val="99"/>
        <w:sz w:val="20"/>
        <w:szCs w:val="20"/>
      </w:rPr>
    </w:lvl>
    <w:lvl w:ilvl="1" w:tplc="AE16FA8C">
      <w:numFmt w:val="bullet"/>
      <w:lvlText w:val="•"/>
      <w:lvlJc w:val="left"/>
      <w:pPr>
        <w:ind w:left="1341" w:hanging="269"/>
      </w:pPr>
      <w:rPr>
        <w:rFonts w:hint="default"/>
      </w:rPr>
    </w:lvl>
    <w:lvl w:ilvl="2" w:tplc="58E6F17A">
      <w:numFmt w:val="bullet"/>
      <w:lvlText w:val="•"/>
      <w:lvlJc w:val="left"/>
      <w:pPr>
        <w:ind w:left="2063" w:hanging="269"/>
      </w:pPr>
      <w:rPr>
        <w:rFonts w:hint="default"/>
      </w:rPr>
    </w:lvl>
    <w:lvl w:ilvl="3" w:tplc="8E863766">
      <w:numFmt w:val="bullet"/>
      <w:lvlText w:val="•"/>
      <w:lvlJc w:val="left"/>
      <w:pPr>
        <w:ind w:left="2784" w:hanging="269"/>
      </w:pPr>
      <w:rPr>
        <w:rFonts w:hint="default"/>
      </w:rPr>
    </w:lvl>
    <w:lvl w:ilvl="4" w:tplc="A918A2D0">
      <w:numFmt w:val="bullet"/>
      <w:lvlText w:val="•"/>
      <w:lvlJc w:val="left"/>
      <w:pPr>
        <w:ind w:left="3506" w:hanging="269"/>
      </w:pPr>
      <w:rPr>
        <w:rFonts w:hint="default"/>
      </w:rPr>
    </w:lvl>
    <w:lvl w:ilvl="5" w:tplc="8564F5A4">
      <w:numFmt w:val="bullet"/>
      <w:lvlText w:val="•"/>
      <w:lvlJc w:val="left"/>
      <w:pPr>
        <w:ind w:left="4227" w:hanging="269"/>
      </w:pPr>
      <w:rPr>
        <w:rFonts w:hint="default"/>
      </w:rPr>
    </w:lvl>
    <w:lvl w:ilvl="6" w:tplc="26CCCD10">
      <w:numFmt w:val="bullet"/>
      <w:lvlText w:val="•"/>
      <w:lvlJc w:val="left"/>
      <w:pPr>
        <w:ind w:left="4949" w:hanging="269"/>
      </w:pPr>
      <w:rPr>
        <w:rFonts w:hint="default"/>
      </w:rPr>
    </w:lvl>
    <w:lvl w:ilvl="7" w:tplc="7828262C">
      <w:numFmt w:val="bullet"/>
      <w:lvlText w:val="•"/>
      <w:lvlJc w:val="left"/>
      <w:pPr>
        <w:ind w:left="5670" w:hanging="269"/>
      </w:pPr>
      <w:rPr>
        <w:rFonts w:hint="default"/>
      </w:rPr>
    </w:lvl>
    <w:lvl w:ilvl="8" w:tplc="E18414B4">
      <w:numFmt w:val="bullet"/>
      <w:lvlText w:val="•"/>
      <w:lvlJc w:val="left"/>
      <w:pPr>
        <w:ind w:left="6392" w:hanging="269"/>
      </w:pPr>
      <w:rPr>
        <w:rFonts w:hint="default"/>
      </w:rPr>
    </w:lvl>
  </w:abstractNum>
  <w:abstractNum w:abstractNumId="14" w15:restartNumberingAfterBreak="0">
    <w:nsid w:val="6A871DEE"/>
    <w:multiLevelType w:val="hybridMultilevel"/>
    <w:tmpl w:val="D84A4646"/>
    <w:lvl w:ilvl="0" w:tplc="559EE6A0">
      <w:start w:val="1"/>
      <w:numFmt w:val="decimal"/>
      <w:lvlText w:val="%1)"/>
      <w:lvlJc w:val="left"/>
      <w:pPr>
        <w:ind w:left="442" w:hanging="243"/>
      </w:pPr>
      <w:rPr>
        <w:rFonts w:ascii="Calibri" w:eastAsia="Calibri" w:hAnsi="Calibri" w:cs="Calibri" w:hint="default"/>
        <w:b/>
        <w:bCs/>
        <w:w w:val="100"/>
        <w:sz w:val="23"/>
        <w:szCs w:val="23"/>
      </w:rPr>
    </w:lvl>
    <w:lvl w:ilvl="1" w:tplc="3B9C1A78">
      <w:numFmt w:val="bullet"/>
      <w:lvlText w:val="✓"/>
      <w:lvlJc w:val="left"/>
      <w:pPr>
        <w:ind w:left="799" w:hanging="269"/>
      </w:pPr>
      <w:rPr>
        <w:rFonts w:hint="default"/>
        <w:w w:val="79"/>
      </w:rPr>
    </w:lvl>
    <w:lvl w:ilvl="2" w:tplc="C248C7FA">
      <w:numFmt w:val="bullet"/>
      <w:lvlText w:val="•"/>
      <w:lvlJc w:val="left"/>
      <w:pPr>
        <w:ind w:left="1133" w:hanging="269"/>
      </w:pPr>
      <w:rPr>
        <w:rFonts w:hint="default"/>
      </w:rPr>
    </w:lvl>
    <w:lvl w:ilvl="3" w:tplc="6886562A">
      <w:numFmt w:val="bullet"/>
      <w:lvlText w:val="•"/>
      <w:lvlJc w:val="left"/>
      <w:pPr>
        <w:ind w:left="1466" w:hanging="269"/>
      </w:pPr>
      <w:rPr>
        <w:rFonts w:hint="default"/>
      </w:rPr>
    </w:lvl>
    <w:lvl w:ilvl="4" w:tplc="085AE85E">
      <w:numFmt w:val="bullet"/>
      <w:lvlText w:val="•"/>
      <w:lvlJc w:val="left"/>
      <w:pPr>
        <w:ind w:left="1799" w:hanging="269"/>
      </w:pPr>
      <w:rPr>
        <w:rFonts w:hint="default"/>
      </w:rPr>
    </w:lvl>
    <w:lvl w:ilvl="5" w:tplc="F5903FBA">
      <w:numFmt w:val="bullet"/>
      <w:lvlText w:val="•"/>
      <w:lvlJc w:val="left"/>
      <w:pPr>
        <w:ind w:left="2132" w:hanging="269"/>
      </w:pPr>
      <w:rPr>
        <w:rFonts w:hint="default"/>
      </w:rPr>
    </w:lvl>
    <w:lvl w:ilvl="6" w:tplc="4EEAEE06">
      <w:numFmt w:val="bullet"/>
      <w:lvlText w:val="•"/>
      <w:lvlJc w:val="left"/>
      <w:pPr>
        <w:ind w:left="2465" w:hanging="269"/>
      </w:pPr>
      <w:rPr>
        <w:rFonts w:hint="default"/>
      </w:rPr>
    </w:lvl>
    <w:lvl w:ilvl="7" w:tplc="E1507C48">
      <w:numFmt w:val="bullet"/>
      <w:lvlText w:val="•"/>
      <w:lvlJc w:val="left"/>
      <w:pPr>
        <w:ind w:left="2798" w:hanging="269"/>
      </w:pPr>
      <w:rPr>
        <w:rFonts w:hint="default"/>
      </w:rPr>
    </w:lvl>
    <w:lvl w:ilvl="8" w:tplc="35E03E40">
      <w:numFmt w:val="bullet"/>
      <w:lvlText w:val="•"/>
      <w:lvlJc w:val="left"/>
      <w:pPr>
        <w:ind w:left="3131" w:hanging="269"/>
      </w:pPr>
      <w:rPr>
        <w:rFonts w:hint="default"/>
      </w:rPr>
    </w:lvl>
  </w:abstractNum>
  <w:abstractNum w:abstractNumId="15" w15:restartNumberingAfterBreak="0">
    <w:nsid w:val="6F224796"/>
    <w:multiLevelType w:val="hybridMultilevel"/>
    <w:tmpl w:val="4E2A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90855"/>
    <w:multiLevelType w:val="hybridMultilevel"/>
    <w:tmpl w:val="8AD0CF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3E104B"/>
    <w:multiLevelType w:val="hybridMultilevel"/>
    <w:tmpl w:val="5E44E198"/>
    <w:lvl w:ilvl="0" w:tplc="176C06A2">
      <w:numFmt w:val="bullet"/>
      <w:lvlText w:val=""/>
      <w:lvlJc w:val="left"/>
      <w:pPr>
        <w:ind w:left="628" w:hanging="269"/>
      </w:pPr>
      <w:rPr>
        <w:rFonts w:ascii="Symbol" w:eastAsia="Symbol" w:hAnsi="Symbol" w:cs="Symbol" w:hint="default"/>
        <w:w w:val="99"/>
        <w:sz w:val="20"/>
        <w:szCs w:val="20"/>
      </w:rPr>
    </w:lvl>
    <w:lvl w:ilvl="1" w:tplc="B24805B6">
      <w:numFmt w:val="bullet"/>
      <w:lvlText w:val="•"/>
      <w:lvlJc w:val="left"/>
      <w:pPr>
        <w:ind w:left="1341" w:hanging="269"/>
      </w:pPr>
      <w:rPr>
        <w:rFonts w:hint="default"/>
      </w:rPr>
    </w:lvl>
    <w:lvl w:ilvl="2" w:tplc="6F802554">
      <w:numFmt w:val="bullet"/>
      <w:lvlText w:val="•"/>
      <w:lvlJc w:val="left"/>
      <w:pPr>
        <w:ind w:left="2063" w:hanging="269"/>
      </w:pPr>
      <w:rPr>
        <w:rFonts w:hint="default"/>
      </w:rPr>
    </w:lvl>
    <w:lvl w:ilvl="3" w:tplc="7564EA92">
      <w:numFmt w:val="bullet"/>
      <w:lvlText w:val="•"/>
      <w:lvlJc w:val="left"/>
      <w:pPr>
        <w:ind w:left="2784" w:hanging="269"/>
      </w:pPr>
      <w:rPr>
        <w:rFonts w:hint="default"/>
      </w:rPr>
    </w:lvl>
    <w:lvl w:ilvl="4" w:tplc="6ED0C00A">
      <w:numFmt w:val="bullet"/>
      <w:lvlText w:val="•"/>
      <w:lvlJc w:val="left"/>
      <w:pPr>
        <w:ind w:left="3506" w:hanging="269"/>
      </w:pPr>
      <w:rPr>
        <w:rFonts w:hint="default"/>
      </w:rPr>
    </w:lvl>
    <w:lvl w:ilvl="5" w:tplc="DF3A58D0">
      <w:numFmt w:val="bullet"/>
      <w:lvlText w:val="•"/>
      <w:lvlJc w:val="left"/>
      <w:pPr>
        <w:ind w:left="4227" w:hanging="269"/>
      </w:pPr>
      <w:rPr>
        <w:rFonts w:hint="default"/>
      </w:rPr>
    </w:lvl>
    <w:lvl w:ilvl="6" w:tplc="B0AA0838">
      <w:numFmt w:val="bullet"/>
      <w:lvlText w:val="•"/>
      <w:lvlJc w:val="left"/>
      <w:pPr>
        <w:ind w:left="4949" w:hanging="269"/>
      </w:pPr>
      <w:rPr>
        <w:rFonts w:hint="default"/>
      </w:rPr>
    </w:lvl>
    <w:lvl w:ilvl="7" w:tplc="9BDCF582">
      <w:numFmt w:val="bullet"/>
      <w:lvlText w:val="•"/>
      <w:lvlJc w:val="left"/>
      <w:pPr>
        <w:ind w:left="5670" w:hanging="269"/>
      </w:pPr>
      <w:rPr>
        <w:rFonts w:hint="default"/>
      </w:rPr>
    </w:lvl>
    <w:lvl w:ilvl="8" w:tplc="37CA97EA">
      <w:numFmt w:val="bullet"/>
      <w:lvlText w:val="•"/>
      <w:lvlJc w:val="left"/>
      <w:pPr>
        <w:ind w:left="6392" w:hanging="269"/>
      </w:pPr>
      <w:rPr>
        <w:rFonts w:hint="default"/>
      </w:rPr>
    </w:lvl>
  </w:abstractNum>
  <w:abstractNum w:abstractNumId="18" w15:restartNumberingAfterBreak="0">
    <w:nsid w:val="7BFB27A5"/>
    <w:multiLevelType w:val="hybridMultilevel"/>
    <w:tmpl w:val="225EB74A"/>
    <w:lvl w:ilvl="0" w:tplc="0409000D">
      <w:start w:val="1"/>
      <w:numFmt w:val="bullet"/>
      <w:lvlText w:val=""/>
      <w:lvlJc w:val="left"/>
      <w:pPr>
        <w:ind w:left="108" w:hanging="358"/>
      </w:pPr>
      <w:rPr>
        <w:rFonts w:ascii="Wingdings" w:hAnsi="Wingdings" w:hint="default"/>
        <w:w w:val="147"/>
      </w:rPr>
    </w:lvl>
    <w:lvl w:ilvl="1" w:tplc="55E46C64">
      <w:numFmt w:val="bullet"/>
      <w:lvlText w:val=""/>
      <w:lvlJc w:val="left"/>
      <w:pPr>
        <w:ind w:left="828" w:hanging="361"/>
      </w:pPr>
      <w:rPr>
        <w:rFonts w:hint="default"/>
        <w:w w:val="100"/>
      </w:rPr>
    </w:lvl>
    <w:lvl w:ilvl="2" w:tplc="CE2CFE2E">
      <w:numFmt w:val="bullet"/>
      <w:lvlText w:val="•"/>
      <w:lvlJc w:val="left"/>
      <w:pPr>
        <w:ind w:left="1180" w:hanging="361"/>
      </w:pPr>
      <w:rPr>
        <w:rFonts w:hint="default"/>
      </w:rPr>
    </w:lvl>
    <w:lvl w:ilvl="3" w:tplc="DE809916">
      <w:numFmt w:val="bullet"/>
      <w:lvlText w:val="•"/>
      <w:lvlJc w:val="left"/>
      <w:pPr>
        <w:ind w:left="2337" w:hanging="361"/>
      </w:pPr>
      <w:rPr>
        <w:rFonts w:hint="default"/>
      </w:rPr>
    </w:lvl>
    <w:lvl w:ilvl="4" w:tplc="87DA55B4">
      <w:numFmt w:val="bullet"/>
      <w:lvlText w:val="•"/>
      <w:lvlJc w:val="left"/>
      <w:pPr>
        <w:ind w:left="3495" w:hanging="361"/>
      </w:pPr>
      <w:rPr>
        <w:rFonts w:hint="default"/>
      </w:rPr>
    </w:lvl>
    <w:lvl w:ilvl="5" w:tplc="331C2EF8">
      <w:numFmt w:val="bullet"/>
      <w:lvlText w:val="•"/>
      <w:lvlJc w:val="left"/>
      <w:pPr>
        <w:ind w:left="4652" w:hanging="361"/>
      </w:pPr>
      <w:rPr>
        <w:rFonts w:hint="default"/>
      </w:rPr>
    </w:lvl>
    <w:lvl w:ilvl="6" w:tplc="3FFC039E">
      <w:numFmt w:val="bullet"/>
      <w:lvlText w:val="•"/>
      <w:lvlJc w:val="left"/>
      <w:pPr>
        <w:ind w:left="5810" w:hanging="361"/>
      </w:pPr>
      <w:rPr>
        <w:rFonts w:hint="default"/>
      </w:rPr>
    </w:lvl>
    <w:lvl w:ilvl="7" w:tplc="18361D1A">
      <w:numFmt w:val="bullet"/>
      <w:lvlText w:val="•"/>
      <w:lvlJc w:val="left"/>
      <w:pPr>
        <w:ind w:left="6967" w:hanging="361"/>
      </w:pPr>
      <w:rPr>
        <w:rFonts w:hint="default"/>
      </w:rPr>
    </w:lvl>
    <w:lvl w:ilvl="8" w:tplc="E7CAE5E6">
      <w:numFmt w:val="bullet"/>
      <w:lvlText w:val="•"/>
      <w:lvlJc w:val="left"/>
      <w:pPr>
        <w:ind w:left="8125" w:hanging="361"/>
      </w:pPr>
      <w:rPr>
        <w:rFonts w:hint="default"/>
      </w:rPr>
    </w:lvl>
  </w:abstractNum>
  <w:abstractNum w:abstractNumId="19" w15:restartNumberingAfterBreak="0">
    <w:nsid w:val="7EC94AFC"/>
    <w:multiLevelType w:val="hybridMultilevel"/>
    <w:tmpl w:val="CA9A1196"/>
    <w:lvl w:ilvl="0" w:tplc="20D87E82">
      <w:numFmt w:val="bullet"/>
      <w:lvlText w:val="□"/>
      <w:lvlJc w:val="left"/>
      <w:pPr>
        <w:ind w:left="828" w:hanging="361"/>
      </w:pPr>
      <w:rPr>
        <w:rFonts w:ascii="Calibri" w:eastAsia="Calibri" w:hAnsi="Calibri" w:cs="Calibri" w:hint="default"/>
        <w:w w:val="100"/>
        <w:sz w:val="21"/>
        <w:szCs w:val="21"/>
      </w:rPr>
    </w:lvl>
    <w:lvl w:ilvl="1" w:tplc="DD80F052">
      <w:numFmt w:val="bullet"/>
      <w:lvlText w:val=""/>
      <w:lvlJc w:val="left"/>
      <w:pPr>
        <w:ind w:left="1548" w:hanging="360"/>
      </w:pPr>
      <w:rPr>
        <w:rFonts w:ascii="Symbol" w:eastAsia="Symbol" w:hAnsi="Symbol" w:cs="Symbol" w:hint="default"/>
        <w:w w:val="100"/>
        <w:sz w:val="21"/>
        <w:szCs w:val="21"/>
      </w:rPr>
    </w:lvl>
    <w:lvl w:ilvl="2" w:tplc="00123058">
      <w:numFmt w:val="bullet"/>
      <w:lvlText w:val="•"/>
      <w:lvlJc w:val="left"/>
      <w:pPr>
        <w:ind w:left="2528" w:hanging="360"/>
      </w:pPr>
      <w:rPr>
        <w:rFonts w:hint="default"/>
      </w:rPr>
    </w:lvl>
    <w:lvl w:ilvl="3" w:tplc="2B3C2088">
      <w:numFmt w:val="bullet"/>
      <w:lvlText w:val="•"/>
      <w:lvlJc w:val="left"/>
      <w:pPr>
        <w:ind w:left="3517" w:hanging="360"/>
      </w:pPr>
      <w:rPr>
        <w:rFonts w:hint="default"/>
      </w:rPr>
    </w:lvl>
    <w:lvl w:ilvl="4" w:tplc="81E81FB0">
      <w:numFmt w:val="bullet"/>
      <w:lvlText w:val="•"/>
      <w:lvlJc w:val="left"/>
      <w:pPr>
        <w:ind w:left="4506" w:hanging="360"/>
      </w:pPr>
      <w:rPr>
        <w:rFonts w:hint="default"/>
      </w:rPr>
    </w:lvl>
    <w:lvl w:ilvl="5" w:tplc="F02C8260">
      <w:numFmt w:val="bullet"/>
      <w:lvlText w:val="•"/>
      <w:lvlJc w:val="left"/>
      <w:pPr>
        <w:ind w:left="5495" w:hanging="360"/>
      </w:pPr>
      <w:rPr>
        <w:rFonts w:hint="default"/>
      </w:rPr>
    </w:lvl>
    <w:lvl w:ilvl="6" w:tplc="09D0CB24">
      <w:numFmt w:val="bullet"/>
      <w:lvlText w:val="•"/>
      <w:lvlJc w:val="left"/>
      <w:pPr>
        <w:ind w:left="6484" w:hanging="360"/>
      </w:pPr>
      <w:rPr>
        <w:rFonts w:hint="default"/>
      </w:rPr>
    </w:lvl>
    <w:lvl w:ilvl="7" w:tplc="CFA21D28">
      <w:numFmt w:val="bullet"/>
      <w:lvlText w:val="•"/>
      <w:lvlJc w:val="left"/>
      <w:pPr>
        <w:ind w:left="7473" w:hanging="360"/>
      </w:pPr>
      <w:rPr>
        <w:rFonts w:hint="default"/>
      </w:rPr>
    </w:lvl>
    <w:lvl w:ilvl="8" w:tplc="FA702996">
      <w:numFmt w:val="bullet"/>
      <w:lvlText w:val="•"/>
      <w:lvlJc w:val="left"/>
      <w:pPr>
        <w:ind w:left="8462" w:hanging="360"/>
      </w:pPr>
      <w:rPr>
        <w:rFont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9"/>
  </w:num>
  <w:num w:numId="3">
    <w:abstractNumId w:val="18"/>
  </w:num>
  <w:num w:numId="4">
    <w:abstractNumId w:val="6"/>
  </w:num>
  <w:num w:numId="5">
    <w:abstractNumId w:val="14"/>
  </w:num>
  <w:num w:numId="6">
    <w:abstractNumId w:val="4"/>
  </w:num>
  <w:num w:numId="7">
    <w:abstractNumId w:val="9"/>
  </w:num>
  <w:num w:numId="8">
    <w:abstractNumId w:val="17"/>
  </w:num>
  <w:num w:numId="9">
    <w:abstractNumId w:val="5"/>
  </w:num>
  <w:num w:numId="10">
    <w:abstractNumId w:val="11"/>
  </w:num>
  <w:num w:numId="11">
    <w:abstractNumId w:val="12"/>
  </w:num>
  <w:num w:numId="12">
    <w:abstractNumId w:val="13"/>
  </w:num>
  <w:num w:numId="13">
    <w:abstractNumId w:val="8"/>
  </w:num>
  <w:num w:numId="14">
    <w:abstractNumId w:val="10"/>
  </w:num>
  <w:num w:numId="15">
    <w:abstractNumId w:val="0"/>
  </w:num>
  <w:num w:numId="16">
    <w:abstractNumId w:val="7"/>
  </w:num>
  <w:num w:numId="17">
    <w:abstractNumId w:val="1"/>
  </w:num>
  <w:num w:numId="18">
    <w:abstractNumId w:val="2"/>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00D"/>
    <w:rsid w:val="000070D2"/>
    <w:rsid w:val="00010299"/>
    <w:rsid w:val="00066CCA"/>
    <w:rsid w:val="00096696"/>
    <w:rsid w:val="000C7159"/>
    <w:rsid w:val="00144D6D"/>
    <w:rsid w:val="00151B4E"/>
    <w:rsid w:val="00153932"/>
    <w:rsid w:val="00176AF1"/>
    <w:rsid w:val="00181660"/>
    <w:rsid w:val="0019508F"/>
    <w:rsid w:val="001E21CB"/>
    <w:rsid w:val="0021382A"/>
    <w:rsid w:val="00252C65"/>
    <w:rsid w:val="002C378F"/>
    <w:rsid w:val="002D34AC"/>
    <w:rsid w:val="002F400F"/>
    <w:rsid w:val="00300C51"/>
    <w:rsid w:val="00333793"/>
    <w:rsid w:val="00386344"/>
    <w:rsid w:val="003F76BB"/>
    <w:rsid w:val="004049F2"/>
    <w:rsid w:val="00405B74"/>
    <w:rsid w:val="0045325B"/>
    <w:rsid w:val="0047667C"/>
    <w:rsid w:val="00493B7A"/>
    <w:rsid w:val="004F3CCC"/>
    <w:rsid w:val="00515FB5"/>
    <w:rsid w:val="00520329"/>
    <w:rsid w:val="005B1CD5"/>
    <w:rsid w:val="005D29E9"/>
    <w:rsid w:val="00625226"/>
    <w:rsid w:val="0062728C"/>
    <w:rsid w:val="00702BEA"/>
    <w:rsid w:val="007251C8"/>
    <w:rsid w:val="007279BA"/>
    <w:rsid w:val="00730DD8"/>
    <w:rsid w:val="00735B09"/>
    <w:rsid w:val="00747F01"/>
    <w:rsid w:val="0075491A"/>
    <w:rsid w:val="0076100D"/>
    <w:rsid w:val="007A22C9"/>
    <w:rsid w:val="007C65AD"/>
    <w:rsid w:val="00812945"/>
    <w:rsid w:val="0083249E"/>
    <w:rsid w:val="00833A09"/>
    <w:rsid w:val="00860FAC"/>
    <w:rsid w:val="00867425"/>
    <w:rsid w:val="0089155D"/>
    <w:rsid w:val="008A6AB9"/>
    <w:rsid w:val="008B2BF6"/>
    <w:rsid w:val="008E65A5"/>
    <w:rsid w:val="008E7AFE"/>
    <w:rsid w:val="00906A10"/>
    <w:rsid w:val="00951D7F"/>
    <w:rsid w:val="009A4C78"/>
    <w:rsid w:val="009B6AB2"/>
    <w:rsid w:val="009D27A4"/>
    <w:rsid w:val="00A537A4"/>
    <w:rsid w:val="00A6725C"/>
    <w:rsid w:val="00AA30AB"/>
    <w:rsid w:val="00AC2B8C"/>
    <w:rsid w:val="00AE6B3C"/>
    <w:rsid w:val="00B00E08"/>
    <w:rsid w:val="00B1347C"/>
    <w:rsid w:val="00B32DBB"/>
    <w:rsid w:val="00B35B57"/>
    <w:rsid w:val="00B70E2C"/>
    <w:rsid w:val="00B777FE"/>
    <w:rsid w:val="00BB489B"/>
    <w:rsid w:val="00BE5AED"/>
    <w:rsid w:val="00C13F17"/>
    <w:rsid w:val="00C247AD"/>
    <w:rsid w:val="00CE204E"/>
    <w:rsid w:val="00CF72C9"/>
    <w:rsid w:val="00D72178"/>
    <w:rsid w:val="00D75059"/>
    <w:rsid w:val="00DB1415"/>
    <w:rsid w:val="00DB4065"/>
    <w:rsid w:val="00DC58A2"/>
    <w:rsid w:val="00E262DC"/>
    <w:rsid w:val="00E42932"/>
    <w:rsid w:val="00E46E3A"/>
    <w:rsid w:val="00E51674"/>
    <w:rsid w:val="00E54B5B"/>
    <w:rsid w:val="00E76AE9"/>
    <w:rsid w:val="00EC188F"/>
    <w:rsid w:val="00F04B23"/>
    <w:rsid w:val="00F313DF"/>
    <w:rsid w:val="00F47827"/>
    <w:rsid w:val="00F54512"/>
    <w:rsid w:val="00F56862"/>
    <w:rsid w:val="00F8584D"/>
    <w:rsid w:val="00FC532D"/>
    <w:rsid w:val="00FD5CE8"/>
    <w:rsid w:val="00FF084E"/>
    <w:rsid w:val="00FF45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9E22"/>
  <w15:chartTrackingRefBased/>
  <w15:docId w15:val="{BFEF2C8F-11ED-4CB1-B4D5-D4B3AA5D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34"/>
    <w:qFormat/>
    <w:rsid w:val="0076100D"/>
    <w:pPr>
      <w:spacing w:after="120"/>
      <w:ind w:left="720"/>
      <w:contextualSpacing/>
      <w:jc w:val="both"/>
    </w:pPr>
    <w:rPr>
      <w:rFonts w:ascii="Cambria" w:hAnsi="Cambria"/>
    </w:rPr>
  </w:style>
  <w:style w:type="table" w:styleId="TableGrid">
    <w:name w:val="Table Grid"/>
    <w:basedOn w:val="TableNormal"/>
    <w:uiPriority w:val="59"/>
    <w:rsid w:val="0076100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 w:type="paragraph" w:styleId="NormalWeb">
    <w:name w:val="Normal (Web)"/>
    <w:basedOn w:val="Normal"/>
    <w:uiPriority w:val="99"/>
    <w:semiHidden/>
    <w:unhideWhenUsed/>
    <w:rsid w:val="005B1CD5"/>
    <w:pPr>
      <w:spacing w:before="100" w:beforeAutospacing="1" w:after="100" w:afterAutospacing="1"/>
    </w:pPr>
    <w:rPr>
      <w:rFonts w:eastAsiaTheme="minorEastAsia"/>
    </w:rPr>
  </w:style>
  <w:style w:type="character" w:customStyle="1" w:styleId="apple-converted-space">
    <w:name w:val="apple-converted-space"/>
    <w:basedOn w:val="DefaultParagraphFont"/>
    <w:rsid w:val="00951D7F"/>
  </w:style>
  <w:style w:type="character" w:customStyle="1" w:styleId="s2">
    <w:name w:val="s2"/>
    <w:basedOn w:val="DefaultParagraphFont"/>
    <w:rsid w:val="00951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96307">
      <w:bodyDiv w:val="1"/>
      <w:marLeft w:val="0"/>
      <w:marRight w:val="0"/>
      <w:marTop w:val="0"/>
      <w:marBottom w:val="0"/>
      <w:divBdr>
        <w:top w:val="none" w:sz="0" w:space="0" w:color="auto"/>
        <w:left w:val="none" w:sz="0" w:space="0" w:color="auto"/>
        <w:bottom w:val="none" w:sz="0" w:space="0" w:color="auto"/>
        <w:right w:val="none" w:sz="0" w:space="0" w:color="auto"/>
      </w:divBdr>
    </w:div>
    <w:div w:id="871723970">
      <w:bodyDiv w:val="1"/>
      <w:marLeft w:val="0"/>
      <w:marRight w:val="0"/>
      <w:marTop w:val="0"/>
      <w:marBottom w:val="0"/>
      <w:divBdr>
        <w:top w:val="none" w:sz="0" w:space="0" w:color="auto"/>
        <w:left w:val="none" w:sz="0" w:space="0" w:color="auto"/>
        <w:bottom w:val="none" w:sz="0" w:space="0" w:color="auto"/>
        <w:right w:val="none" w:sz="0" w:space="0" w:color="auto"/>
      </w:divBdr>
    </w:div>
    <w:div w:id="1322343745">
      <w:bodyDiv w:val="1"/>
      <w:marLeft w:val="0"/>
      <w:marRight w:val="0"/>
      <w:marTop w:val="0"/>
      <w:marBottom w:val="0"/>
      <w:divBdr>
        <w:top w:val="none" w:sz="0" w:space="0" w:color="auto"/>
        <w:left w:val="none" w:sz="0" w:space="0" w:color="auto"/>
        <w:bottom w:val="none" w:sz="0" w:space="0" w:color="auto"/>
        <w:right w:val="none" w:sz="0" w:space="0" w:color="auto"/>
      </w:divBdr>
      <w:divsChild>
        <w:div w:id="1318219907">
          <w:marLeft w:val="570"/>
          <w:marRight w:val="0"/>
          <w:marTop w:val="0"/>
          <w:marBottom w:val="0"/>
          <w:divBdr>
            <w:top w:val="none" w:sz="0" w:space="0" w:color="auto"/>
            <w:left w:val="none" w:sz="0" w:space="0" w:color="auto"/>
            <w:bottom w:val="none" w:sz="0" w:space="0" w:color="auto"/>
            <w:right w:val="none" w:sz="0" w:space="0" w:color="auto"/>
          </w:divBdr>
        </w:div>
        <w:div w:id="1924531756">
          <w:marLeft w:val="570"/>
          <w:marRight w:val="0"/>
          <w:marTop w:val="0"/>
          <w:marBottom w:val="0"/>
          <w:divBdr>
            <w:top w:val="none" w:sz="0" w:space="0" w:color="auto"/>
            <w:left w:val="none" w:sz="0" w:space="0" w:color="auto"/>
            <w:bottom w:val="none" w:sz="0" w:space="0" w:color="auto"/>
            <w:right w:val="none" w:sz="0" w:space="0" w:color="auto"/>
          </w:divBdr>
        </w:div>
        <w:div w:id="1394040290">
          <w:marLeft w:val="570"/>
          <w:marRight w:val="0"/>
          <w:marTop w:val="0"/>
          <w:marBottom w:val="0"/>
          <w:divBdr>
            <w:top w:val="none" w:sz="0" w:space="0" w:color="auto"/>
            <w:left w:val="none" w:sz="0" w:space="0" w:color="auto"/>
            <w:bottom w:val="none" w:sz="0" w:space="0" w:color="auto"/>
            <w:right w:val="none" w:sz="0" w:space="0" w:color="auto"/>
          </w:divBdr>
        </w:div>
        <w:div w:id="1142040890">
          <w:marLeft w:val="570"/>
          <w:marRight w:val="0"/>
          <w:marTop w:val="0"/>
          <w:marBottom w:val="0"/>
          <w:divBdr>
            <w:top w:val="none" w:sz="0" w:space="0" w:color="auto"/>
            <w:left w:val="none" w:sz="0" w:space="0" w:color="auto"/>
            <w:bottom w:val="none" w:sz="0" w:space="0" w:color="auto"/>
            <w:right w:val="none" w:sz="0" w:space="0" w:color="auto"/>
          </w:divBdr>
        </w:div>
        <w:div w:id="576937289">
          <w:marLeft w:val="570"/>
          <w:marRight w:val="0"/>
          <w:marTop w:val="0"/>
          <w:marBottom w:val="0"/>
          <w:divBdr>
            <w:top w:val="none" w:sz="0" w:space="0" w:color="auto"/>
            <w:left w:val="none" w:sz="0" w:space="0" w:color="auto"/>
            <w:bottom w:val="none" w:sz="0" w:space="0" w:color="auto"/>
            <w:right w:val="none" w:sz="0" w:space="0" w:color="auto"/>
          </w:divBdr>
        </w:div>
        <w:div w:id="1576626100">
          <w:marLeft w:val="570"/>
          <w:marRight w:val="0"/>
          <w:marTop w:val="0"/>
          <w:marBottom w:val="0"/>
          <w:divBdr>
            <w:top w:val="none" w:sz="0" w:space="0" w:color="auto"/>
            <w:left w:val="none" w:sz="0" w:space="0" w:color="auto"/>
            <w:bottom w:val="none" w:sz="0" w:space="0" w:color="auto"/>
            <w:right w:val="none" w:sz="0" w:space="0" w:color="auto"/>
          </w:divBdr>
        </w:div>
        <w:div w:id="369502349">
          <w:marLeft w:val="570"/>
          <w:marRight w:val="0"/>
          <w:marTop w:val="0"/>
          <w:marBottom w:val="0"/>
          <w:divBdr>
            <w:top w:val="none" w:sz="0" w:space="0" w:color="auto"/>
            <w:left w:val="none" w:sz="0" w:space="0" w:color="auto"/>
            <w:bottom w:val="none" w:sz="0" w:space="0" w:color="auto"/>
            <w:right w:val="none" w:sz="0" w:space="0" w:color="auto"/>
          </w:divBdr>
        </w:div>
      </w:divsChild>
    </w:div>
    <w:div w:id="1451584727">
      <w:bodyDiv w:val="1"/>
      <w:marLeft w:val="0"/>
      <w:marRight w:val="0"/>
      <w:marTop w:val="0"/>
      <w:marBottom w:val="0"/>
      <w:divBdr>
        <w:top w:val="none" w:sz="0" w:space="0" w:color="auto"/>
        <w:left w:val="none" w:sz="0" w:space="0" w:color="auto"/>
        <w:bottom w:val="none" w:sz="0" w:space="0" w:color="auto"/>
        <w:right w:val="none" w:sz="0" w:space="0" w:color="auto"/>
      </w:divBdr>
    </w:div>
    <w:div w:id="2041930417">
      <w:bodyDiv w:val="1"/>
      <w:marLeft w:val="0"/>
      <w:marRight w:val="0"/>
      <w:marTop w:val="0"/>
      <w:marBottom w:val="0"/>
      <w:divBdr>
        <w:top w:val="none" w:sz="0" w:space="0" w:color="auto"/>
        <w:left w:val="none" w:sz="0" w:space="0" w:color="auto"/>
        <w:bottom w:val="none" w:sz="0" w:space="0" w:color="auto"/>
        <w:right w:val="none" w:sz="0" w:space="0" w:color="auto"/>
      </w:divBdr>
    </w:div>
    <w:div w:id="209166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887E1-7D77-46D0-B84F-8CC77F66DA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4B456E-B87D-4DC4-AD7A-2A45000FD5C2}">
  <ds:schemaRefs>
    <ds:schemaRef ds:uri="http://schemas.openxmlformats.org/officeDocument/2006/bibliography"/>
  </ds:schemaRefs>
</ds:datastoreItem>
</file>

<file path=customXml/itemProps3.xml><?xml version="1.0" encoding="utf-8"?>
<ds:datastoreItem xmlns:ds="http://schemas.openxmlformats.org/officeDocument/2006/customXml" ds:itemID="{EE2D2D6C-07CA-4E95-A01E-7EB600BCC64B}">
  <ds:schemaRefs>
    <ds:schemaRef ds:uri="http://schemas.microsoft.com/sharepoint/v3/contenttype/forms"/>
  </ds:schemaRefs>
</ds:datastoreItem>
</file>

<file path=customXml/itemProps4.xml><?xml version="1.0" encoding="utf-8"?>
<ds:datastoreItem xmlns:ds="http://schemas.openxmlformats.org/officeDocument/2006/customXml" ds:itemID="{232D98FF-3E1B-4292-8B52-059F8011320E}"/>
</file>

<file path=docProps/app.xml><?xml version="1.0" encoding="utf-8"?>
<Properties xmlns="http://schemas.openxmlformats.org/officeDocument/2006/extended-properties" xmlns:vt="http://schemas.openxmlformats.org/officeDocument/2006/docPropsVTypes">
  <Template>Normal</Template>
  <TotalTime>6</TotalTime>
  <Pages>6</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Foxborough Regional Charter School Student Opportunity Act Plan: SY 2021-2023</vt:lpstr>
    </vt:vector>
  </TitlesOfParts>
  <Company>EOE</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Foxborough Regional Charter School Student Opportunity Act Plan: SY 2021-2023</dc:title>
  <dc:subject/>
  <dc:creator>DESE</dc:creator>
  <cp:keywords/>
  <dc:description/>
  <cp:lastModifiedBy>DeLorenzo, Lee E (DESE)</cp:lastModifiedBy>
  <cp:revision>5</cp:revision>
  <cp:lastPrinted>2021-01-14T15:17:00Z</cp:lastPrinted>
  <dcterms:created xsi:type="dcterms:W3CDTF">2021-03-23T15:57:00Z</dcterms:created>
  <dcterms:modified xsi:type="dcterms:W3CDTF">2021-03-24T15:33:00Z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