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AD2F" w14:textId="13BB6659" w:rsidR="000E6C90" w:rsidRDefault="00555826" w:rsidP="00003E40">
      <w:pPr>
        <w:spacing w:before="20"/>
        <w:ind w:left="127"/>
        <w:jc w:val="center"/>
        <w:rPr>
          <w:b/>
          <w:color w:val="1F3863"/>
          <w:sz w:val="32"/>
        </w:rPr>
      </w:pPr>
      <w:r>
        <w:rPr>
          <w:b/>
          <w:color w:val="1F3863"/>
          <w:sz w:val="32"/>
        </w:rPr>
        <w:t>Student Opportunity Act Plan: SY 2021-2023</w:t>
      </w:r>
    </w:p>
    <w:p w14:paraId="17521D0E" w14:textId="443168D1" w:rsidR="00003E40" w:rsidRDefault="00003E40" w:rsidP="00003E40">
      <w:pPr>
        <w:spacing w:before="20"/>
        <w:ind w:left="127"/>
        <w:jc w:val="center"/>
        <w:rPr>
          <w:b/>
          <w:sz w:val="32"/>
        </w:rPr>
      </w:pPr>
      <w:r>
        <w:rPr>
          <w:b/>
          <w:i/>
          <w:color w:val="2D74B5"/>
          <w:sz w:val="32"/>
        </w:rPr>
        <w:t>Francis W. Parker Charter Essential School (Parker)</w:t>
      </w:r>
    </w:p>
    <w:p w14:paraId="773EAD30" w14:textId="77777777" w:rsidR="000E6C90" w:rsidRDefault="00555826">
      <w:pPr>
        <w:pStyle w:val="Heading1"/>
        <w:spacing w:before="196"/>
      </w:pPr>
      <w:bookmarkStart w:id="0" w:name="→_Commitment_1:_Focusing_on_Student_Subg"/>
      <w:bookmarkEnd w:id="0"/>
      <w:r>
        <w:rPr>
          <w:rFonts w:ascii="Microsoft Sans Serif" w:hAnsi="Microsoft Sans Serif"/>
          <w:b w:val="0"/>
          <w:color w:val="2D74B5"/>
        </w:rPr>
        <w:t xml:space="preserve">→ </w:t>
      </w:r>
      <w:r>
        <w:rPr>
          <w:color w:val="2D74B5"/>
        </w:rPr>
        <w:t>Commitment 1: Focusing on Student Subgroups</w:t>
      </w:r>
    </w:p>
    <w:p w14:paraId="773EAD31" w14:textId="77777777" w:rsidR="000E6C90" w:rsidRDefault="00555826">
      <w:pPr>
        <w:pStyle w:val="Heading2"/>
        <w:spacing w:before="68" w:line="242" w:lineRule="auto"/>
        <w:ind w:right="516"/>
      </w:pPr>
      <w:bookmarkStart w:id="1" w:name="Which_student_subgroups_will_require_foc"/>
      <w:bookmarkEnd w:id="1"/>
      <w:r>
        <w:rPr>
          <w:color w:val="1F3863"/>
        </w:rPr>
        <w:t>Which student subgroups will require focused support to ensure all students achieve at high levels in school and are successfully prepared for life?</w:t>
      </w:r>
    </w:p>
    <w:p w14:paraId="773EAD32" w14:textId="77777777" w:rsidR="000E6C90" w:rsidRDefault="000E6C90">
      <w:pPr>
        <w:pStyle w:val="BodyText"/>
        <w:spacing w:before="6"/>
        <w:rPr>
          <w:b/>
          <w:sz w:val="21"/>
        </w:rPr>
      </w:pPr>
    </w:p>
    <w:p w14:paraId="773EAD33" w14:textId="77777777" w:rsidR="000E6C90" w:rsidRDefault="00555826">
      <w:pPr>
        <w:pStyle w:val="BodyText"/>
        <w:spacing w:before="1"/>
        <w:ind w:left="111" w:right="95"/>
      </w:pPr>
      <w:r>
        <w:t>Like other Essential Schools, Parker puts the student at the center of the educational journey, personalizes that experience for each student, and believes deeply that all students can succeed in reaching high standards.  That said, we notice that our students of color and students with disabilities are not experiencing the same outcomes as other sub-groups. The Department’s accountability system historically shows achievement gaps for both of these groups.</w:t>
      </w:r>
    </w:p>
    <w:p w14:paraId="773EAD34" w14:textId="77777777" w:rsidR="000E6C90" w:rsidRDefault="000E6C90">
      <w:pPr>
        <w:pStyle w:val="BodyText"/>
        <w:spacing w:before="10"/>
        <w:rPr>
          <w:sz w:val="21"/>
        </w:rPr>
      </w:pPr>
    </w:p>
    <w:p w14:paraId="773EAD35" w14:textId="77777777" w:rsidR="000E6C90" w:rsidRDefault="00555826">
      <w:pPr>
        <w:pStyle w:val="BodyText"/>
        <w:ind w:left="111"/>
      </w:pPr>
      <w:r>
        <w:t>We are committed to narrowing and closing opportunity and achievement gaps for these student sub-groups.</w:t>
      </w:r>
    </w:p>
    <w:p w14:paraId="773EAD36" w14:textId="77777777" w:rsidR="000E6C90" w:rsidRDefault="000E6C90">
      <w:pPr>
        <w:pStyle w:val="BodyText"/>
        <w:spacing w:before="8"/>
      </w:pPr>
    </w:p>
    <w:p w14:paraId="773EAD37" w14:textId="77777777" w:rsidR="000E6C90" w:rsidRDefault="00555826">
      <w:pPr>
        <w:pStyle w:val="Heading1"/>
      </w:pPr>
      <w:bookmarkStart w:id="2" w:name="→_Commitment_2:_Using_Evidence-Based_Pro"/>
      <w:bookmarkEnd w:id="2"/>
      <w:r>
        <w:rPr>
          <w:rFonts w:ascii="Microsoft Sans Serif" w:hAnsi="Microsoft Sans Serif"/>
          <w:b w:val="0"/>
          <w:color w:val="2D74B5"/>
        </w:rPr>
        <w:t xml:space="preserve">→ </w:t>
      </w:r>
      <w:r>
        <w:rPr>
          <w:color w:val="2D74B5"/>
        </w:rPr>
        <w:t>Commitment 2: Using Evidence-Based Programs to Close Gaps</w:t>
      </w:r>
    </w:p>
    <w:p w14:paraId="773EAD38" w14:textId="77777777" w:rsidR="000E6C90" w:rsidRDefault="00555826">
      <w:pPr>
        <w:pStyle w:val="Heading2"/>
        <w:spacing w:before="71"/>
        <w:ind w:right="1193"/>
      </w:pPr>
      <w:bookmarkStart w:id="3" w:name="What_evidence-based_programs_will_your_c"/>
      <w:bookmarkEnd w:id="3"/>
      <w:r>
        <w:rPr>
          <w:color w:val="1F3863"/>
        </w:rPr>
        <w:t xml:space="preserve">What evidence-based programs will your charter school </w:t>
      </w:r>
      <w:r>
        <w:rPr>
          <w:color w:val="1F3863"/>
          <w:sz w:val="23"/>
        </w:rPr>
        <w:t xml:space="preserve">adopt, deepen, or continue </w:t>
      </w:r>
      <w:r>
        <w:rPr>
          <w:color w:val="1F3863"/>
        </w:rPr>
        <w:t>to best support the closure of achievement and opportunity gaps? What resources will you allocate to these programs?</w:t>
      </w:r>
    </w:p>
    <w:p w14:paraId="773EAD39" w14:textId="77777777" w:rsidR="000E6C90" w:rsidRDefault="000E6C90">
      <w:pPr>
        <w:pStyle w:val="BodyText"/>
        <w:spacing w:before="9"/>
        <w:rPr>
          <w:b/>
          <w:sz w:val="21"/>
        </w:rPr>
      </w:pPr>
    </w:p>
    <w:p w14:paraId="773EAD3A" w14:textId="77777777" w:rsidR="000E6C90" w:rsidRDefault="00555826">
      <w:pPr>
        <w:spacing w:before="1"/>
        <w:ind w:left="111"/>
        <w:rPr>
          <w:sz w:val="20"/>
        </w:rPr>
      </w:pPr>
      <w:r>
        <w:rPr>
          <w:b/>
          <w:sz w:val="20"/>
        </w:rPr>
        <w:t xml:space="preserve">Evidence-based program #1: Inclusion for students with disabilities and co-teaching. </w:t>
      </w:r>
      <w:r>
        <w:rPr>
          <w:sz w:val="20"/>
        </w:rPr>
        <w:t xml:space="preserve">This is one of the Department’s identified examples. We will continue heterogeneous grouping of </w:t>
      </w:r>
      <w:proofErr w:type="gramStart"/>
      <w:r>
        <w:rPr>
          <w:sz w:val="20"/>
        </w:rPr>
        <w:t>students</w:t>
      </w:r>
      <w:proofErr w:type="gramEnd"/>
      <w:r>
        <w:rPr>
          <w:sz w:val="20"/>
        </w:rPr>
        <w:t xml:space="preserve"> school-wide and practice co-teaching in Divisions 1 &amp; 2 (grades 7- 10); we would expect this practice to continue for the next two years.</w:t>
      </w:r>
    </w:p>
    <w:p w14:paraId="773EAD3B" w14:textId="77777777" w:rsidR="000E6C90" w:rsidRDefault="000E6C90">
      <w:pPr>
        <w:pStyle w:val="BodyText"/>
        <w:spacing w:before="4"/>
        <w:rPr>
          <w:sz w:val="21"/>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59"/>
        <w:gridCol w:w="5662"/>
      </w:tblGrid>
      <w:tr w:rsidR="000E6C90" w14:paraId="773EAD3F" w14:textId="77777777">
        <w:trPr>
          <w:trHeight w:hRule="exact" w:val="288"/>
        </w:trPr>
        <w:tc>
          <w:tcPr>
            <w:tcW w:w="3082" w:type="dxa"/>
            <w:shd w:val="clear" w:color="auto" w:fill="DADADA"/>
          </w:tcPr>
          <w:p w14:paraId="773EAD3C" w14:textId="77777777" w:rsidR="000E6C90" w:rsidRDefault="00555826">
            <w:pPr>
              <w:pStyle w:val="TableParagraph"/>
              <w:spacing w:line="236" w:lineRule="exact"/>
              <w:ind w:left="100"/>
              <w:rPr>
                <w:b/>
                <w:sz w:val="20"/>
              </w:rPr>
            </w:pPr>
            <w:r>
              <w:rPr>
                <w:b/>
                <w:sz w:val="20"/>
              </w:rPr>
              <w:t>FY21 budget item</w:t>
            </w:r>
          </w:p>
        </w:tc>
        <w:tc>
          <w:tcPr>
            <w:tcW w:w="1759" w:type="dxa"/>
            <w:shd w:val="clear" w:color="auto" w:fill="DADADA"/>
          </w:tcPr>
          <w:p w14:paraId="773EAD3D" w14:textId="77777777" w:rsidR="000E6C90" w:rsidRDefault="00555826">
            <w:pPr>
              <w:pStyle w:val="TableParagraph"/>
              <w:spacing w:line="236" w:lineRule="exact"/>
              <w:ind w:left="103"/>
              <w:rPr>
                <w:b/>
                <w:sz w:val="20"/>
              </w:rPr>
            </w:pPr>
            <w:r>
              <w:rPr>
                <w:b/>
                <w:sz w:val="20"/>
              </w:rPr>
              <w:t>Amount</w:t>
            </w:r>
          </w:p>
        </w:tc>
        <w:tc>
          <w:tcPr>
            <w:tcW w:w="5662" w:type="dxa"/>
            <w:shd w:val="clear" w:color="auto" w:fill="DADADA"/>
          </w:tcPr>
          <w:p w14:paraId="773EAD3E" w14:textId="77777777" w:rsidR="000E6C90" w:rsidRDefault="00555826">
            <w:pPr>
              <w:pStyle w:val="TableParagraph"/>
              <w:spacing w:line="236" w:lineRule="exact"/>
              <w:ind w:left="105"/>
              <w:rPr>
                <w:b/>
                <w:sz w:val="20"/>
              </w:rPr>
            </w:pPr>
            <w:r>
              <w:rPr>
                <w:b/>
                <w:sz w:val="20"/>
              </w:rPr>
              <w:t>Foundation Category</w:t>
            </w:r>
          </w:p>
        </w:tc>
      </w:tr>
      <w:tr w:rsidR="000E6C90" w14:paraId="773EAD43" w14:textId="77777777">
        <w:trPr>
          <w:trHeight w:hRule="exact" w:val="310"/>
        </w:trPr>
        <w:tc>
          <w:tcPr>
            <w:tcW w:w="3082" w:type="dxa"/>
            <w:tcBorders>
              <w:top w:val="single" w:sz="10" w:space="0" w:color="DADADA"/>
            </w:tcBorders>
          </w:tcPr>
          <w:p w14:paraId="773EAD40" w14:textId="77777777" w:rsidR="000E6C90" w:rsidRDefault="00555826">
            <w:pPr>
              <w:pStyle w:val="TableParagraph"/>
              <w:spacing w:before="13"/>
              <w:ind w:left="74"/>
              <w:rPr>
                <w:sz w:val="20"/>
              </w:rPr>
            </w:pPr>
            <w:r>
              <w:rPr>
                <w:sz w:val="20"/>
              </w:rPr>
              <w:t>12 teachers</w:t>
            </w:r>
          </w:p>
        </w:tc>
        <w:tc>
          <w:tcPr>
            <w:tcW w:w="1759" w:type="dxa"/>
            <w:tcBorders>
              <w:top w:val="single" w:sz="10" w:space="0" w:color="DADADA"/>
            </w:tcBorders>
          </w:tcPr>
          <w:p w14:paraId="773EAD41" w14:textId="77777777" w:rsidR="000E6C90" w:rsidRDefault="00555826">
            <w:pPr>
              <w:pStyle w:val="TableParagraph"/>
              <w:spacing w:before="13"/>
              <w:ind w:left="91"/>
              <w:rPr>
                <w:sz w:val="20"/>
              </w:rPr>
            </w:pPr>
            <w:r>
              <w:rPr>
                <w:sz w:val="20"/>
              </w:rPr>
              <w:t>$700,000</w:t>
            </w:r>
          </w:p>
        </w:tc>
        <w:tc>
          <w:tcPr>
            <w:tcW w:w="5662" w:type="dxa"/>
            <w:tcBorders>
              <w:top w:val="single" w:sz="10" w:space="0" w:color="DADADA"/>
            </w:tcBorders>
          </w:tcPr>
          <w:p w14:paraId="773EAD42" w14:textId="77777777" w:rsidR="000E6C90" w:rsidRDefault="00555826">
            <w:pPr>
              <w:pStyle w:val="TableParagraph"/>
              <w:spacing w:before="13"/>
              <w:ind w:left="91"/>
              <w:rPr>
                <w:sz w:val="20"/>
              </w:rPr>
            </w:pPr>
            <w:r>
              <w:rPr>
                <w:sz w:val="20"/>
              </w:rPr>
              <w:t>Classroom &amp; Specialist Teachers</w:t>
            </w:r>
          </w:p>
        </w:tc>
      </w:tr>
      <w:tr w:rsidR="000E6C90" w14:paraId="773EAD46" w14:textId="77777777">
        <w:trPr>
          <w:trHeight w:hRule="exact" w:val="302"/>
        </w:trPr>
        <w:tc>
          <w:tcPr>
            <w:tcW w:w="4841" w:type="dxa"/>
            <w:gridSpan w:val="2"/>
            <w:shd w:val="clear" w:color="auto" w:fill="DADADA"/>
          </w:tcPr>
          <w:p w14:paraId="773EAD44" w14:textId="77777777" w:rsidR="000E6C90" w:rsidRDefault="00555826">
            <w:pPr>
              <w:pStyle w:val="TableParagraph"/>
              <w:spacing w:line="243" w:lineRule="exact"/>
              <w:ind w:left="91"/>
              <w:rPr>
                <w:b/>
                <w:sz w:val="20"/>
              </w:rPr>
            </w:pPr>
            <w:r>
              <w:rPr>
                <w:b/>
                <w:sz w:val="20"/>
              </w:rPr>
              <w:t>Evidence-based program identified by the Department:</w:t>
            </w:r>
          </w:p>
        </w:tc>
        <w:tc>
          <w:tcPr>
            <w:tcW w:w="5662" w:type="dxa"/>
          </w:tcPr>
          <w:p w14:paraId="773EAD45" w14:textId="77777777" w:rsidR="000E6C90" w:rsidRDefault="00555826">
            <w:pPr>
              <w:pStyle w:val="TableParagraph"/>
              <w:spacing w:before="16"/>
              <w:ind w:left="91"/>
              <w:rPr>
                <w:sz w:val="20"/>
              </w:rPr>
            </w:pPr>
            <w:r>
              <w:rPr>
                <w:sz w:val="20"/>
              </w:rPr>
              <w:t>Inclusion/co-teaching for students with disabilities</w:t>
            </w:r>
          </w:p>
        </w:tc>
      </w:tr>
      <w:tr w:rsidR="000E6C90" w14:paraId="773EAD49" w14:textId="77777777">
        <w:trPr>
          <w:trHeight w:hRule="exact" w:val="302"/>
        </w:trPr>
        <w:tc>
          <w:tcPr>
            <w:tcW w:w="4841" w:type="dxa"/>
            <w:gridSpan w:val="2"/>
            <w:shd w:val="clear" w:color="auto" w:fill="DADADA"/>
          </w:tcPr>
          <w:p w14:paraId="773EAD47" w14:textId="77777777" w:rsidR="000E6C90" w:rsidRDefault="00555826">
            <w:pPr>
              <w:pStyle w:val="TableParagraph"/>
              <w:spacing w:before="18"/>
              <w:ind w:left="91"/>
              <w:rPr>
                <w:b/>
                <w:sz w:val="20"/>
              </w:rPr>
            </w:pPr>
            <w:r>
              <w:rPr>
                <w:b/>
                <w:sz w:val="20"/>
              </w:rPr>
              <w:t>SOA program categories:</w:t>
            </w:r>
          </w:p>
        </w:tc>
        <w:tc>
          <w:tcPr>
            <w:tcW w:w="5662" w:type="dxa"/>
          </w:tcPr>
          <w:p w14:paraId="773EAD48" w14:textId="77777777" w:rsidR="000E6C90" w:rsidRDefault="00555826">
            <w:pPr>
              <w:pStyle w:val="TableParagraph"/>
              <w:spacing w:before="16"/>
              <w:ind w:left="91"/>
              <w:rPr>
                <w:sz w:val="20"/>
              </w:rPr>
            </w:pPr>
            <w:r>
              <w:rPr>
                <w:sz w:val="20"/>
              </w:rPr>
              <w:t>Hiring school personnel (D)</w:t>
            </w:r>
          </w:p>
        </w:tc>
      </w:tr>
    </w:tbl>
    <w:p w14:paraId="773EAD4A" w14:textId="77777777" w:rsidR="000E6C90" w:rsidRDefault="000E6C90">
      <w:pPr>
        <w:pStyle w:val="BodyText"/>
        <w:spacing w:before="6"/>
        <w:rPr>
          <w:sz w:val="21"/>
        </w:rPr>
      </w:pPr>
    </w:p>
    <w:p w14:paraId="773EAD4B" w14:textId="77777777" w:rsidR="000E6C90" w:rsidRDefault="00555826">
      <w:pPr>
        <w:pStyle w:val="BodyText"/>
        <w:spacing w:before="1"/>
        <w:ind w:left="111" w:right="179"/>
        <w:jc w:val="both"/>
      </w:pPr>
      <w:r>
        <w:rPr>
          <w:b/>
        </w:rPr>
        <w:t xml:space="preserve">Evidence-based program #2: Common Planning Time. </w:t>
      </w:r>
      <w:r>
        <w:t xml:space="preserve">Strategic scheduling to allow for teacher common planning time; this is one of the Department’s identified examples.  We will continue to build common planning time into teacher schedules, support teams in self-facilitating that time as they work toward shared visions and </w:t>
      </w:r>
      <w:proofErr w:type="gramStart"/>
      <w:r>
        <w:t>goals, and</w:t>
      </w:r>
      <w:proofErr w:type="gramEnd"/>
      <w:r>
        <w:t xml:space="preserve"> examine student work. Common planning time will support both of the identified sub-groups; we expect this practice to continue for the next two years.</w:t>
      </w:r>
    </w:p>
    <w:p w14:paraId="773EAD4C" w14:textId="77777777" w:rsidR="000E6C90" w:rsidRDefault="000E6C90">
      <w:pPr>
        <w:pStyle w:val="BodyText"/>
        <w:spacing w:before="4"/>
        <w:rPr>
          <w:sz w:val="21"/>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1706"/>
        <w:gridCol w:w="5686"/>
      </w:tblGrid>
      <w:tr w:rsidR="000E6C90" w14:paraId="773EAD50" w14:textId="77777777">
        <w:trPr>
          <w:trHeight w:hRule="exact" w:val="287"/>
        </w:trPr>
        <w:tc>
          <w:tcPr>
            <w:tcW w:w="3070" w:type="dxa"/>
            <w:shd w:val="clear" w:color="auto" w:fill="DADADA"/>
          </w:tcPr>
          <w:p w14:paraId="773EAD4D" w14:textId="77777777" w:rsidR="000E6C90" w:rsidRDefault="00555826">
            <w:pPr>
              <w:pStyle w:val="TableParagraph"/>
              <w:spacing w:line="236" w:lineRule="exact"/>
              <w:ind w:left="100"/>
              <w:rPr>
                <w:b/>
                <w:sz w:val="20"/>
              </w:rPr>
            </w:pPr>
            <w:r>
              <w:rPr>
                <w:b/>
                <w:sz w:val="20"/>
              </w:rPr>
              <w:t>FY21 budget item</w:t>
            </w:r>
          </w:p>
        </w:tc>
        <w:tc>
          <w:tcPr>
            <w:tcW w:w="1706" w:type="dxa"/>
            <w:shd w:val="clear" w:color="auto" w:fill="DADADA"/>
          </w:tcPr>
          <w:p w14:paraId="773EAD4E" w14:textId="77777777" w:rsidR="000E6C90" w:rsidRDefault="00555826">
            <w:pPr>
              <w:pStyle w:val="TableParagraph"/>
              <w:spacing w:line="236" w:lineRule="exact"/>
              <w:ind w:left="103"/>
              <w:rPr>
                <w:b/>
                <w:sz w:val="20"/>
              </w:rPr>
            </w:pPr>
            <w:r>
              <w:rPr>
                <w:b/>
                <w:sz w:val="20"/>
              </w:rPr>
              <w:t>Amount</w:t>
            </w:r>
          </w:p>
        </w:tc>
        <w:tc>
          <w:tcPr>
            <w:tcW w:w="5686" w:type="dxa"/>
            <w:shd w:val="clear" w:color="auto" w:fill="DADADA"/>
          </w:tcPr>
          <w:p w14:paraId="773EAD4F" w14:textId="77777777" w:rsidR="000E6C90" w:rsidRDefault="00555826">
            <w:pPr>
              <w:pStyle w:val="TableParagraph"/>
              <w:spacing w:line="236" w:lineRule="exact"/>
              <w:ind w:left="105"/>
              <w:rPr>
                <w:b/>
                <w:sz w:val="20"/>
              </w:rPr>
            </w:pPr>
            <w:r>
              <w:rPr>
                <w:b/>
                <w:sz w:val="20"/>
              </w:rPr>
              <w:t>Foundation Category</w:t>
            </w:r>
          </w:p>
        </w:tc>
      </w:tr>
      <w:tr w:rsidR="000E6C90" w14:paraId="773EAD54" w14:textId="77777777">
        <w:trPr>
          <w:trHeight w:hRule="exact" w:val="308"/>
        </w:trPr>
        <w:tc>
          <w:tcPr>
            <w:tcW w:w="3070" w:type="dxa"/>
            <w:tcBorders>
              <w:top w:val="single" w:sz="10" w:space="0" w:color="DADADA"/>
              <w:bottom w:val="single" w:sz="10" w:space="0" w:color="DADADA"/>
            </w:tcBorders>
          </w:tcPr>
          <w:p w14:paraId="773EAD51" w14:textId="77777777" w:rsidR="000E6C90" w:rsidRDefault="00555826">
            <w:pPr>
              <w:pStyle w:val="TableParagraph"/>
              <w:spacing w:before="12"/>
              <w:ind w:left="74"/>
              <w:rPr>
                <w:sz w:val="20"/>
              </w:rPr>
            </w:pPr>
            <w:r>
              <w:rPr>
                <w:sz w:val="20"/>
              </w:rPr>
              <w:t>Daily common planning time</w:t>
            </w:r>
          </w:p>
        </w:tc>
        <w:tc>
          <w:tcPr>
            <w:tcW w:w="1706" w:type="dxa"/>
            <w:tcBorders>
              <w:top w:val="single" w:sz="10" w:space="0" w:color="DADADA"/>
              <w:bottom w:val="single" w:sz="10" w:space="0" w:color="DADADA"/>
            </w:tcBorders>
          </w:tcPr>
          <w:p w14:paraId="773EAD52" w14:textId="77777777" w:rsidR="000E6C90" w:rsidRDefault="00555826">
            <w:pPr>
              <w:pStyle w:val="TableParagraph"/>
              <w:spacing w:before="12"/>
              <w:rPr>
                <w:sz w:val="20"/>
              </w:rPr>
            </w:pPr>
            <w:r>
              <w:rPr>
                <w:sz w:val="20"/>
              </w:rPr>
              <w:t>$560,000</w:t>
            </w:r>
          </w:p>
        </w:tc>
        <w:tc>
          <w:tcPr>
            <w:tcW w:w="5686" w:type="dxa"/>
            <w:tcBorders>
              <w:top w:val="single" w:sz="10" w:space="0" w:color="DADADA"/>
            </w:tcBorders>
          </w:tcPr>
          <w:p w14:paraId="773EAD53" w14:textId="77777777" w:rsidR="000E6C90" w:rsidRDefault="00555826">
            <w:pPr>
              <w:pStyle w:val="TableParagraph"/>
              <w:spacing w:before="12"/>
              <w:rPr>
                <w:sz w:val="20"/>
              </w:rPr>
            </w:pPr>
            <w:r>
              <w:rPr>
                <w:sz w:val="20"/>
              </w:rPr>
              <w:t>Instructional Leadership</w:t>
            </w:r>
          </w:p>
        </w:tc>
      </w:tr>
      <w:tr w:rsidR="000E6C90" w14:paraId="773EAD57" w14:textId="77777777">
        <w:trPr>
          <w:trHeight w:hRule="exact" w:val="302"/>
        </w:trPr>
        <w:tc>
          <w:tcPr>
            <w:tcW w:w="4776" w:type="dxa"/>
            <w:gridSpan w:val="2"/>
            <w:shd w:val="clear" w:color="auto" w:fill="DADADA"/>
          </w:tcPr>
          <w:p w14:paraId="773EAD55" w14:textId="77777777" w:rsidR="000E6C90" w:rsidRDefault="00555826">
            <w:pPr>
              <w:pStyle w:val="TableParagraph"/>
              <w:spacing w:line="243" w:lineRule="exact"/>
              <w:ind w:left="60"/>
              <w:rPr>
                <w:b/>
                <w:sz w:val="20"/>
              </w:rPr>
            </w:pPr>
            <w:r>
              <w:rPr>
                <w:b/>
                <w:sz w:val="20"/>
              </w:rPr>
              <w:t>Evidence-based program identified by the Department:</w:t>
            </w:r>
          </w:p>
        </w:tc>
        <w:tc>
          <w:tcPr>
            <w:tcW w:w="5686" w:type="dxa"/>
          </w:tcPr>
          <w:p w14:paraId="773EAD56" w14:textId="77777777" w:rsidR="000E6C90" w:rsidRDefault="00555826">
            <w:pPr>
              <w:pStyle w:val="TableParagraph"/>
              <w:spacing w:before="16"/>
              <w:rPr>
                <w:sz w:val="20"/>
              </w:rPr>
            </w:pPr>
            <w:r>
              <w:rPr>
                <w:sz w:val="20"/>
              </w:rPr>
              <w:t>Strategic scheduling for teacher common planning time</w:t>
            </w:r>
          </w:p>
        </w:tc>
      </w:tr>
      <w:tr w:rsidR="000E6C90" w14:paraId="773EAD5A" w14:textId="77777777">
        <w:trPr>
          <w:trHeight w:hRule="exact" w:val="302"/>
        </w:trPr>
        <w:tc>
          <w:tcPr>
            <w:tcW w:w="4776" w:type="dxa"/>
            <w:gridSpan w:val="2"/>
            <w:shd w:val="clear" w:color="auto" w:fill="DADADA"/>
          </w:tcPr>
          <w:p w14:paraId="773EAD58" w14:textId="77777777" w:rsidR="000E6C90" w:rsidRDefault="00555826">
            <w:pPr>
              <w:pStyle w:val="TableParagraph"/>
              <w:spacing w:before="18"/>
              <w:ind w:left="60"/>
              <w:rPr>
                <w:b/>
                <w:sz w:val="20"/>
              </w:rPr>
            </w:pPr>
            <w:r>
              <w:rPr>
                <w:b/>
                <w:sz w:val="20"/>
              </w:rPr>
              <w:t>SOA program categories:</w:t>
            </w:r>
          </w:p>
        </w:tc>
        <w:tc>
          <w:tcPr>
            <w:tcW w:w="5686" w:type="dxa"/>
          </w:tcPr>
          <w:p w14:paraId="773EAD59" w14:textId="77777777" w:rsidR="000E6C90" w:rsidRDefault="00555826">
            <w:pPr>
              <w:pStyle w:val="TableParagraph"/>
              <w:spacing w:before="16"/>
              <w:rPr>
                <w:sz w:val="20"/>
              </w:rPr>
            </w:pPr>
            <w:r>
              <w:rPr>
                <w:sz w:val="20"/>
              </w:rPr>
              <w:t>Professional development (E)</w:t>
            </w:r>
          </w:p>
        </w:tc>
      </w:tr>
    </w:tbl>
    <w:p w14:paraId="773EAD5B" w14:textId="77777777" w:rsidR="000E6C90" w:rsidRDefault="000E6C90">
      <w:pPr>
        <w:pStyle w:val="BodyText"/>
        <w:spacing w:before="9"/>
        <w:rPr>
          <w:sz w:val="21"/>
        </w:rPr>
      </w:pPr>
    </w:p>
    <w:p w14:paraId="773EAD5C" w14:textId="77777777" w:rsidR="000E6C90" w:rsidRDefault="00555826">
      <w:pPr>
        <w:ind w:left="111"/>
        <w:rPr>
          <w:sz w:val="20"/>
        </w:rPr>
      </w:pPr>
      <w:r>
        <w:rPr>
          <w:b/>
          <w:sz w:val="20"/>
        </w:rPr>
        <w:t xml:space="preserve">Evidence-based program #3: Diversify educator workforce through recruitment &amp; retention. </w:t>
      </w:r>
      <w:r>
        <w:rPr>
          <w:sz w:val="20"/>
        </w:rPr>
        <w:t>This is one of the Department’s identified examples. We will add financial incentives such as loan repayment reimbursement and relocation assistance to support teacher candidate recruitment efforts into the New Teachers Collaborative, an alternative teacher licensure program at Parker.</w:t>
      </w:r>
    </w:p>
    <w:p w14:paraId="773EAD5D" w14:textId="77777777" w:rsidR="000E6C90" w:rsidRDefault="00555826">
      <w:pPr>
        <w:pStyle w:val="BodyText"/>
        <w:ind w:left="111"/>
      </w:pPr>
      <w:r>
        <w:t>This would be a new program, not a continuation of a current program (so it’s not in the FY21 budget).</w:t>
      </w:r>
    </w:p>
    <w:p w14:paraId="773EAD5E" w14:textId="77777777" w:rsidR="000E6C90" w:rsidRDefault="000E6C90">
      <w:pPr>
        <w:pStyle w:val="BodyText"/>
        <w:spacing w:before="3" w:after="1"/>
        <w:rPr>
          <w:sz w:val="21"/>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1706"/>
        <w:gridCol w:w="5686"/>
      </w:tblGrid>
      <w:tr w:rsidR="000E6C90" w14:paraId="773EAD62" w14:textId="77777777">
        <w:trPr>
          <w:trHeight w:hRule="exact" w:val="288"/>
        </w:trPr>
        <w:tc>
          <w:tcPr>
            <w:tcW w:w="3070" w:type="dxa"/>
            <w:shd w:val="clear" w:color="auto" w:fill="DADADA"/>
          </w:tcPr>
          <w:p w14:paraId="773EAD5F" w14:textId="77777777" w:rsidR="000E6C90" w:rsidRDefault="00555826">
            <w:pPr>
              <w:pStyle w:val="TableParagraph"/>
              <w:spacing w:line="236" w:lineRule="exact"/>
              <w:ind w:left="100"/>
              <w:rPr>
                <w:b/>
                <w:sz w:val="20"/>
              </w:rPr>
            </w:pPr>
            <w:r>
              <w:rPr>
                <w:b/>
                <w:sz w:val="20"/>
              </w:rPr>
              <w:t>FY21 budget item</w:t>
            </w:r>
          </w:p>
        </w:tc>
        <w:tc>
          <w:tcPr>
            <w:tcW w:w="1706" w:type="dxa"/>
            <w:shd w:val="clear" w:color="auto" w:fill="DADADA"/>
          </w:tcPr>
          <w:p w14:paraId="773EAD60" w14:textId="77777777" w:rsidR="000E6C90" w:rsidRDefault="00555826">
            <w:pPr>
              <w:pStyle w:val="TableParagraph"/>
              <w:spacing w:line="236" w:lineRule="exact"/>
              <w:ind w:left="103"/>
              <w:rPr>
                <w:b/>
                <w:sz w:val="20"/>
              </w:rPr>
            </w:pPr>
            <w:r>
              <w:rPr>
                <w:b/>
                <w:sz w:val="20"/>
              </w:rPr>
              <w:t>Amount</w:t>
            </w:r>
          </w:p>
        </w:tc>
        <w:tc>
          <w:tcPr>
            <w:tcW w:w="5686" w:type="dxa"/>
            <w:shd w:val="clear" w:color="auto" w:fill="DADADA"/>
          </w:tcPr>
          <w:p w14:paraId="773EAD61" w14:textId="77777777" w:rsidR="000E6C90" w:rsidRDefault="00555826">
            <w:pPr>
              <w:pStyle w:val="TableParagraph"/>
              <w:spacing w:line="236" w:lineRule="exact"/>
              <w:ind w:left="105"/>
              <w:rPr>
                <w:b/>
                <w:sz w:val="20"/>
              </w:rPr>
            </w:pPr>
            <w:r>
              <w:rPr>
                <w:b/>
                <w:sz w:val="20"/>
              </w:rPr>
              <w:t>Foundation Category</w:t>
            </w:r>
          </w:p>
        </w:tc>
      </w:tr>
      <w:tr w:rsidR="000E6C90" w14:paraId="773EAD66" w14:textId="77777777">
        <w:trPr>
          <w:trHeight w:hRule="exact" w:val="310"/>
        </w:trPr>
        <w:tc>
          <w:tcPr>
            <w:tcW w:w="3070" w:type="dxa"/>
            <w:tcBorders>
              <w:top w:val="single" w:sz="6" w:space="0" w:color="DADADA"/>
            </w:tcBorders>
          </w:tcPr>
          <w:p w14:paraId="773EAD63" w14:textId="77777777" w:rsidR="000E6C90" w:rsidRDefault="00555826">
            <w:pPr>
              <w:pStyle w:val="TableParagraph"/>
              <w:spacing w:before="18"/>
              <w:ind w:left="74"/>
              <w:rPr>
                <w:sz w:val="20"/>
              </w:rPr>
            </w:pPr>
            <w:r>
              <w:rPr>
                <w:sz w:val="20"/>
              </w:rPr>
              <w:t>*when funded</w:t>
            </w:r>
          </w:p>
        </w:tc>
        <w:tc>
          <w:tcPr>
            <w:tcW w:w="1706" w:type="dxa"/>
            <w:tcBorders>
              <w:top w:val="single" w:sz="6" w:space="0" w:color="DADADA"/>
            </w:tcBorders>
          </w:tcPr>
          <w:p w14:paraId="773EAD64" w14:textId="77777777" w:rsidR="000E6C90" w:rsidRDefault="00555826">
            <w:pPr>
              <w:pStyle w:val="TableParagraph"/>
              <w:spacing w:before="18"/>
              <w:rPr>
                <w:sz w:val="20"/>
              </w:rPr>
            </w:pPr>
            <w:r>
              <w:rPr>
                <w:sz w:val="20"/>
              </w:rPr>
              <w:t>$75,000</w:t>
            </w:r>
          </w:p>
        </w:tc>
        <w:tc>
          <w:tcPr>
            <w:tcW w:w="5686" w:type="dxa"/>
            <w:tcBorders>
              <w:top w:val="single" w:sz="6" w:space="0" w:color="DADADA"/>
            </w:tcBorders>
          </w:tcPr>
          <w:p w14:paraId="773EAD65" w14:textId="77777777" w:rsidR="000E6C90" w:rsidRDefault="00555826">
            <w:pPr>
              <w:pStyle w:val="TableParagraph"/>
              <w:spacing w:before="18"/>
              <w:rPr>
                <w:sz w:val="20"/>
              </w:rPr>
            </w:pPr>
            <w:r>
              <w:rPr>
                <w:sz w:val="20"/>
              </w:rPr>
              <w:t>Employee Benefits/Fixed Charges</w:t>
            </w:r>
          </w:p>
        </w:tc>
      </w:tr>
      <w:tr w:rsidR="000E6C90" w14:paraId="773EAD69" w14:textId="77777777">
        <w:trPr>
          <w:trHeight w:hRule="exact" w:val="300"/>
        </w:trPr>
        <w:tc>
          <w:tcPr>
            <w:tcW w:w="4776" w:type="dxa"/>
            <w:gridSpan w:val="2"/>
            <w:shd w:val="clear" w:color="auto" w:fill="DADADA"/>
          </w:tcPr>
          <w:p w14:paraId="773EAD67" w14:textId="77777777" w:rsidR="000E6C90" w:rsidRDefault="00555826">
            <w:pPr>
              <w:pStyle w:val="TableParagraph"/>
              <w:spacing w:line="243" w:lineRule="exact"/>
              <w:ind w:left="60"/>
              <w:rPr>
                <w:b/>
                <w:sz w:val="20"/>
              </w:rPr>
            </w:pPr>
            <w:r>
              <w:rPr>
                <w:b/>
                <w:sz w:val="20"/>
              </w:rPr>
              <w:t>Evidence-based program identified by the Department:</w:t>
            </w:r>
          </w:p>
        </w:tc>
        <w:tc>
          <w:tcPr>
            <w:tcW w:w="5686" w:type="dxa"/>
          </w:tcPr>
          <w:p w14:paraId="773EAD68" w14:textId="77777777" w:rsidR="000E6C90" w:rsidRDefault="00555826">
            <w:pPr>
              <w:pStyle w:val="TableParagraph"/>
              <w:spacing w:before="16"/>
              <w:rPr>
                <w:sz w:val="20"/>
              </w:rPr>
            </w:pPr>
            <w:r>
              <w:rPr>
                <w:sz w:val="20"/>
              </w:rPr>
              <w:t>Diversify educator workforce</w:t>
            </w:r>
          </w:p>
        </w:tc>
      </w:tr>
      <w:tr w:rsidR="000E6C90" w14:paraId="773EAD6C" w14:textId="77777777">
        <w:trPr>
          <w:trHeight w:hRule="exact" w:val="302"/>
        </w:trPr>
        <w:tc>
          <w:tcPr>
            <w:tcW w:w="4776" w:type="dxa"/>
            <w:gridSpan w:val="2"/>
            <w:shd w:val="clear" w:color="auto" w:fill="DADADA"/>
          </w:tcPr>
          <w:p w14:paraId="773EAD6A" w14:textId="77777777" w:rsidR="000E6C90" w:rsidRDefault="00555826">
            <w:pPr>
              <w:pStyle w:val="TableParagraph"/>
              <w:spacing w:before="18"/>
              <w:ind w:left="60"/>
              <w:rPr>
                <w:b/>
                <w:sz w:val="20"/>
              </w:rPr>
            </w:pPr>
            <w:r>
              <w:rPr>
                <w:b/>
                <w:sz w:val="20"/>
              </w:rPr>
              <w:t>SOA program categories:</w:t>
            </w:r>
          </w:p>
        </w:tc>
        <w:tc>
          <w:tcPr>
            <w:tcW w:w="5686" w:type="dxa"/>
          </w:tcPr>
          <w:p w14:paraId="773EAD6B" w14:textId="77777777" w:rsidR="000E6C90" w:rsidRDefault="00555826">
            <w:pPr>
              <w:pStyle w:val="TableParagraph"/>
              <w:spacing w:before="16"/>
              <w:rPr>
                <w:sz w:val="20"/>
              </w:rPr>
            </w:pPr>
            <w:r>
              <w:rPr>
                <w:sz w:val="20"/>
              </w:rPr>
              <w:t>Hiring school personnel (D)</w:t>
            </w:r>
          </w:p>
        </w:tc>
      </w:tr>
    </w:tbl>
    <w:p w14:paraId="773EAD6D" w14:textId="77777777" w:rsidR="000E6C90" w:rsidRDefault="000E6C90">
      <w:pPr>
        <w:rPr>
          <w:sz w:val="20"/>
        </w:rPr>
        <w:sectPr w:rsidR="000E6C90">
          <w:type w:val="continuous"/>
          <w:pgSz w:w="12240" w:h="15840"/>
          <w:pgMar w:top="700" w:right="640" w:bottom="280" w:left="700" w:header="720" w:footer="720" w:gutter="0"/>
          <w:cols w:space="720"/>
        </w:sectPr>
      </w:pPr>
    </w:p>
    <w:p w14:paraId="773EAD6E" w14:textId="77777777" w:rsidR="000E6C90" w:rsidRDefault="00555826">
      <w:pPr>
        <w:pStyle w:val="Heading1"/>
        <w:spacing w:before="79"/>
        <w:ind w:left="111"/>
      </w:pPr>
      <w:r>
        <w:rPr>
          <w:rFonts w:ascii="Microsoft Sans Serif" w:hAnsi="Microsoft Sans Serif"/>
          <w:b w:val="0"/>
          <w:color w:val="2D74B5"/>
        </w:rPr>
        <w:lastRenderedPageBreak/>
        <w:t xml:space="preserve">→ </w:t>
      </w:r>
      <w:r>
        <w:rPr>
          <w:color w:val="2D74B5"/>
        </w:rPr>
        <w:t>Commitment 3: Monitoring Success with Outcome Metrics and Targets</w:t>
      </w:r>
    </w:p>
    <w:p w14:paraId="773EAD6F" w14:textId="77777777" w:rsidR="000E6C90" w:rsidRDefault="00555826">
      <w:pPr>
        <w:pStyle w:val="Heading2"/>
        <w:spacing w:before="68" w:line="242" w:lineRule="auto"/>
        <w:ind w:right="865"/>
      </w:pPr>
      <w:bookmarkStart w:id="4" w:name="What_metrics_will_your_charter_school_us"/>
      <w:bookmarkEnd w:id="4"/>
      <w:r>
        <w:rPr>
          <w:color w:val="1F3863"/>
        </w:rPr>
        <w:t>What metrics will your charter school use to monitor success in reducing disparities in achievement among student subgroups? Select from the list of Department metrics or provide your own.</w:t>
      </w:r>
    </w:p>
    <w:p w14:paraId="773EAD70" w14:textId="77777777" w:rsidR="000E6C90" w:rsidRDefault="000E6C90">
      <w:pPr>
        <w:pStyle w:val="BodyText"/>
        <w:spacing w:before="5"/>
        <w:rPr>
          <w:b/>
        </w:rPr>
      </w:pPr>
    </w:p>
    <w:tbl>
      <w:tblPr>
        <w:tblW w:w="0" w:type="auto"/>
        <w:tblInd w:w="66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39"/>
        <w:gridCol w:w="4059"/>
      </w:tblGrid>
      <w:tr w:rsidR="000E6C90" w14:paraId="773EAD7A" w14:textId="77777777">
        <w:trPr>
          <w:trHeight w:hRule="exact" w:val="2812"/>
        </w:trPr>
        <w:tc>
          <w:tcPr>
            <w:tcW w:w="3939" w:type="dxa"/>
          </w:tcPr>
          <w:p w14:paraId="773EAD71" w14:textId="77777777" w:rsidR="000E6C90" w:rsidRDefault="00555826">
            <w:pPr>
              <w:pStyle w:val="TableParagraph"/>
              <w:numPr>
                <w:ilvl w:val="0"/>
                <w:numId w:val="2"/>
              </w:numPr>
              <w:tabs>
                <w:tab w:val="left" w:pos="443"/>
              </w:tabs>
              <w:spacing w:line="217" w:lineRule="exact"/>
              <w:ind w:hanging="242"/>
              <w:rPr>
                <w:b/>
                <w:sz w:val="20"/>
              </w:rPr>
            </w:pPr>
            <w:r>
              <w:rPr>
                <w:b/>
                <w:sz w:val="20"/>
              </w:rPr>
              <w:t>Department outcome</w:t>
            </w:r>
            <w:r>
              <w:rPr>
                <w:b/>
                <w:spacing w:val="-24"/>
                <w:sz w:val="20"/>
              </w:rPr>
              <w:t xml:space="preserve"> </w:t>
            </w:r>
            <w:r>
              <w:rPr>
                <w:b/>
                <w:sz w:val="20"/>
              </w:rPr>
              <w:t>metrics:</w:t>
            </w:r>
          </w:p>
          <w:p w14:paraId="773EAD72" w14:textId="77777777" w:rsidR="000E6C90" w:rsidRDefault="00555826">
            <w:pPr>
              <w:pStyle w:val="TableParagraph"/>
              <w:numPr>
                <w:ilvl w:val="1"/>
                <w:numId w:val="2"/>
              </w:numPr>
              <w:tabs>
                <w:tab w:val="left" w:pos="800"/>
              </w:tabs>
              <w:spacing w:line="252" w:lineRule="exact"/>
              <w:rPr>
                <w:sz w:val="20"/>
              </w:rPr>
            </w:pPr>
            <w:r>
              <w:rPr>
                <w:sz w:val="20"/>
              </w:rPr>
              <w:t>Extended engagement rate</w:t>
            </w:r>
            <w:r>
              <w:rPr>
                <w:spacing w:val="-16"/>
                <w:sz w:val="20"/>
              </w:rPr>
              <w:t xml:space="preserve"> </w:t>
            </w:r>
            <w:r>
              <w:rPr>
                <w:sz w:val="20"/>
              </w:rPr>
              <w:t>(five-year</w:t>
            </w:r>
          </w:p>
          <w:p w14:paraId="773EAD73" w14:textId="77777777" w:rsidR="000E6C90" w:rsidRDefault="00555826">
            <w:pPr>
              <w:pStyle w:val="TableParagraph"/>
              <w:spacing w:before="5" w:line="244" w:lineRule="auto"/>
              <w:ind w:left="799" w:right="480"/>
              <w:rPr>
                <w:sz w:val="20"/>
              </w:rPr>
            </w:pPr>
            <w:r>
              <w:rPr>
                <w:sz w:val="20"/>
              </w:rPr>
              <w:t>cohort graduation rate plus the percentage of students from the cohort who are still enrolled)</w:t>
            </w:r>
          </w:p>
          <w:p w14:paraId="773EAD74" w14:textId="77777777" w:rsidR="000E6C90" w:rsidRDefault="00555826">
            <w:pPr>
              <w:pStyle w:val="TableParagraph"/>
              <w:numPr>
                <w:ilvl w:val="1"/>
                <w:numId w:val="2"/>
              </w:numPr>
              <w:tabs>
                <w:tab w:val="left" w:pos="800"/>
              </w:tabs>
              <w:spacing w:before="3" w:line="278" w:lineRule="auto"/>
              <w:ind w:right="198"/>
              <w:rPr>
                <w:sz w:val="20"/>
              </w:rPr>
            </w:pPr>
            <w:r>
              <w:rPr>
                <w:sz w:val="20"/>
              </w:rPr>
              <w:t>Chronic absenteeism (percentage of both groups missing 10 percent or more of their days in</w:t>
            </w:r>
            <w:r>
              <w:rPr>
                <w:spacing w:val="-13"/>
                <w:sz w:val="20"/>
              </w:rPr>
              <w:t xml:space="preserve"> </w:t>
            </w:r>
            <w:r>
              <w:rPr>
                <w:sz w:val="20"/>
              </w:rPr>
              <w:t>membership)</w:t>
            </w:r>
          </w:p>
        </w:tc>
        <w:tc>
          <w:tcPr>
            <w:tcW w:w="4059" w:type="dxa"/>
          </w:tcPr>
          <w:p w14:paraId="773EAD75" w14:textId="77777777" w:rsidR="000E6C90" w:rsidRDefault="00555826">
            <w:pPr>
              <w:pStyle w:val="TableParagraph"/>
              <w:numPr>
                <w:ilvl w:val="0"/>
                <w:numId w:val="1"/>
              </w:numPr>
              <w:tabs>
                <w:tab w:val="left" w:pos="356"/>
              </w:tabs>
              <w:spacing w:line="214" w:lineRule="exact"/>
              <w:rPr>
                <w:b/>
                <w:sz w:val="20"/>
              </w:rPr>
            </w:pPr>
            <w:r>
              <w:rPr>
                <w:b/>
                <w:sz w:val="20"/>
              </w:rPr>
              <w:t>Custom</w:t>
            </w:r>
            <w:r>
              <w:rPr>
                <w:b/>
                <w:spacing w:val="-5"/>
                <w:sz w:val="20"/>
              </w:rPr>
              <w:t xml:space="preserve"> </w:t>
            </w:r>
            <w:r>
              <w:rPr>
                <w:b/>
                <w:sz w:val="20"/>
              </w:rPr>
              <w:t>metrics:</w:t>
            </w:r>
          </w:p>
          <w:p w14:paraId="773EAD76" w14:textId="77777777" w:rsidR="000E6C90" w:rsidRDefault="00555826">
            <w:pPr>
              <w:pStyle w:val="TableParagraph"/>
              <w:numPr>
                <w:ilvl w:val="1"/>
                <w:numId w:val="1"/>
              </w:numPr>
              <w:tabs>
                <w:tab w:val="left" w:pos="713"/>
              </w:tabs>
              <w:spacing w:before="20" w:line="256" w:lineRule="exact"/>
              <w:ind w:right="483" w:hanging="268"/>
              <w:rPr>
                <w:sz w:val="20"/>
              </w:rPr>
            </w:pPr>
            <w:r>
              <w:rPr>
                <w:sz w:val="20"/>
              </w:rPr>
              <w:t>95% of students in both groups will complete a public exhibition</w:t>
            </w:r>
            <w:r>
              <w:rPr>
                <w:spacing w:val="-18"/>
                <w:sz w:val="20"/>
              </w:rPr>
              <w:t xml:space="preserve"> </w:t>
            </w:r>
            <w:r>
              <w:rPr>
                <w:sz w:val="20"/>
              </w:rPr>
              <w:t>of</w:t>
            </w:r>
          </w:p>
          <w:p w14:paraId="773EAD77" w14:textId="77777777" w:rsidR="000E6C90" w:rsidRDefault="00555826">
            <w:pPr>
              <w:pStyle w:val="TableParagraph"/>
              <w:spacing w:before="15" w:line="249" w:lineRule="auto"/>
              <w:ind w:left="712" w:right="758"/>
              <w:rPr>
                <w:sz w:val="20"/>
              </w:rPr>
            </w:pPr>
            <w:r>
              <w:rPr>
                <w:sz w:val="20"/>
              </w:rPr>
              <w:t>mastery when moving between divisions or at graduation.</w:t>
            </w:r>
          </w:p>
          <w:p w14:paraId="773EAD78" w14:textId="77777777" w:rsidR="000E6C90" w:rsidRDefault="00555826">
            <w:pPr>
              <w:pStyle w:val="TableParagraph"/>
              <w:numPr>
                <w:ilvl w:val="1"/>
                <w:numId w:val="1"/>
              </w:numPr>
              <w:tabs>
                <w:tab w:val="left" w:pos="713"/>
              </w:tabs>
              <w:spacing w:before="9" w:line="254" w:lineRule="exact"/>
              <w:ind w:right="198" w:hanging="268"/>
              <w:rPr>
                <w:sz w:val="20"/>
              </w:rPr>
            </w:pPr>
            <w:r>
              <w:rPr>
                <w:sz w:val="20"/>
              </w:rPr>
              <w:t xml:space="preserve">85% of students in both groups will agree with the statement: </w:t>
            </w:r>
            <w:r>
              <w:rPr>
                <w:rFonts w:ascii="Arial" w:hAnsi="Arial"/>
                <w:sz w:val="20"/>
              </w:rPr>
              <w:t>“</w:t>
            </w:r>
            <w:r>
              <w:rPr>
                <w:sz w:val="20"/>
              </w:rPr>
              <w:t>I have</w:t>
            </w:r>
            <w:r>
              <w:rPr>
                <w:spacing w:val="-16"/>
                <w:sz w:val="20"/>
              </w:rPr>
              <w:t xml:space="preserve"> </w:t>
            </w:r>
            <w:r>
              <w:rPr>
                <w:sz w:val="20"/>
              </w:rPr>
              <w:t>a</w:t>
            </w:r>
          </w:p>
          <w:p w14:paraId="773EAD79" w14:textId="77777777" w:rsidR="000E6C90" w:rsidRDefault="00555826">
            <w:pPr>
              <w:pStyle w:val="TableParagraph"/>
              <w:spacing w:before="15" w:line="252" w:lineRule="auto"/>
              <w:ind w:left="712" w:right="181"/>
              <w:rPr>
                <w:rFonts w:ascii="Arial" w:hAnsi="Arial"/>
                <w:sz w:val="20"/>
              </w:rPr>
            </w:pPr>
            <w:r>
              <w:rPr>
                <w:sz w:val="20"/>
              </w:rPr>
              <w:t>Personal Learning Plan that includes at least one goal unique to me and at least one goal related to the Habits of Learning.</w:t>
            </w:r>
            <w:r>
              <w:rPr>
                <w:rFonts w:ascii="Arial" w:hAnsi="Arial"/>
                <w:sz w:val="20"/>
              </w:rPr>
              <w:t>”</w:t>
            </w:r>
          </w:p>
        </w:tc>
      </w:tr>
    </w:tbl>
    <w:p w14:paraId="773EAD7B" w14:textId="77777777" w:rsidR="000E6C90" w:rsidRDefault="000E6C90">
      <w:pPr>
        <w:pStyle w:val="BodyText"/>
        <w:spacing w:before="6"/>
        <w:rPr>
          <w:b/>
          <w:sz w:val="26"/>
        </w:rPr>
      </w:pPr>
    </w:p>
    <w:p w14:paraId="773EAD7C" w14:textId="77777777" w:rsidR="000E6C90" w:rsidRDefault="00555826">
      <w:pPr>
        <w:spacing w:before="1"/>
        <w:ind w:left="127"/>
        <w:rPr>
          <w:b/>
          <w:sz w:val="25"/>
        </w:rPr>
      </w:pPr>
      <w:bookmarkStart w:id="5" w:name="→_Commitment_4:_Engaging_All_Families"/>
      <w:bookmarkEnd w:id="5"/>
      <w:r>
        <w:rPr>
          <w:rFonts w:ascii="Microsoft Sans Serif" w:hAnsi="Microsoft Sans Serif"/>
          <w:color w:val="2D74B5"/>
          <w:sz w:val="25"/>
        </w:rPr>
        <w:t xml:space="preserve">→ </w:t>
      </w:r>
      <w:bookmarkStart w:id="6" w:name="How_will_your_charter_school_ensure_that"/>
      <w:bookmarkEnd w:id="6"/>
      <w:r>
        <w:rPr>
          <w:b/>
          <w:color w:val="2D74B5"/>
          <w:sz w:val="25"/>
        </w:rPr>
        <w:t>Commitment 4: Engaging All Families</w:t>
      </w:r>
    </w:p>
    <w:p w14:paraId="773EAD7D" w14:textId="77777777" w:rsidR="000E6C90" w:rsidRDefault="00555826">
      <w:pPr>
        <w:spacing w:before="69" w:line="242" w:lineRule="auto"/>
        <w:ind w:left="127" w:right="94"/>
        <w:rPr>
          <w:b/>
        </w:rPr>
      </w:pPr>
      <w:r>
        <w:rPr>
          <w:b/>
          <w:color w:val="1F3863"/>
        </w:rPr>
        <w:t>How will your charter school ensure that all families, particularly those representing the student subgroups most in need of support, have the opportunity to meaningfully engage with the charter school regarding their students’ needs?</w:t>
      </w:r>
    </w:p>
    <w:p w14:paraId="773EAD7E" w14:textId="77777777" w:rsidR="000E6C90" w:rsidRDefault="000E6C90">
      <w:pPr>
        <w:pStyle w:val="BodyText"/>
        <w:spacing w:before="7"/>
        <w:rPr>
          <w:b/>
          <w:sz w:val="21"/>
        </w:rPr>
      </w:pPr>
    </w:p>
    <w:p w14:paraId="773EAD7F" w14:textId="77777777" w:rsidR="000E6C90" w:rsidRDefault="00555826">
      <w:pPr>
        <w:pStyle w:val="BodyText"/>
        <w:ind w:left="111" w:right="135"/>
      </w:pPr>
      <w:r>
        <w:t>Parker views parents and guardians as key collaborators in supporting student growth and achievement. In addition to a weekly newsletter, Essential Community Organization (ECO) activities, SPEDPAC, orientation programs, periodic surveys, and student-led conferences each semester, we will explore additional means of engaging families in these two subgroups.</w:t>
      </w:r>
    </w:p>
    <w:p w14:paraId="773EAD80" w14:textId="77777777" w:rsidR="000E6C90" w:rsidRDefault="000E6C90">
      <w:pPr>
        <w:pStyle w:val="BodyText"/>
        <w:spacing w:before="8"/>
      </w:pPr>
    </w:p>
    <w:p w14:paraId="773EAD81" w14:textId="77777777" w:rsidR="000E6C90" w:rsidRDefault="00555826">
      <w:pPr>
        <w:spacing w:line="302" w:lineRule="exact"/>
        <w:ind w:left="120"/>
        <w:rPr>
          <w:b/>
          <w:sz w:val="26"/>
        </w:rPr>
      </w:pPr>
      <w:r>
        <w:rPr>
          <w:b/>
          <w:color w:val="2D74B5"/>
          <w:sz w:val="26"/>
        </w:rPr>
        <w:t>Certifications:</w:t>
      </w:r>
    </w:p>
    <w:p w14:paraId="773EAD82" w14:textId="77777777" w:rsidR="000E6C90" w:rsidRDefault="00555826">
      <w:pPr>
        <w:pStyle w:val="Heading2"/>
        <w:spacing w:before="23" w:line="272" w:lineRule="exact"/>
        <w:ind w:left="128" w:right="402" w:hanging="1"/>
      </w:pPr>
      <w:r>
        <w:rPr>
          <w:rFonts w:ascii="MS Gothic" w:hAnsi="MS Gothic"/>
          <w:color w:val="1F3863"/>
        </w:rPr>
        <w:t xml:space="preserve">☒ </w:t>
      </w:r>
      <w:r>
        <w:rPr>
          <w:color w:val="1F3863"/>
        </w:rPr>
        <w:t>By checking here, I certify that our charter school has engaged stakeholders in our community in accordance with the Student Opportunity Act</w:t>
      </w:r>
    </w:p>
    <w:p w14:paraId="773EAD83" w14:textId="77777777" w:rsidR="000E6C90" w:rsidRDefault="000E6C90">
      <w:pPr>
        <w:pStyle w:val="BodyText"/>
        <w:spacing w:before="10"/>
        <w:rPr>
          <w:b/>
        </w:rPr>
      </w:pPr>
    </w:p>
    <w:p w14:paraId="773EAD84" w14:textId="77777777" w:rsidR="000E6C90" w:rsidRDefault="00555826">
      <w:pPr>
        <w:pStyle w:val="BodyText"/>
        <w:ind w:left="127"/>
      </w:pPr>
      <w:r>
        <w:t>In developing this plan Parker engaged students, parents, and staff through routine periodic surveys. We engaged parents of students with disabilities through the Parker PAC. Faculty and staff members of an anti-racism task force helped identify opportunity gaps and next steps in addressing needs of students of color. Members of the New Teachers Collaborative program contributed ideas about improving educator recruitment and retention.</w:t>
      </w:r>
    </w:p>
    <w:p w14:paraId="773EAD85" w14:textId="77777777" w:rsidR="000E6C90" w:rsidRDefault="000E6C90">
      <w:pPr>
        <w:pStyle w:val="BodyText"/>
        <w:spacing w:before="4"/>
        <w:rPr>
          <w:sz w:val="17"/>
        </w:rPr>
      </w:pPr>
    </w:p>
    <w:p w14:paraId="773EAD86" w14:textId="18953E45" w:rsidR="000E6C90" w:rsidRDefault="00CB5ECA">
      <w:pPr>
        <w:pStyle w:val="Heading2"/>
        <w:spacing w:line="242" w:lineRule="auto"/>
        <w:ind w:left="128" w:hanging="1"/>
      </w:pPr>
      <w:r>
        <w:rPr>
          <w:rFonts w:ascii="MS Gothic" w:hAnsi="MS Gothic"/>
          <w:color w:val="1F3863"/>
        </w:rPr>
        <w:t>☒</w:t>
      </w:r>
      <w:r w:rsidR="00555826">
        <w:rPr>
          <w:rFonts w:ascii="MS Gothic" w:hAnsi="MS Gothic"/>
          <w:color w:val="1F3863"/>
          <w:spacing w:val="-78"/>
        </w:rPr>
        <w:t xml:space="preserve"> </w:t>
      </w:r>
      <w:r w:rsidR="00555826">
        <w:rPr>
          <w:color w:val="1F3863"/>
        </w:rPr>
        <w:t>By checking here, I certify that the Francis W. Parker Charter Essential School Board of Trustees voted on our Student Opportunity Act Plan.</w:t>
      </w:r>
    </w:p>
    <w:p w14:paraId="773EAD87" w14:textId="77777777" w:rsidR="000E6C90" w:rsidRDefault="000E6C90">
      <w:pPr>
        <w:pStyle w:val="BodyText"/>
        <w:spacing w:before="12"/>
        <w:rPr>
          <w:b/>
          <w:sz w:val="31"/>
        </w:rPr>
      </w:pPr>
    </w:p>
    <w:p w14:paraId="773EAD88" w14:textId="7D18DFD9" w:rsidR="000E6C90" w:rsidRDefault="00555826">
      <w:pPr>
        <w:tabs>
          <w:tab w:val="left" w:pos="3007"/>
        </w:tabs>
        <w:ind w:left="848"/>
        <w:rPr>
          <w:b/>
        </w:rPr>
      </w:pPr>
      <w:r>
        <w:rPr>
          <w:b/>
          <w:color w:val="1F3863"/>
        </w:rPr>
        <w:t>Date</w:t>
      </w:r>
      <w:r>
        <w:rPr>
          <w:b/>
          <w:color w:val="1F3863"/>
          <w:spacing w:val="-1"/>
        </w:rPr>
        <w:t xml:space="preserve"> </w:t>
      </w:r>
      <w:r>
        <w:rPr>
          <w:b/>
          <w:color w:val="1F3863"/>
        </w:rPr>
        <w:t>of vote:</w:t>
      </w:r>
      <w:r w:rsidR="00CB5ECA">
        <w:rPr>
          <w:b/>
          <w:color w:val="1F3863"/>
        </w:rPr>
        <w:t xml:space="preserve">  </w:t>
      </w:r>
      <w:r w:rsidR="00EA54A4" w:rsidRPr="006F0059">
        <w:rPr>
          <w:bCs/>
        </w:rPr>
        <w:t>February 9, 2021</w:t>
      </w:r>
      <w:r>
        <w:rPr>
          <w:b/>
          <w:color w:val="1F3863"/>
        </w:rPr>
        <w:tab/>
        <w:t>Outcome of</w:t>
      </w:r>
      <w:r>
        <w:rPr>
          <w:b/>
          <w:color w:val="1F3863"/>
          <w:spacing w:val="-6"/>
        </w:rPr>
        <w:t xml:space="preserve"> </w:t>
      </w:r>
      <w:r>
        <w:rPr>
          <w:b/>
          <w:color w:val="1F3863"/>
        </w:rPr>
        <w:t>vote:</w:t>
      </w:r>
      <w:r w:rsidR="00EA54A4">
        <w:rPr>
          <w:b/>
          <w:color w:val="1F3863"/>
        </w:rPr>
        <w:t xml:space="preserve">  </w:t>
      </w:r>
      <w:r w:rsidR="00372E01" w:rsidRPr="00372E01">
        <w:rPr>
          <w:bCs/>
        </w:rPr>
        <w:t>Unanimous Approval</w:t>
      </w:r>
    </w:p>
    <w:sectPr w:rsidR="000E6C90">
      <w:pgSz w:w="12240" w:h="15840"/>
      <w:pgMar w:top="640" w:right="7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65B1F"/>
    <w:multiLevelType w:val="hybridMultilevel"/>
    <w:tmpl w:val="E01C220A"/>
    <w:lvl w:ilvl="0" w:tplc="56C08CA8">
      <w:start w:val="2"/>
      <w:numFmt w:val="decimal"/>
      <w:lvlText w:val="%1)"/>
      <w:lvlJc w:val="left"/>
      <w:pPr>
        <w:ind w:left="355" w:hanging="243"/>
        <w:jc w:val="left"/>
      </w:pPr>
      <w:rPr>
        <w:rFonts w:ascii="Calibri" w:eastAsia="Calibri" w:hAnsi="Calibri" w:cs="Calibri" w:hint="default"/>
        <w:b/>
        <w:bCs/>
        <w:w w:val="100"/>
        <w:sz w:val="23"/>
        <w:szCs w:val="23"/>
      </w:rPr>
    </w:lvl>
    <w:lvl w:ilvl="1" w:tplc="75085952">
      <w:numFmt w:val="bullet"/>
      <w:lvlText w:val="✓"/>
      <w:lvlJc w:val="left"/>
      <w:pPr>
        <w:ind w:left="712" w:hanging="269"/>
      </w:pPr>
      <w:rPr>
        <w:rFonts w:ascii="MS UI Gothic" w:eastAsia="MS UI Gothic" w:hAnsi="MS UI Gothic" w:cs="MS UI Gothic" w:hint="default"/>
        <w:w w:val="80"/>
        <w:sz w:val="21"/>
        <w:szCs w:val="21"/>
      </w:rPr>
    </w:lvl>
    <w:lvl w:ilvl="2" w:tplc="F8B8503A">
      <w:numFmt w:val="bullet"/>
      <w:lvlText w:val="•"/>
      <w:lvlJc w:val="left"/>
      <w:pPr>
        <w:ind w:left="1091" w:hanging="269"/>
      </w:pPr>
      <w:rPr>
        <w:rFonts w:hint="default"/>
      </w:rPr>
    </w:lvl>
    <w:lvl w:ilvl="3" w:tplc="19505318">
      <w:numFmt w:val="bullet"/>
      <w:lvlText w:val="•"/>
      <w:lvlJc w:val="left"/>
      <w:pPr>
        <w:ind w:left="1462" w:hanging="269"/>
      </w:pPr>
      <w:rPr>
        <w:rFonts w:hint="default"/>
      </w:rPr>
    </w:lvl>
    <w:lvl w:ilvl="4" w:tplc="570CE136">
      <w:numFmt w:val="bullet"/>
      <w:lvlText w:val="•"/>
      <w:lvlJc w:val="left"/>
      <w:pPr>
        <w:ind w:left="1833" w:hanging="269"/>
      </w:pPr>
      <w:rPr>
        <w:rFonts w:hint="default"/>
      </w:rPr>
    </w:lvl>
    <w:lvl w:ilvl="5" w:tplc="708416E2">
      <w:numFmt w:val="bullet"/>
      <w:lvlText w:val="•"/>
      <w:lvlJc w:val="left"/>
      <w:pPr>
        <w:ind w:left="2204" w:hanging="269"/>
      </w:pPr>
      <w:rPr>
        <w:rFonts w:hint="default"/>
      </w:rPr>
    </w:lvl>
    <w:lvl w:ilvl="6" w:tplc="3B522AF0">
      <w:numFmt w:val="bullet"/>
      <w:lvlText w:val="•"/>
      <w:lvlJc w:val="left"/>
      <w:pPr>
        <w:ind w:left="2575" w:hanging="269"/>
      </w:pPr>
      <w:rPr>
        <w:rFonts w:hint="default"/>
      </w:rPr>
    </w:lvl>
    <w:lvl w:ilvl="7" w:tplc="93A0E76C">
      <w:numFmt w:val="bullet"/>
      <w:lvlText w:val="•"/>
      <w:lvlJc w:val="left"/>
      <w:pPr>
        <w:ind w:left="2946" w:hanging="269"/>
      </w:pPr>
      <w:rPr>
        <w:rFonts w:hint="default"/>
      </w:rPr>
    </w:lvl>
    <w:lvl w:ilvl="8" w:tplc="A3268AEA">
      <w:numFmt w:val="bullet"/>
      <w:lvlText w:val="•"/>
      <w:lvlJc w:val="left"/>
      <w:pPr>
        <w:ind w:left="3317" w:hanging="269"/>
      </w:pPr>
      <w:rPr>
        <w:rFonts w:hint="default"/>
      </w:rPr>
    </w:lvl>
  </w:abstractNum>
  <w:abstractNum w:abstractNumId="1" w15:restartNumberingAfterBreak="0">
    <w:nsid w:val="64D20FD9"/>
    <w:multiLevelType w:val="hybridMultilevel"/>
    <w:tmpl w:val="4D72631C"/>
    <w:lvl w:ilvl="0" w:tplc="8348D504">
      <w:start w:val="1"/>
      <w:numFmt w:val="decimal"/>
      <w:lvlText w:val="%1)"/>
      <w:lvlJc w:val="left"/>
      <w:pPr>
        <w:ind w:left="442" w:hanging="243"/>
        <w:jc w:val="left"/>
      </w:pPr>
      <w:rPr>
        <w:rFonts w:ascii="Calibri" w:eastAsia="Calibri" w:hAnsi="Calibri" w:cs="Calibri" w:hint="default"/>
        <w:b/>
        <w:bCs/>
        <w:w w:val="100"/>
        <w:sz w:val="23"/>
        <w:szCs w:val="23"/>
      </w:rPr>
    </w:lvl>
    <w:lvl w:ilvl="1" w:tplc="B5BC8CCC">
      <w:numFmt w:val="bullet"/>
      <w:lvlText w:val="✓"/>
      <w:lvlJc w:val="left"/>
      <w:pPr>
        <w:ind w:left="800" w:hanging="269"/>
      </w:pPr>
      <w:rPr>
        <w:rFonts w:ascii="Segoe UI Symbol" w:eastAsia="Segoe UI Symbol" w:hAnsi="Segoe UI Symbol" w:cs="Segoe UI Symbol" w:hint="default"/>
        <w:w w:val="77"/>
        <w:sz w:val="20"/>
        <w:szCs w:val="20"/>
      </w:rPr>
    </w:lvl>
    <w:lvl w:ilvl="2" w:tplc="D04A60D0">
      <w:numFmt w:val="bullet"/>
      <w:lvlText w:val="•"/>
      <w:lvlJc w:val="left"/>
      <w:pPr>
        <w:ind w:left="1148" w:hanging="269"/>
      </w:pPr>
      <w:rPr>
        <w:rFonts w:hint="default"/>
      </w:rPr>
    </w:lvl>
    <w:lvl w:ilvl="3" w:tplc="77E05E68">
      <w:numFmt w:val="bullet"/>
      <w:lvlText w:val="•"/>
      <w:lvlJc w:val="left"/>
      <w:pPr>
        <w:ind w:left="1497" w:hanging="269"/>
      </w:pPr>
      <w:rPr>
        <w:rFonts w:hint="default"/>
      </w:rPr>
    </w:lvl>
    <w:lvl w:ilvl="4" w:tplc="2A86B71C">
      <w:numFmt w:val="bullet"/>
      <w:lvlText w:val="•"/>
      <w:lvlJc w:val="left"/>
      <w:pPr>
        <w:ind w:left="1846" w:hanging="269"/>
      </w:pPr>
      <w:rPr>
        <w:rFonts w:hint="default"/>
      </w:rPr>
    </w:lvl>
    <w:lvl w:ilvl="5" w:tplc="222668B4">
      <w:numFmt w:val="bullet"/>
      <w:lvlText w:val="•"/>
      <w:lvlJc w:val="left"/>
      <w:pPr>
        <w:ind w:left="2195" w:hanging="269"/>
      </w:pPr>
      <w:rPr>
        <w:rFonts w:hint="default"/>
      </w:rPr>
    </w:lvl>
    <w:lvl w:ilvl="6" w:tplc="5B96EB32">
      <w:numFmt w:val="bullet"/>
      <w:lvlText w:val="•"/>
      <w:lvlJc w:val="left"/>
      <w:pPr>
        <w:ind w:left="2543" w:hanging="269"/>
      </w:pPr>
      <w:rPr>
        <w:rFonts w:hint="default"/>
      </w:rPr>
    </w:lvl>
    <w:lvl w:ilvl="7" w:tplc="776013BA">
      <w:numFmt w:val="bullet"/>
      <w:lvlText w:val="•"/>
      <w:lvlJc w:val="left"/>
      <w:pPr>
        <w:ind w:left="2892" w:hanging="269"/>
      </w:pPr>
      <w:rPr>
        <w:rFonts w:hint="default"/>
      </w:rPr>
    </w:lvl>
    <w:lvl w:ilvl="8" w:tplc="082A7B32">
      <w:numFmt w:val="bullet"/>
      <w:lvlText w:val="•"/>
      <w:lvlJc w:val="left"/>
      <w:pPr>
        <w:ind w:left="3241" w:hanging="2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90"/>
    <w:rsid w:val="00003E40"/>
    <w:rsid w:val="000E6C90"/>
    <w:rsid w:val="001B4ECB"/>
    <w:rsid w:val="00372E01"/>
    <w:rsid w:val="00555826"/>
    <w:rsid w:val="006F0059"/>
    <w:rsid w:val="00CB5ECA"/>
    <w:rsid w:val="00EA54A4"/>
    <w:rsid w:val="00EC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AD2E"/>
  <w15:docId w15:val="{E24F3F01-0DF4-4BD7-802D-A54BA714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7"/>
      <w:outlineLvl w:val="0"/>
    </w:pPr>
    <w:rPr>
      <w:b/>
      <w:bCs/>
      <w:sz w:val="25"/>
      <w:szCs w:val="25"/>
    </w:rPr>
  </w:style>
  <w:style w:type="paragraph" w:styleId="Heading2">
    <w:name w:val="heading 2"/>
    <w:basedOn w:val="Normal"/>
    <w:uiPriority w:val="9"/>
    <w:unhideWhenUsed/>
    <w:qFormat/>
    <w:pPr>
      <w:ind w:left="12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91E3C-DED2-492F-9A51-7F74BE6F2902}"/>
</file>

<file path=customXml/itemProps2.xml><?xml version="1.0" encoding="utf-8"?>
<ds:datastoreItem xmlns:ds="http://schemas.openxmlformats.org/officeDocument/2006/customXml" ds:itemID="{BD757CE1-9181-42DA-B4F4-D4BEC7599F42}"/>
</file>

<file path=customXml/itemProps3.xml><?xml version="1.0" encoding="utf-8"?>
<ds:datastoreItem xmlns:ds="http://schemas.openxmlformats.org/officeDocument/2006/customXml" ds:itemID="{1731D93A-2C49-4FA1-83B1-86A18ED23D99}"/>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Francis W. Parker Charter Essential School (Parker) Student Opportunity Act Plan: SY 2021-2023</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W. Parker Charter Essential School (Parker) Student Opportunity Act Plan: SY 2021-2023</dc:title>
  <dc:creator>Monique Beganski</dc:creator>
  <cp:lastModifiedBy>DeLorenzo, Lee E (DESE)</cp:lastModifiedBy>
  <cp:revision>9</cp:revision>
  <dcterms:created xsi:type="dcterms:W3CDTF">2021-03-02T12:47:00Z</dcterms:created>
  <dcterms:modified xsi:type="dcterms:W3CDTF">2021-03-22T17:48:00Z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Acrobat PDFMaker 11 for Word</vt:lpwstr>
  </property>
  <property fmtid="{D5CDD505-2E9C-101B-9397-08002B2CF9AE}" pid="4" name="LastSaved">
    <vt:filetime>2021-03-02T00:00:00Z</vt:filetime>
  </property>
  <property fmtid="{D5CDD505-2E9C-101B-9397-08002B2CF9AE}" pid="5" name="ContentTypeId">
    <vt:lpwstr>0x010100A293676B7F9F114D8D4D17C37E9BF771</vt:lpwstr>
  </property>
</Properties>
</file>