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C3CCD" w14:textId="7EAEA773" w:rsidR="00C74F70" w:rsidRDefault="00C74F70">
      <w:pPr>
        <w:pStyle w:val="BodyText"/>
        <w:ind w:left="820"/>
        <w:rPr>
          <w:rFonts w:ascii="Times New Roman"/>
          <w:sz w:val="20"/>
        </w:rPr>
      </w:pPr>
    </w:p>
    <w:p w14:paraId="40C5321B" w14:textId="77777777" w:rsidR="00C74F70" w:rsidRDefault="00C74F70">
      <w:pPr>
        <w:pStyle w:val="BodyText"/>
        <w:spacing w:before="5"/>
        <w:rPr>
          <w:rFonts w:ascii="Times New Roman"/>
          <w:sz w:val="12"/>
        </w:rPr>
      </w:pPr>
    </w:p>
    <w:p w14:paraId="68200109" w14:textId="0C02871C" w:rsidR="00C74F70" w:rsidRDefault="00A8397F" w:rsidP="00411902">
      <w:pPr>
        <w:pStyle w:val="Heading1"/>
        <w:spacing w:before="101"/>
        <w:ind w:left="100"/>
        <w:jc w:val="center"/>
        <w:rPr>
          <w:color w:val="1F3863"/>
          <w:sz w:val="28"/>
          <w:szCs w:val="28"/>
        </w:rPr>
      </w:pPr>
      <w:r w:rsidRPr="00411902">
        <w:rPr>
          <w:color w:val="1F3863"/>
          <w:sz w:val="28"/>
          <w:szCs w:val="28"/>
        </w:rPr>
        <w:t>Student Opportunity Act Plan: SY 2021-2023</w:t>
      </w:r>
    </w:p>
    <w:p w14:paraId="5806016E" w14:textId="35CFCBAF" w:rsidR="00411902" w:rsidRPr="0068571C" w:rsidRDefault="00411902" w:rsidP="00411902">
      <w:pPr>
        <w:pStyle w:val="Heading1"/>
        <w:spacing w:before="101"/>
        <w:ind w:left="100"/>
        <w:jc w:val="center"/>
        <w:rPr>
          <w:i/>
          <w:iCs/>
          <w:color w:val="0070C0"/>
          <w:sz w:val="28"/>
          <w:szCs w:val="28"/>
        </w:rPr>
      </w:pPr>
      <w:bookmarkStart w:id="0" w:name="_GoBack"/>
      <w:r w:rsidRPr="0068571C">
        <w:rPr>
          <w:i/>
          <w:iCs/>
          <w:color w:val="0070C0"/>
          <w:sz w:val="28"/>
          <w:szCs w:val="28"/>
        </w:rPr>
        <w:t>Map Academy Charter School</w:t>
      </w:r>
      <w:bookmarkEnd w:id="0"/>
    </w:p>
    <w:p w14:paraId="2ED49E32" w14:textId="77777777" w:rsidR="00C74F70" w:rsidRDefault="00C74F70">
      <w:pPr>
        <w:pStyle w:val="BodyText"/>
        <w:spacing w:before="6"/>
        <w:rPr>
          <w:b/>
          <w:sz w:val="29"/>
        </w:rPr>
      </w:pPr>
    </w:p>
    <w:p w14:paraId="2DC5BB88" w14:textId="77777777" w:rsidR="00C74F70" w:rsidRDefault="00A8397F">
      <w:pPr>
        <w:ind w:left="207"/>
        <w:rPr>
          <w:b/>
        </w:rPr>
      </w:pPr>
      <w:r>
        <w:rPr>
          <w:color w:val="2D74B5"/>
        </w:rPr>
        <w:t xml:space="preserve">→ </w:t>
      </w:r>
      <w:r>
        <w:rPr>
          <w:b/>
          <w:color w:val="2D74B5"/>
        </w:rPr>
        <w:t>Commitment 1: Focusing on Student Subgroups</w:t>
      </w:r>
    </w:p>
    <w:p w14:paraId="15B8224E" w14:textId="77777777" w:rsidR="00C74F70" w:rsidRDefault="00A8397F">
      <w:pPr>
        <w:spacing w:before="72"/>
        <w:ind w:left="207" w:right="1275"/>
        <w:rPr>
          <w:b/>
        </w:rPr>
      </w:pPr>
      <w:r>
        <w:rPr>
          <w:b/>
          <w:color w:val="1F3863"/>
        </w:rPr>
        <w:t>Which student groups will require focused support to ensure all students achieve at high levels in school and are successfully prepared for life?</w:t>
      </w:r>
    </w:p>
    <w:p w14:paraId="5408D244" w14:textId="77777777" w:rsidR="00C74F70" w:rsidRDefault="00C74F70">
      <w:pPr>
        <w:pStyle w:val="BodyText"/>
        <w:spacing w:before="7"/>
        <w:rPr>
          <w:b/>
          <w:sz w:val="21"/>
        </w:rPr>
      </w:pPr>
    </w:p>
    <w:p w14:paraId="717762ED" w14:textId="77777777" w:rsidR="00C74F70" w:rsidRDefault="00A8397F">
      <w:pPr>
        <w:pStyle w:val="BodyText"/>
        <w:ind w:left="100" w:right="113"/>
      </w:pPr>
      <w:r>
        <w:t>The time has come to reimagine high school to meet the needs of all students. Every aspect of Map Academy is intentionally designed to meet the unique needs of off-track youth. Our exclusive recruitment of youth who are off-track due to a wide range of risk factors and complicated personal and school histories is what sets Map Academy apart from traditional schools, thus filling a need for both the students and districts. Map Academy is founded on three primary key design elements: a student-centered learning environment, a highly supportive culture, and career development education for all students. Map Academy was intentionally founded to serve as an option for students who have not been able to thrive in other schools. As an alternative charter school intentionally designed to meet the unique needs of disconnected youth who have not found success in other settings, Map Academy serves predominantly vulnerable students, many of whom have been inordinately impacted by COVID-19 and the resulting extended school closure. At Map Academy, 73.3% of our students meet criteria for High Needs; 47.6% qualify for Special Education Services; 56.8% are Economically Disadvantaged; and 80.66% qualify as free lunch via district Community Eligibility Provisions. The two subgroups that we are focusing our attention on for our SOA planning are:</w:t>
      </w:r>
    </w:p>
    <w:p w14:paraId="0C1B1157" w14:textId="77777777" w:rsidR="00C74F70" w:rsidRDefault="00A8397F">
      <w:pPr>
        <w:pStyle w:val="ListParagraph"/>
        <w:numPr>
          <w:ilvl w:val="0"/>
          <w:numId w:val="3"/>
        </w:numPr>
        <w:tabs>
          <w:tab w:val="left" w:pos="820"/>
        </w:tabs>
        <w:ind w:right="115"/>
        <w:jc w:val="both"/>
      </w:pPr>
      <w:r>
        <w:rPr>
          <w:b/>
        </w:rPr>
        <w:t xml:space="preserve">Habitually absent students </w:t>
      </w:r>
      <w:r>
        <w:t>– Looking at data found for the 2019-2020 school year we know this is an area of improvement and a major focus of our current work. As mentioned above the extended school closures that are inordinately</w:t>
      </w:r>
      <w:r>
        <w:rPr>
          <w:spacing w:val="-5"/>
        </w:rPr>
        <w:t xml:space="preserve"> </w:t>
      </w:r>
      <w:r>
        <w:t>impacting</w:t>
      </w:r>
      <w:r>
        <w:rPr>
          <w:spacing w:val="-5"/>
        </w:rPr>
        <w:t xml:space="preserve"> </w:t>
      </w:r>
      <w:r>
        <w:t>our</w:t>
      </w:r>
      <w:r>
        <w:rPr>
          <w:spacing w:val="-5"/>
        </w:rPr>
        <w:t xml:space="preserve"> </w:t>
      </w:r>
      <w:r>
        <w:t>student</w:t>
      </w:r>
      <w:r>
        <w:rPr>
          <w:spacing w:val="-5"/>
        </w:rPr>
        <w:t xml:space="preserve"> </w:t>
      </w:r>
      <w:r>
        <w:t>population</w:t>
      </w:r>
      <w:r>
        <w:rPr>
          <w:spacing w:val="-5"/>
        </w:rPr>
        <w:t xml:space="preserve"> </w:t>
      </w:r>
      <w:r>
        <w:t>is</w:t>
      </w:r>
      <w:r>
        <w:rPr>
          <w:spacing w:val="-5"/>
        </w:rPr>
        <w:t xml:space="preserve"> </w:t>
      </w:r>
      <w:r>
        <w:t>only</w:t>
      </w:r>
      <w:r>
        <w:rPr>
          <w:spacing w:val="-5"/>
        </w:rPr>
        <w:t xml:space="preserve"> </w:t>
      </w:r>
      <w:r>
        <w:t>making</w:t>
      </w:r>
      <w:r>
        <w:rPr>
          <w:spacing w:val="-5"/>
        </w:rPr>
        <w:t xml:space="preserve"> </w:t>
      </w:r>
      <w:r>
        <w:t>this</w:t>
      </w:r>
      <w:r>
        <w:rPr>
          <w:spacing w:val="-5"/>
        </w:rPr>
        <w:t xml:space="preserve"> </w:t>
      </w:r>
      <w:r>
        <w:t>issue</w:t>
      </w:r>
      <w:r>
        <w:rPr>
          <w:spacing w:val="-5"/>
        </w:rPr>
        <w:t xml:space="preserve"> </w:t>
      </w:r>
      <w:r>
        <w:t>worst</w:t>
      </w:r>
      <w:r>
        <w:rPr>
          <w:spacing w:val="-5"/>
        </w:rPr>
        <w:t xml:space="preserve"> </w:t>
      </w:r>
      <w:r>
        <w:t>as</w:t>
      </w:r>
      <w:r>
        <w:rPr>
          <w:spacing w:val="-5"/>
        </w:rPr>
        <w:t xml:space="preserve"> </w:t>
      </w:r>
      <w:r>
        <w:t>many</w:t>
      </w:r>
      <w:r>
        <w:rPr>
          <w:spacing w:val="-5"/>
        </w:rPr>
        <w:t xml:space="preserve"> </w:t>
      </w:r>
      <w:r>
        <w:t>of</w:t>
      </w:r>
      <w:r>
        <w:rPr>
          <w:spacing w:val="-5"/>
        </w:rPr>
        <w:t xml:space="preserve"> </w:t>
      </w:r>
      <w:r>
        <w:t>our</w:t>
      </w:r>
      <w:r>
        <w:rPr>
          <w:spacing w:val="-5"/>
        </w:rPr>
        <w:t xml:space="preserve"> </w:t>
      </w:r>
      <w:r>
        <w:t>students</w:t>
      </w:r>
      <w:r>
        <w:rPr>
          <w:spacing w:val="-5"/>
        </w:rPr>
        <w:t xml:space="preserve"> </w:t>
      </w:r>
      <w:r>
        <w:t>are</w:t>
      </w:r>
      <w:r>
        <w:rPr>
          <w:spacing w:val="-5"/>
        </w:rPr>
        <w:t xml:space="preserve"> </w:t>
      </w:r>
      <w:r>
        <w:t>finding extra hours at work or taking on additional responsibilities at home to help support parent work schedules. This subgroup</w:t>
      </w:r>
      <w:r>
        <w:rPr>
          <w:spacing w:val="-8"/>
        </w:rPr>
        <w:t xml:space="preserve"> </w:t>
      </w:r>
      <w:r>
        <w:t>is</w:t>
      </w:r>
      <w:r>
        <w:rPr>
          <w:spacing w:val="-8"/>
        </w:rPr>
        <w:t xml:space="preserve"> </w:t>
      </w:r>
      <w:r>
        <w:t>already</w:t>
      </w:r>
      <w:r>
        <w:rPr>
          <w:spacing w:val="-8"/>
        </w:rPr>
        <w:t xml:space="preserve"> </w:t>
      </w:r>
      <w:r>
        <w:t>a</w:t>
      </w:r>
      <w:r>
        <w:rPr>
          <w:spacing w:val="-8"/>
        </w:rPr>
        <w:t xml:space="preserve"> </w:t>
      </w:r>
      <w:r>
        <w:t>major</w:t>
      </w:r>
      <w:r>
        <w:rPr>
          <w:spacing w:val="-7"/>
        </w:rPr>
        <w:t xml:space="preserve"> </w:t>
      </w:r>
      <w:r>
        <w:t>focus</w:t>
      </w:r>
      <w:r>
        <w:rPr>
          <w:spacing w:val="-7"/>
        </w:rPr>
        <w:t xml:space="preserve"> </w:t>
      </w:r>
      <w:r>
        <w:t>of</w:t>
      </w:r>
      <w:r>
        <w:rPr>
          <w:spacing w:val="-7"/>
        </w:rPr>
        <w:t xml:space="preserve"> </w:t>
      </w:r>
      <w:r>
        <w:t>ours</w:t>
      </w:r>
      <w:r>
        <w:rPr>
          <w:spacing w:val="-7"/>
        </w:rPr>
        <w:t xml:space="preserve"> </w:t>
      </w:r>
      <w:r>
        <w:t>and</w:t>
      </w:r>
      <w:r>
        <w:rPr>
          <w:spacing w:val="-8"/>
        </w:rPr>
        <w:t xml:space="preserve"> </w:t>
      </w:r>
      <w:r>
        <w:t>we</w:t>
      </w:r>
      <w:r>
        <w:rPr>
          <w:spacing w:val="-8"/>
        </w:rPr>
        <w:t xml:space="preserve"> </w:t>
      </w:r>
      <w:r>
        <w:t>will</w:t>
      </w:r>
      <w:r>
        <w:rPr>
          <w:spacing w:val="-7"/>
        </w:rPr>
        <w:t xml:space="preserve"> </w:t>
      </w:r>
      <w:r>
        <w:t>continue</w:t>
      </w:r>
      <w:r>
        <w:rPr>
          <w:spacing w:val="-8"/>
        </w:rPr>
        <w:t xml:space="preserve"> </w:t>
      </w:r>
      <w:r>
        <w:t>to</w:t>
      </w:r>
      <w:r>
        <w:rPr>
          <w:spacing w:val="-8"/>
        </w:rPr>
        <w:t xml:space="preserve"> </w:t>
      </w:r>
      <w:r>
        <w:t>enhance</w:t>
      </w:r>
      <w:r>
        <w:rPr>
          <w:spacing w:val="-7"/>
        </w:rPr>
        <w:t xml:space="preserve"> </w:t>
      </w:r>
      <w:r>
        <w:t>our</w:t>
      </w:r>
      <w:r>
        <w:rPr>
          <w:spacing w:val="-7"/>
        </w:rPr>
        <w:t xml:space="preserve"> </w:t>
      </w:r>
      <w:r>
        <w:t>efforts</w:t>
      </w:r>
      <w:r>
        <w:rPr>
          <w:spacing w:val="-7"/>
        </w:rPr>
        <w:t xml:space="preserve"> </w:t>
      </w:r>
      <w:r>
        <w:t>in</w:t>
      </w:r>
      <w:r>
        <w:rPr>
          <w:spacing w:val="-8"/>
        </w:rPr>
        <w:t xml:space="preserve"> </w:t>
      </w:r>
      <w:r>
        <w:t>getting</w:t>
      </w:r>
      <w:r>
        <w:rPr>
          <w:spacing w:val="-8"/>
        </w:rPr>
        <w:t xml:space="preserve"> </w:t>
      </w:r>
      <w:r>
        <w:t>students</w:t>
      </w:r>
      <w:r>
        <w:rPr>
          <w:spacing w:val="-7"/>
        </w:rPr>
        <w:t xml:space="preserve"> </w:t>
      </w:r>
      <w:r>
        <w:t>engaged in their educational</w:t>
      </w:r>
      <w:r>
        <w:rPr>
          <w:spacing w:val="-17"/>
        </w:rPr>
        <w:t xml:space="preserve"> </w:t>
      </w:r>
      <w:r>
        <w:t>journey.</w:t>
      </w:r>
    </w:p>
    <w:p w14:paraId="0574F82C" w14:textId="77777777" w:rsidR="00C74F70" w:rsidRDefault="00A8397F">
      <w:pPr>
        <w:pStyle w:val="ListParagraph"/>
        <w:numPr>
          <w:ilvl w:val="0"/>
          <w:numId w:val="3"/>
        </w:numPr>
        <w:tabs>
          <w:tab w:val="left" w:pos="820"/>
        </w:tabs>
        <w:ind w:right="117"/>
        <w:jc w:val="both"/>
      </w:pPr>
      <w:r>
        <w:rPr>
          <w:b/>
        </w:rPr>
        <w:t>Potential</w:t>
      </w:r>
      <w:r>
        <w:rPr>
          <w:b/>
          <w:spacing w:val="-13"/>
        </w:rPr>
        <w:t xml:space="preserve"> </w:t>
      </w:r>
      <w:r>
        <w:rPr>
          <w:b/>
        </w:rPr>
        <w:t>graduates</w:t>
      </w:r>
      <w:r>
        <w:rPr>
          <w:b/>
          <w:spacing w:val="-12"/>
        </w:rPr>
        <w:t xml:space="preserve"> </w:t>
      </w:r>
      <w:r>
        <w:t>–</w:t>
      </w:r>
      <w:r>
        <w:rPr>
          <w:spacing w:val="-13"/>
        </w:rPr>
        <w:t xml:space="preserve"> </w:t>
      </w:r>
      <w:r>
        <w:t>As</w:t>
      </w:r>
      <w:r>
        <w:rPr>
          <w:spacing w:val="-13"/>
        </w:rPr>
        <w:t xml:space="preserve"> </w:t>
      </w:r>
      <w:r>
        <w:t>a</w:t>
      </w:r>
      <w:r>
        <w:rPr>
          <w:spacing w:val="-13"/>
        </w:rPr>
        <w:t xml:space="preserve"> </w:t>
      </w:r>
      <w:r>
        <w:t>competency-based</w:t>
      </w:r>
      <w:r>
        <w:rPr>
          <w:spacing w:val="-13"/>
        </w:rPr>
        <w:t xml:space="preserve"> </w:t>
      </w:r>
      <w:r>
        <w:t>school,</w:t>
      </w:r>
      <w:r>
        <w:rPr>
          <w:spacing w:val="-13"/>
        </w:rPr>
        <w:t xml:space="preserve"> </w:t>
      </w:r>
      <w:r>
        <w:t>we</w:t>
      </w:r>
      <w:r>
        <w:rPr>
          <w:spacing w:val="-13"/>
        </w:rPr>
        <w:t xml:space="preserve"> </w:t>
      </w:r>
      <w:r>
        <w:t>do</w:t>
      </w:r>
      <w:r>
        <w:rPr>
          <w:spacing w:val="-13"/>
        </w:rPr>
        <w:t xml:space="preserve"> </w:t>
      </w:r>
      <w:r>
        <w:t>not</w:t>
      </w:r>
      <w:r>
        <w:rPr>
          <w:spacing w:val="-13"/>
        </w:rPr>
        <w:t xml:space="preserve"> </w:t>
      </w:r>
      <w:r>
        <w:t>have</w:t>
      </w:r>
      <w:r>
        <w:rPr>
          <w:spacing w:val="-13"/>
        </w:rPr>
        <w:t xml:space="preserve"> </w:t>
      </w:r>
      <w:r>
        <w:t>a</w:t>
      </w:r>
      <w:r>
        <w:rPr>
          <w:spacing w:val="-13"/>
        </w:rPr>
        <w:t xml:space="preserve"> </w:t>
      </w:r>
      <w:r>
        <w:t>graduating</w:t>
      </w:r>
      <w:r>
        <w:rPr>
          <w:spacing w:val="-13"/>
        </w:rPr>
        <w:t xml:space="preserve"> </w:t>
      </w:r>
      <w:r>
        <w:t>senior</w:t>
      </w:r>
      <w:r>
        <w:rPr>
          <w:spacing w:val="-13"/>
        </w:rPr>
        <w:t xml:space="preserve"> </w:t>
      </w:r>
      <w:r>
        <w:t>class</w:t>
      </w:r>
      <w:r>
        <w:rPr>
          <w:spacing w:val="-13"/>
        </w:rPr>
        <w:t xml:space="preserve"> </w:t>
      </w:r>
      <w:r>
        <w:t>but</w:t>
      </w:r>
      <w:r>
        <w:rPr>
          <w:spacing w:val="-13"/>
        </w:rPr>
        <w:t xml:space="preserve"> </w:t>
      </w:r>
      <w:r>
        <w:t>rather</w:t>
      </w:r>
      <w:r>
        <w:rPr>
          <w:spacing w:val="-13"/>
        </w:rPr>
        <w:t xml:space="preserve"> </w:t>
      </w:r>
      <w:r>
        <w:t>a</w:t>
      </w:r>
      <w:r>
        <w:rPr>
          <w:spacing w:val="-13"/>
        </w:rPr>
        <w:t xml:space="preserve"> </w:t>
      </w:r>
      <w:r>
        <w:t>cohort of students who are close to completing their high school requirements. The focus of this work is to increase students enrolled in post-secondary pathways that will ultimately lead to a livable wage career versus students going</w:t>
      </w:r>
      <w:r>
        <w:rPr>
          <w:spacing w:val="-3"/>
        </w:rPr>
        <w:t xml:space="preserve"> </w:t>
      </w:r>
      <w:r>
        <w:t>directly</w:t>
      </w:r>
      <w:r>
        <w:rPr>
          <w:spacing w:val="-3"/>
        </w:rPr>
        <w:t xml:space="preserve"> </w:t>
      </w:r>
      <w:r>
        <w:t>into</w:t>
      </w:r>
      <w:r>
        <w:rPr>
          <w:spacing w:val="-3"/>
        </w:rPr>
        <w:t xml:space="preserve"> </w:t>
      </w:r>
      <w:r>
        <w:t>the</w:t>
      </w:r>
      <w:r>
        <w:rPr>
          <w:spacing w:val="-3"/>
        </w:rPr>
        <w:t xml:space="preserve"> </w:t>
      </w:r>
      <w:r>
        <w:t>workforce</w:t>
      </w:r>
      <w:r>
        <w:rPr>
          <w:spacing w:val="-2"/>
        </w:rPr>
        <w:t xml:space="preserve"> </w:t>
      </w:r>
      <w:r>
        <w:t>as</w:t>
      </w:r>
      <w:r>
        <w:rPr>
          <w:spacing w:val="-3"/>
        </w:rPr>
        <w:t xml:space="preserve"> </w:t>
      </w:r>
      <w:r>
        <w:t>we</w:t>
      </w:r>
      <w:r>
        <w:rPr>
          <w:spacing w:val="-3"/>
        </w:rPr>
        <w:t xml:space="preserve"> </w:t>
      </w:r>
      <w:r>
        <w:t>know</w:t>
      </w:r>
      <w:r>
        <w:rPr>
          <w:spacing w:val="-3"/>
        </w:rPr>
        <w:t xml:space="preserve"> </w:t>
      </w:r>
      <w:r>
        <w:t>this</w:t>
      </w:r>
      <w:r>
        <w:rPr>
          <w:spacing w:val="-3"/>
        </w:rPr>
        <w:t xml:space="preserve"> </w:t>
      </w:r>
      <w:r>
        <w:t>is</w:t>
      </w:r>
      <w:r>
        <w:rPr>
          <w:spacing w:val="-3"/>
        </w:rPr>
        <w:t xml:space="preserve"> </w:t>
      </w:r>
      <w:r>
        <w:t>a</w:t>
      </w:r>
      <w:r>
        <w:rPr>
          <w:spacing w:val="-3"/>
        </w:rPr>
        <w:t xml:space="preserve"> </w:t>
      </w:r>
      <w:r>
        <w:t>key</w:t>
      </w:r>
      <w:r>
        <w:rPr>
          <w:spacing w:val="-3"/>
        </w:rPr>
        <w:t xml:space="preserve"> </w:t>
      </w:r>
      <w:r>
        <w:t>metric</w:t>
      </w:r>
      <w:r>
        <w:rPr>
          <w:spacing w:val="-3"/>
        </w:rPr>
        <w:t xml:space="preserve"> </w:t>
      </w:r>
      <w:r>
        <w:t>to</w:t>
      </w:r>
      <w:r>
        <w:rPr>
          <w:spacing w:val="-3"/>
        </w:rPr>
        <w:t xml:space="preserve"> </w:t>
      </w:r>
      <w:r>
        <w:t>be</w:t>
      </w:r>
      <w:r>
        <w:rPr>
          <w:spacing w:val="-3"/>
        </w:rPr>
        <w:t xml:space="preserve"> </w:t>
      </w:r>
      <w:r>
        <w:t>prepared</w:t>
      </w:r>
      <w:r>
        <w:rPr>
          <w:spacing w:val="-3"/>
        </w:rPr>
        <w:t xml:space="preserve"> </w:t>
      </w:r>
      <w:r>
        <w:t>for</w:t>
      </w:r>
      <w:r>
        <w:rPr>
          <w:spacing w:val="-3"/>
        </w:rPr>
        <w:t xml:space="preserve"> </w:t>
      </w:r>
      <w:r>
        <w:t>life</w:t>
      </w:r>
      <w:r>
        <w:rPr>
          <w:spacing w:val="-3"/>
        </w:rPr>
        <w:t xml:space="preserve"> </w:t>
      </w:r>
      <w:r>
        <w:t>after</w:t>
      </w:r>
      <w:r>
        <w:rPr>
          <w:spacing w:val="-3"/>
        </w:rPr>
        <w:t xml:space="preserve"> </w:t>
      </w:r>
      <w:r>
        <w:t>high</w:t>
      </w:r>
      <w:r>
        <w:rPr>
          <w:spacing w:val="-3"/>
        </w:rPr>
        <w:t xml:space="preserve"> </w:t>
      </w:r>
      <w:r>
        <w:t>school.</w:t>
      </w:r>
    </w:p>
    <w:p w14:paraId="736160FC" w14:textId="77777777" w:rsidR="00C74F70" w:rsidRDefault="00C74F70">
      <w:pPr>
        <w:pStyle w:val="BodyText"/>
        <w:spacing w:before="9"/>
        <w:rPr>
          <w:sz w:val="31"/>
        </w:rPr>
      </w:pPr>
    </w:p>
    <w:p w14:paraId="79D29BCE" w14:textId="77777777" w:rsidR="00C74F70" w:rsidRDefault="00A8397F">
      <w:pPr>
        <w:pStyle w:val="Heading1"/>
      </w:pPr>
      <w:r>
        <w:rPr>
          <w:b w:val="0"/>
          <w:color w:val="2D74B5"/>
        </w:rPr>
        <w:t xml:space="preserve">→ </w:t>
      </w:r>
      <w:r>
        <w:rPr>
          <w:color w:val="2D74B5"/>
        </w:rPr>
        <w:t>Commitment 2: Using Evidence-Based Programs to Close Gaps</w:t>
      </w:r>
    </w:p>
    <w:p w14:paraId="1FB01C35" w14:textId="77777777" w:rsidR="00C74F70" w:rsidRDefault="00A8397F">
      <w:pPr>
        <w:spacing w:before="72"/>
        <w:ind w:left="207" w:right="640"/>
        <w:rPr>
          <w:b/>
        </w:rPr>
      </w:pPr>
      <w:r>
        <w:rPr>
          <w:b/>
          <w:color w:val="1F3863"/>
        </w:rPr>
        <w:t>What evidence-based programs will your charter school adopt, deepen, or continue to best support the closure of achievement and opportunity gaps? What resources will be allocated to these programs?</w:t>
      </w:r>
    </w:p>
    <w:p w14:paraId="4236E629" w14:textId="77777777" w:rsidR="00C74F70" w:rsidRDefault="00C74F70">
      <w:pPr>
        <w:pStyle w:val="BodyText"/>
        <w:spacing w:before="9"/>
        <w:rPr>
          <w:b/>
          <w:sz w:val="33"/>
        </w:rPr>
      </w:pPr>
    </w:p>
    <w:p w14:paraId="4F28829E" w14:textId="77777777" w:rsidR="00C74F70" w:rsidRDefault="00A8397F">
      <w:pPr>
        <w:spacing w:before="1"/>
        <w:ind w:left="100"/>
        <w:rPr>
          <w:b/>
        </w:rPr>
      </w:pPr>
      <w:r>
        <w:rPr>
          <w:b/>
        </w:rPr>
        <w:t>Evidence-based program #1: Supporting educators to implement high quality, aligned curriculum.</w:t>
      </w:r>
    </w:p>
    <w:p w14:paraId="6027CB6D" w14:textId="77777777" w:rsidR="00C74F70" w:rsidRDefault="00A8397F">
      <w:pPr>
        <w:pStyle w:val="BodyText"/>
        <w:spacing w:before="11" w:line="228" w:lineRule="auto"/>
        <w:ind w:left="100" w:right="161"/>
      </w:pPr>
      <w:r>
        <w:t>As a new competency based asynchronous school, we are constantly working to deepen our educator’s knowledge in creating curriculum that is both aligned and at the learning edge of our student population. We currently work with outside providers and in-house professional staff to work on creating and implementing high quality aligned curriculum. We plan to continue this work over the course of the next two years and beyond. This evidence-based programming will address all student subgroups. We believe that one-size-fits-all educational models and graduation timelines do not effectively meet the academic and social-emotional needs of all students. Rather, we believe in meeting students at their current levels of engagement and resilience and increasing expectations as they develop the academic, personal, and social tools they need to be successful.</w:t>
      </w:r>
    </w:p>
    <w:p w14:paraId="71B4013E" w14:textId="77777777" w:rsidR="00C74F70" w:rsidRDefault="00C74F70">
      <w:pPr>
        <w:spacing w:line="228" w:lineRule="auto"/>
        <w:sectPr w:rsidR="00C74F70">
          <w:footerReference w:type="default" r:id="rId10"/>
          <w:type w:val="continuous"/>
          <w:pgSz w:w="12240" w:h="15840"/>
          <w:pgMar w:top="720" w:right="600" w:bottom="280" w:left="620" w:header="720" w:footer="720" w:gutter="0"/>
          <w:cols w:space="720"/>
        </w:sect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1762"/>
        <w:gridCol w:w="5664"/>
      </w:tblGrid>
      <w:tr w:rsidR="00C74F70" w14:paraId="4D229BA5" w14:textId="77777777">
        <w:trPr>
          <w:trHeight w:hRule="exact" w:val="293"/>
        </w:trPr>
        <w:tc>
          <w:tcPr>
            <w:tcW w:w="3082" w:type="dxa"/>
            <w:shd w:val="clear" w:color="auto" w:fill="D9D9D9"/>
          </w:tcPr>
          <w:p w14:paraId="21A08FE7" w14:textId="77777777" w:rsidR="00C74F70" w:rsidRDefault="00A8397F">
            <w:pPr>
              <w:pStyle w:val="TableParagraph"/>
              <w:spacing w:before="0" w:line="237" w:lineRule="exact"/>
              <w:rPr>
                <w:b/>
              </w:rPr>
            </w:pPr>
            <w:r>
              <w:rPr>
                <w:b/>
              </w:rPr>
              <w:lastRenderedPageBreak/>
              <w:t>FY21 budget item</w:t>
            </w:r>
          </w:p>
        </w:tc>
        <w:tc>
          <w:tcPr>
            <w:tcW w:w="1762" w:type="dxa"/>
            <w:shd w:val="clear" w:color="auto" w:fill="D9D9D9"/>
          </w:tcPr>
          <w:p w14:paraId="27BD4572" w14:textId="77777777" w:rsidR="00C74F70" w:rsidRDefault="00A8397F">
            <w:pPr>
              <w:pStyle w:val="TableParagraph"/>
              <w:spacing w:before="0" w:line="237" w:lineRule="exact"/>
              <w:ind w:left="102"/>
              <w:rPr>
                <w:b/>
              </w:rPr>
            </w:pPr>
            <w:r>
              <w:rPr>
                <w:b/>
              </w:rPr>
              <w:t>Amount</w:t>
            </w:r>
          </w:p>
        </w:tc>
        <w:tc>
          <w:tcPr>
            <w:tcW w:w="5664" w:type="dxa"/>
            <w:shd w:val="clear" w:color="auto" w:fill="D9D9D9"/>
          </w:tcPr>
          <w:p w14:paraId="231DE68E" w14:textId="77777777" w:rsidR="00C74F70" w:rsidRDefault="00A8397F">
            <w:pPr>
              <w:pStyle w:val="TableParagraph"/>
              <w:spacing w:before="0" w:line="237" w:lineRule="exact"/>
              <w:ind w:left="105"/>
              <w:rPr>
                <w:b/>
                <w:sz w:val="14"/>
              </w:rPr>
            </w:pPr>
            <w:r>
              <w:rPr>
                <w:b/>
              </w:rPr>
              <w:t>Foundation Category</w:t>
            </w:r>
            <w:r>
              <w:rPr>
                <w:b/>
                <w:position w:val="8"/>
                <w:sz w:val="14"/>
              </w:rPr>
              <w:t>1</w:t>
            </w:r>
          </w:p>
        </w:tc>
      </w:tr>
      <w:tr w:rsidR="00C74F70" w14:paraId="147C4846" w14:textId="77777777">
        <w:trPr>
          <w:trHeight w:hRule="exact" w:val="288"/>
        </w:trPr>
        <w:tc>
          <w:tcPr>
            <w:tcW w:w="3082" w:type="dxa"/>
            <w:tcBorders>
              <w:top w:val="single" w:sz="29" w:space="0" w:color="D9D9D9"/>
            </w:tcBorders>
          </w:tcPr>
          <w:p w14:paraId="43B9DC69" w14:textId="77777777" w:rsidR="00C74F70" w:rsidRDefault="00A8397F">
            <w:pPr>
              <w:pStyle w:val="TableParagraph"/>
              <w:spacing w:before="0" w:line="239" w:lineRule="exact"/>
              <w:ind w:left="0"/>
            </w:pPr>
            <w:r>
              <w:t>Consultant/PD Support</w:t>
            </w:r>
          </w:p>
        </w:tc>
        <w:tc>
          <w:tcPr>
            <w:tcW w:w="1762" w:type="dxa"/>
            <w:tcBorders>
              <w:top w:val="single" w:sz="29" w:space="0" w:color="D9D9D9"/>
            </w:tcBorders>
          </w:tcPr>
          <w:p w14:paraId="4C498F52" w14:textId="77777777" w:rsidR="00C74F70" w:rsidRDefault="00A8397F">
            <w:pPr>
              <w:pStyle w:val="TableParagraph"/>
              <w:spacing w:before="0" w:line="239" w:lineRule="exact"/>
              <w:ind w:left="-1"/>
            </w:pPr>
            <w:r>
              <w:t>$25,000</w:t>
            </w:r>
          </w:p>
        </w:tc>
        <w:tc>
          <w:tcPr>
            <w:tcW w:w="5664" w:type="dxa"/>
            <w:tcBorders>
              <w:top w:val="single" w:sz="29" w:space="0" w:color="D9D9D9"/>
            </w:tcBorders>
          </w:tcPr>
          <w:p w14:paraId="3D0C1B33" w14:textId="77777777" w:rsidR="00C74F70" w:rsidRDefault="00A8397F">
            <w:pPr>
              <w:pStyle w:val="TableParagraph"/>
              <w:spacing w:before="0" w:line="239" w:lineRule="exact"/>
              <w:ind w:left="0"/>
            </w:pPr>
            <w:r>
              <w:t>Other teaching services and professional development</w:t>
            </w:r>
          </w:p>
        </w:tc>
      </w:tr>
      <w:tr w:rsidR="00C74F70" w14:paraId="44F9F54B" w14:textId="77777777">
        <w:trPr>
          <w:trHeight w:hRule="exact" w:val="293"/>
        </w:trPr>
        <w:tc>
          <w:tcPr>
            <w:tcW w:w="3082" w:type="dxa"/>
          </w:tcPr>
          <w:p w14:paraId="7EED699C" w14:textId="77777777" w:rsidR="00C74F70" w:rsidRDefault="00C74F70"/>
        </w:tc>
        <w:tc>
          <w:tcPr>
            <w:tcW w:w="1762" w:type="dxa"/>
          </w:tcPr>
          <w:p w14:paraId="74F9911C" w14:textId="77777777" w:rsidR="00C74F70" w:rsidRDefault="00C74F70"/>
        </w:tc>
        <w:tc>
          <w:tcPr>
            <w:tcW w:w="5664" w:type="dxa"/>
          </w:tcPr>
          <w:p w14:paraId="2540E0BA" w14:textId="77777777" w:rsidR="00C74F70" w:rsidRDefault="00C74F70"/>
        </w:tc>
      </w:tr>
      <w:tr w:rsidR="00C74F70" w14:paraId="4F86CC90" w14:textId="77777777">
        <w:trPr>
          <w:trHeight w:hRule="exact" w:val="307"/>
        </w:trPr>
        <w:tc>
          <w:tcPr>
            <w:tcW w:w="3082" w:type="dxa"/>
            <w:tcBorders>
              <w:bottom w:val="single" w:sz="8" w:space="0" w:color="000000"/>
            </w:tcBorders>
          </w:tcPr>
          <w:p w14:paraId="44442127" w14:textId="77777777" w:rsidR="00C74F70" w:rsidRDefault="00C74F70"/>
        </w:tc>
        <w:tc>
          <w:tcPr>
            <w:tcW w:w="1762" w:type="dxa"/>
            <w:tcBorders>
              <w:bottom w:val="single" w:sz="8" w:space="0" w:color="000000"/>
            </w:tcBorders>
          </w:tcPr>
          <w:p w14:paraId="04B8A605" w14:textId="77777777" w:rsidR="00C74F70" w:rsidRDefault="00C74F70"/>
        </w:tc>
        <w:tc>
          <w:tcPr>
            <w:tcW w:w="5664" w:type="dxa"/>
            <w:tcBorders>
              <w:bottom w:val="single" w:sz="8" w:space="0" w:color="000000"/>
            </w:tcBorders>
          </w:tcPr>
          <w:p w14:paraId="3AC5C0EB" w14:textId="77777777" w:rsidR="00C74F70" w:rsidRDefault="00C74F70"/>
        </w:tc>
      </w:tr>
      <w:tr w:rsidR="00C74F70" w14:paraId="62481515" w14:textId="77777777">
        <w:trPr>
          <w:trHeight w:hRule="exact" w:val="288"/>
        </w:trPr>
        <w:tc>
          <w:tcPr>
            <w:tcW w:w="4843" w:type="dxa"/>
            <w:gridSpan w:val="2"/>
            <w:tcBorders>
              <w:top w:val="single" w:sz="8" w:space="0" w:color="000000"/>
            </w:tcBorders>
            <w:shd w:val="clear" w:color="auto" w:fill="D9D9D9"/>
          </w:tcPr>
          <w:p w14:paraId="01629E50" w14:textId="77777777" w:rsidR="00C74F70" w:rsidRDefault="00A8397F">
            <w:pPr>
              <w:pStyle w:val="TableParagraph"/>
              <w:spacing w:before="0" w:line="232" w:lineRule="exact"/>
              <w:rPr>
                <w:b/>
              </w:rPr>
            </w:pPr>
            <w:r>
              <w:rPr>
                <w:b/>
              </w:rPr>
              <w:t>Evidence-based program identified by the</w:t>
            </w:r>
          </w:p>
        </w:tc>
        <w:tc>
          <w:tcPr>
            <w:tcW w:w="5664" w:type="dxa"/>
            <w:tcBorders>
              <w:top w:val="single" w:sz="8" w:space="0" w:color="000000"/>
            </w:tcBorders>
          </w:tcPr>
          <w:p w14:paraId="3F60090D" w14:textId="77777777" w:rsidR="00C74F70" w:rsidRDefault="00A8397F">
            <w:pPr>
              <w:pStyle w:val="TableParagraph"/>
              <w:ind w:left="0"/>
            </w:pPr>
            <w:r>
              <w:t>Yes</w:t>
            </w:r>
          </w:p>
        </w:tc>
      </w:tr>
      <w:tr w:rsidR="00C74F70" w14:paraId="4C161637" w14:textId="77777777">
        <w:trPr>
          <w:trHeight w:hRule="exact" w:val="298"/>
        </w:trPr>
        <w:tc>
          <w:tcPr>
            <w:tcW w:w="4843" w:type="dxa"/>
            <w:gridSpan w:val="2"/>
            <w:shd w:val="clear" w:color="auto" w:fill="D9D9D9"/>
          </w:tcPr>
          <w:p w14:paraId="025DB860" w14:textId="77777777" w:rsidR="00C74F70" w:rsidRDefault="00A8397F">
            <w:pPr>
              <w:pStyle w:val="TableParagraph"/>
              <w:spacing w:before="6"/>
              <w:rPr>
                <w:b/>
              </w:rPr>
            </w:pPr>
            <w:r>
              <w:rPr>
                <w:b/>
              </w:rPr>
              <w:t>SOA program categories:</w:t>
            </w:r>
          </w:p>
        </w:tc>
        <w:tc>
          <w:tcPr>
            <w:tcW w:w="5664" w:type="dxa"/>
          </w:tcPr>
          <w:p w14:paraId="6076E402" w14:textId="77777777" w:rsidR="00C74F70" w:rsidRDefault="00A8397F">
            <w:pPr>
              <w:pStyle w:val="TableParagraph"/>
              <w:spacing w:before="6"/>
              <w:ind w:left="0"/>
            </w:pPr>
            <w:r>
              <w:t>E and F</w:t>
            </w:r>
          </w:p>
        </w:tc>
      </w:tr>
    </w:tbl>
    <w:p w14:paraId="065F25A2" w14:textId="77777777" w:rsidR="00C74F70" w:rsidRDefault="00C74F70">
      <w:pPr>
        <w:pStyle w:val="BodyText"/>
        <w:spacing w:before="11"/>
        <w:rPr>
          <w:sz w:val="13"/>
        </w:rPr>
      </w:pPr>
    </w:p>
    <w:p w14:paraId="0B336FAD" w14:textId="77777777" w:rsidR="00C74F70" w:rsidRDefault="00A8397F">
      <w:pPr>
        <w:pStyle w:val="Heading1"/>
        <w:spacing w:before="101"/>
        <w:ind w:left="120"/>
      </w:pPr>
      <w:r>
        <w:t>Evidence-based program #2: Increased personnel and services to support holistic student needs.</w:t>
      </w:r>
    </w:p>
    <w:p w14:paraId="4F4FFFB0" w14:textId="77777777" w:rsidR="00C74F70" w:rsidRDefault="00A8397F">
      <w:pPr>
        <w:pStyle w:val="BodyText"/>
        <w:ind w:left="120" w:right="117"/>
      </w:pPr>
      <w:r>
        <w:t>As indicated in our charter our growth plan, it includes planning to increase our Social Work staff as well as hire additional administrators to help support all student needs. We currently have two full time Social Workers and plan to hire two more over the course of the next two years. Student success is measured not solely by academic achievement, but also on levels of student persistence, student expectations, and the extent to which a student’s learning experience at Map Academy prepares them for a successful future. Our student-centered model eschews traditional grade-based grouping of students, relying on a competency-based program that requires students to master a certain set of skills and knowledge before moving on, ensuring that a student’s learning journey is set on a strong foundation. Thus, competence is the sole measure of success and the standard for promotion rather than age, grades, credits, seat time, or calendars, ensuring that Map Academy graduates meet high academic standards and acquire the knowledge, mindsets,</w:t>
      </w:r>
      <w:r>
        <w:rPr>
          <w:spacing w:val="-4"/>
        </w:rPr>
        <w:t xml:space="preserve"> </w:t>
      </w:r>
      <w:r>
        <w:t>and</w:t>
      </w:r>
      <w:r>
        <w:rPr>
          <w:spacing w:val="-4"/>
        </w:rPr>
        <w:t xml:space="preserve"> </w:t>
      </w:r>
      <w:r>
        <w:t>skills</w:t>
      </w:r>
      <w:r>
        <w:rPr>
          <w:spacing w:val="-4"/>
        </w:rPr>
        <w:t xml:space="preserve"> </w:t>
      </w:r>
      <w:r>
        <w:t>necessary</w:t>
      </w:r>
      <w:r>
        <w:rPr>
          <w:spacing w:val="-4"/>
        </w:rPr>
        <w:t xml:space="preserve"> </w:t>
      </w:r>
      <w:r>
        <w:t>for</w:t>
      </w:r>
      <w:r>
        <w:rPr>
          <w:spacing w:val="-4"/>
        </w:rPr>
        <w:t xml:space="preserve"> </w:t>
      </w:r>
      <w:r>
        <w:t>postsecondary</w:t>
      </w:r>
      <w:r>
        <w:rPr>
          <w:spacing w:val="-4"/>
        </w:rPr>
        <w:t xml:space="preserve"> </w:t>
      </w:r>
      <w:r>
        <w:t>success.</w:t>
      </w:r>
      <w:r>
        <w:rPr>
          <w:spacing w:val="-5"/>
        </w:rPr>
        <w:t xml:space="preserve"> </w:t>
      </w:r>
      <w:r>
        <w:t>To</w:t>
      </w:r>
      <w:r>
        <w:rPr>
          <w:spacing w:val="-4"/>
        </w:rPr>
        <w:t xml:space="preserve"> </w:t>
      </w:r>
      <w:r>
        <w:t>successfully</w:t>
      </w:r>
      <w:r>
        <w:rPr>
          <w:spacing w:val="-4"/>
        </w:rPr>
        <w:t xml:space="preserve"> </w:t>
      </w:r>
      <w:r>
        <w:t>achieve</w:t>
      </w:r>
      <w:r>
        <w:rPr>
          <w:spacing w:val="-4"/>
        </w:rPr>
        <w:t xml:space="preserve"> </w:t>
      </w:r>
      <w:r>
        <w:t>this</w:t>
      </w:r>
      <w:r>
        <w:rPr>
          <w:spacing w:val="-4"/>
        </w:rPr>
        <w:t xml:space="preserve"> </w:t>
      </w:r>
      <w:r>
        <w:t>vision</w:t>
      </w:r>
      <w:r>
        <w:rPr>
          <w:spacing w:val="-4"/>
        </w:rPr>
        <w:t xml:space="preserve"> </w:t>
      </w:r>
      <w:r>
        <w:t>there</w:t>
      </w:r>
      <w:r>
        <w:rPr>
          <w:spacing w:val="-4"/>
        </w:rPr>
        <w:t xml:space="preserve"> </w:t>
      </w:r>
      <w:r>
        <w:t>is</w:t>
      </w:r>
      <w:r>
        <w:rPr>
          <w:spacing w:val="-4"/>
        </w:rPr>
        <w:t xml:space="preserve"> </w:t>
      </w:r>
      <w:r>
        <w:t>a</w:t>
      </w:r>
      <w:r>
        <w:rPr>
          <w:spacing w:val="-4"/>
        </w:rPr>
        <w:t xml:space="preserve"> </w:t>
      </w:r>
      <w:r>
        <w:t>need</w:t>
      </w:r>
      <w:r>
        <w:rPr>
          <w:spacing w:val="-4"/>
        </w:rPr>
        <w:t xml:space="preserve"> </w:t>
      </w:r>
      <w:r>
        <w:t>for</w:t>
      </w:r>
      <w:r>
        <w:rPr>
          <w:spacing w:val="-4"/>
        </w:rPr>
        <w:t xml:space="preserve"> </w:t>
      </w:r>
      <w:r>
        <w:t>additional clinical</w:t>
      </w:r>
      <w:r>
        <w:rPr>
          <w:spacing w:val="-6"/>
        </w:rPr>
        <w:t xml:space="preserve"> </w:t>
      </w:r>
      <w:r>
        <w:t>support</w:t>
      </w:r>
      <w:r>
        <w:rPr>
          <w:spacing w:val="-6"/>
        </w:rPr>
        <w:t xml:space="preserve"> </w:t>
      </w:r>
      <w:r>
        <w:t>staff.</w:t>
      </w:r>
      <w:r>
        <w:rPr>
          <w:spacing w:val="-5"/>
        </w:rPr>
        <w:t xml:space="preserve"> </w:t>
      </w:r>
      <w:r>
        <w:t>This</w:t>
      </w:r>
      <w:r>
        <w:rPr>
          <w:spacing w:val="-6"/>
        </w:rPr>
        <w:t xml:space="preserve"> </w:t>
      </w:r>
      <w:r>
        <w:t>evidence-based</w:t>
      </w:r>
      <w:r>
        <w:rPr>
          <w:spacing w:val="-6"/>
        </w:rPr>
        <w:t xml:space="preserve"> </w:t>
      </w:r>
      <w:r>
        <w:t>programming</w:t>
      </w:r>
      <w:r>
        <w:rPr>
          <w:spacing w:val="-6"/>
        </w:rPr>
        <w:t xml:space="preserve"> </w:t>
      </w:r>
      <w:r>
        <w:t>will</w:t>
      </w:r>
      <w:r>
        <w:rPr>
          <w:spacing w:val="-6"/>
        </w:rPr>
        <w:t xml:space="preserve"> </w:t>
      </w:r>
      <w:r>
        <w:t>address</w:t>
      </w:r>
      <w:r>
        <w:rPr>
          <w:spacing w:val="-6"/>
        </w:rPr>
        <w:t xml:space="preserve"> </w:t>
      </w:r>
      <w:r>
        <w:t>all</w:t>
      </w:r>
      <w:r>
        <w:rPr>
          <w:spacing w:val="-6"/>
        </w:rPr>
        <w:t xml:space="preserve"> </w:t>
      </w:r>
      <w:r>
        <w:t>student</w:t>
      </w:r>
      <w:r>
        <w:rPr>
          <w:spacing w:val="-6"/>
        </w:rPr>
        <w:t xml:space="preserve"> </w:t>
      </w:r>
      <w:r>
        <w:t>subgroups.</w:t>
      </w:r>
    </w:p>
    <w:p w14:paraId="4B10D37C" w14:textId="77777777" w:rsidR="00C74F70" w:rsidRDefault="00C74F70">
      <w:pPr>
        <w:pStyle w:val="BodyText"/>
        <w:spacing w:before="10"/>
        <w:rPr>
          <w:sz w:val="21"/>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2"/>
        <w:gridCol w:w="1704"/>
        <w:gridCol w:w="5688"/>
      </w:tblGrid>
      <w:tr w:rsidR="00C74F70" w14:paraId="20644C69" w14:textId="77777777">
        <w:trPr>
          <w:trHeight w:hRule="exact" w:val="242"/>
        </w:trPr>
        <w:tc>
          <w:tcPr>
            <w:tcW w:w="3072" w:type="dxa"/>
            <w:shd w:val="clear" w:color="auto" w:fill="D9D9D9"/>
          </w:tcPr>
          <w:p w14:paraId="5F8E2000" w14:textId="77777777" w:rsidR="00C74F70" w:rsidRDefault="00A8397F">
            <w:pPr>
              <w:pStyle w:val="TableParagraph"/>
              <w:spacing w:before="0" w:line="237" w:lineRule="exact"/>
              <w:rPr>
                <w:b/>
              </w:rPr>
            </w:pPr>
            <w:r>
              <w:rPr>
                <w:b/>
              </w:rPr>
              <w:t>FY21 budget item</w:t>
            </w:r>
          </w:p>
        </w:tc>
        <w:tc>
          <w:tcPr>
            <w:tcW w:w="1704" w:type="dxa"/>
            <w:shd w:val="clear" w:color="auto" w:fill="D9D9D9"/>
          </w:tcPr>
          <w:p w14:paraId="6A6E85AD" w14:textId="77777777" w:rsidR="00C74F70" w:rsidRDefault="00A8397F">
            <w:pPr>
              <w:pStyle w:val="TableParagraph"/>
              <w:spacing w:before="0" w:line="237" w:lineRule="exact"/>
              <w:ind w:left="102"/>
              <w:rPr>
                <w:b/>
              </w:rPr>
            </w:pPr>
            <w:r>
              <w:rPr>
                <w:b/>
              </w:rPr>
              <w:t>Amount</w:t>
            </w:r>
          </w:p>
        </w:tc>
        <w:tc>
          <w:tcPr>
            <w:tcW w:w="5688" w:type="dxa"/>
            <w:shd w:val="clear" w:color="auto" w:fill="D9D9D9"/>
          </w:tcPr>
          <w:p w14:paraId="2D0B2A58" w14:textId="77777777" w:rsidR="00C74F70" w:rsidRDefault="00A8397F">
            <w:pPr>
              <w:pStyle w:val="TableParagraph"/>
              <w:spacing w:before="0" w:line="237" w:lineRule="exact"/>
              <w:ind w:left="109"/>
              <w:rPr>
                <w:b/>
              </w:rPr>
            </w:pPr>
            <w:r>
              <w:rPr>
                <w:b/>
              </w:rPr>
              <w:t>Foundation Category</w:t>
            </w:r>
          </w:p>
        </w:tc>
      </w:tr>
      <w:tr w:rsidR="00C74F70" w14:paraId="6B1D36A5" w14:textId="77777777">
        <w:trPr>
          <w:trHeight w:hRule="exact" w:val="266"/>
        </w:trPr>
        <w:tc>
          <w:tcPr>
            <w:tcW w:w="3072" w:type="dxa"/>
            <w:tcBorders>
              <w:top w:val="single" w:sz="13" w:space="0" w:color="D9D9D9"/>
            </w:tcBorders>
          </w:tcPr>
          <w:p w14:paraId="42D414D6" w14:textId="77777777" w:rsidR="00C74F70" w:rsidRDefault="00A8397F">
            <w:pPr>
              <w:pStyle w:val="TableParagraph"/>
              <w:ind w:left="0"/>
            </w:pPr>
            <w:r>
              <w:t>Two additional Social Workers</w:t>
            </w:r>
          </w:p>
        </w:tc>
        <w:tc>
          <w:tcPr>
            <w:tcW w:w="1704" w:type="dxa"/>
            <w:tcBorders>
              <w:top w:val="single" w:sz="13" w:space="0" w:color="D9D9D9"/>
            </w:tcBorders>
          </w:tcPr>
          <w:p w14:paraId="5D303486" w14:textId="77777777" w:rsidR="00C74F70" w:rsidRDefault="00A8397F">
            <w:pPr>
              <w:pStyle w:val="TableParagraph"/>
              <w:ind w:left="-1"/>
            </w:pPr>
            <w:r>
              <w:t>$140,000</w:t>
            </w:r>
          </w:p>
        </w:tc>
        <w:tc>
          <w:tcPr>
            <w:tcW w:w="5688" w:type="dxa"/>
            <w:tcBorders>
              <w:top w:val="single" w:sz="13" w:space="0" w:color="D9D9D9"/>
            </w:tcBorders>
          </w:tcPr>
          <w:p w14:paraId="1D5BF045" w14:textId="77777777" w:rsidR="00C74F70" w:rsidRDefault="00A8397F">
            <w:pPr>
              <w:pStyle w:val="TableParagraph"/>
              <w:ind w:left="4"/>
            </w:pPr>
            <w:r>
              <w:t>Pupil Services and Employee Benefits/Fixed Charges</w:t>
            </w:r>
          </w:p>
        </w:tc>
      </w:tr>
      <w:tr w:rsidR="00C74F70" w14:paraId="78801BC5" w14:textId="77777777">
        <w:trPr>
          <w:trHeight w:hRule="exact" w:val="254"/>
        </w:trPr>
        <w:tc>
          <w:tcPr>
            <w:tcW w:w="3072" w:type="dxa"/>
          </w:tcPr>
          <w:p w14:paraId="5AC63EE4" w14:textId="77777777" w:rsidR="00C74F70" w:rsidRDefault="00C74F70"/>
        </w:tc>
        <w:tc>
          <w:tcPr>
            <w:tcW w:w="1704" w:type="dxa"/>
          </w:tcPr>
          <w:p w14:paraId="0267A0DA" w14:textId="77777777" w:rsidR="00C74F70" w:rsidRDefault="00C74F70"/>
        </w:tc>
        <w:tc>
          <w:tcPr>
            <w:tcW w:w="5688" w:type="dxa"/>
          </w:tcPr>
          <w:p w14:paraId="5C926D83" w14:textId="77777777" w:rsidR="00C74F70" w:rsidRDefault="00C74F70"/>
        </w:tc>
      </w:tr>
      <w:tr w:rsidR="00C74F70" w14:paraId="0A3A48CF" w14:textId="77777777">
        <w:trPr>
          <w:trHeight w:hRule="exact" w:val="264"/>
        </w:trPr>
        <w:tc>
          <w:tcPr>
            <w:tcW w:w="3072" w:type="dxa"/>
            <w:tcBorders>
              <w:bottom w:val="single" w:sz="8" w:space="0" w:color="000000"/>
            </w:tcBorders>
          </w:tcPr>
          <w:p w14:paraId="65B65BF6" w14:textId="77777777" w:rsidR="00C74F70" w:rsidRDefault="00C74F70"/>
        </w:tc>
        <w:tc>
          <w:tcPr>
            <w:tcW w:w="1704" w:type="dxa"/>
            <w:tcBorders>
              <w:bottom w:val="single" w:sz="8" w:space="0" w:color="000000"/>
            </w:tcBorders>
          </w:tcPr>
          <w:p w14:paraId="1FF2CEE6" w14:textId="77777777" w:rsidR="00C74F70" w:rsidRDefault="00C74F70"/>
        </w:tc>
        <w:tc>
          <w:tcPr>
            <w:tcW w:w="5688" w:type="dxa"/>
            <w:tcBorders>
              <w:bottom w:val="single" w:sz="8" w:space="0" w:color="000000"/>
            </w:tcBorders>
          </w:tcPr>
          <w:p w14:paraId="40F821ED" w14:textId="77777777" w:rsidR="00C74F70" w:rsidRDefault="00C74F70"/>
        </w:tc>
      </w:tr>
      <w:tr w:rsidR="00C74F70" w14:paraId="3608B14B" w14:textId="77777777">
        <w:trPr>
          <w:trHeight w:hRule="exact" w:val="254"/>
        </w:trPr>
        <w:tc>
          <w:tcPr>
            <w:tcW w:w="4776" w:type="dxa"/>
            <w:gridSpan w:val="2"/>
            <w:tcBorders>
              <w:top w:val="single" w:sz="8" w:space="0" w:color="000000"/>
            </w:tcBorders>
            <w:shd w:val="clear" w:color="auto" w:fill="D9D9D9"/>
          </w:tcPr>
          <w:p w14:paraId="7907DA27" w14:textId="77777777" w:rsidR="00C74F70" w:rsidRDefault="00A8397F">
            <w:pPr>
              <w:pStyle w:val="TableParagraph"/>
              <w:spacing w:before="0" w:line="237" w:lineRule="exact"/>
              <w:rPr>
                <w:b/>
              </w:rPr>
            </w:pPr>
            <w:r>
              <w:rPr>
                <w:b/>
              </w:rPr>
              <w:t>Evidence-based program identified by the</w:t>
            </w:r>
          </w:p>
        </w:tc>
        <w:tc>
          <w:tcPr>
            <w:tcW w:w="5688" w:type="dxa"/>
            <w:tcBorders>
              <w:top w:val="single" w:sz="8" w:space="0" w:color="000000"/>
            </w:tcBorders>
          </w:tcPr>
          <w:p w14:paraId="3D4909C5" w14:textId="77777777" w:rsidR="00C74F70" w:rsidRDefault="00A8397F">
            <w:pPr>
              <w:pStyle w:val="TableParagraph"/>
              <w:spacing w:before="6"/>
              <w:ind w:left="4"/>
            </w:pPr>
            <w:r>
              <w:t>Yes</w:t>
            </w:r>
          </w:p>
        </w:tc>
      </w:tr>
      <w:tr w:rsidR="00C74F70" w14:paraId="3DC79482" w14:textId="77777777">
        <w:trPr>
          <w:trHeight w:hRule="exact" w:val="259"/>
        </w:trPr>
        <w:tc>
          <w:tcPr>
            <w:tcW w:w="4776" w:type="dxa"/>
            <w:gridSpan w:val="2"/>
            <w:shd w:val="clear" w:color="auto" w:fill="D9D9D9"/>
          </w:tcPr>
          <w:p w14:paraId="06866536" w14:textId="77777777" w:rsidR="00C74F70" w:rsidRDefault="00A8397F">
            <w:pPr>
              <w:pStyle w:val="TableParagraph"/>
              <w:rPr>
                <w:b/>
              </w:rPr>
            </w:pPr>
            <w:r>
              <w:rPr>
                <w:b/>
              </w:rPr>
              <w:t>SOA program categories:</w:t>
            </w:r>
          </w:p>
        </w:tc>
        <w:tc>
          <w:tcPr>
            <w:tcW w:w="5688" w:type="dxa"/>
          </w:tcPr>
          <w:p w14:paraId="6CE58FB9" w14:textId="77777777" w:rsidR="00C74F70" w:rsidRDefault="00A8397F">
            <w:pPr>
              <w:pStyle w:val="TableParagraph"/>
              <w:ind w:left="4"/>
            </w:pPr>
            <w:r>
              <w:t>C and D</w:t>
            </w:r>
          </w:p>
        </w:tc>
      </w:tr>
    </w:tbl>
    <w:p w14:paraId="2C991313" w14:textId="77777777" w:rsidR="00C74F70" w:rsidRDefault="00C74F70">
      <w:pPr>
        <w:pStyle w:val="BodyText"/>
        <w:spacing w:before="1"/>
      </w:pPr>
    </w:p>
    <w:p w14:paraId="077D7D33" w14:textId="77777777" w:rsidR="00C74F70" w:rsidRDefault="00A8397F">
      <w:pPr>
        <w:pStyle w:val="Heading1"/>
        <w:ind w:left="120"/>
      </w:pPr>
      <w:r>
        <w:t>Evidence-based program #3: Acceleration Academies and/or summer learning to support skill development and accelerate advanced learners</w:t>
      </w:r>
    </w:p>
    <w:p w14:paraId="7438B0F7" w14:textId="77777777" w:rsidR="00C74F70" w:rsidRDefault="00A8397F">
      <w:pPr>
        <w:pStyle w:val="BodyText"/>
        <w:ind w:left="120" w:right="204"/>
      </w:pPr>
      <w:r>
        <w:t>In our ongoing work with off-track youth, the theme of their experiences is consistent. They feel overwhelmed by life both in and out of school and disengaged from the education they want and know that they need. Well-intentioned policies, structures, and curriculum delivery of traditional high schools drive too many of them away. These are the youth who most need our support, those whose struggles in and out of school make success a steep uphill climb. They need and deserve more. Map Academy Charter School is designed for them and we need to increase access particularly in this COVID-19 hybrid environment we find ourselves in. We currently offer evening school and summer school as additional opportunities for student learning time. We plan to continue this work over the next two years and beyond while also trying to create innovative ways to “bring the school to the students”. This evidence-based programming will address all student subgroups.</w:t>
      </w:r>
    </w:p>
    <w:p w14:paraId="3DE9F0B6" w14:textId="77777777" w:rsidR="00C74F70" w:rsidRDefault="00C74F70">
      <w:pPr>
        <w:pStyle w:val="BodyText"/>
        <w:spacing w:before="10"/>
        <w:rPr>
          <w:sz w:val="21"/>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2"/>
        <w:gridCol w:w="1704"/>
        <w:gridCol w:w="5688"/>
      </w:tblGrid>
      <w:tr w:rsidR="00C74F70" w14:paraId="0DD570F5" w14:textId="77777777">
        <w:trPr>
          <w:trHeight w:hRule="exact" w:val="254"/>
        </w:trPr>
        <w:tc>
          <w:tcPr>
            <w:tcW w:w="3072" w:type="dxa"/>
            <w:shd w:val="clear" w:color="auto" w:fill="D9D9D9"/>
          </w:tcPr>
          <w:p w14:paraId="52C44F0E" w14:textId="77777777" w:rsidR="00C74F70" w:rsidRDefault="00A8397F">
            <w:pPr>
              <w:pStyle w:val="TableParagraph"/>
              <w:spacing w:before="0" w:line="237" w:lineRule="exact"/>
              <w:rPr>
                <w:b/>
              </w:rPr>
            </w:pPr>
            <w:r>
              <w:rPr>
                <w:b/>
              </w:rPr>
              <w:t>FY21 budget item</w:t>
            </w:r>
          </w:p>
        </w:tc>
        <w:tc>
          <w:tcPr>
            <w:tcW w:w="1704" w:type="dxa"/>
            <w:shd w:val="clear" w:color="auto" w:fill="D9D9D9"/>
          </w:tcPr>
          <w:p w14:paraId="5019BD3A" w14:textId="77777777" w:rsidR="00C74F70" w:rsidRDefault="00A8397F">
            <w:pPr>
              <w:pStyle w:val="TableParagraph"/>
              <w:spacing w:before="0" w:line="237" w:lineRule="exact"/>
              <w:ind w:left="102"/>
              <w:rPr>
                <w:b/>
              </w:rPr>
            </w:pPr>
            <w:r>
              <w:rPr>
                <w:b/>
              </w:rPr>
              <w:t>Amount</w:t>
            </w:r>
          </w:p>
        </w:tc>
        <w:tc>
          <w:tcPr>
            <w:tcW w:w="5688" w:type="dxa"/>
            <w:shd w:val="clear" w:color="auto" w:fill="D9D9D9"/>
          </w:tcPr>
          <w:p w14:paraId="067D3E8E" w14:textId="77777777" w:rsidR="00C74F70" w:rsidRDefault="00A8397F">
            <w:pPr>
              <w:pStyle w:val="TableParagraph"/>
              <w:spacing w:before="0" w:line="237" w:lineRule="exact"/>
              <w:ind w:left="109"/>
              <w:rPr>
                <w:b/>
              </w:rPr>
            </w:pPr>
            <w:r>
              <w:rPr>
                <w:b/>
              </w:rPr>
              <w:t>Foundation Category</w:t>
            </w:r>
          </w:p>
        </w:tc>
      </w:tr>
      <w:tr w:rsidR="00C74F70" w14:paraId="6B7B3C6D" w14:textId="77777777">
        <w:trPr>
          <w:trHeight w:hRule="exact" w:val="254"/>
        </w:trPr>
        <w:tc>
          <w:tcPr>
            <w:tcW w:w="3072" w:type="dxa"/>
          </w:tcPr>
          <w:p w14:paraId="505B104A" w14:textId="77777777" w:rsidR="00C74F70" w:rsidRDefault="00A8397F">
            <w:pPr>
              <w:pStyle w:val="TableParagraph"/>
              <w:ind w:left="0"/>
            </w:pPr>
            <w:r>
              <w:t>Evening and summer</w:t>
            </w:r>
          </w:p>
        </w:tc>
        <w:tc>
          <w:tcPr>
            <w:tcW w:w="1704" w:type="dxa"/>
          </w:tcPr>
          <w:p w14:paraId="508CC3F1" w14:textId="77777777" w:rsidR="00C74F70" w:rsidRDefault="00A8397F">
            <w:pPr>
              <w:pStyle w:val="TableParagraph"/>
              <w:ind w:left="-1"/>
            </w:pPr>
            <w:r>
              <w:t>$25,000</w:t>
            </w:r>
          </w:p>
        </w:tc>
        <w:tc>
          <w:tcPr>
            <w:tcW w:w="5688" w:type="dxa"/>
          </w:tcPr>
          <w:p w14:paraId="4345E551" w14:textId="77777777" w:rsidR="00C74F70" w:rsidRDefault="00A8397F">
            <w:pPr>
              <w:pStyle w:val="TableParagraph"/>
              <w:ind w:left="4"/>
            </w:pPr>
            <w:r>
              <w:t>Other teaching services</w:t>
            </w:r>
          </w:p>
        </w:tc>
      </w:tr>
      <w:tr w:rsidR="00C74F70" w14:paraId="0D0ABACB" w14:textId="77777777">
        <w:trPr>
          <w:trHeight w:hRule="exact" w:val="254"/>
        </w:trPr>
        <w:tc>
          <w:tcPr>
            <w:tcW w:w="3072" w:type="dxa"/>
          </w:tcPr>
          <w:p w14:paraId="71C9FFEE" w14:textId="77777777" w:rsidR="00C74F70" w:rsidRDefault="00C74F70"/>
        </w:tc>
        <w:tc>
          <w:tcPr>
            <w:tcW w:w="1704" w:type="dxa"/>
          </w:tcPr>
          <w:p w14:paraId="6D6C41AC" w14:textId="77777777" w:rsidR="00C74F70" w:rsidRDefault="00C74F70"/>
        </w:tc>
        <w:tc>
          <w:tcPr>
            <w:tcW w:w="5688" w:type="dxa"/>
          </w:tcPr>
          <w:p w14:paraId="6D205932" w14:textId="77777777" w:rsidR="00C74F70" w:rsidRDefault="00C74F70"/>
        </w:tc>
      </w:tr>
      <w:tr w:rsidR="00C74F70" w14:paraId="1133CF5B" w14:textId="77777777">
        <w:trPr>
          <w:trHeight w:hRule="exact" w:val="264"/>
        </w:trPr>
        <w:tc>
          <w:tcPr>
            <w:tcW w:w="3072" w:type="dxa"/>
            <w:tcBorders>
              <w:bottom w:val="single" w:sz="8" w:space="0" w:color="000000"/>
            </w:tcBorders>
          </w:tcPr>
          <w:p w14:paraId="6FACB950" w14:textId="77777777" w:rsidR="00C74F70" w:rsidRDefault="00C74F70"/>
        </w:tc>
        <w:tc>
          <w:tcPr>
            <w:tcW w:w="1704" w:type="dxa"/>
            <w:tcBorders>
              <w:bottom w:val="single" w:sz="8" w:space="0" w:color="000000"/>
            </w:tcBorders>
          </w:tcPr>
          <w:p w14:paraId="504E1B69" w14:textId="77777777" w:rsidR="00C74F70" w:rsidRDefault="00C74F70"/>
        </w:tc>
        <w:tc>
          <w:tcPr>
            <w:tcW w:w="5688" w:type="dxa"/>
            <w:tcBorders>
              <w:bottom w:val="single" w:sz="8" w:space="0" w:color="000000"/>
            </w:tcBorders>
          </w:tcPr>
          <w:p w14:paraId="5F7E73F8" w14:textId="77777777" w:rsidR="00C74F70" w:rsidRDefault="00C74F70"/>
        </w:tc>
      </w:tr>
      <w:tr w:rsidR="00C74F70" w14:paraId="5C4E663B" w14:textId="77777777">
        <w:trPr>
          <w:trHeight w:hRule="exact" w:val="254"/>
        </w:trPr>
        <w:tc>
          <w:tcPr>
            <w:tcW w:w="4776" w:type="dxa"/>
            <w:gridSpan w:val="2"/>
            <w:tcBorders>
              <w:top w:val="single" w:sz="8" w:space="0" w:color="000000"/>
            </w:tcBorders>
            <w:shd w:val="clear" w:color="auto" w:fill="D9D9D9"/>
          </w:tcPr>
          <w:p w14:paraId="0BA69CDF" w14:textId="77777777" w:rsidR="00C74F70" w:rsidRDefault="00A8397F">
            <w:pPr>
              <w:pStyle w:val="TableParagraph"/>
              <w:spacing w:before="0" w:line="237" w:lineRule="exact"/>
              <w:rPr>
                <w:b/>
              </w:rPr>
            </w:pPr>
            <w:r>
              <w:rPr>
                <w:b/>
              </w:rPr>
              <w:t>Evidence-based program identified by the</w:t>
            </w:r>
          </w:p>
        </w:tc>
        <w:tc>
          <w:tcPr>
            <w:tcW w:w="5688" w:type="dxa"/>
            <w:tcBorders>
              <w:top w:val="single" w:sz="8" w:space="0" w:color="000000"/>
            </w:tcBorders>
          </w:tcPr>
          <w:p w14:paraId="11DCBD14" w14:textId="77777777" w:rsidR="00C74F70" w:rsidRDefault="00A8397F">
            <w:pPr>
              <w:pStyle w:val="TableParagraph"/>
              <w:spacing w:before="6"/>
              <w:ind w:left="4"/>
            </w:pPr>
            <w:r>
              <w:t>Yes</w:t>
            </w:r>
          </w:p>
        </w:tc>
      </w:tr>
      <w:tr w:rsidR="00C74F70" w14:paraId="2EB752B3" w14:textId="77777777">
        <w:trPr>
          <w:trHeight w:hRule="exact" w:val="259"/>
        </w:trPr>
        <w:tc>
          <w:tcPr>
            <w:tcW w:w="4776" w:type="dxa"/>
            <w:gridSpan w:val="2"/>
            <w:shd w:val="clear" w:color="auto" w:fill="D9D9D9"/>
          </w:tcPr>
          <w:p w14:paraId="46B4C797" w14:textId="77777777" w:rsidR="00C74F70" w:rsidRDefault="00A8397F">
            <w:pPr>
              <w:pStyle w:val="TableParagraph"/>
              <w:rPr>
                <w:b/>
              </w:rPr>
            </w:pPr>
            <w:r>
              <w:rPr>
                <w:b/>
              </w:rPr>
              <w:t>SOA program categories:</w:t>
            </w:r>
          </w:p>
        </w:tc>
        <w:tc>
          <w:tcPr>
            <w:tcW w:w="5688" w:type="dxa"/>
          </w:tcPr>
          <w:p w14:paraId="2059C3C0" w14:textId="77777777" w:rsidR="00C74F70" w:rsidRDefault="00A8397F">
            <w:pPr>
              <w:pStyle w:val="TableParagraph"/>
              <w:ind w:left="4"/>
            </w:pPr>
            <w:r>
              <w:t>A and E</w:t>
            </w:r>
          </w:p>
        </w:tc>
      </w:tr>
    </w:tbl>
    <w:p w14:paraId="49EC6E79" w14:textId="77777777" w:rsidR="00C74F70" w:rsidRDefault="00C74F70">
      <w:pPr>
        <w:pStyle w:val="BodyText"/>
        <w:rPr>
          <w:sz w:val="20"/>
        </w:rPr>
      </w:pPr>
    </w:p>
    <w:p w14:paraId="0E5702CF" w14:textId="77777777" w:rsidR="00C74F70" w:rsidRDefault="00C74F70">
      <w:pPr>
        <w:pStyle w:val="BodyText"/>
        <w:rPr>
          <w:sz w:val="20"/>
        </w:rPr>
      </w:pPr>
    </w:p>
    <w:p w14:paraId="3B13736D" w14:textId="26B8DA44" w:rsidR="00C74F70" w:rsidRDefault="00C74F70">
      <w:pPr>
        <w:pStyle w:val="BodyText"/>
        <w:spacing w:before="3"/>
        <w:rPr>
          <w:sz w:val="10"/>
        </w:rPr>
      </w:pPr>
    </w:p>
    <w:p w14:paraId="743FE739" w14:textId="77777777" w:rsidR="00C74F70" w:rsidRDefault="00A8397F">
      <w:pPr>
        <w:spacing w:before="98" w:line="237" w:lineRule="auto"/>
        <w:ind w:left="120" w:right="846"/>
        <w:jc w:val="both"/>
        <w:rPr>
          <w:sz w:val="20"/>
        </w:rPr>
      </w:pPr>
      <w:r>
        <w:rPr>
          <w:rFonts w:ascii="Times New Roman"/>
          <w:position w:val="8"/>
          <w:sz w:val="16"/>
        </w:rPr>
        <w:t xml:space="preserve">1 </w:t>
      </w:r>
      <w:r>
        <w:rPr>
          <w:sz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 Tuition.</w:t>
      </w:r>
    </w:p>
    <w:p w14:paraId="5296729D" w14:textId="77777777" w:rsidR="00C74F70" w:rsidRDefault="00C74F70">
      <w:pPr>
        <w:spacing w:line="237" w:lineRule="auto"/>
        <w:jc w:val="both"/>
        <w:rPr>
          <w:sz w:val="20"/>
        </w:rPr>
        <w:sectPr w:rsidR="00C74F70">
          <w:pgSz w:w="12240" w:h="15840"/>
          <w:pgMar w:top="720" w:right="620" w:bottom="280" w:left="600" w:header="720" w:footer="720" w:gutter="0"/>
          <w:cols w:space="720"/>
        </w:sectPr>
      </w:pPr>
    </w:p>
    <w:p w14:paraId="70B7C314" w14:textId="77777777" w:rsidR="00C74F70" w:rsidRDefault="00A8397F">
      <w:pPr>
        <w:pStyle w:val="Heading1"/>
        <w:spacing w:before="81"/>
        <w:ind w:left="100"/>
      </w:pPr>
      <w:r>
        <w:lastRenderedPageBreak/>
        <w:t>Evidence-based program #4: Dropout retention and recovery programs</w:t>
      </w:r>
    </w:p>
    <w:p w14:paraId="54C3D27F" w14:textId="77777777" w:rsidR="00C74F70" w:rsidRDefault="00A8397F">
      <w:pPr>
        <w:pStyle w:val="BodyText"/>
        <w:ind w:left="100" w:right="101"/>
      </w:pPr>
      <w:r>
        <w:t>The educational philosophy driving Map Academy is the conviction that all students can succeed, but that some students struggle to achieve success in traditional schools. We believe that one-size-fits-all educational models and graduation timelines do not effectively meet the academic and social-emotional needs of all students. Rather, we believe in meeting students at their current levels of engagement and resilience and increasing expectations as they develop the academic, personal, and social tools they need to be successful. Thus, Map Academy is intentionally designed to serve students who have not experienced success in traditional high schools and, as a result, are disconnected from and at risk of dropping out of school or have already left school without graduating. As a small alternative school our entire school model is based in deep research and practice related to dropout prevention and recovery programming. We currently have one Community Support Partner who supports in school student support services. We would like to expand our wrap around services by hiring three outreach workers specifically geared towards dropout retention and recovery programming.  We plan to continue this work over the next two years and beyond. This evidence-based programming will address all student</w:t>
      </w:r>
      <w:r>
        <w:rPr>
          <w:spacing w:val="-20"/>
        </w:rPr>
        <w:t xml:space="preserve"> </w:t>
      </w:r>
      <w:r>
        <w:t>subgroups.</w:t>
      </w:r>
    </w:p>
    <w:p w14:paraId="776F3244" w14:textId="77777777" w:rsidR="00C74F70" w:rsidRDefault="00C74F70">
      <w:pPr>
        <w:pStyle w:val="BodyText"/>
        <w:spacing w:before="11"/>
        <w:rPr>
          <w:sz w:val="21"/>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2"/>
        <w:gridCol w:w="1704"/>
        <w:gridCol w:w="5688"/>
      </w:tblGrid>
      <w:tr w:rsidR="00C74F70" w14:paraId="525F2A72" w14:textId="77777777">
        <w:trPr>
          <w:trHeight w:hRule="exact" w:val="254"/>
        </w:trPr>
        <w:tc>
          <w:tcPr>
            <w:tcW w:w="3072" w:type="dxa"/>
            <w:shd w:val="clear" w:color="auto" w:fill="D9D9D9"/>
          </w:tcPr>
          <w:p w14:paraId="7FE85CA0" w14:textId="77777777" w:rsidR="00C74F70" w:rsidRDefault="00A8397F">
            <w:pPr>
              <w:pStyle w:val="TableParagraph"/>
              <w:spacing w:before="0" w:line="237" w:lineRule="exact"/>
              <w:rPr>
                <w:b/>
              </w:rPr>
            </w:pPr>
            <w:r>
              <w:rPr>
                <w:b/>
              </w:rPr>
              <w:t>FY21 budget item</w:t>
            </w:r>
          </w:p>
        </w:tc>
        <w:tc>
          <w:tcPr>
            <w:tcW w:w="1704" w:type="dxa"/>
            <w:shd w:val="clear" w:color="auto" w:fill="D9D9D9"/>
          </w:tcPr>
          <w:p w14:paraId="10366522" w14:textId="77777777" w:rsidR="00C74F70" w:rsidRDefault="00A8397F">
            <w:pPr>
              <w:pStyle w:val="TableParagraph"/>
              <w:spacing w:before="0" w:line="237" w:lineRule="exact"/>
              <w:ind w:left="102"/>
              <w:rPr>
                <w:b/>
              </w:rPr>
            </w:pPr>
            <w:r>
              <w:rPr>
                <w:b/>
              </w:rPr>
              <w:t>Amount</w:t>
            </w:r>
          </w:p>
        </w:tc>
        <w:tc>
          <w:tcPr>
            <w:tcW w:w="5688" w:type="dxa"/>
            <w:shd w:val="clear" w:color="auto" w:fill="D9D9D9"/>
          </w:tcPr>
          <w:p w14:paraId="11D27856" w14:textId="77777777" w:rsidR="00C74F70" w:rsidRDefault="00A8397F">
            <w:pPr>
              <w:pStyle w:val="TableParagraph"/>
              <w:spacing w:before="0" w:line="237" w:lineRule="exact"/>
              <w:ind w:left="109"/>
              <w:rPr>
                <w:b/>
              </w:rPr>
            </w:pPr>
            <w:r>
              <w:rPr>
                <w:b/>
              </w:rPr>
              <w:t>Foundation Category</w:t>
            </w:r>
          </w:p>
        </w:tc>
      </w:tr>
      <w:tr w:rsidR="00C74F70" w14:paraId="250586E3" w14:textId="77777777">
        <w:trPr>
          <w:trHeight w:hRule="exact" w:val="254"/>
        </w:trPr>
        <w:tc>
          <w:tcPr>
            <w:tcW w:w="3072" w:type="dxa"/>
          </w:tcPr>
          <w:p w14:paraId="27EC41E4" w14:textId="77777777" w:rsidR="00C74F70" w:rsidRDefault="00A8397F">
            <w:pPr>
              <w:pStyle w:val="TableParagraph"/>
              <w:ind w:left="0"/>
            </w:pPr>
            <w:r>
              <w:t>Three outreach worker salaries</w:t>
            </w:r>
          </w:p>
        </w:tc>
        <w:tc>
          <w:tcPr>
            <w:tcW w:w="1704" w:type="dxa"/>
          </w:tcPr>
          <w:p w14:paraId="2DA87F94" w14:textId="77777777" w:rsidR="00C74F70" w:rsidRDefault="00A8397F">
            <w:pPr>
              <w:pStyle w:val="TableParagraph"/>
              <w:ind w:left="-1"/>
            </w:pPr>
            <w:r>
              <w:t>$150,000</w:t>
            </w:r>
          </w:p>
        </w:tc>
        <w:tc>
          <w:tcPr>
            <w:tcW w:w="5688" w:type="dxa"/>
          </w:tcPr>
          <w:p w14:paraId="343309A3" w14:textId="77777777" w:rsidR="00C74F70" w:rsidRDefault="00A8397F">
            <w:pPr>
              <w:pStyle w:val="TableParagraph"/>
              <w:ind w:left="4"/>
            </w:pPr>
            <w:r>
              <w:t>Pupil Services and Employee Benefits/Fixed Charges</w:t>
            </w:r>
          </w:p>
        </w:tc>
      </w:tr>
      <w:tr w:rsidR="00C74F70" w14:paraId="249B3BAB" w14:textId="77777777">
        <w:trPr>
          <w:trHeight w:hRule="exact" w:val="254"/>
        </w:trPr>
        <w:tc>
          <w:tcPr>
            <w:tcW w:w="3072" w:type="dxa"/>
          </w:tcPr>
          <w:p w14:paraId="60146FAE" w14:textId="77777777" w:rsidR="00C74F70" w:rsidRDefault="00C74F70"/>
        </w:tc>
        <w:tc>
          <w:tcPr>
            <w:tcW w:w="1704" w:type="dxa"/>
          </w:tcPr>
          <w:p w14:paraId="0B0D4F6A" w14:textId="77777777" w:rsidR="00C74F70" w:rsidRDefault="00C74F70"/>
        </w:tc>
        <w:tc>
          <w:tcPr>
            <w:tcW w:w="5688" w:type="dxa"/>
          </w:tcPr>
          <w:p w14:paraId="18AC49E3" w14:textId="77777777" w:rsidR="00C74F70" w:rsidRDefault="00C74F70"/>
        </w:tc>
      </w:tr>
      <w:tr w:rsidR="00C74F70" w14:paraId="3687B92E" w14:textId="77777777">
        <w:trPr>
          <w:trHeight w:hRule="exact" w:val="269"/>
        </w:trPr>
        <w:tc>
          <w:tcPr>
            <w:tcW w:w="3072" w:type="dxa"/>
            <w:tcBorders>
              <w:bottom w:val="single" w:sz="8" w:space="0" w:color="000000"/>
            </w:tcBorders>
          </w:tcPr>
          <w:p w14:paraId="724CDD6B" w14:textId="77777777" w:rsidR="00C74F70" w:rsidRDefault="00C74F70"/>
        </w:tc>
        <w:tc>
          <w:tcPr>
            <w:tcW w:w="1704" w:type="dxa"/>
            <w:tcBorders>
              <w:bottom w:val="single" w:sz="8" w:space="0" w:color="000000"/>
            </w:tcBorders>
          </w:tcPr>
          <w:p w14:paraId="09D74AF5" w14:textId="77777777" w:rsidR="00C74F70" w:rsidRDefault="00C74F70"/>
        </w:tc>
        <w:tc>
          <w:tcPr>
            <w:tcW w:w="5688" w:type="dxa"/>
            <w:tcBorders>
              <w:bottom w:val="single" w:sz="8" w:space="0" w:color="000000"/>
            </w:tcBorders>
          </w:tcPr>
          <w:p w14:paraId="236360DD" w14:textId="77777777" w:rsidR="00C74F70" w:rsidRDefault="00C74F70"/>
        </w:tc>
      </w:tr>
      <w:tr w:rsidR="00C74F70" w14:paraId="57F0107B" w14:textId="77777777">
        <w:trPr>
          <w:trHeight w:hRule="exact" w:val="254"/>
        </w:trPr>
        <w:tc>
          <w:tcPr>
            <w:tcW w:w="4776" w:type="dxa"/>
            <w:gridSpan w:val="2"/>
            <w:tcBorders>
              <w:top w:val="single" w:sz="8" w:space="0" w:color="000000"/>
            </w:tcBorders>
            <w:shd w:val="clear" w:color="auto" w:fill="D9D9D9"/>
          </w:tcPr>
          <w:p w14:paraId="0FD7EAB6" w14:textId="77777777" w:rsidR="00C74F70" w:rsidRDefault="00A8397F">
            <w:pPr>
              <w:pStyle w:val="TableParagraph"/>
              <w:spacing w:before="0" w:line="232" w:lineRule="exact"/>
              <w:rPr>
                <w:b/>
              </w:rPr>
            </w:pPr>
            <w:r>
              <w:rPr>
                <w:b/>
              </w:rPr>
              <w:t>Evidence-based program identified by the</w:t>
            </w:r>
          </w:p>
        </w:tc>
        <w:tc>
          <w:tcPr>
            <w:tcW w:w="5688" w:type="dxa"/>
            <w:tcBorders>
              <w:top w:val="single" w:sz="8" w:space="0" w:color="000000"/>
            </w:tcBorders>
          </w:tcPr>
          <w:p w14:paraId="69540927" w14:textId="77777777" w:rsidR="00C74F70" w:rsidRDefault="00A8397F">
            <w:pPr>
              <w:pStyle w:val="TableParagraph"/>
              <w:ind w:left="4"/>
            </w:pPr>
            <w:r>
              <w:t>Yes</w:t>
            </w:r>
          </w:p>
        </w:tc>
      </w:tr>
      <w:tr w:rsidR="00C74F70" w14:paraId="16D72395" w14:textId="77777777">
        <w:trPr>
          <w:trHeight w:hRule="exact" w:val="254"/>
        </w:trPr>
        <w:tc>
          <w:tcPr>
            <w:tcW w:w="4776" w:type="dxa"/>
            <w:gridSpan w:val="2"/>
            <w:shd w:val="clear" w:color="auto" w:fill="D9D9D9"/>
          </w:tcPr>
          <w:p w14:paraId="2FB52D6E" w14:textId="77777777" w:rsidR="00C74F70" w:rsidRDefault="00A8397F">
            <w:pPr>
              <w:pStyle w:val="TableParagraph"/>
              <w:rPr>
                <w:b/>
              </w:rPr>
            </w:pPr>
            <w:r>
              <w:rPr>
                <w:b/>
              </w:rPr>
              <w:t>SOA program categories:</w:t>
            </w:r>
          </w:p>
        </w:tc>
        <w:tc>
          <w:tcPr>
            <w:tcW w:w="5688" w:type="dxa"/>
          </w:tcPr>
          <w:p w14:paraId="549C9A45" w14:textId="77777777" w:rsidR="00C74F70" w:rsidRDefault="00A8397F">
            <w:pPr>
              <w:pStyle w:val="TableParagraph"/>
              <w:ind w:left="4"/>
            </w:pPr>
            <w:r>
              <w:t>I</w:t>
            </w:r>
          </w:p>
        </w:tc>
      </w:tr>
    </w:tbl>
    <w:p w14:paraId="567CCECA" w14:textId="77777777" w:rsidR="00C74F70" w:rsidRDefault="00C74F70">
      <w:pPr>
        <w:pStyle w:val="BodyText"/>
        <w:spacing w:before="2"/>
        <w:rPr>
          <w:sz w:val="29"/>
        </w:rPr>
      </w:pPr>
    </w:p>
    <w:p w14:paraId="0D15F60D" w14:textId="77777777" w:rsidR="00C74F70" w:rsidRDefault="00A8397F">
      <w:pPr>
        <w:pStyle w:val="Heading1"/>
        <w:ind w:left="100"/>
      </w:pPr>
      <w:r>
        <w:t>Evidence-based program #5: Strategies to recruit and retain educators/administrators in hard-to-staff schools and positions</w:t>
      </w:r>
    </w:p>
    <w:p w14:paraId="1E8CFBF5" w14:textId="77777777" w:rsidR="00C74F70" w:rsidRDefault="00A8397F">
      <w:pPr>
        <w:pStyle w:val="BodyText"/>
        <w:ind w:left="100" w:right="238"/>
      </w:pPr>
      <w:r>
        <w:t>We steadfastly believe that human capital is the single most important investment we can make in the long-term sustainability of our school. With that said we plan to continue growing out our staffing/administration over the course of the next two years and beyond through hiring a recruitment service for mission fit administrators and innovative marketing for other open positions. We intend to employ multiple strategies to recruit staff, including online employment searches, staff recruitment fairs, and extensive utilization of existing networks. Additionally, we intend to consult with local college teacher preparation programs to potentially serve as a training site for a competency-based model. This evidence-based programming will address all student subgroups.</w:t>
      </w:r>
    </w:p>
    <w:p w14:paraId="21AAB86D" w14:textId="77777777" w:rsidR="00C74F70" w:rsidRDefault="00C74F70">
      <w:pPr>
        <w:pStyle w:val="BodyText"/>
        <w:spacing w:before="10"/>
        <w:rPr>
          <w:sz w:val="21"/>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2"/>
        <w:gridCol w:w="1704"/>
        <w:gridCol w:w="5688"/>
      </w:tblGrid>
      <w:tr w:rsidR="00C74F70" w14:paraId="66B78C82" w14:textId="77777777">
        <w:trPr>
          <w:trHeight w:hRule="exact" w:val="242"/>
        </w:trPr>
        <w:tc>
          <w:tcPr>
            <w:tcW w:w="3072" w:type="dxa"/>
            <w:shd w:val="clear" w:color="auto" w:fill="D9D9D9"/>
          </w:tcPr>
          <w:p w14:paraId="2D71FFF2" w14:textId="77777777" w:rsidR="00C74F70" w:rsidRDefault="00A8397F">
            <w:pPr>
              <w:pStyle w:val="TableParagraph"/>
              <w:spacing w:before="0" w:line="237" w:lineRule="exact"/>
              <w:rPr>
                <w:b/>
              </w:rPr>
            </w:pPr>
            <w:r>
              <w:rPr>
                <w:b/>
              </w:rPr>
              <w:t>FY21 budget item</w:t>
            </w:r>
          </w:p>
        </w:tc>
        <w:tc>
          <w:tcPr>
            <w:tcW w:w="1704" w:type="dxa"/>
            <w:shd w:val="clear" w:color="auto" w:fill="D9D9D9"/>
          </w:tcPr>
          <w:p w14:paraId="0974B24C" w14:textId="77777777" w:rsidR="00C74F70" w:rsidRDefault="00A8397F">
            <w:pPr>
              <w:pStyle w:val="TableParagraph"/>
              <w:spacing w:before="0" w:line="237" w:lineRule="exact"/>
              <w:ind w:left="102"/>
              <w:rPr>
                <w:b/>
              </w:rPr>
            </w:pPr>
            <w:r>
              <w:rPr>
                <w:b/>
              </w:rPr>
              <w:t>Amount</w:t>
            </w:r>
          </w:p>
        </w:tc>
        <w:tc>
          <w:tcPr>
            <w:tcW w:w="5688" w:type="dxa"/>
            <w:shd w:val="clear" w:color="auto" w:fill="D9D9D9"/>
          </w:tcPr>
          <w:p w14:paraId="5CE8B6BE" w14:textId="77777777" w:rsidR="00C74F70" w:rsidRDefault="00A8397F">
            <w:pPr>
              <w:pStyle w:val="TableParagraph"/>
              <w:spacing w:before="0" w:line="237" w:lineRule="exact"/>
              <w:ind w:left="109"/>
              <w:rPr>
                <w:b/>
              </w:rPr>
            </w:pPr>
            <w:r>
              <w:rPr>
                <w:b/>
              </w:rPr>
              <w:t>Foundation Category</w:t>
            </w:r>
          </w:p>
        </w:tc>
      </w:tr>
      <w:tr w:rsidR="00C74F70" w14:paraId="1A76CD49" w14:textId="77777777">
        <w:trPr>
          <w:trHeight w:hRule="exact" w:val="266"/>
        </w:trPr>
        <w:tc>
          <w:tcPr>
            <w:tcW w:w="3072" w:type="dxa"/>
            <w:tcBorders>
              <w:top w:val="single" w:sz="13" w:space="0" w:color="D9D9D9"/>
            </w:tcBorders>
          </w:tcPr>
          <w:p w14:paraId="2A96503D" w14:textId="77777777" w:rsidR="00C74F70" w:rsidRDefault="00A8397F">
            <w:pPr>
              <w:pStyle w:val="TableParagraph"/>
              <w:ind w:left="0"/>
            </w:pPr>
            <w:r>
              <w:t>Recruitment service:</w:t>
            </w:r>
          </w:p>
        </w:tc>
        <w:tc>
          <w:tcPr>
            <w:tcW w:w="1704" w:type="dxa"/>
            <w:tcBorders>
              <w:top w:val="single" w:sz="13" w:space="0" w:color="D9D9D9"/>
            </w:tcBorders>
          </w:tcPr>
          <w:p w14:paraId="6390F50C" w14:textId="77777777" w:rsidR="00C74F70" w:rsidRDefault="00A8397F">
            <w:pPr>
              <w:pStyle w:val="TableParagraph"/>
              <w:ind w:left="-1"/>
            </w:pPr>
            <w:r>
              <w:t>$50,000</w:t>
            </w:r>
          </w:p>
        </w:tc>
        <w:tc>
          <w:tcPr>
            <w:tcW w:w="5688" w:type="dxa"/>
            <w:tcBorders>
              <w:top w:val="single" w:sz="13" w:space="0" w:color="D9D9D9"/>
            </w:tcBorders>
          </w:tcPr>
          <w:p w14:paraId="4B15B2BD" w14:textId="77777777" w:rsidR="00C74F70" w:rsidRDefault="00A8397F">
            <w:pPr>
              <w:pStyle w:val="TableParagraph"/>
              <w:ind w:left="4"/>
            </w:pPr>
            <w:r>
              <w:t>Administration</w:t>
            </w:r>
          </w:p>
        </w:tc>
      </w:tr>
      <w:tr w:rsidR="00C74F70" w14:paraId="6C5F72CF" w14:textId="77777777">
        <w:trPr>
          <w:trHeight w:hRule="exact" w:val="254"/>
        </w:trPr>
        <w:tc>
          <w:tcPr>
            <w:tcW w:w="3072" w:type="dxa"/>
          </w:tcPr>
          <w:p w14:paraId="5AAE2E14" w14:textId="77777777" w:rsidR="00C74F70" w:rsidRDefault="00A8397F">
            <w:pPr>
              <w:pStyle w:val="TableParagraph"/>
              <w:ind w:left="0"/>
            </w:pPr>
            <w:r>
              <w:t>Staff recruitment marketing</w:t>
            </w:r>
          </w:p>
        </w:tc>
        <w:tc>
          <w:tcPr>
            <w:tcW w:w="1704" w:type="dxa"/>
          </w:tcPr>
          <w:p w14:paraId="672A96D2" w14:textId="77777777" w:rsidR="00C74F70" w:rsidRDefault="00A8397F">
            <w:pPr>
              <w:pStyle w:val="TableParagraph"/>
              <w:ind w:left="-1"/>
            </w:pPr>
            <w:r>
              <w:t>$20,000</w:t>
            </w:r>
          </w:p>
        </w:tc>
        <w:tc>
          <w:tcPr>
            <w:tcW w:w="5688" w:type="dxa"/>
          </w:tcPr>
          <w:p w14:paraId="67E8E328" w14:textId="77777777" w:rsidR="00C74F70" w:rsidRDefault="00A8397F">
            <w:pPr>
              <w:pStyle w:val="TableParagraph"/>
              <w:ind w:left="4"/>
            </w:pPr>
            <w:r>
              <w:t>Administration</w:t>
            </w:r>
          </w:p>
        </w:tc>
      </w:tr>
      <w:tr w:rsidR="00C74F70" w14:paraId="23E7ABAF" w14:textId="77777777">
        <w:trPr>
          <w:trHeight w:hRule="exact" w:val="269"/>
        </w:trPr>
        <w:tc>
          <w:tcPr>
            <w:tcW w:w="3072" w:type="dxa"/>
            <w:tcBorders>
              <w:bottom w:val="single" w:sz="8" w:space="0" w:color="000000"/>
            </w:tcBorders>
          </w:tcPr>
          <w:p w14:paraId="24C46404" w14:textId="77777777" w:rsidR="00C74F70" w:rsidRDefault="00C74F70"/>
        </w:tc>
        <w:tc>
          <w:tcPr>
            <w:tcW w:w="1704" w:type="dxa"/>
            <w:tcBorders>
              <w:bottom w:val="single" w:sz="8" w:space="0" w:color="000000"/>
            </w:tcBorders>
          </w:tcPr>
          <w:p w14:paraId="1D3DA7D3" w14:textId="77777777" w:rsidR="00C74F70" w:rsidRDefault="00C74F70"/>
        </w:tc>
        <w:tc>
          <w:tcPr>
            <w:tcW w:w="5688" w:type="dxa"/>
            <w:tcBorders>
              <w:bottom w:val="single" w:sz="8" w:space="0" w:color="000000"/>
            </w:tcBorders>
          </w:tcPr>
          <w:p w14:paraId="615C103C" w14:textId="77777777" w:rsidR="00C74F70" w:rsidRDefault="00C74F70"/>
        </w:tc>
      </w:tr>
      <w:tr w:rsidR="00C74F70" w14:paraId="061CC4BD" w14:textId="77777777">
        <w:trPr>
          <w:trHeight w:hRule="exact" w:val="254"/>
        </w:trPr>
        <w:tc>
          <w:tcPr>
            <w:tcW w:w="4776" w:type="dxa"/>
            <w:gridSpan w:val="2"/>
            <w:tcBorders>
              <w:top w:val="single" w:sz="8" w:space="0" w:color="000000"/>
            </w:tcBorders>
            <w:shd w:val="clear" w:color="auto" w:fill="D9D9D9"/>
          </w:tcPr>
          <w:p w14:paraId="09B222E8" w14:textId="77777777" w:rsidR="00C74F70" w:rsidRDefault="00A8397F">
            <w:pPr>
              <w:pStyle w:val="TableParagraph"/>
              <w:spacing w:before="0" w:line="232" w:lineRule="exact"/>
              <w:rPr>
                <w:b/>
              </w:rPr>
            </w:pPr>
            <w:r>
              <w:rPr>
                <w:b/>
              </w:rPr>
              <w:t>Evidence-based program identified by the</w:t>
            </w:r>
          </w:p>
        </w:tc>
        <w:tc>
          <w:tcPr>
            <w:tcW w:w="5688" w:type="dxa"/>
            <w:tcBorders>
              <w:top w:val="single" w:sz="8" w:space="0" w:color="000000"/>
            </w:tcBorders>
          </w:tcPr>
          <w:p w14:paraId="11F1D8F4" w14:textId="77777777" w:rsidR="00C74F70" w:rsidRDefault="00A8397F">
            <w:pPr>
              <w:pStyle w:val="TableParagraph"/>
              <w:ind w:left="4"/>
            </w:pPr>
            <w:r>
              <w:t>Yes</w:t>
            </w:r>
          </w:p>
        </w:tc>
      </w:tr>
      <w:tr w:rsidR="00C74F70" w14:paraId="57B65F81" w14:textId="77777777">
        <w:trPr>
          <w:trHeight w:hRule="exact" w:val="254"/>
        </w:trPr>
        <w:tc>
          <w:tcPr>
            <w:tcW w:w="4776" w:type="dxa"/>
            <w:gridSpan w:val="2"/>
            <w:shd w:val="clear" w:color="auto" w:fill="D9D9D9"/>
          </w:tcPr>
          <w:p w14:paraId="18B42DB3" w14:textId="77777777" w:rsidR="00C74F70" w:rsidRDefault="00A8397F">
            <w:pPr>
              <w:pStyle w:val="TableParagraph"/>
              <w:rPr>
                <w:b/>
              </w:rPr>
            </w:pPr>
            <w:r>
              <w:rPr>
                <w:b/>
              </w:rPr>
              <w:t>SOA program categories:</w:t>
            </w:r>
          </w:p>
        </w:tc>
        <w:tc>
          <w:tcPr>
            <w:tcW w:w="5688" w:type="dxa"/>
          </w:tcPr>
          <w:p w14:paraId="5349F7DB" w14:textId="77777777" w:rsidR="00C74F70" w:rsidRDefault="00A8397F">
            <w:pPr>
              <w:pStyle w:val="TableParagraph"/>
              <w:ind w:left="4"/>
            </w:pPr>
            <w:r>
              <w:t>D</w:t>
            </w:r>
          </w:p>
        </w:tc>
      </w:tr>
    </w:tbl>
    <w:p w14:paraId="0A7AB4A1" w14:textId="77777777" w:rsidR="00C74F70" w:rsidRDefault="00C74F70">
      <w:pPr>
        <w:pStyle w:val="BodyText"/>
        <w:spacing w:before="3"/>
        <w:rPr>
          <w:sz w:val="36"/>
        </w:rPr>
      </w:pPr>
    </w:p>
    <w:p w14:paraId="20703305" w14:textId="77777777" w:rsidR="00C74F70" w:rsidRDefault="00A8397F">
      <w:pPr>
        <w:pStyle w:val="Heading1"/>
      </w:pPr>
      <w:r>
        <w:rPr>
          <w:b w:val="0"/>
          <w:color w:val="2D74B5"/>
        </w:rPr>
        <w:t xml:space="preserve">→ </w:t>
      </w:r>
      <w:r>
        <w:rPr>
          <w:color w:val="2D74B5"/>
        </w:rPr>
        <w:t>Commitment 3: Monitoring Success with Outcome Metrics and Targets</w:t>
      </w:r>
    </w:p>
    <w:p w14:paraId="0B6218F1" w14:textId="77777777" w:rsidR="00C74F70" w:rsidRDefault="00A8397F">
      <w:pPr>
        <w:spacing w:before="149"/>
        <w:ind w:left="207" w:right="1025"/>
        <w:rPr>
          <w:b/>
        </w:rPr>
      </w:pPr>
      <w:r>
        <w:rPr>
          <w:b/>
          <w:color w:val="1F3863"/>
        </w:rPr>
        <w:t>What metrics will your charter school use to monitor success in reducing disparities in achievement among student subgroups? Select from the list of Department metrics or provide your own.</w:t>
      </w:r>
    </w:p>
    <w:p w14:paraId="4D638C06" w14:textId="77777777" w:rsidR="00C74F70" w:rsidRDefault="00A8397F">
      <w:pPr>
        <w:pStyle w:val="BodyText"/>
        <w:spacing w:before="8"/>
        <w:rPr>
          <w:b/>
          <w:sz w:val="18"/>
        </w:rPr>
      </w:pPr>
      <w:r>
        <w:rPr>
          <w:noProof/>
        </w:rPr>
        <mc:AlternateContent>
          <mc:Choice Requires="wpg">
            <w:drawing>
              <wp:anchor distT="0" distB="0" distL="0" distR="0" simplePos="0" relativeHeight="1120" behindDoc="0" locked="0" layoutInCell="1" allowOverlap="1" wp14:anchorId="47FA3BEE" wp14:editId="1C9A26AA">
                <wp:simplePos x="0" y="0"/>
                <wp:positionH relativeFrom="page">
                  <wp:posOffset>868680</wp:posOffset>
                </wp:positionH>
                <wp:positionV relativeFrom="paragraph">
                  <wp:posOffset>169545</wp:posOffset>
                </wp:positionV>
                <wp:extent cx="5194300" cy="1356995"/>
                <wp:effectExtent l="0" t="0" r="0" b="1905"/>
                <wp:wrapTopAndBottom/>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0" cy="1356995"/>
                          <a:chOff x="1368" y="267"/>
                          <a:chExt cx="8180" cy="2137"/>
                        </a:xfrm>
                      </wpg:grpSpPr>
                      <wps:wsp>
                        <wps:cNvPr id="2" name="Line 11"/>
                        <wps:cNvCnPr>
                          <a:cxnSpLocks/>
                        </wps:cNvCnPr>
                        <wps:spPr bwMode="auto">
                          <a:xfrm>
                            <a:off x="1378" y="277"/>
                            <a:ext cx="40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0"/>
                        <wps:cNvCnPr>
                          <a:cxnSpLocks/>
                        </wps:cNvCnPr>
                        <wps:spPr bwMode="auto">
                          <a:xfrm>
                            <a:off x="5405" y="277"/>
                            <a:ext cx="41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wps:cNvCnPr>
                        <wps:spPr bwMode="auto">
                          <a:xfrm>
                            <a:off x="1373" y="272"/>
                            <a:ext cx="0" cy="21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wps:cNvCnPr>
                        <wps:spPr bwMode="auto">
                          <a:xfrm>
                            <a:off x="1378" y="2394"/>
                            <a:ext cx="40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wps:cNvCnPr>
                        <wps:spPr bwMode="auto">
                          <a:xfrm>
                            <a:off x="5400" y="272"/>
                            <a:ext cx="0" cy="21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wps:cNvCnPr>
                        <wps:spPr bwMode="auto">
                          <a:xfrm>
                            <a:off x="5405" y="2394"/>
                            <a:ext cx="41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wps:cNvCnPr>
                        <wps:spPr bwMode="auto">
                          <a:xfrm>
                            <a:off x="9542" y="272"/>
                            <a:ext cx="0" cy="21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4"/>
                        <wps:cNvSpPr txBox="1">
                          <a:spLocks/>
                        </wps:cNvSpPr>
                        <wps:spPr bwMode="auto">
                          <a:xfrm>
                            <a:off x="1373" y="277"/>
                            <a:ext cx="4028"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6C03" w14:textId="77777777" w:rsidR="00C74F70" w:rsidRDefault="00A8397F">
                              <w:pPr>
                                <w:spacing w:line="203" w:lineRule="exact"/>
                                <w:ind w:left="9"/>
                                <w:rPr>
                                  <w:b/>
                                </w:rPr>
                              </w:pPr>
                              <w:r>
                                <w:rPr>
                                  <w:b/>
                                </w:rPr>
                                <w:t>Department outcome metrics:</w:t>
                              </w:r>
                            </w:p>
                            <w:p w14:paraId="5EAF7033" w14:textId="77777777" w:rsidR="00C74F70" w:rsidRDefault="00A8397F">
                              <w:pPr>
                                <w:numPr>
                                  <w:ilvl w:val="0"/>
                                  <w:numId w:val="2"/>
                                </w:numPr>
                                <w:tabs>
                                  <w:tab w:val="left" w:pos="809"/>
                                </w:tabs>
                                <w:spacing w:line="264" w:lineRule="exact"/>
                              </w:pPr>
                              <w:r>
                                <w:t>Improved annual dropout</w:t>
                              </w:r>
                              <w:r>
                                <w:rPr>
                                  <w:spacing w:val="-16"/>
                                </w:rPr>
                                <w:t xml:space="preserve"> </w:t>
                              </w:r>
                              <w:r>
                                <w:t>rate</w:t>
                              </w:r>
                            </w:p>
                            <w:p w14:paraId="0B704ED0" w14:textId="77777777" w:rsidR="00C74F70" w:rsidRDefault="00A8397F">
                              <w:pPr>
                                <w:numPr>
                                  <w:ilvl w:val="0"/>
                                  <w:numId w:val="2"/>
                                </w:numPr>
                                <w:tabs>
                                  <w:tab w:val="left" w:pos="809"/>
                                </w:tabs>
                                <w:spacing w:before="19" w:line="268" w:lineRule="exact"/>
                                <w:ind w:right="552"/>
                              </w:pPr>
                              <w:r>
                                <w:t>Improved ELA achievement in NWEA growth scores for all subgroups.</w:t>
                              </w:r>
                            </w:p>
                            <w:p w14:paraId="6E8C45D2" w14:textId="77777777" w:rsidR="00C74F70" w:rsidRDefault="00A8397F">
                              <w:pPr>
                                <w:numPr>
                                  <w:ilvl w:val="0"/>
                                  <w:numId w:val="2"/>
                                </w:numPr>
                                <w:tabs>
                                  <w:tab w:val="left" w:pos="809"/>
                                </w:tabs>
                                <w:spacing w:before="1" w:line="268" w:lineRule="exact"/>
                                <w:ind w:right="397"/>
                              </w:pPr>
                              <w:r>
                                <w:t>Improved Math achievement in NWEA growth scores for all subgroups.</w:t>
                              </w:r>
                            </w:p>
                          </w:txbxContent>
                        </wps:txbx>
                        <wps:bodyPr rot="0" vert="horz" wrap="square" lIns="0" tIns="0" rIns="0" bIns="0" anchor="t" anchorCtr="0" upright="1">
                          <a:noAutofit/>
                        </wps:bodyPr>
                      </wps:wsp>
                      <wps:wsp>
                        <wps:cNvPr id="10" name="Text Box 3"/>
                        <wps:cNvSpPr txBox="1">
                          <a:spLocks/>
                        </wps:cNvSpPr>
                        <wps:spPr bwMode="auto">
                          <a:xfrm>
                            <a:off x="5400" y="277"/>
                            <a:ext cx="4143"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53B62" w14:textId="77777777" w:rsidR="00C74F70" w:rsidRDefault="00A8397F">
                              <w:pPr>
                                <w:spacing w:before="7" w:line="189" w:lineRule="auto"/>
                                <w:ind w:left="4" w:right="414" w:firstLine="49"/>
                                <w:rPr>
                                  <w:b/>
                                </w:rPr>
                              </w:pPr>
                              <w:r>
                                <w:rPr>
                                  <w:b/>
                                </w:rPr>
                                <w:t>Custom metrics (must include targets as well):</w:t>
                              </w:r>
                            </w:p>
                            <w:p w14:paraId="1A6401F6" w14:textId="77777777" w:rsidR="00C74F70" w:rsidRDefault="00A8397F">
                              <w:pPr>
                                <w:spacing w:before="2"/>
                                <w:ind w:left="803"/>
                              </w:pPr>
                              <w:r>
                                <w:t>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A3BEE" id="Group 2" o:spid="_x0000_s1026" style="position:absolute;margin-left:68.4pt;margin-top:13.35pt;width:409pt;height:106.85pt;z-index:1120;mso-wrap-distance-left:0;mso-wrap-distance-right:0;mso-position-horizontal-relative:page" coordorigin="1368,267" coordsize="8180,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">
                <v:line id="Line 11" o:spid="_x0000_s1027" style="position:absolute;visibility:visible;mso-wrap-style:square" from="1378,277" to="5395,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o:lock v:ext="edit" shapetype="f"/>
                </v:line>
                <v:line id="Line 10" o:spid="_x0000_s1028" style="position:absolute;visibility:visible;mso-wrap-style:square" from="5405,277" to="9538,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o:lock v:ext="edit" shapetype="f"/>
                </v:line>
                <v:line id="Line 9" o:spid="_x0000_s1029" style="position:absolute;visibility:visible;mso-wrap-style:square" from="1373,272" to="1373,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o:lock v:ext="edit" shapetype="f"/>
                </v:line>
                <v:line id="Line 8" o:spid="_x0000_s1030" style="position:absolute;visibility:visible;mso-wrap-style:square" from="1378,2394" to="5395,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o:lock v:ext="edit" shapetype="f"/>
                </v:line>
                <v:line id="Line 7" o:spid="_x0000_s1031" style="position:absolute;visibility:visible;mso-wrap-style:square" from="5400,272" to="5400,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o:lock v:ext="edit" shapetype="f"/>
                </v:line>
                <v:line id="Line 6" o:spid="_x0000_s1032" style="position:absolute;visibility:visible;mso-wrap-style:square" from="5405,2394" to="9538,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o:lock v:ext="edit" shapetype="f"/>
                </v:line>
                <v:line id="Line 5" o:spid="_x0000_s1033" style="position:absolute;visibility:visible;mso-wrap-style:square" from="9542,272" to="9542,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o:lock v:ext="edit" shapetype="f"/>
                </v:line>
                <v:shapetype id="_x0000_t202" coordsize="21600,21600" o:spt="202" path="m,l,21600r21600,l21600,xe">
                  <v:stroke joinstyle="miter"/>
                  <v:path gradientshapeok="t" o:connecttype="rect"/>
                </v:shapetype>
                <v:shape id="Text Box 4" o:spid="_x0000_s1034" type="#_x0000_t202" style="position:absolute;left:1373;top:277;width:4028;height:2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" filled="f" stroked="f">
                  <v:path arrowok="t"/>
                  <v:textbox inset="0,0,0,0">
                    <w:txbxContent>
                      <w:p w14:paraId="040F6C03" w14:textId="77777777" w:rsidR="00C74F70" w:rsidRDefault="00A8397F">
                        <w:pPr>
                          <w:spacing w:line="203" w:lineRule="exact"/>
                          <w:ind w:left="9"/>
                          <w:rPr>
                            <w:b/>
                          </w:rPr>
                        </w:pPr>
                        <w:r>
                          <w:rPr>
                            <w:b/>
                          </w:rPr>
                          <w:t>Department outcome metrics:</w:t>
                        </w:r>
                      </w:p>
                      <w:p w14:paraId="5EAF7033" w14:textId="77777777" w:rsidR="00C74F70" w:rsidRDefault="00A8397F">
                        <w:pPr>
                          <w:numPr>
                            <w:ilvl w:val="0"/>
                            <w:numId w:val="2"/>
                          </w:numPr>
                          <w:tabs>
                            <w:tab w:val="left" w:pos="809"/>
                          </w:tabs>
                          <w:spacing w:line="264" w:lineRule="exact"/>
                        </w:pPr>
                        <w:r>
                          <w:t>Improved annual dropout</w:t>
                        </w:r>
                        <w:r>
                          <w:rPr>
                            <w:spacing w:val="-16"/>
                          </w:rPr>
                          <w:t xml:space="preserve"> </w:t>
                        </w:r>
                        <w:r>
                          <w:t>rate</w:t>
                        </w:r>
                      </w:p>
                      <w:p w14:paraId="0B704ED0" w14:textId="77777777" w:rsidR="00C74F70" w:rsidRDefault="00A8397F">
                        <w:pPr>
                          <w:numPr>
                            <w:ilvl w:val="0"/>
                            <w:numId w:val="2"/>
                          </w:numPr>
                          <w:tabs>
                            <w:tab w:val="left" w:pos="809"/>
                          </w:tabs>
                          <w:spacing w:before="19" w:line="268" w:lineRule="exact"/>
                          <w:ind w:right="552"/>
                        </w:pPr>
                        <w:r>
                          <w:t>Improved ELA achievement in NWEA growth scores for all subgroups.</w:t>
                        </w:r>
                      </w:p>
                      <w:p w14:paraId="6E8C45D2" w14:textId="77777777" w:rsidR="00C74F70" w:rsidRDefault="00A8397F">
                        <w:pPr>
                          <w:numPr>
                            <w:ilvl w:val="0"/>
                            <w:numId w:val="2"/>
                          </w:numPr>
                          <w:tabs>
                            <w:tab w:val="left" w:pos="809"/>
                          </w:tabs>
                          <w:spacing w:before="1" w:line="268" w:lineRule="exact"/>
                          <w:ind w:right="397"/>
                        </w:pPr>
                        <w:r>
                          <w:t>Improved Math achievement in NWEA growth scores for all subgroups.</w:t>
                        </w:r>
                      </w:p>
                    </w:txbxContent>
                  </v:textbox>
                </v:shape>
                <v:shape id="Text Box 3" o:spid="_x0000_s1035" type="#_x0000_t202" style="position:absolute;left:5400;top:277;width:4143;height:2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" filled="f" stroked="f">
                  <v:path arrowok="t"/>
                  <v:textbox inset="0,0,0,0">
                    <w:txbxContent>
                      <w:p w14:paraId="67253B62" w14:textId="77777777" w:rsidR="00C74F70" w:rsidRDefault="00A8397F">
                        <w:pPr>
                          <w:spacing w:before="7" w:line="189" w:lineRule="auto"/>
                          <w:ind w:left="4" w:right="414" w:firstLine="49"/>
                          <w:rPr>
                            <w:b/>
                          </w:rPr>
                        </w:pPr>
                        <w:r>
                          <w:rPr>
                            <w:b/>
                          </w:rPr>
                          <w:t>Custom metrics (must include targets as well):</w:t>
                        </w:r>
                      </w:p>
                      <w:p w14:paraId="1A6401F6" w14:textId="77777777" w:rsidR="00C74F70" w:rsidRDefault="00A8397F">
                        <w:pPr>
                          <w:spacing w:before="2"/>
                          <w:ind w:left="803"/>
                        </w:pPr>
                        <w:r>
                          <w:t>N/A</w:t>
                        </w:r>
                      </w:p>
                    </w:txbxContent>
                  </v:textbox>
                </v:shape>
                <w10:wrap type="topAndBottom" anchorx="page"/>
              </v:group>
            </w:pict>
          </mc:Fallback>
        </mc:AlternateContent>
      </w:r>
    </w:p>
    <w:p w14:paraId="7EFF9E0A" w14:textId="77777777" w:rsidR="00C74F70" w:rsidRDefault="00C74F70">
      <w:pPr>
        <w:rPr>
          <w:sz w:val="18"/>
        </w:rPr>
        <w:sectPr w:rsidR="00C74F70">
          <w:pgSz w:w="12240" w:h="15840"/>
          <w:pgMar w:top="640" w:right="620" w:bottom="280" w:left="620" w:header="720" w:footer="720" w:gutter="0"/>
          <w:cols w:space="720"/>
        </w:sectPr>
      </w:pPr>
    </w:p>
    <w:p w14:paraId="2F5ED9FF" w14:textId="77777777" w:rsidR="00C74F70" w:rsidRDefault="00A8397F">
      <w:pPr>
        <w:spacing w:before="89"/>
        <w:ind w:left="207"/>
        <w:rPr>
          <w:b/>
        </w:rPr>
      </w:pPr>
      <w:r>
        <w:rPr>
          <w:color w:val="2D74B5"/>
        </w:rPr>
        <w:lastRenderedPageBreak/>
        <w:t xml:space="preserve">→ </w:t>
      </w:r>
      <w:r>
        <w:rPr>
          <w:b/>
          <w:color w:val="2D74B5"/>
        </w:rPr>
        <w:t>Commitment 4: Engaging All Families</w:t>
      </w:r>
    </w:p>
    <w:p w14:paraId="64DDE8EC" w14:textId="77777777" w:rsidR="00C74F70" w:rsidRDefault="00A8397F">
      <w:pPr>
        <w:spacing w:before="72"/>
        <w:ind w:left="207" w:right="210"/>
        <w:rPr>
          <w:b/>
        </w:rPr>
      </w:pPr>
      <w:r>
        <w:rPr>
          <w:b/>
          <w:color w:val="1F3863"/>
        </w:rPr>
        <w:t>How will your charter school ensure that all families, particularly those representing the student subgroups most in need of support, have the opportunity to meaningfully engage with the charter school regarding their students’ needs?</w:t>
      </w:r>
    </w:p>
    <w:p w14:paraId="303D850B" w14:textId="77777777" w:rsidR="00C74F70" w:rsidRDefault="00C74F70">
      <w:pPr>
        <w:pStyle w:val="BodyText"/>
        <w:rPr>
          <w:b/>
        </w:rPr>
      </w:pPr>
    </w:p>
    <w:p w14:paraId="4325D2A2" w14:textId="77777777" w:rsidR="00C74F70" w:rsidRDefault="00A8397F">
      <w:pPr>
        <w:pStyle w:val="BodyText"/>
        <w:ind w:left="100" w:right="174"/>
      </w:pPr>
      <w:r>
        <w:t>Map Academy will continue to implement many programs and strategies to ensure that positive culture and climate is consistently fostered by school leadership, teachers, students, and parents/guardians. Every aspect of our school is designed to ensure that the culture we are seeking to establish is reinforced on a daily basis through the relationships between and among all stakeholders.</w:t>
      </w:r>
    </w:p>
    <w:p w14:paraId="1D0E7050" w14:textId="77777777" w:rsidR="00C74F70" w:rsidRDefault="00C74F70">
      <w:pPr>
        <w:pStyle w:val="BodyText"/>
      </w:pPr>
    </w:p>
    <w:p w14:paraId="4DF77046" w14:textId="77777777" w:rsidR="00C74F70" w:rsidRDefault="00A8397F">
      <w:pPr>
        <w:pStyle w:val="BodyText"/>
        <w:ind w:left="100" w:right="221"/>
      </w:pPr>
      <w:r>
        <w:t>Map Academy will continue to seek involve from parents/guardians as partners in the education of their children. We will work to build and maintain family-school partnerships that support students’ academic progress and social- emotional well-being. We recognize, however, that given our target student population, we will need to employ nontraditional methods to reach and engage families. To involve parents/guardians in the school, we will continue to utilize the following strategies:</w:t>
      </w:r>
    </w:p>
    <w:p w14:paraId="289B04A6" w14:textId="77777777" w:rsidR="00C74F70" w:rsidRDefault="00A8397F">
      <w:pPr>
        <w:pStyle w:val="ListParagraph"/>
        <w:numPr>
          <w:ilvl w:val="0"/>
          <w:numId w:val="1"/>
        </w:numPr>
        <w:tabs>
          <w:tab w:val="left" w:pos="819"/>
          <w:tab w:val="left" w:pos="820"/>
        </w:tabs>
        <w:ind w:right="169"/>
      </w:pPr>
      <w:r>
        <w:rPr>
          <w:b/>
        </w:rPr>
        <w:t xml:space="preserve">Home Visits: </w:t>
      </w:r>
      <w:r>
        <w:t>Because we know that many barriers prevent family involvement, Map Academy staff will post covid-19 will continue to visit students’ homes on a regular basis. The intent of these visits is to build trust and rapport,</w:t>
      </w:r>
      <w:r>
        <w:rPr>
          <w:spacing w:val="-5"/>
        </w:rPr>
        <w:t xml:space="preserve"> </w:t>
      </w:r>
      <w:r>
        <w:t>demonstrating</w:t>
      </w:r>
      <w:r>
        <w:rPr>
          <w:spacing w:val="-4"/>
        </w:rPr>
        <w:t xml:space="preserve"> </w:t>
      </w:r>
      <w:r>
        <w:t>our</w:t>
      </w:r>
      <w:r>
        <w:rPr>
          <w:spacing w:val="-4"/>
        </w:rPr>
        <w:t xml:space="preserve"> </w:t>
      </w:r>
      <w:r>
        <w:t>deep</w:t>
      </w:r>
      <w:r>
        <w:rPr>
          <w:spacing w:val="-4"/>
        </w:rPr>
        <w:t xml:space="preserve"> </w:t>
      </w:r>
      <w:r>
        <w:t>level</w:t>
      </w:r>
      <w:r>
        <w:rPr>
          <w:spacing w:val="-4"/>
        </w:rPr>
        <w:t xml:space="preserve"> </w:t>
      </w:r>
      <w:r>
        <w:t>of</w:t>
      </w:r>
      <w:r>
        <w:rPr>
          <w:spacing w:val="-4"/>
        </w:rPr>
        <w:t xml:space="preserve"> </w:t>
      </w:r>
      <w:r>
        <w:t>commitment</w:t>
      </w:r>
      <w:r>
        <w:rPr>
          <w:spacing w:val="-4"/>
        </w:rPr>
        <w:t xml:space="preserve"> </w:t>
      </w:r>
      <w:r>
        <w:t>to</w:t>
      </w:r>
      <w:r>
        <w:rPr>
          <w:spacing w:val="-4"/>
        </w:rPr>
        <w:t xml:space="preserve"> </w:t>
      </w:r>
      <w:r>
        <w:t>student</w:t>
      </w:r>
      <w:r>
        <w:rPr>
          <w:spacing w:val="-4"/>
        </w:rPr>
        <w:t xml:space="preserve"> </w:t>
      </w:r>
      <w:r>
        <w:t>wellbeing</w:t>
      </w:r>
      <w:r>
        <w:rPr>
          <w:spacing w:val="-4"/>
        </w:rPr>
        <w:t xml:space="preserve"> </w:t>
      </w:r>
      <w:r>
        <w:t>and</w:t>
      </w:r>
      <w:r>
        <w:rPr>
          <w:spacing w:val="-4"/>
        </w:rPr>
        <w:t xml:space="preserve"> </w:t>
      </w:r>
      <w:r>
        <w:t>success.</w:t>
      </w:r>
    </w:p>
    <w:p w14:paraId="5E0E1843" w14:textId="77777777" w:rsidR="00C74F70" w:rsidRDefault="00A8397F">
      <w:pPr>
        <w:pStyle w:val="ListParagraph"/>
        <w:numPr>
          <w:ilvl w:val="0"/>
          <w:numId w:val="1"/>
        </w:numPr>
        <w:tabs>
          <w:tab w:val="left" w:pos="819"/>
          <w:tab w:val="left" w:pos="820"/>
        </w:tabs>
        <w:ind w:right="184"/>
      </w:pPr>
      <w:r>
        <w:rPr>
          <w:b/>
        </w:rPr>
        <w:t xml:space="preserve">Regular Communication with Families: </w:t>
      </w:r>
      <w:r>
        <w:t>Map Academy will regularly connect with parents and families via text message, email, and phone. This includes sharing good news and helping families see the success their child is experiencing. Families of struggling students are conditioned to expect negative feedback from school personnel, and we are committed to changing this mindset with open dialogue and collaborative problem solving.</w:t>
      </w:r>
    </w:p>
    <w:p w14:paraId="5DC5B8E0" w14:textId="77777777" w:rsidR="00C74F70" w:rsidRDefault="00A8397F">
      <w:pPr>
        <w:pStyle w:val="ListParagraph"/>
        <w:numPr>
          <w:ilvl w:val="0"/>
          <w:numId w:val="1"/>
        </w:numPr>
        <w:tabs>
          <w:tab w:val="left" w:pos="819"/>
          <w:tab w:val="left" w:pos="820"/>
        </w:tabs>
      </w:pPr>
      <w:r>
        <w:rPr>
          <w:b/>
        </w:rPr>
        <w:t xml:space="preserve">Open Door Policy: </w:t>
      </w:r>
      <w:r>
        <w:t>Map Academy will continue to ensure that families feel welcomed and valued as partners in their student’s educational journey, and know that we are committed to maintaining a positive learning environment</w:t>
      </w:r>
      <w:r>
        <w:rPr>
          <w:spacing w:val="-4"/>
        </w:rPr>
        <w:t xml:space="preserve"> </w:t>
      </w:r>
      <w:r>
        <w:t>for</w:t>
      </w:r>
      <w:r>
        <w:rPr>
          <w:spacing w:val="-4"/>
        </w:rPr>
        <w:t xml:space="preserve"> </w:t>
      </w:r>
      <w:r>
        <w:t>every</w:t>
      </w:r>
      <w:r>
        <w:rPr>
          <w:spacing w:val="-4"/>
        </w:rPr>
        <w:t xml:space="preserve"> </w:t>
      </w:r>
      <w:r>
        <w:t>student.</w:t>
      </w:r>
      <w:r>
        <w:rPr>
          <w:spacing w:val="-4"/>
        </w:rPr>
        <w:t xml:space="preserve"> </w:t>
      </w:r>
      <w:r>
        <w:t>Our</w:t>
      </w:r>
      <w:r>
        <w:rPr>
          <w:spacing w:val="-4"/>
        </w:rPr>
        <w:t xml:space="preserve"> </w:t>
      </w:r>
      <w:r>
        <w:t>doors</w:t>
      </w:r>
      <w:r>
        <w:rPr>
          <w:spacing w:val="-4"/>
        </w:rPr>
        <w:t xml:space="preserve"> </w:t>
      </w:r>
      <w:r>
        <w:t>will</w:t>
      </w:r>
      <w:r>
        <w:rPr>
          <w:spacing w:val="-4"/>
        </w:rPr>
        <w:t xml:space="preserve"> </w:t>
      </w:r>
      <w:r>
        <w:t>always</w:t>
      </w:r>
      <w:r>
        <w:rPr>
          <w:spacing w:val="-4"/>
        </w:rPr>
        <w:t xml:space="preserve"> </w:t>
      </w:r>
      <w:r>
        <w:t>be</w:t>
      </w:r>
      <w:r>
        <w:rPr>
          <w:spacing w:val="-4"/>
        </w:rPr>
        <w:t xml:space="preserve"> </w:t>
      </w:r>
      <w:r>
        <w:t>open</w:t>
      </w:r>
      <w:r>
        <w:rPr>
          <w:spacing w:val="-4"/>
        </w:rPr>
        <w:t xml:space="preserve"> </w:t>
      </w:r>
      <w:r>
        <w:t>to</w:t>
      </w:r>
      <w:r>
        <w:rPr>
          <w:spacing w:val="-4"/>
        </w:rPr>
        <w:t xml:space="preserve"> </w:t>
      </w:r>
      <w:r>
        <w:t>all</w:t>
      </w:r>
      <w:r>
        <w:rPr>
          <w:spacing w:val="-4"/>
        </w:rPr>
        <w:t xml:space="preserve"> </w:t>
      </w:r>
      <w:r>
        <w:t>stakeholders.</w:t>
      </w:r>
    </w:p>
    <w:p w14:paraId="055250DB" w14:textId="77777777" w:rsidR="00C74F70" w:rsidRDefault="00A8397F">
      <w:pPr>
        <w:pStyle w:val="ListParagraph"/>
        <w:numPr>
          <w:ilvl w:val="0"/>
          <w:numId w:val="1"/>
        </w:numPr>
        <w:tabs>
          <w:tab w:val="left" w:pos="819"/>
          <w:tab w:val="left" w:pos="820"/>
        </w:tabs>
        <w:ind w:right="158"/>
      </w:pPr>
      <w:r>
        <w:rPr>
          <w:b/>
        </w:rPr>
        <w:t xml:space="preserve">Parent/Student/Family Conferences: </w:t>
      </w:r>
      <w:r>
        <w:t>Map Academy will hold individual parent/student/family conferences as necessary to address concerns and problem solve, and will also hold open house nights each trimester during which</w:t>
      </w:r>
      <w:r>
        <w:rPr>
          <w:spacing w:val="-5"/>
        </w:rPr>
        <w:t xml:space="preserve"> </w:t>
      </w:r>
      <w:r>
        <w:t>students</w:t>
      </w:r>
      <w:r>
        <w:rPr>
          <w:spacing w:val="-5"/>
        </w:rPr>
        <w:t xml:space="preserve"> </w:t>
      </w:r>
      <w:r>
        <w:t>and</w:t>
      </w:r>
      <w:r>
        <w:rPr>
          <w:spacing w:val="-5"/>
        </w:rPr>
        <w:t xml:space="preserve"> </w:t>
      </w:r>
      <w:r>
        <w:t>their</w:t>
      </w:r>
      <w:r>
        <w:rPr>
          <w:spacing w:val="-5"/>
        </w:rPr>
        <w:t xml:space="preserve"> </w:t>
      </w:r>
      <w:r>
        <w:t>advisors</w:t>
      </w:r>
      <w:r>
        <w:rPr>
          <w:spacing w:val="-5"/>
        </w:rPr>
        <w:t xml:space="preserve"> </w:t>
      </w:r>
      <w:r>
        <w:t>will</w:t>
      </w:r>
      <w:r>
        <w:rPr>
          <w:spacing w:val="-5"/>
        </w:rPr>
        <w:t xml:space="preserve"> </w:t>
      </w:r>
      <w:r>
        <w:t>showcase</w:t>
      </w:r>
      <w:r>
        <w:rPr>
          <w:spacing w:val="-5"/>
        </w:rPr>
        <w:t xml:space="preserve"> </w:t>
      </w:r>
      <w:r>
        <w:t>their</w:t>
      </w:r>
      <w:r>
        <w:rPr>
          <w:spacing w:val="-5"/>
        </w:rPr>
        <w:t xml:space="preserve"> </w:t>
      </w:r>
      <w:r>
        <w:t>successes.</w:t>
      </w:r>
    </w:p>
    <w:p w14:paraId="41F48F1D" w14:textId="77777777" w:rsidR="00C74F70" w:rsidRDefault="00A8397F">
      <w:pPr>
        <w:pStyle w:val="ListParagraph"/>
        <w:numPr>
          <w:ilvl w:val="0"/>
          <w:numId w:val="1"/>
        </w:numPr>
        <w:tabs>
          <w:tab w:val="left" w:pos="819"/>
          <w:tab w:val="left" w:pos="820"/>
        </w:tabs>
        <w:ind w:right="246"/>
      </w:pPr>
      <w:r>
        <w:rPr>
          <w:b/>
        </w:rPr>
        <w:t xml:space="preserve">Parent Leadership Committee: </w:t>
      </w:r>
      <w:r>
        <w:t>Post COVID-19 is our goal to establish a committee open to all parents and supportive adults of Map Academy students and will be used as a forum to discuss issues and solicit feedback and</w:t>
      </w:r>
      <w:r>
        <w:rPr>
          <w:spacing w:val="-6"/>
        </w:rPr>
        <w:t xml:space="preserve"> </w:t>
      </w:r>
      <w:r>
        <w:t>input.</w:t>
      </w:r>
    </w:p>
    <w:p w14:paraId="5E233628" w14:textId="77777777" w:rsidR="00C74F70" w:rsidRDefault="00C74F70">
      <w:pPr>
        <w:pStyle w:val="BodyText"/>
      </w:pPr>
    </w:p>
    <w:p w14:paraId="07E18895" w14:textId="77777777" w:rsidR="00C74F70" w:rsidRDefault="00A8397F">
      <w:pPr>
        <w:pStyle w:val="BodyText"/>
        <w:ind w:left="100" w:right="330"/>
      </w:pPr>
      <w:r>
        <w:t>We plan to continue measuring increases in family engagement by surveying our families and adult supporters using Panorama Education surveys in an effort to get authentic feedback on where we can improve these efforts.</w:t>
      </w:r>
    </w:p>
    <w:p w14:paraId="72416CC1" w14:textId="77777777" w:rsidR="00C74F70" w:rsidRDefault="00C74F70">
      <w:pPr>
        <w:pStyle w:val="BodyText"/>
        <w:spacing w:before="12"/>
        <w:rPr>
          <w:sz w:val="21"/>
        </w:rPr>
      </w:pPr>
    </w:p>
    <w:p w14:paraId="52F623E5" w14:textId="77777777" w:rsidR="00C74F70" w:rsidRDefault="00A8397F">
      <w:pPr>
        <w:pStyle w:val="Heading1"/>
        <w:spacing w:before="0"/>
      </w:pPr>
      <w:r>
        <w:rPr>
          <w:color w:val="2D74B5"/>
        </w:rPr>
        <w:t>Certifications:</w:t>
      </w:r>
    </w:p>
    <w:p w14:paraId="47CBE4BA" w14:textId="77777777" w:rsidR="00C74F70" w:rsidRDefault="00A8397F">
      <w:pPr>
        <w:spacing w:before="122"/>
        <w:ind w:left="207" w:right="495"/>
        <w:rPr>
          <w:b/>
        </w:rPr>
      </w:pPr>
      <w:r>
        <w:rPr>
          <w:rFonts w:ascii="Segoe UI Symbol" w:hAnsi="Segoe UI Symbol"/>
          <w:b/>
          <w:color w:val="1F3863"/>
          <w:sz w:val="21"/>
        </w:rPr>
        <w:t xml:space="preserve">□ </w:t>
      </w:r>
      <w:r>
        <w:rPr>
          <w:b/>
          <w:color w:val="1F3863"/>
        </w:rPr>
        <w:t>By checking here, I certify that our charter school has engaged stakeholders in our community in accordance with the Student Opportunity Act</w:t>
      </w:r>
    </w:p>
    <w:p w14:paraId="741299EB" w14:textId="77777777" w:rsidR="00C74F70" w:rsidRDefault="00A8397F">
      <w:pPr>
        <w:spacing w:before="192"/>
        <w:ind w:left="207"/>
        <w:rPr>
          <w:b/>
        </w:rPr>
      </w:pPr>
      <w:r>
        <w:rPr>
          <w:b/>
          <w:color w:val="1F3863"/>
        </w:rPr>
        <w:t>Please summarize your stakeholder engagement process, including specific groups that were engaged:</w:t>
      </w:r>
    </w:p>
    <w:p w14:paraId="08A7D139" w14:textId="77777777" w:rsidR="00C74F70" w:rsidRDefault="00A8397F">
      <w:pPr>
        <w:pStyle w:val="BodyText"/>
        <w:spacing w:before="77"/>
        <w:ind w:left="207"/>
      </w:pPr>
      <w:r>
        <w:t>[Insert text here]</w:t>
      </w:r>
    </w:p>
    <w:p w14:paraId="29122D22" w14:textId="77777777" w:rsidR="00C74F70" w:rsidRDefault="00C74F70">
      <w:pPr>
        <w:pStyle w:val="BodyText"/>
        <w:rPr>
          <w:sz w:val="26"/>
        </w:rPr>
      </w:pPr>
    </w:p>
    <w:p w14:paraId="395A3862" w14:textId="77777777" w:rsidR="00C74F70" w:rsidRDefault="00C74F70">
      <w:pPr>
        <w:pStyle w:val="BodyText"/>
        <w:rPr>
          <w:sz w:val="26"/>
        </w:rPr>
      </w:pPr>
    </w:p>
    <w:p w14:paraId="5531E8EF" w14:textId="6D812753" w:rsidR="00C74F70" w:rsidRDefault="00A8397F">
      <w:pPr>
        <w:pStyle w:val="Heading1"/>
        <w:spacing w:before="188"/>
        <w:ind w:left="100" w:right="681"/>
      </w:pPr>
      <w:r>
        <w:rPr>
          <w:rFonts w:ascii="Segoe UI Symbol" w:hAnsi="Segoe UI Symbol"/>
          <w:color w:val="1F3863"/>
          <w:sz w:val="21"/>
        </w:rPr>
        <w:t xml:space="preserve">X </w:t>
      </w:r>
      <w:r>
        <w:rPr>
          <w:color w:val="1F3863"/>
        </w:rPr>
        <w:t>By checking here, I certify that the Map Academy Charter School Board of Trustees voted on our Student Opportunity Act Plan.</w:t>
      </w:r>
    </w:p>
    <w:p w14:paraId="76C1F0C9" w14:textId="0BEEFC91" w:rsidR="00C74F70" w:rsidRDefault="00A8397F">
      <w:pPr>
        <w:tabs>
          <w:tab w:val="left" w:pos="3087"/>
        </w:tabs>
        <w:spacing w:before="144"/>
        <w:ind w:left="927"/>
        <w:rPr>
          <w:b/>
        </w:rPr>
      </w:pPr>
      <w:r>
        <w:rPr>
          <w:b/>
          <w:color w:val="1F3863"/>
        </w:rPr>
        <w:t>Date</w:t>
      </w:r>
      <w:r>
        <w:rPr>
          <w:b/>
          <w:color w:val="1F3863"/>
          <w:spacing w:val="-1"/>
        </w:rPr>
        <w:t xml:space="preserve"> </w:t>
      </w:r>
      <w:r>
        <w:rPr>
          <w:b/>
          <w:color w:val="1F3863"/>
        </w:rPr>
        <w:t>of</w:t>
      </w:r>
      <w:r>
        <w:rPr>
          <w:b/>
          <w:color w:val="1F3863"/>
          <w:spacing w:val="-2"/>
        </w:rPr>
        <w:t xml:space="preserve"> </w:t>
      </w:r>
      <w:r>
        <w:rPr>
          <w:b/>
          <w:color w:val="1F3863"/>
        </w:rPr>
        <w:t>vote: 2/8/21</w:t>
      </w:r>
      <w:r>
        <w:rPr>
          <w:b/>
          <w:color w:val="1F3863"/>
        </w:rPr>
        <w:tab/>
        <w:t>Outcome of</w:t>
      </w:r>
      <w:r>
        <w:rPr>
          <w:b/>
          <w:color w:val="1F3863"/>
          <w:spacing w:val="-12"/>
        </w:rPr>
        <w:t xml:space="preserve"> </w:t>
      </w:r>
      <w:r>
        <w:rPr>
          <w:b/>
          <w:color w:val="1F3863"/>
        </w:rPr>
        <w:t>vote: Unanimous approval</w:t>
      </w:r>
    </w:p>
    <w:sectPr w:rsidR="00C74F70">
      <w:pgSz w:w="12240" w:h="15840"/>
      <w:pgMar w:top="1180" w:right="7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89465" w14:textId="77777777" w:rsidR="003A0048" w:rsidRDefault="003A0048" w:rsidP="0068571C">
      <w:r>
        <w:separator/>
      </w:r>
    </w:p>
  </w:endnote>
  <w:endnote w:type="continuationSeparator" w:id="0">
    <w:p w14:paraId="184EBC05" w14:textId="77777777" w:rsidR="003A0048" w:rsidRDefault="003A0048" w:rsidP="0068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329645"/>
      <w:docPartObj>
        <w:docPartGallery w:val="Page Numbers (Bottom of Page)"/>
        <w:docPartUnique/>
      </w:docPartObj>
    </w:sdtPr>
    <w:sdtEndPr>
      <w:rPr>
        <w:noProof/>
      </w:rPr>
    </w:sdtEndPr>
    <w:sdtContent>
      <w:p w14:paraId="7BF7660E" w14:textId="443B8398" w:rsidR="0068571C" w:rsidRDefault="006857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962C9F" w14:textId="77777777" w:rsidR="0068571C" w:rsidRDefault="0068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A9467" w14:textId="77777777" w:rsidR="003A0048" w:rsidRDefault="003A0048" w:rsidP="0068571C">
      <w:r>
        <w:separator/>
      </w:r>
    </w:p>
  </w:footnote>
  <w:footnote w:type="continuationSeparator" w:id="0">
    <w:p w14:paraId="50EB27F6" w14:textId="77777777" w:rsidR="003A0048" w:rsidRDefault="003A0048" w:rsidP="0068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836DC"/>
    <w:multiLevelType w:val="hybridMultilevel"/>
    <w:tmpl w:val="CEEAA798"/>
    <w:lvl w:ilvl="0" w:tplc="FA02AD9A">
      <w:numFmt w:val="bullet"/>
      <w:lvlText w:val="●"/>
      <w:lvlJc w:val="left"/>
      <w:pPr>
        <w:ind w:left="820" w:hanging="360"/>
      </w:pPr>
      <w:rPr>
        <w:rFonts w:ascii="Arial" w:eastAsia="Arial" w:hAnsi="Arial" w:cs="Arial" w:hint="default"/>
        <w:w w:val="100"/>
        <w:sz w:val="22"/>
        <w:szCs w:val="22"/>
      </w:rPr>
    </w:lvl>
    <w:lvl w:ilvl="1" w:tplc="781A1A5E">
      <w:numFmt w:val="bullet"/>
      <w:lvlText w:val="•"/>
      <w:lvlJc w:val="left"/>
      <w:pPr>
        <w:ind w:left="1822" w:hanging="360"/>
      </w:pPr>
      <w:rPr>
        <w:rFonts w:hint="default"/>
      </w:rPr>
    </w:lvl>
    <w:lvl w:ilvl="2" w:tplc="DC125A52">
      <w:numFmt w:val="bullet"/>
      <w:lvlText w:val="•"/>
      <w:lvlJc w:val="left"/>
      <w:pPr>
        <w:ind w:left="2824" w:hanging="360"/>
      </w:pPr>
      <w:rPr>
        <w:rFonts w:hint="default"/>
      </w:rPr>
    </w:lvl>
    <w:lvl w:ilvl="3" w:tplc="905CB79C">
      <w:numFmt w:val="bullet"/>
      <w:lvlText w:val="•"/>
      <w:lvlJc w:val="left"/>
      <w:pPr>
        <w:ind w:left="3826" w:hanging="360"/>
      </w:pPr>
      <w:rPr>
        <w:rFonts w:hint="default"/>
      </w:rPr>
    </w:lvl>
    <w:lvl w:ilvl="4" w:tplc="614031D0">
      <w:numFmt w:val="bullet"/>
      <w:lvlText w:val="•"/>
      <w:lvlJc w:val="left"/>
      <w:pPr>
        <w:ind w:left="4828" w:hanging="360"/>
      </w:pPr>
      <w:rPr>
        <w:rFonts w:hint="default"/>
      </w:rPr>
    </w:lvl>
    <w:lvl w:ilvl="5" w:tplc="4F40BA12">
      <w:numFmt w:val="bullet"/>
      <w:lvlText w:val="•"/>
      <w:lvlJc w:val="left"/>
      <w:pPr>
        <w:ind w:left="5830" w:hanging="360"/>
      </w:pPr>
      <w:rPr>
        <w:rFonts w:hint="default"/>
      </w:rPr>
    </w:lvl>
    <w:lvl w:ilvl="6" w:tplc="D5C46C06">
      <w:numFmt w:val="bullet"/>
      <w:lvlText w:val="•"/>
      <w:lvlJc w:val="left"/>
      <w:pPr>
        <w:ind w:left="6832" w:hanging="360"/>
      </w:pPr>
      <w:rPr>
        <w:rFonts w:hint="default"/>
      </w:rPr>
    </w:lvl>
    <w:lvl w:ilvl="7" w:tplc="8E62ECBA">
      <w:numFmt w:val="bullet"/>
      <w:lvlText w:val="•"/>
      <w:lvlJc w:val="left"/>
      <w:pPr>
        <w:ind w:left="7834" w:hanging="360"/>
      </w:pPr>
      <w:rPr>
        <w:rFonts w:hint="default"/>
      </w:rPr>
    </w:lvl>
    <w:lvl w:ilvl="8" w:tplc="226E54B4">
      <w:numFmt w:val="bullet"/>
      <w:lvlText w:val="•"/>
      <w:lvlJc w:val="left"/>
      <w:pPr>
        <w:ind w:left="8836" w:hanging="360"/>
      </w:pPr>
      <w:rPr>
        <w:rFonts w:hint="default"/>
      </w:rPr>
    </w:lvl>
  </w:abstractNum>
  <w:abstractNum w:abstractNumId="1" w15:restartNumberingAfterBreak="0">
    <w:nsid w:val="2BA46566"/>
    <w:multiLevelType w:val="hybridMultilevel"/>
    <w:tmpl w:val="A3766522"/>
    <w:lvl w:ilvl="0" w:tplc="441665DE">
      <w:numFmt w:val="bullet"/>
      <w:lvlText w:val=""/>
      <w:lvlJc w:val="left"/>
      <w:pPr>
        <w:ind w:left="820" w:hanging="360"/>
      </w:pPr>
      <w:rPr>
        <w:rFonts w:ascii="Symbol" w:eastAsia="Symbol" w:hAnsi="Symbol" w:cs="Symbol" w:hint="default"/>
        <w:w w:val="100"/>
        <w:sz w:val="22"/>
        <w:szCs w:val="22"/>
      </w:rPr>
    </w:lvl>
    <w:lvl w:ilvl="1" w:tplc="68AE6064">
      <w:numFmt w:val="bullet"/>
      <w:lvlText w:val="•"/>
      <w:lvlJc w:val="left"/>
      <w:pPr>
        <w:ind w:left="1840" w:hanging="360"/>
      </w:pPr>
      <w:rPr>
        <w:rFonts w:hint="default"/>
      </w:rPr>
    </w:lvl>
    <w:lvl w:ilvl="2" w:tplc="45F08598">
      <w:numFmt w:val="bullet"/>
      <w:lvlText w:val="•"/>
      <w:lvlJc w:val="left"/>
      <w:pPr>
        <w:ind w:left="2860" w:hanging="360"/>
      </w:pPr>
      <w:rPr>
        <w:rFonts w:hint="default"/>
      </w:rPr>
    </w:lvl>
    <w:lvl w:ilvl="3" w:tplc="A648AC38">
      <w:numFmt w:val="bullet"/>
      <w:lvlText w:val="•"/>
      <w:lvlJc w:val="left"/>
      <w:pPr>
        <w:ind w:left="3880" w:hanging="360"/>
      </w:pPr>
      <w:rPr>
        <w:rFonts w:hint="default"/>
      </w:rPr>
    </w:lvl>
    <w:lvl w:ilvl="4" w:tplc="5AF02E06">
      <w:numFmt w:val="bullet"/>
      <w:lvlText w:val="•"/>
      <w:lvlJc w:val="left"/>
      <w:pPr>
        <w:ind w:left="4900" w:hanging="360"/>
      </w:pPr>
      <w:rPr>
        <w:rFonts w:hint="default"/>
      </w:rPr>
    </w:lvl>
    <w:lvl w:ilvl="5" w:tplc="2BB62FF4">
      <w:numFmt w:val="bullet"/>
      <w:lvlText w:val="•"/>
      <w:lvlJc w:val="left"/>
      <w:pPr>
        <w:ind w:left="5920" w:hanging="360"/>
      </w:pPr>
      <w:rPr>
        <w:rFonts w:hint="default"/>
      </w:rPr>
    </w:lvl>
    <w:lvl w:ilvl="6" w:tplc="042A37DE">
      <w:numFmt w:val="bullet"/>
      <w:lvlText w:val="•"/>
      <w:lvlJc w:val="left"/>
      <w:pPr>
        <w:ind w:left="6940" w:hanging="360"/>
      </w:pPr>
      <w:rPr>
        <w:rFonts w:hint="default"/>
      </w:rPr>
    </w:lvl>
    <w:lvl w:ilvl="7" w:tplc="A2CA9E7A">
      <w:numFmt w:val="bullet"/>
      <w:lvlText w:val="•"/>
      <w:lvlJc w:val="left"/>
      <w:pPr>
        <w:ind w:left="7960" w:hanging="360"/>
      </w:pPr>
      <w:rPr>
        <w:rFonts w:hint="default"/>
      </w:rPr>
    </w:lvl>
    <w:lvl w:ilvl="8" w:tplc="36B66038">
      <w:numFmt w:val="bullet"/>
      <w:lvlText w:val="•"/>
      <w:lvlJc w:val="left"/>
      <w:pPr>
        <w:ind w:left="8980" w:hanging="360"/>
      </w:pPr>
      <w:rPr>
        <w:rFonts w:hint="default"/>
      </w:rPr>
    </w:lvl>
  </w:abstractNum>
  <w:abstractNum w:abstractNumId="2" w15:restartNumberingAfterBreak="0">
    <w:nsid w:val="715A4AF6"/>
    <w:multiLevelType w:val="hybridMultilevel"/>
    <w:tmpl w:val="0798C8B2"/>
    <w:lvl w:ilvl="0" w:tplc="0CE61206">
      <w:numFmt w:val="bullet"/>
      <w:lvlText w:val="✓"/>
      <w:lvlJc w:val="left"/>
      <w:pPr>
        <w:ind w:left="808" w:hanging="268"/>
      </w:pPr>
      <w:rPr>
        <w:rFonts w:ascii="MS UI Gothic" w:eastAsia="MS UI Gothic" w:hAnsi="MS UI Gothic" w:cs="MS UI Gothic" w:hint="default"/>
        <w:w w:val="73"/>
        <w:sz w:val="22"/>
        <w:szCs w:val="22"/>
      </w:rPr>
    </w:lvl>
    <w:lvl w:ilvl="1" w:tplc="BB0AEFE6">
      <w:numFmt w:val="bullet"/>
      <w:lvlText w:val="•"/>
      <w:lvlJc w:val="left"/>
      <w:pPr>
        <w:ind w:left="1122" w:hanging="268"/>
      </w:pPr>
      <w:rPr>
        <w:rFonts w:hint="default"/>
      </w:rPr>
    </w:lvl>
    <w:lvl w:ilvl="2" w:tplc="F0128662">
      <w:numFmt w:val="bullet"/>
      <w:lvlText w:val="•"/>
      <w:lvlJc w:val="left"/>
      <w:pPr>
        <w:ind w:left="1445" w:hanging="268"/>
      </w:pPr>
      <w:rPr>
        <w:rFonts w:hint="default"/>
      </w:rPr>
    </w:lvl>
    <w:lvl w:ilvl="3" w:tplc="DE82D3EA">
      <w:numFmt w:val="bullet"/>
      <w:lvlText w:val="•"/>
      <w:lvlJc w:val="left"/>
      <w:pPr>
        <w:ind w:left="1768" w:hanging="268"/>
      </w:pPr>
      <w:rPr>
        <w:rFonts w:hint="default"/>
      </w:rPr>
    </w:lvl>
    <w:lvl w:ilvl="4" w:tplc="6D12DC80">
      <w:numFmt w:val="bullet"/>
      <w:lvlText w:val="•"/>
      <w:lvlJc w:val="left"/>
      <w:pPr>
        <w:ind w:left="2090" w:hanging="268"/>
      </w:pPr>
      <w:rPr>
        <w:rFonts w:hint="default"/>
      </w:rPr>
    </w:lvl>
    <w:lvl w:ilvl="5" w:tplc="BD74B184">
      <w:numFmt w:val="bullet"/>
      <w:lvlText w:val="•"/>
      <w:lvlJc w:val="left"/>
      <w:pPr>
        <w:ind w:left="2413" w:hanging="268"/>
      </w:pPr>
      <w:rPr>
        <w:rFonts w:hint="default"/>
      </w:rPr>
    </w:lvl>
    <w:lvl w:ilvl="6" w:tplc="C18EE124">
      <w:numFmt w:val="bullet"/>
      <w:lvlText w:val="•"/>
      <w:lvlJc w:val="left"/>
      <w:pPr>
        <w:ind w:left="2736" w:hanging="268"/>
      </w:pPr>
      <w:rPr>
        <w:rFonts w:hint="default"/>
      </w:rPr>
    </w:lvl>
    <w:lvl w:ilvl="7" w:tplc="A55AE514">
      <w:numFmt w:val="bullet"/>
      <w:lvlText w:val="•"/>
      <w:lvlJc w:val="left"/>
      <w:pPr>
        <w:ind w:left="3059" w:hanging="268"/>
      </w:pPr>
      <w:rPr>
        <w:rFonts w:hint="default"/>
      </w:rPr>
    </w:lvl>
    <w:lvl w:ilvl="8" w:tplc="D0DAD510">
      <w:numFmt w:val="bullet"/>
      <w:lvlText w:val="•"/>
      <w:lvlJc w:val="left"/>
      <w:pPr>
        <w:ind w:left="3381" w:hanging="26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70"/>
    <w:rsid w:val="00246C2C"/>
    <w:rsid w:val="003A0048"/>
    <w:rsid w:val="00411902"/>
    <w:rsid w:val="0064537B"/>
    <w:rsid w:val="0068571C"/>
    <w:rsid w:val="00A8397F"/>
    <w:rsid w:val="00C74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71D1"/>
  <w15:docId w15:val="{20FB31E2-D09F-1B4B-BFF1-8BA78BF3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2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08" w:hanging="360"/>
    </w:pPr>
  </w:style>
  <w:style w:type="paragraph" w:customStyle="1" w:styleId="TableParagraph">
    <w:name w:val="Table Paragraph"/>
    <w:basedOn w:val="Normal"/>
    <w:uiPriority w:val="1"/>
    <w:qFormat/>
    <w:pPr>
      <w:spacing w:before="1"/>
      <w:ind w:left="100"/>
    </w:pPr>
  </w:style>
  <w:style w:type="paragraph" w:styleId="Header">
    <w:name w:val="header"/>
    <w:basedOn w:val="Normal"/>
    <w:link w:val="HeaderChar"/>
    <w:uiPriority w:val="99"/>
    <w:unhideWhenUsed/>
    <w:rsid w:val="0068571C"/>
    <w:pPr>
      <w:tabs>
        <w:tab w:val="center" w:pos="4680"/>
        <w:tab w:val="right" w:pos="9360"/>
      </w:tabs>
    </w:pPr>
  </w:style>
  <w:style w:type="character" w:customStyle="1" w:styleId="HeaderChar">
    <w:name w:val="Header Char"/>
    <w:basedOn w:val="DefaultParagraphFont"/>
    <w:link w:val="Header"/>
    <w:uiPriority w:val="99"/>
    <w:rsid w:val="0068571C"/>
    <w:rPr>
      <w:rFonts w:ascii="Calibri" w:eastAsia="Calibri" w:hAnsi="Calibri" w:cs="Calibri"/>
    </w:rPr>
  </w:style>
  <w:style w:type="paragraph" w:styleId="Footer">
    <w:name w:val="footer"/>
    <w:basedOn w:val="Normal"/>
    <w:link w:val="FooterChar"/>
    <w:uiPriority w:val="99"/>
    <w:unhideWhenUsed/>
    <w:rsid w:val="0068571C"/>
    <w:pPr>
      <w:tabs>
        <w:tab w:val="center" w:pos="4680"/>
        <w:tab w:val="right" w:pos="9360"/>
      </w:tabs>
    </w:pPr>
  </w:style>
  <w:style w:type="character" w:customStyle="1" w:styleId="FooterChar">
    <w:name w:val="Footer Char"/>
    <w:basedOn w:val="DefaultParagraphFont"/>
    <w:link w:val="Footer"/>
    <w:uiPriority w:val="99"/>
    <w:rsid w:val="0068571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41BC5-EE4E-4EFC-9028-71DC25CF2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1A379-225C-4129-9C54-561FC2BE52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686E9A-3447-403B-9C3D-38E306504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Map Academy Charter School Student Opportunity Act Plan: SY 2021-2023</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Academy Charter School Student Opportunity Act Plan: SY 2021-2023</dc:title>
  <cp:lastModifiedBy>Zou, Dong (EOE)</cp:lastModifiedBy>
  <cp:revision>5</cp:revision>
  <dcterms:created xsi:type="dcterms:W3CDTF">2021-03-22T21:49:00Z</dcterms:created>
  <dcterms:modified xsi:type="dcterms:W3CDTF">2021-04-07T21:44:00Z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Word</vt:lpwstr>
  </property>
  <property fmtid="{D5CDD505-2E9C-101B-9397-08002B2CF9AE}" pid="4" name="LastSaved">
    <vt:filetime>2021-03-02T00:00:00Z</vt:filetime>
  </property>
  <property fmtid="{D5CDD505-2E9C-101B-9397-08002B2CF9AE}" pid="5" name="ContentTypeId">
    <vt:lpwstr>0x010100A293676B7F9F114D8D4D17C37E9BF771</vt:lpwstr>
  </property>
</Properties>
</file>