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241CB" w14:textId="2F23542F" w:rsidR="00A10E84" w:rsidRDefault="005B20C1" w:rsidP="00600924">
      <w:pPr>
        <w:ind w:left="205"/>
        <w:jc w:val="center"/>
        <w:rPr>
          <w:rFonts w:ascii="Calibri"/>
          <w:b/>
          <w:color w:val="1F3762"/>
          <w:sz w:val="32"/>
        </w:rPr>
      </w:pPr>
      <w:r>
        <w:rPr>
          <w:rFonts w:ascii="Calibri"/>
          <w:b/>
          <w:color w:val="1F3762"/>
          <w:sz w:val="32"/>
        </w:rPr>
        <w:t>Student Opportunity Act Plan: SY 2021-2023</w:t>
      </w:r>
    </w:p>
    <w:p w14:paraId="2487BE48" w14:textId="77777777" w:rsidR="005B20C1" w:rsidRDefault="005B20C1" w:rsidP="00600924">
      <w:pPr>
        <w:ind w:left="100"/>
        <w:jc w:val="center"/>
        <w:rPr>
          <w:rFonts w:ascii="Calibri" w:hAnsi="Calibri"/>
          <w:b/>
          <w:i/>
          <w:sz w:val="32"/>
        </w:rPr>
      </w:pPr>
      <w:r>
        <w:rPr>
          <w:rFonts w:ascii="Calibri" w:hAnsi="Calibri"/>
          <w:b/>
          <w:i/>
          <w:color w:val="2D73B4"/>
          <w:sz w:val="32"/>
        </w:rPr>
        <w:t>Martha’s Vineyard Public Charter School</w:t>
      </w:r>
    </w:p>
    <w:p w14:paraId="79614B04" w14:textId="77777777" w:rsidR="005B20C1" w:rsidRDefault="005B20C1" w:rsidP="00600924">
      <w:pPr>
        <w:ind w:left="205"/>
        <w:rPr>
          <w:rFonts w:ascii="Calibri"/>
          <w:b/>
          <w:sz w:val="32"/>
        </w:rPr>
      </w:pPr>
    </w:p>
    <w:p w14:paraId="00F2D5A0" w14:textId="77777777" w:rsidR="00A10E84" w:rsidRPr="00600924" w:rsidRDefault="005B20C1" w:rsidP="00600924">
      <w:pPr>
        <w:pStyle w:val="Heading1"/>
        <w:spacing w:before="0"/>
        <w:rPr>
          <w:rFonts w:asciiTheme="minorHAnsi" w:hAnsiTheme="minorHAnsi" w:cstheme="minorHAnsi"/>
          <w:sz w:val="22"/>
          <w:szCs w:val="22"/>
        </w:rPr>
      </w:pPr>
      <w:r w:rsidRPr="00600924">
        <w:rPr>
          <w:rFonts w:asciiTheme="minorHAnsi" w:hAnsiTheme="minorHAnsi" w:cstheme="minorHAnsi"/>
          <w:b w:val="0"/>
          <w:color w:val="2D73B4"/>
          <w:sz w:val="22"/>
          <w:szCs w:val="22"/>
        </w:rPr>
        <w:t xml:space="preserve">→ </w:t>
      </w:r>
      <w:r w:rsidRPr="00600924">
        <w:rPr>
          <w:rFonts w:asciiTheme="minorHAnsi" w:hAnsiTheme="minorHAnsi" w:cstheme="minorHAnsi"/>
          <w:color w:val="2D73B4"/>
          <w:sz w:val="22"/>
          <w:szCs w:val="22"/>
        </w:rPr>
        <w:t>Commitment 1: Focusing on High School Students</w:t>
      </w:r>
    </w:p>
    <w:p w14:paraId="7EFA1C89" w14:textId="77777777" w:rsidR="00A10E84" w:rsidRPr="00600924" w:rsidRDefault="00A10E84" w:rsidP="00600924">
      <w:pPr>
        <w:pStyle w:val="BodyText"/>
        <w:rPr>
          <w:rFonts w:asciiTheme="minorHAnsi" w:hAnsiTheme="minorHAnsi" w:cstheme="minorHAnsi"/>
          <w:b/>
          <w:sz w:val="22"/>
          <w:szCs w:val="22"/>
        </w:rPr>
      </w:pPr>
    </w:p>
    <w:p w14:paraId="5C25A390" w14:textId="77777777" w:rsidR="00A10E84" w:rsidRPr="00600924" w:rsidRDefault="005B20C1" w:rsidP="00600924">
      <w:pPr>
        <w:pStyle w:val="BodyText"/>
        <w:spacing w:line="278" w:lineRule="auto"/>
        <w:ind w:left="205"/>
        <w:rPr>
          <w:rFonts w:asciiTheme="minorHAnsi" w:hAnsiTheme="minorHAnsi" w:cstheme="minorHAnsi"/>
          <w:sz w:val="22"/>
          <w:szCs w:val="22"/>
        </w:rPr>
      </w:pPr>
      <w:r w:rsidRPr="00600924">
        <w:rPr>
          <w:rFonts w:asciiTheme="minorHAnsi" w:hAnsiTheme="minorHAnsi" w:cstheme="minorHAnsi"/>
          <w:sz w:val="22"/>
          <w:szCs w:val="22"/>
        </w:rPr>
        <w:t>As noted in our strategic plan, The Martha’s Vineyard Public Charter School (MVPCS) strives to provide high quality and innovative academic and social/emotional programs, as well as to maintain a safe and secure environment for all students. Based on a review of Attendance and Perceptions Data, we have determined that the pandemic has negatively impacted the engagement and socio-emotional health of our High School students. We currently have 30 students in the High School.  MVPCS is using the SOA to focus on this specific subgroup.</w:t>
      </w:r>
    </w:p>
    <w:p w14:paraId="2B00B0FE" w14:textId="77777777" w:rsidR="00A10E84" w:rsidRPr="00600924" w:rsidRDefault="00A10E84" w:rsidP="00600924">
      <w:pPr>
        <w:pStyle w:val="BodyText"/>
        <w:rPr>
          <w:rFonts w:asciiTheme="minorHAnsi" w:hAnsiTheme="minorHAnsi" w:cstheme="minorHAnsi"/>
          <w:sz w:val="22"/>
          <w:szCs w:val="22"/>
        </w:rPr>
      </w:pPr>
    </w:p>
    <w:p w14:paraId="5492C668" w14:textId="77777777" w:rsidR="00A10E84" w:rsidRPr="00600924" w:rsidRDefault="005B20C1" w:rsidP="00600924">
      <w:pPr>
        <w:pStyle w:val="BodyText"/>
        <w:spacing w:line="273" w:lineRule="auto"/>
        <w:ind w:left="205"/>
        <w:rPr>
          <w:rFonts w:asciiTheme="minorHAnsi" w:hAnsiTheme="minorHAnsi" w:cstheme="minorHAnsi"/>
          <w:sz w:val="22"/>
          <w:szCs w:val="22"/>
        </w:rPr>
      </w:pPr>
      <w:r w:rsidRPr="00600924">
        <w:rPr>
          <w:rFonts w:asciiTheme="minorHAnsi" w:hAnsiTheme="minorHAnsi" w:cstheme="minorHAnsi"/>
          <w:sz w:val="22"/>
          <w:szCs w:val="22"/>
        </w:rPr>
        <w:t>Starting in September of 2020, our response to COVID-19 and our school’s reopening plan was primarily focused on in-person learning for students in Grades K-6. Although we provide daily synchronous classes and in-person instruction one day a week, we are very concerned that our High School students may not be obtaining the</w:t>
      </w:r>
    </w:p>
    <w:p w14:paraId="1DD25E39" w14:textId="77777777" w:rsidR="00A10E84" w:rsidRPr="00600924" w:rsidRDefault="005B20C1" w:rsidP="00600924">
      <w:pPr>
        <w:pStyle w:val="BodyText"/>
        <w:ind w:left="205"/>
        <w:rPr>
          <w:rFonts w:asciiTheme="minorHAnsi" w:hAnsiTheme="minorHAnsi" w:cstheme="minorHAnsi"/>
          <w:sz w:val="22"/>
          <w:szCs w:val="22"/>
        </w:rPr>
      </w:pPr>
      <w:r w:rsidRPr="00600924">
        <w:rPr>
          <w:rFonts w:asciiTheme="minorHAnsi" w:hAnsiTheme="minorHAnsi" w:cstheme="minorHAnsi"/>
          <w:sz w:val="22"/>
          <w:szCs w:val="22"/>
        </w:rPr>
        <w:t>necessary skills for successful post-secondary lives.</w:t>
      </w:r>
    </w:p>
    <w:p w14:paraId="2A756D67" w14:textId="77777777" w:rsidR="00A10E84" w:rsidRPr="00600924" w:rsidRDefault="00A10E84" w:rsidP="00600924">
      <w:pPr>
        <w:pStyle w:val="BodyText"/>
        <w:rPr>
          <w:rFonts w:asciiTheme="minorHAnsi" w:hAnsiTheme="minorHAnsi" w:cstheme="minorHAnsi"/>
          <w:sz w:val="22"/>
          <w:szCs w:val="22"/>
        </w:rPr>
      </w:pPr>
    </w:p>
    <w:p w14:paraId="75F2C0D6" w14:textId="77777777" w:rsidR="00A10E84" w:rsidRPr="00600924" w:rsidRDefault="005B20C1" w:rsidP="00600924">
      <w:pPr>
        <w:pStyle w:val="BodyText"/>
        <w:spacing w:line="273" w:lineRule="auto"/>
        <w:ind w:left="205" w:right="116"/>
        <w:rPr>
          <w:rFonts w:asciiTheme="minorHAnsi" w:hAnsiTheme="minorHAnsi" w:cstheme="minorHAnsi"/>
          <w:sz w:val="22"/>
          <w:szCs w:val="22"/>
        </w:rPr>
      </w:pPr>
      <w:r w:rsidRPr="00600924">
        <w:rPr>
          <w:rFonts w:asciiTheme="minorHAnsi" w:hAnsiTheme="minorHAnsi" w:cstheme="minorHAnsi"/>
          <w:sz w:val="22"/>
          <w:szCs w:val="22"/>
        </w:rPr>
        <w:t xml:space="preserve">Since the start of the pandemic, numerous studies have reported that older students are vulnerable to feelings of isolation, </w:t>
      </w:r>
      <w:proofErr w:type="gramStart"/>
      <w:r w:rsidRPr="00600924">
        <w:rPr>
          <w:rFonts w:asciiTheme="minorHAnsi" w:hAnsiTheme="minorHAnsi" w:cstheme="minorHAnsi"/>
          <w:sz w:val="22"/>
          <w:szCs w:val="22"/>
        </w:rPr>
        <w:t>depression</w:t>
      </w:r>
      <w:proofErr w:type="gramEnd"/>
      <w:r w:rsidRPr="00600924">
        <w:rPr>
          <w:rFonts w:asciiTheme="minorHAnsi" w:hAnsiTheme="minorHAnsi" w:cstheme="minorHAnsi"/>
          <w:sz w:val="22"/>
          <w:szCs w:val="22"/>
        </w:rPr>
        <w:t xml:space="preserve"> and a lack of academic engagement. MVPCS is not immune to these troubles and, therefore, we see the SOA as an opportunity to provide innovative academic and socio-emotional programming to support all students in our High School. We believe that a renewed focus in these areas would produce better outcomes academically and emotionally for our oldest students.</w:t>
      </w:r>
    </w:p>
    <w:p w14:paraId="7CDCC953" w14:textId="77777777" w:rsidR="00A10E84" w:rsidRPr="00600924" w:rsidRDefault="00A10E84" w:rsidP="00600924">
      <w:pPr>
        <w:pStyle w:val="BodyText"/>
        <w:rPr>
          <w:rFonts w:asciiTheme="minorHAnsi" w:hAnsiTheme="minorHAnsi" w:cstheme="minorHAnsi"/>
          <w:sz w:val="22"/>
          <w:szCs w:val="22"/>
        </w:rPr>
      </w:pPr>
    </w:p>
    <w:p w14:paraId="3D247175" w14:textId="77777777" w:rsidR="00A10E84" w:rsidRPr="00600924" w:rsidRDefault="005B20C1" w:rsidP="00600924">
      <w:pPr>
        <w:pStyle w:val="Heading1"/>
        <w:spacing w:before="0"/>
        <w:rPr>
          <w:rFonts w:asciiTheme="minorHAnsi" w:hAnsiTheme="minorHAnsi" w:cstheme="minorHAnsi"/>
          <w:sz w:val="22"/>
          <w:szCs w:val="22"/>
        </w:rPr>
      </w:pPr>
      <w:r w:rsidRPr="00600924">
        <w:rPr>
          <w:rFonts w:asciiTheme="minorHAnsi" w:hAnsiTheme="minorHAnsi" w:cstheme="minorHAnsi"/>
          <w:b w:val="0"/>
          <w:color w:val="2D73B4"/>
          <w:sz w:val="22"/>
          <w:szCs w:val="22"/>
        </w:rPr>
        <w:t xml:space="preserve">→ </w:t>
      </w:r>
      <w:r w:rsidRPr="00600924">
        <w:rPr>
          <w:rFonts w:asciiTheme="minorHAnsi" w:hAnsiTheme="minorHAnsi" w:cstheme="minorHAnsi"/>
          <w:color w:val="2D73B4"/>
          <w:sz w:val="22"/>
          <w:szCs w:val="22"/>
        </w:rPr>
        <w:t>Commitment 2: Using Evidence-Based Programs to Close Gaps</w:t>
      </w:r>
    </w:p>
    <w:p w14:paraId="3A217C88" w14:textId="77777777" w:rsidR="00A10E84" w:rsidRPr="00600924" w:rsidRDefault="00A10E84" w:rsidP="00600924">
      <w:pPr>
        <w:pStyle w:val="BodyText"/>
        <w:rPr>
          <w:rFonts w:asciiTheme="minorHAnsi" w:hAnsiTheme="minorHAnsi" w:cstheme="minorHAnsi"/>
          <w:b/>
          <w:sz w:val="22"/>
          <w:szCs w:val="22"/>
        </w:rPr>
      </w:pPr>
    </w:p>
    <w:p w14:paraId="31B33DE1" w14:textId="77777777" w:rsidR="00A10E84" w:rsidRPr="00600924" w:rsidRDefault="005B20C1" w:rsidP="00600924">
      <w:pPr>
        <w:pStyle w:val="BodyText"/>
        <w:spacing w:line="276" w:lineRule="auto"/>
        <w:ind w:left="205" w:right="398"/>
        <w:rPr>
          <w:rFonts w:asciiTheme="minorHAnsi" w:hAnsiTheme="minorHAnsi" w:cstheme="minorHAnsi"/>
          <w:sz w:val="22"/>
          <w:szCs w:val="22"/>
        </w:rPr>
      </w:pPr>
      <w:r w:rsidRPr="00600924">
        <w:rPr>
          <w:rFonts w:asciiTheme="minorHAnsi" w:hAnsiTheme="minorHAnsi" w:cstheme="minorHAnsi"/>
          <w:sz w:val="22"/>
          <w:szCs w:val="22"/>
        </w:rPr>
        <w:t>The disengagement of some of our students within the High School is not a new issue at MVPCS, but one that has been exacerbated by the pandemic. Starting in 2018, we began to explore ways to enhance our academic programming coupled with additional socio-emotional support for high school students. Our SOA plan looks to build upon these initiatives.</w:t>
      </w:r>
    </w:p>
    <w:p w14:paraId="4459BDB9" w14:textId="77777777" w:rsidR="00A10E84" w:rsidRPr="00600924" w:rsidRDefault="00A10E84" w:rsidP="00600924">
      <w:pPr>
        <w:pStyle w:val="BodyText"/>
        <w:rPr>
          <w:rFonts w:asciiTheme="minorHAnsi" w:hAnsiTheme="minorHAnsi" w:cstheme="minorHAnsi"/>
          <w:sz w:val="22"/>
          <w:szCs w:val="22"/>
        </w:rPr>
      </w:pPr>
    </w:p>
    <w:p w14:paraId="41D04C02" w14:textId="77777777" w:rsidR="00A10E84" w:rsidRPr="00600924" w:rsidRDefault="005B20C1" w:rsidP="00600924">
      <w:pPr>
        <w:pStyle w:val="Heading3"/>
        <w:numPr>
          <w:ilvl w:val="0"/>
          <w:numId w:val="1"/>
        </w:numPr>
        <w:tabs>
          <w:tab w:val="left" w:pos="455"/>
        </w:tabs>
        <w:spacing w:before="0"/>
        <w:ind w:hanging="230"/>
        <w:rPr>
          <w:rFonts w:asciiTheme="minorHAnsi" w:hAnsiTheme="minorHAnsi" w:cstheme="minorHAnsi"/>
          <w:sz w:val="22"/>
          <w:szCs w:val="22"/>
        </w:rPr>
      </w:pPr>
      <w:r w:rsidRPr="00600924">
        <w:rPr>
          <w:rFonts w:asciiTheme="minorHAnsi" w:hAnsiTheme="minorHAnsi" w:cstheme="minorHAnsi"/>
          <w:sz w:val="22"/>
          <w:szCs w:val="22"/>
        </w:rPr>
        <w:t>Enhanced Core Instruction and Expanded Access for Career</w:t>
      </w:r>
      <w:r w:rsidRPr="00600924">
        <w:rPr>
          <w:rFonts w:asciiTheme="minorHAnsi" w:hAnsiTheme="minorHAnsi" w:cstheme="minorHAnsi"/>
          <w:spacing w:val="-11"/>
          <w:sz w:val="22"/>
          <w:szCs w:val="22"/>
        </w:rPr>
        <w:t xml:space="preserve"> </w:t>
      </w:r>
      <w:r w:rsidRPr="00600924">
        <w:rPr>
          <w:rFonts w:asciiTheme="minorHAnsi" w:hAnsiTheme="minorHAnsi" w:cstheme="minorHAnsi"/>
          <w:sz w:val="22"/>
          <w:szCs w:val="22"/>
        </w:rPr>
        <w:t>Education.</w:t>
      </w:r>
    </w:p>
    <w:p w14:paraId="6F00AE7B" w14:textId="77777777" w:rsidR="00A10E84" w:rsidRPr="00600924" w:rsidRDefault="00A10E84" w:rsidP="00600924">
      <w:pPr>
        <w:pStyle w:val="BodyText"/>
        <w:rPr>
          <w:rFonts w:asciiTheme="minorHAnsi" w:hAnsiTheme="minorHAnsi" w:cstheme="minorHAnsi"/>
          <w:b/>
          <w:sz w:val="22"/>
          <w:szCs w:val="22"/>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20"/>
        <w:gridCol w:w="1365"/>
        <w:gridCol w:w="4260"/>
      </w:tblGrid>
      <w:tr w:rsidR="00A10E84" w:rsidRPr="00600924" w14:paraId="2D06DAF8" w14:textId="77777777">
        <w:trPr>
          <w:trHeight w:hRule="exact" w:val="570"/>
        </w:trPr>
        <w:tc>
          <w:tcPr>
            <w:tcW w:w="2820" w:type="dxa"/>
          </w:tcPr>
          <w:p w14:paraId="0832A903" w14:textId="77777777" w:rsidR="00A10E84" w:rsidRPr="00600924" w:rsidRDefault="005B20C1" w:rsidP="00600924">
            <w:pPr>
              <w:pStyle w:val="TableParagraph"/>
              <w:spacing w:before="0"/>
              <w:rPr>
                <w:rFonts w:asciiTheme="minorHAnsi" w:hAnsiTheme="minorHAnsi" w:cstheme="minorHAnsi"/>
                <w:b/>
                <w:sz w:val="16"/>
                <w:szCs w:val="16"/>
              </w:rPr>
            </w:pPr>
            <w:r w:rsidRPr="00600924">
              <w:rPr>
                <w:rFonts w:asciiTheme="minorHAnsi" w:hAnsiTheme="minorHAnsi" w:cstheme="minorHAnsi"/>
                <w:b/>
                <w:sz w:val="16"/>
                <w:szCs w:val="16"/>
              </w:rPr>
              <w:t>FY21 budget item</w:t>
            </w:r>
          </w:p>
        </w:tc>
        <w:tc>
          <w:tcPr>
            <w:tcW w:w="1365" w:type="dxa"/>
          </w:tcPr>
          <w:p w14:paraId="1A8A832D" w14:textId="77777777" w:rsidR="00A10E84" w:rsidRPr="00600924" w:rsidRDefault="005B20C1" w:rsidP="00600924">
            <w:pPr>
              <w:pStyle w:val="TableParagraph"/>
              <w:spacing w:before="0"/>
              <w:ind w:left="0" w:right="243"/>
              <w:jc w:val="right"/>
              <w:rPr>
                <w:rFonts w:asciiTheme="minorHAnsi" w:hAnsiTheme="minorHAnsi" w:cstheme="minorHAnsi"/>
                <w:b/>
                <w:sz w:val="16"/>
                <w:szCs w:val="16"/>
              </w:rPr>
            </w:pPr>
            <w:r w:rsidRPr="00600924">
              <w:rPr>
                <w:rFonts w:asciiTheme="minorHAnsi" w:hAnsiTheme="minorHAnsi" w:cstheme="minorHAnsi"/>
                <w:b/>
                <w:sz w:val="16"/>
                <w:szCs w:val="16"/>
              </w:rPr>
              <w:t>Amount</w:t>
            </w:r>
          </w:p>
        </w:tc>
        <w:tc>
          <w:tcPr>
            <w:tcW w:w="4260" w:type="dxa"/>
          </w:tcPr>
          <w:p w14:paraId="4ED719D5" w14:textId="77777777" w:rsidR="00A10E84" w:rsidRPr="00600924" w:rsidRDefault="005B20C1" w:rsidP="00600924">
            <w:pPr>
              <w:pStyle w:val="TableParagraph"/>
              <w:spacing w:before="0"/>
              <w:rPr>
                <w:rFonts w:asciiTheme="minorHAnsi" w:hAnsiTheme="minorHAnsi" w:cstheme="minorHAnsi"/>
                <w:b/>
                <w:sz w:val="16"/>
                <w:szCs w:val="16"/>
              </w:rPr>
            </w:pPr>
            <w:r w:rsidRPr="00600924">
              <w:rPr>
                <w:rFonts w:asciiTheme="minorHAnsi" w:hAnsiTheme="minorHAnsi" w:cstheme="minorHAnsi"/>
                <w:b/>
                <w:sz w:val="16"/>
                <w:szCs w:val="16"/>
              </w:rPr>
              <w:t>Foundation Category</w:t>
            </w:r>
          </w:p>
        </w:tc>
      </w:tr>
      <w:tr w:rsidR="00A10E84" w:rsidRPr="00600924" w14:paraId="0A04480E" w14:textId="77777777">
        <w:trPr>
          <w:trHeight w:hRule="exact" w:val="855"/>
        </w:trPr>
        <w:tc>
          <w:tcPr>
            <w:tcW w:w="2820" w:type="dxa"/>
          </w:tcPr>
          <w:p w14:paraId="7B0B26B8" w14:textId="77777777" w:rsidR="00A10E84" w:rsidRPr="00600924" w:rsidRDefault="005B20C1" w:rsidP="00600924">
            <w:pPr>
              <w:pStyle w:val="TableParagraph"/>
              <w:spacing w:before="0" w:line="210" w:lineRule="exact"/>
              <w:ind w:right="84"/>
              <w:rPr>
                <w:rFonts w:asciiTheme="minorHAnsi" w:hAnsiTheme="minorHAnsi" w:cstheme="minorHAnsi"/>
                <w:sz w:val="16"/>
                <w:szCs w:val="16"/>
              </w:rPr>
            </w:pPr>
            <w:r w:rsidRPr="00600924">
              <w:rPr>
                <w:rFonts w:asciiTheme="minorHAnsi" w:hAnsiTheme="minorHAnsi" w:cstheme="minorHAnsi"/>
                <w:sz w:val="16"/>
                <w:szCs w:val="16"/>
              </w:rPr>
              <w:t>Adoption of the International Baccalaureate (IB) Diploma and Career-Related Programs.</w:t>
            </w:r>
          </w:p>
        </w:tc>
        <w:tc>
          <w:tcPr>
            <w:tcW w:w="1365" w:type="dxa"/>
          </w:tcPr>
          <w:p w14:paraId="75D95DBF" w14:textId="77777777" w:rsidR="00A10E84" w:rsidRPr="00600924" w:rsidRDefault="005B20C1" w:rsidP="00600924">
            <w:pPr>
              <w:pStyle w:val="TableParagraph"/>
              <w:spacing w:before="0"/>
              <w:ind w:left="0" w:right="263"/>
              <w:jc w:val="right"/>
              <w:rPr>
                <w:rFonts w:asciiTheme="minorHAnsi" w:hAnsiTheme="minorHAnsi" w:cstheme="minorHAnsi"/>
                <w:sz w:val="16"/>
                <w:szCs w:val="16"/>
              </w:rPr>
            </w:pPr>
            <w:r w:rsidRPr="00600924">
              <w:rPr>
                <w:rFonts w:asciiTheme="minorHAnsi" w:hAnsiTheme="minorHAnsi" w:cstheme="minorHAnsi"/>
                <w:sz w:val="16"/>
                <w:szCs w:val="16"/>
              </w:rPr>
              <w:t>$30,000</w:t>
            </w:r>
          </w:p>
        </w:tc>
        <w:tc>
          <w:tcPr>
            <w:tcW w:w="4260" w:type="dxa"/>
          </w:tcPr>
          <w:p w14:paraId="2EEE60CC" w14:textId="77777777" w:rsidR="00A10E84" w:rsidRPr="00600924" w:rsidRDefault="005B20C1" w:rsidP="00600924">
            <w:pPr>
              <w:pStyle w:val="TableParagraph"/>
              <w:spacing w:before="0"/>
              <w:rPr>
                <w:rFonts w:asciiTheme="minorHAnsi" w:hAnsiTheme="minorHAnsi" w:cstheme="minorHAnsi"/>
                <w:sz w:val="16"/>
                <w:szCs w:val="16"/>
              </w:rPr>
            </w:pPr>
            <w:r w:rsidRPr="00600924">
              <w:rPr>
                <w:rFonts w:asciiTheme="minorHAnsi" w:hAnsiTheme="minorHAnsi" w:cstheme="minorHAnsi"/>
                <w:sz w:val="16"/>
                <w:szCs w:val="16"/>
              </w:rPr>
              <w:t>Fixed Charges and Professional Development.</w:t>
            </w:r>
          </w:p>
        </w:tc>
      </w:tr>
      <w:tr w:rsidR="00A10E84" w:rsidRPr="00600924" w14:paraId="6F9955E5" w14:textId="77777777">
        <w:trPr>
          <w:trHeight w:hRule="exact" w:val="1290"/>
        </w:trPr>
        <w:tc>
          <w:tcPr>
            <w:tcW w:w="2820" w:type="dxa"/>
            <w:tcBorders>
              <w:bottom w:val="nil"/>
            </w:tcBorders>
          </w:tcPr>
          <w:p w14:paraId="614D01AC" w14:textId="77777777" w:rsidR="00A10E84" w:rsidRPr="00600924" w:rsidRDefault="005B20C1" w:rsidP="00600924">
            <w:pPr>
              <w:pStyle w:val="TableParagraph"/>
              <w:spacing w:before="0" w:line="276" w:lineRule="auto"/>
              <w:ind w:right="306"/>
              <w:rPr>
                <w:rFonts w:asciiTheme="minorHAnsi" w:hAnsiTheme="minorHAnsi" w:cstheme="minorHAnsi"/>
                <w:sz w:val="16"/>
                <w:szCs w:val="16"/>
              </w:rPr>
            </w:pPr>
            <w:r w:rsidRPr="00600924">
              <w:rPr>
                <w:rFonts w:asciiTheme="minorHAnsi" w:hAnsiTheme="minorHAnsi" w:cstheme="minorHAnsi"/>
                <w:sz w:val="16"/>
                <w:szCs w:val="16"/>
              </w:rPr>
              <w:t>Student support for International Baccalaureate (IB) Career-Related Programming.</w:t>
            </w:r>
          </w:p>
        </w:tc>
        <w:tc>
          <w:tcPr>
            <w:tcW w:w="1365" w:type="dxa"/>
            <w:tcBorders>
              <w:bottom w:val="nil"/>
            </w:tcBorders>
          </w:tcPr>
          <w:p w14:paraId="6246135A" w14:textId="77777777" w:rsidR="00A10E84" w:rsidRPr="00600924" w:rsidRDefault="005B20C1" w:rsidP="00600924">
            <w:pPr>
              <w:pStyle w:val="TableParagraph"/>
              <w:spacing w:before="0"/>
              <w:ind w:left="0" w:right="263"/>
              <w:jc w:val="right"/>
              <w:rPr>
                <w:rFonts w:asciiTheme="minorHAnsi" w:hAnsiTheme="minorHAnsi" w:cstheme="minorHAnsi"/>
                <w:sz w:val="16"/>
                <w:szCs w:val="16"/>
              </w:rPr>
            </w:pPr>
            <w:r w:rsidRPr="00600924">
              <w:rPr>
                <w:rFonts w:asciiTheme="minorHAnsi" w:hAnsiTheme="minorHAnsi" w:cstheme="minorHAnsi"/>
                <w:sz w:val="16"/>
                <w:szCs w:val="16"/>
              </w:rPr>
              <w:t>$20,000</w:t>
            </w:r>
          </w:p>
        </w:tc>
        <w:tc>
          <w:tcPr>
            <w:tcW w:w="4260" w:type="dxa"/>
            <w:tcBorders>
              <w:bottom w:val="nil"/>
            </w:tcBorders>
          </w:tcPr>
          <w:p w14:paraId="356144CE" w14:textId="77777777" w:rsidR="00A10E84" w:rsidRPr="00600924" w:rsidRDefault="005B20C1" w:rsidP="00600924">
            <w:pPr>
              <w:pStyle w:val="TableParagraph"/>
              <w:spacing w:before="0"/>
              <w:rPr>
                <w:rFonts w:asciiTheme="minorHAnsi" w:hAnsiTheme="minorHAnsi" w:cstheme="minorHAnsi"/>
                <w:sz w:val="16"/>
                <w:szCs w:val="16"/>
              </w:rPr>
            </w:pPr>
            <w:r w:rsidRPr="00600924">
              <w:rPr>
                <w:rFonts w:asciiTheme="minorHAnsi" w:hAnsiTheme="minorHAnsi" w:cstheme="minorHAnsi"/>
                <w:sz w:val="16"/>
                <w:szCs w:val="16"/>
              </w:rPr>
              <w:t>Administration</w:t>
            </w:r>
          </w:p>
        </w:tc>
      </w:tr>
      <w:tr w:rsidR="00A10E84" w:rsidRPr="00600924" w14:paraId="18FCB68C" w14:textId="77777777">
        <w:trPr>
          <w:trHeight w:hRule="exact" w:val="1035"/>
        </w:trPr>
        <w:tc>
          <w:tcPr>
            <w:tcW w:w="4185" w:type="dxa"/>
            <w:gridSpan w:val="2"/>
            <w:tcBorders>
              <w:top w:val="nil"/>
            </w:tcBorders>
          </w:tcPr>
          <w:p w14:paraId="688121D5" w14:textId="77777777" w:rsidR="00A10E84" w:rsidRPr="00600924" w:rsidRDefault="005B20C1" w:rsidP="00600924">
            <w:pPr>
              <w:pStyle w:val="TableParagraph"/>
              <w:spacing w:before="0" w:line="266" w:lineRule="auto"/>
              <w:ind w:right="287"/>
              <w:rPr>
                <w:rFonts w:asciiTheme="minorHAnsi" w:hAnsiTheme="minorHAnsi" w:cstheme="minorHAnsi"/>
                <w:b/>
                <w:sz w:val="16"/>
                <w:szCs w:val="16"/>
              </w:rPr>
            </w:pPr>
            <w:r w:rsidRPr="00600924">
              <w:rPr>
                <w:rFonts w:asciiTheme="minorHAnsi" w:hAnsiTheme="minorHAnsi" w:cstheme="minorHAnsi"/>
                <w:b/>
                <w:sz w:val="16"/>
                <w:szCs w:val="16"/>
              </w:rPr>
              <w:t>Evidence-based program identified by the Department:</w:t>
            </w:r>
          </w:p>
        </w:tc>
        <w:tc>
          <w:tcPr>
            <w:tcW w:w="4260" w:type="dxa"/>
            <w:tcBorders>
              <w:top w:val="nil"/>
            </w:tcBorders>
          </w:tcPr>
          <w:p w14:paraId="3CFBDB18" w14:textId="77777777" w:rsidR="00A10E84" w:rsidRPr="00600924" w:rsidRDefault="005B20C1" w:rsidP="00600924">
            <w:pPr>
              <w:pStyle w:val="TableParagraph"/>
              <w:spacing w:before="0" w:line="266" w:lineRule="auto"/>
              <w:ind w:right="1026"/>
              <w:rPr>
                <w:rFonts w:asciiTheme="minorHAnsi" w:hAnsiTheme="minorHAnsi" w:cstheme="minorHAnsi"/>
                <w:sz w:val="16"/>
                <w:szCs w:val="16"/>
              </w:rPr>
            </w:pPr>
            <w:r w:rsidRPr="00600924">
              <w:rPr>
                <w:rFonts w:asciiTheme="minorHAnsi" w:hAnsiTheme="minorHAnsi" w:cstheme="minorHAnsi"/>
                <w:sz w:val="16"/>
                <w:szCs w:val="16"/>
              </w:rPr>
              <w:t>Supporting educators to implement high-quality, aligned curriculum and</w:t>
            </w:r>
          </w:p>
          <w:p w14:paraId="25110515" w14:textId="77777777" w:rsidR="00A10E84" w:rsidRPr="00600924" w:rsidRDefault="005B20C1" w:rsidP="00600924">
            <w:pPr>
              <w:pStyle w:val="TableParagraph"/>
              <w:spacing w:before="0"/>
              <w:rPr>
                <w:rFonts w:asciiTheme="minorHAnsi" w:hAnsiTheme="minorHAnsi" w:cstheme="minorHAnsi"/>
                <w:sz w:val="16"/>
                <w:szCs w:val="16"/>
              </w:rPr>
            </w:pPr>
            <w:r w:rsidRPr="00600924">
              <w:rPr>
                <w:rFonts w:asciiTheme="minorHAnsi" w:hAnsiTheme="minorHAnsi" w:cstheme="minorHAnsi"/>
                <w:sz w:val="16"/>
                <w:szCs w:val="16"/>
              </w:rPr>
              <w:t>expanded access to career-technical education</w:t>
            </w:r>
          </w:p>
        </w:tc>
      </w:tr>
    </w:tbl>
    <w:p w14:paraId="1BB9EE6E" w14:textId="77777777" w:rsidR="00A10E84" w:rsidRDefault="00A10E84" w:rsidP="00600924">
      <w:pPr>
        <w:rPr>
          <w:rFonts w:asciiTheme="minorHAnsi" w:hAnsiTheme="minorHAnsi" w:cstheme="minorHAnsi"/>
        </w:rPr>
      </w:pPr>
    </w:p>
    <w:p w14:paraId="7099B4EC" w14:textId="22C30C05" w:rsidR="00A10E84" w:rsidRPr="00600924" w:rsidRDefault="005B20C1" w:rsidP="00600924">
      <w:pPr>
        <w:pStyle w:val="BodyText"/>
        <w:ind w:left="112"/>
        <w:rPr>
          <w:rFonts w:asciiTheme="minorHAnsi" w:hAnsiTheme="minorHAnsi" w:cstheme="minorHAnsi"/>
          <w:sz w:val="22"/>
          <w:szCs w:val="22"/>
        </w:rPr>
      </w:pPr>
      <w:r w:rsidRPr="00600924">
        <w:rPr>
          <w:rFonts w:asciiTheme="minorHAnsi" w:hAnsiTheme="minorHAnsi" w:cstheme="minorHAnsi"/>
          <w:noProof/>
          <w:sz w:val="22"/>
          <w:szCs w:val="22"/>
        </w:rPr>
        <w:lastRenderedPageBreak/>
        <mc:AlternateContent>
          <mc:Choice Requires="wpg">
            <w:drawing>
              <wp:inline distT="0" distB="0" distL="0" distR="0" wp14:anchorId="678E962E" wp14:editId="3E1C33A5">
                <wp:extent cx="5381625" cy="1000125"/>
                <wp:effectExtent l="4445" t="0" r="5080" b="9525"/>
                <wp:docPr id="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1000125"/>
                          <a:chOff x="0" y="0"/>
                          <a:chExt cx="8475" cy="1575"/>
                        </a:xfrm>
                      </wpg:grpSpPr>
                      <wps:wsp>
                        <wps:cNvPr id="2" name="Line 12"/>
                        <wps:cNvCnPr>
                          <a:cxnSpLocks noChangeShapeType="1"/>
                        </wps:cNvCnPr>
                        <wps:spPr bwMode="auto">
                          <a:xfrm>
                            <a:off x="4193" y="15"/>
                            <a:ext cx="42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11"/>
                        <wps:cNvCnPr>
                          <a:cxnSpLocks noChangeShapeType="1"/>
                        </wps:cNvCnPr>
                        <wps:spPr bwMode="auto">
                          <a:xfrm>
                            <a:off x="4193" y="1560"/>
                            <a:ext cx="42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0"/>
                        <wps:cNvCnPr>
                          <a:cxnSpLocks noChangeShapeType="1"/>
                        </wps:cNvCnPr>
                        <wps:spPr bwMode="auto">
                          <a:xfrm>
                            <a:off x="4200" y="8"/>
                            <a:ext cx="0" cy="15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9"/>
                        <wps:cNvCnPr>
                          <a:cxnSpLocks noChangeShapeType="1"/>
                        </wps:cNvCnPr>
                        <wps:spPr bwMode="auto">
                          <a:xfrm>
                            <a:off x="8460" y="8"/>
                            <a:ext cx="0" cy="15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8" y="15"/>
                            <a:ext cx="4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8" y="1560"/>
                            <a:ext cx="4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15" y="8"/>
                            <a:ext cx="0" cy="15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4200" y="8"/>
                            <a:ext cx="0" cy="15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Text Box 4"/>
                        <wps:cNvSpPr txBox="1">
                          <a:spLocks noChangeArrowheads="1"/>
                        </wps:cNvSpPr>
                        <wps:spPr bwMode="auto">
                          <a:xfrm>
                            <a:off x="15" y="15"/>
                            <a:ext cx="4185" cy="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0A2F5" w14:textId="77777777" w:rsidR="00A10E84" w:rsidRDefault="005B20C1">
                              <w:pPr>
                                <w:spacing w:before="105"/>
                                <w:ind w:left="292"/>
                                <w:rPr>
                                  <w:b/>
                                  <w:sz w:val="20"/>
                                </w:rPr>
                              </w:pPr>
                              <w:r>
                                <w:rPr>
                                  <w:b/>
                                  <w:sz w:val="20"/>
                                </w:rPr>
                                <w:t>SOA program categories:</w:t>
                              </w:r>
                            </w:p>
                          </w:txbxContent>
                        </wps:txbx>
                        <wps:bodyPr rot="0" vert="horz" wrap="square" lIns="0" tIns="0" rIns="0" bIns="0" anchor="t" anchorCtr="0" upright="1">
                          <a:noAutofit/>
                        </wps:bodyPr>
                      </wps:wsp>
                      <wps:wsp>
                        <wps:cNvPr id="11" name="Text Box 3"/>
                        <wps:cNvSpPr txBox="1">
                          <a:spLocks noChangeArrowheads="1"/>
                        </wps:cNvSpPr>
                        <wps:spPr bwMode="auto">
                          <a:xfrm>
                            <a:off x="4200" y="15"/>
                            <a:ext cx="4260" cy="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B3E26" w14:textId="77777777" w:rsidR="00A10E84" w:rsidRDefault="005B20C1">
                              <w:pPr>
                                <w:spacing w:before="105" w:line="273" w:lineRule="auto"/>
                                <w:ind w:left="292" w:right="516" w:firstLine="50"/>
                                <w:rPr>
                                  <w:sz w:val="20"/>
                                </w:rPr>
                              </w:pPr>
                              <w:r>
                                <w:rPr>
                                  <w:sz w:val="20"/>
                                </w:rPr>
                                <w:t>I) Developing additional pathways to strengthen college and career readiness, C) Social services to support students’</w:t>
                              </w:r>
                            </w:p>
                            <w:p w14:paraId="1E1C3084" w14:textId="77777777" w:rsidR="00A10E84" w:rsidRDefault="005B20C1">
                              <w:pPr>
                                <w:spacing w:before="8" w:line="266" w:lineRule="auto"/>
                                <w:ind w:left="292" w:right="171"/>
                                <w:rPr>
                                  <w:sz w:val="20"/>
                                </w:rPr>
                              </w:pPr>
                              <w:r>
                                <w:rPr>
                                  <w:sz w:val="20"/>
                                </w:rPr>
                                <w:t xml:space="preserve">social-emotional and physical health and </w:t>
                              </w:r>
                              <w:proofErr w:type="spellStart"/>
                              <w:r>
                                <w:rPr>
                                  <w:sz w:val="20"/>
                                </w:rPr>
                                <w:t>and</w:t>
                              </w:r>
                              <w:proofErr w:type="spellEnd"/>
                              <w:r>
                                <w:rPr>
                                  <w:sz w:val="20"/>
                                </w:rPr>
                                <w:t xml:space="preserve"> E (PD)</w:t>
                              </w:r>
                            </w:p>
                          </w:txbxContent>
                        </wps:txbx>
                        <wps:bodyPr rot="0" vert="horz" wrap="square" lIns="0" tIns="0" rIns="0" bIns="0" anchor="t" anchorCtr="0" upright="1">
                          <a:noAutofit/>
                        </wps:bodyPr>
                      </wps:wsp>
                    </wpg:wgp>
                  </a:graphicData>
                </a:graphic>
              </wp:inline>
            </w:drawing>
          </mc:Choice>
          <mc:Fallback>
            <w:pict>
              <v:group w14:anchorId="678E962E" id="Group 2" o:spid="_x0000_s1026" alt="&quot;&quot;" style="width:423.75pt;height:78.75pt;mso-position-horizontal-relative:char;mso-position-vertical-relative:line" coordsize="8475,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">
                <v:line id="Line 12" o:spid="_x0000_s1027" style="position:absolute;visibility:visible;mso-wrap-style:square" from="4193,15" to="84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11" o:spid="_x0000_s1028" style="position:absolute;visibility:visible;mso-wrap-style:square" from="4193,1560" to="8468,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10" o:spid="_x0000_s1029" style="position:absolute;visibility:visible;mso-wrap-style:square" from="4200,8" to="4200,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9" o:spid="_x0000_s1030" style="position:absolute;visibility:visible;mso-wrap-style:square" from="8460,8" to="8460,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8" o:spid="_x0000_s1031" style="position:absolute;visibility:visible;mso-wrap-style:square" from="8,15" to="420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7" o:spid="_x0000_s1032" style="position:absolute;visibility:visible;mso-wrap-style:square" from="8,1560" to="4208,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6" o:spid="_x0000_s1033" style="position:absolute;visibility:visible;mso-wrap-style:square" from="15,8" to="15,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5" o:spid="_x0000_s1034" style="position:absolute;visibility:visible;mso-wrap-style:square" from="4200,8" to="4200,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shapetype id="_x0000_t202" coordsize="21600,21600" o:spt="202" path="m,l,21600r21600,l21600,xe">
                  <v:stroke joinstyle="miter"/>
                  <v:path gradientshapeok="t" o:connecttype="rect"/>
                </v:shapetype>
                <v:shape id="Text Box 4" o:spid="_x0000_s1035" type="#_x0000_t202" style="position:absolute;left:15;top:15;width:4185;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FA0A2F5" w14:textId="77777777" w:rsidR="00A10E84" w:rsidRDefault="005B20C1">
                        <w:pPr>
                          <w:spacing w:before="105"/>
                          <w:ind w:left="292"/>
                          <w:rPr>
                            <w:b/>
                            <w:sz w:val="20"/>
                          </w:rPr>
                        </w:pPr>
                        <w:r>
                          <w:rPr>
                            <w:b/>
                            <w:sz w:val="20"/>
                          </w:rPr>
                          <w:t>SOA program categories:</w:t>
                        </w:r>
                      </w:p>
                    </w:txbxContent>
                  </v:textbox>
                </v:shape>
                <v:shape id="Text Box 3" o:spid="_x0000_s1036" type="#_x0000_t202" style="position:absolute;left:4200;top:15;width:4260;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6CB3E26" w14:textId="77777777" w:rsidR="00A10E84" w:rsidRDefault="005B20C1">
                        <w:pPr>
                          <w:spacing w:before="105" w:line="273" w:lineRule="auto"/>
                          <w:ind w:left="292" w:right="516" w:firstLine="50"/>
                          <w:rPr>
                            <w:sz w:val="20"/>
                          </w:rPr>
                        </w:pPr>
                        <w:r>
                          <w:rPr>
                            <w:sz w:val="20"/>
                          </w:rPr>
                          <w:t>I) Developing additional pathways to strengthen college and career readiness, C) Social services to support students’</w:t>
                        </w:r>
                      </w:p>
                      <w:p w14:paraId="1E1C3084" w14:textId="77777777" w:rsidR="00A10E84" w:rsidRDefault="005B20C1">
                        <w:pPr>
                          <w:spacing w:before="8" w:line="266" w:lineRule="auto"/>
                          <w:ind w:left="292" w:right="171"/>
                          <w:rPr>
                            <w:sz w:val="20"/>
                          </w:rPr>
                        </w:pPr>
                        <w:r>
                          <w:rPr>
                            <w:sz w:val="20"/>
                          </w:rPr>
                          <w:t xml:space="preserve">social-emotional and physical health and </w:t>
                        </w:r>
                        <w:proofErr w:type="spellStart"/>
                        <w:r>
                          <w:rPr>
                            <w:sz w:val="20"/>
                          </w:rPr>
                          <w:t>and</w:t>
                        </w:r>
                        <w:proofErr w:type="spellEnd"/>
                        <w:r>
                          <w:rPr>
                            <w:sz w:val="20"/>
                          </w:rPr>
                          <w:t xml:space="preserve"> E (PD)</w:t>
                        </w:r>
                      </w:p>
                    </w:txbxContent>
                  </v:textbox>
                </v:shape>
                <w10:anchorlock/>
              </v:group>
            </w:pict>
          </mc:Fallback>
        </mc:AlternateContent>
      </w:r>
    </w:p>
    <w:p w14:paraId="53BEA7C9" w14:textId="77777777" w:rsidR="00A10E84" w:rsidRPr="00600924" w:rsidRDefault="00A10E84" w:rsidP="00600924">
      <w:pPr>
        <w:pStyle w:val="BodyText"/>
        <w:rPr>
          <w:rFonts w:asciiTheme="minorHAnsi" w:hAnsiTheme="minorHAnsi" w:cstheme="minorHAnsi"/>
          <w:b/>
          <w:sz w:val="22"/>
          <w:szCs w:val="22"/>
        </w:rPr>
      </w:pPr>
    </w:p>
    <w:p w14:paraId="5437B325" w14:textId="77777777" w:rsidR="00A10E84" w:rsidRPr="00600924" w:rsidRDefault="005B20C1" w:rsidP="00600924">
      <w:pPr>
        <w:pStyle w:val="ListParagraph"/>
        <w:numPr>
          <w:ilvl w:val="0"/>
          <w:numId w:val="1"/>
        </w:numPr>
        <w:tabs>
          <w:tab w:val="left" w:pos="425"/>
        </w:tabs>
        <w:spacing w:line="278" w:lineRule="auto"/>
        <w:ind w:right="244" w:hanging="210"/>
        <w:rPr>
          <w:rFonts w:asciiTheme="minorHAnsi" w:hAnsiTheme="minorHAnsi" w:cstheme="minorHAnsi"/>
        </w:rPr>
      </w:pPr>
      <w:r w:rsidRPr="00600924">
        <w:rPr>
          <w:rFonts w:asciiTheme="minorHAnsi" w:hAnsiTheme="minorHAnsi" w:cstheme="minorHAnsi"/>
          <w:b/>
        </w:rPr>
        <w:t>Targeted Student Supports and Increased Personnel and Services to Support Holistic Student Needs</w:t>
      </w:r>
      <w:r w:rsidRPr="00600924">
        <w:rPr>
          <w:rFonts w:asciiTheme="minorHAnsi" w:hAnsiTheme="minorHAnsi" w:cstheme="minorHAnsi"/>
        </w:rPr>
        <w:t xml:space="preserve">. Starting in 2018, MVPCS has partnered with the Hulbert Outdoor Center (HOC) in </w:t>
      </w:r>
      <w:proofErr w:type="spellStart"/>
      <w:r w:rsidRPr="00600924">
        <w:rPr>
          <w:rFonts w:asciiTheme="minorHAnsi" w:hAnsiTheme="minorHAnsi" w:cstheme="minorHAnsi"/>
        </w:rPr>
        <w:t>Fairlee</w:t>
      </w:r>
      <w:proofErr w:type="spellEnd"/>
      <w:r w:rsidRPr="00600924">
        <w:rPr>
          <w:rFonts w:asciiTheme="minorHAnsi" w:hAnsiTheme="minorHAnsi" w:cstheme="minorHAnsi"/>
        </w:rPr>
        <w:t>, Vermont to adopt the Success Counseling model for our Middle and High School. This program provides our students with a socio-emotional framework to help with decision-making and self-care. Our High School students have participated in yearly Success Counseling training in Vermont since 2019. Facilitators from Hulbert have also worked with our faculty and staff to help us implement Success Counseling. Due to the pandemic, our High School students were able to complete a Zoom training with members from HOC. We would like the SOA funds to expand this programming for students and staff over the next few</w:t>
      </w:r>
      <w:r w:rsidRPr="00600924">
        <w:rPr>
          <w:rFonts w:asciiTheme="minorHAnsi" w:hAnsiTheme="minorHAnsi" w:cstheme="minorHAnsi"/>
          <w:spacing w:val="-15"/>
        </w:rPr>
        <w:t xml:space="preserve"> </w:t>
      </w:r>
      <w:r w:rsidRPr="00600924">
        <w:rPr>
          <w:rFonts w:asciiTheme="minorHAnsi" w:hAnsiTheme="minorHAnsi" w:cstheme="minorHAnsi"/>
        </w:rPr>
        <w:t>years.</w:t>
      </w:r>
    </w:p>
    <w:p w14:paraId="77E06635" w14:textId="77777777" w:rsidR="00A10E84" w:rsidRPr="00600924" w:rsidRDefault="00A10E84" w:rsidP="00600924">
      <w:pPr>
        <w:pStyle w:val="BodyText"/>
        <w:rPr>
          <w:rFonts w:asciiTheme="minorHAnsi" w:hAnsiTheme="minorHAnsi" w:cstheme="minorHAnsi"/>
          <w:sz w:val="22"/>
          <w:szCs w:val="22"/>
        </w:rPr>
      </w:pPr>
    </w:p>
    <w:p w14:paraId="76BE024D" w14:textId="77777777" w:rsidR="00A10E84" w:rsidRPr="00600924" w:rsidRDefault="005B20C1" w:rsidP="00600924">
      <w:pPr>
        <w:pStyle w:val="BodyText"/>
        <w:spacing w:line="276" w:lineRule="auto"/>
        <w:ind w:left="435" w:right="1"/>
        <w:rPr>
          <w:rFonts w:asciiTheme="minorHAnsi" w:hAnsiTheme="minorHAnsi" w:cstheme="minorHAnsi"/>
          <w:sz w:val="22"/>
          <w:szCs w:val="22"/>
        </w:rPr>
      </w:pPr>
      <w:r w:rsidRPr="00600924">
        <w:rPr>
          <w:rFonts w:asciiTheme="minorHAnsi" w:hAnsiTheme="minorHAnsi" w:cstheme="minorHAnsi"/>
          <w:sz w:val="22"/>
          <w:szCs w:val="22"/>
        </w:rPr>
        <w:t>Martha’s Vineyard has been hit particularly hard by the opioid crisis. We have contracted with an addiction specialist since 2019 to work with our most vulnerable High School students. We are concerned that the economic impact of their pandemic has ravaged families and the use of drugs and alcohol will produce negative outcomes for our at-risk students. We would like to use SOA funds to expand our addiction counseling services for select High School students. In consideration of the traumatic impact of the pandemic, MVPCS would also like to allocate SOA to provide professional development to our staff on how to serve as a trauma-sensitive school, specifically with the LIFT program through Lesley University.</w:t>
      </w:r>
    </w:p>
    <w:p w14:paraId="726B3855" w14:textId="77777777" w:rsidR="00A10E84" w:rsidRPr="00600924" w:rsidRDefault="00A10E84" w:rsidP="00600924">
      <w:pPr>
        <w:pStyle w:val="BodyText"/>
        <w:rPr>
          <w:rFonts w:asciiTheme="minorHAnsi" w:hAnsiTheme="minorHAnsi" w:cstheme="minorHAnsi"/>
          <w:sz w:val="22"/>
          <w:szCs w:val="22"/>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60"/>
        <w:gridCol w:w="1110"/>
        <w:gridCol w:w="3585"/>
      </w:tblGrid>
      <w:tr w:rsidR="00A10E84" w:rsidRPr="00600924" w14:paraId="60C2E03A" w14:textId="77777777">
        <w:trPr>
          <w:trHeight w:hRule="exact" w:val="585"/>
        </w:trPr>
        <w:tc>
          <w:tcPr>
            <w:tcW w:w="3360" w:type="dxa"/>
          </w:tcPr>
          <w:p w14:paraId="165D1888" w14:textId="77777777" w:rsidR="00A10E84" w:rsidRPr="00600924" w:rsidRDefault="005B20C1" w:rsidP="00600924">
            <w:pPr>
              <w:pStyle w:val="TableParagraph"/>
              <w:spacing w:before="0"/>
              <w:rPr>
                <w:rFonts w:asciiTheme="minorHAnsi" w:hAnsiTheme="minorHAnsi" w:cstheme="minorHAnsi"/>
                <w:b/>
              </w:rPr>
            </w:pPr>
            <w:r w:rsidRPr="00600924">
              <w:rPr>
                <w:rFonts w:asciiTheme="minorHAnsi" w:hAnsiTheme="minorHAnsi" w:cstheme="minorHAnsi"/>
                <w:b/>
              </w:rPr>
              <w:t>FY21 budget item</w:t>
            </w:r>
          </w:p>
        </w:tc>
        <w:tc>
          <w:tcPr>
            <w:tcW w:w="1110" w:type="dxa"/>
          </w:tcPr>
          <w:p w14:paraId="0C82D26E" w14:textId="77777777" w:rsidR="00A10E84" w:rsidRPr="00600924" w:rsidRDefault="005B20C1" w:rsidP="00600924">
            <w:pPr>
              <w:pStyle w:val="TableParagraph"/>
              <w:spacing w:before="0"/>
              <w:ind w:left="0" w:right="108"/>
              <w:jc w:val="right"/>
              <w:rPr>
                <w:rFonts w:asciiTheme="minorHAnsi" w:hAnsiTheme="minorHAnsi" w:cstheme="minorHAnsi"/>
                <w:b/>
              </w:rPr>
            </w:pPr>
            <w:r w:rsidRPr="00600924">
              <w:rPr>
                <w:rFonts w:asciiTheme="minorHAnsi" w:hAnsiTheme="minorHAnsi" w:cstheme="minorHAnsi"/>
                <w:b/>
              </w:rPr>
              <w:t>Amount</w:t>
            </w:r>
          </w:p>
        </w:tc>
        <w:tc>
          <w:tcPr>
            <w:tcW w:w="3585" w:type="dxa"/>
          </w:tcPr>
          <w:p w14:paraId="11CF8235" w14:textId="77777777" w:rsidR="00A10E84" w:rsidRPr="00600924" w:rsidRDefault="005B20C1" w:rsidP="00600924">
            <w:pPr>
              <w:pStyle w:val="TableParagraph"/>
              <w:spacing w:before="0"/>
              <w:rPr>
                <w:rFonts w:asciiTheme="minorHAnsi" w:hAnsiTheme="minorHAnsi" w:cstheme="minorHAnsi"/>
                <w:b/>
              </w:rPr>
            </w:pPr>
            <w:r w:rsidRPr="00600924">
              <w:rPr>
                <w:rFonts w:asciiTheme="minorHAnsi" w:hAnsiTheme="minorHAnsi" w:cstheme="minorHAnsi"/>
                <w:b/>
              </w:rPr>
              <w:t>Foundation Category</w:t>
            </w:r>
          </w:p>
        </w:tc>
      </w:tr>
      <w:tr w:rsidR="00A10E84" w:rsidRPr="00600924" w14:paraId="487A35BF" w14:textId="77777777">
        <w:trPr>
          <w:trHeight w:hRule="exact" w:val="615"/>
        </w:trPr>
        <w:tc>
          <w:tcPr>
            <w:tcW w:w="3360" w:type="dxa"/>
          </w:tcPr>
          <w:p w14:paraId="2F20FB05" w14:textId="77777777" w:rsidR="00A10E84" w:rsidRPr="00600924" w:rsidRDefault="005B20C1" w:rsidP="00600924">
            <w:pPr>
              <w:pStyle w:val="TableParagraph"/>
              <w:spacing w:before="0" w:line="196" w:lineRule="exact"/>
              <w:ind w:right="862"/>
              <w:rPr>
                <w:rFonts w:asciiTheme="minorHAnsi" w:hAnsiTheme="minorHAnsi" w:cstheme="minorHAnsi"/>
              </w:rPr>
            </w:pPr>
            <w:r w:rsidRPr="00600924">
              <w:rPr>
                <w:rFonts w:asciiTheme="minorHAnsi" w:hAnsiTheme="minorHAnsi" w:cstheme="minorHAnsi"/>
              </w:rPr>
              <w:t>Student Activities: Success Counseling</w:t>
            </w:r>
          </w:p>
        </w:tc>
        <w:tc>
          <w:tcPr>
            <w:tcW w:w="1110" w:type="dxa"/>
          </w:tcPr>
          <w:p w14:paraId="1F4AC283" w14:textId="77777777" w:rsidR="00A10E84" w:rsidRPr="00600924" w:rsidRDefault="005B20C1" w:rsidP="00600924">
            <w:pPr>
              <w:pStyle w:val="TableParagraph"/>
              <w:spacing w:before="0"/>
              <w:ind w:left="0" w:right="143"/>
              <w:jc w:val="right"/>
              <w:rPr>
                <w:rFonts w:asciiTheme="minorHAnsi" w:hAnsiTheme="minorHAnsi" w:cstheme="minorHAnsi"/>
              </w:rPr>
            </w:pPr>
            <w:r w:rsidRPr="00600924">
              <w:rPr>
                <w:rFonts w:asciiTheme="minorHAnsi" w:hAnsiTheme="minorHAnsi" w:cstheme="minorHAnsi"/>
              </w:rPr>
              <w:t>$20,000</w:t>
            </w:r>
          </w:p>
        </w:tc>
        <w:tc>
          <w:tcPr>
            <w:tcW w:w="3585" w:type="dxa"/>
          </w:tcPr>
          <w:p w14:paraId="1214F150" w14:textId="77777777" w:rsidR="00A10E84" w:rsidRPr="00600924" w:rsidRDefault="005B20C1" w:rsidP="00600924">
            <w:pPr>
              <w:pStyle w:val="TableParagraph"/>
              <w:spacing w:before="0"/>
              <w:rPr>
                <w:rFonts w:asciiTheme="minorHAnsi" w:hAnsiTheme="minorHAnsi" w:cstheme="minorHAnsi"/>
              </w:rPr>
            </w:pPr>
            <w:r w:rsidRPr="00600924">
              <w:rPr>
                <w:rFonts w:asciiTheme="minorHAnsi" w:hAnsiTheme="minorHAnsi" w:cstheme="minorHAnsi"/>
              </w:rPr>
              <w:t>Instructional Leadership</w:t>
            </w:r>
          </w:p>
        </w:tc>
      </w:tr>
      <w:tr w:rsidR="00A10E84" w:rsidRPr="00600924" w14:paraId="2FCB93FD" w14:textId="77777777">
        <w:trPr>
          <w:trHeight w:hRule="exact" w:val="645"/>
        </w:trPr>
        <w:tc>
          <w:tcPr>
            <w:tcW w:w="3360" w:type="dxa"/>
          </w:tcPr>
          <w:p w14:paraId="136CB642" w14:textId="77777777" w:rsidR="00A10E84" w:rsidRPr="00600924" w:rsidRDefault="005B20C1" w:rsidP="00600924">
            <w:pPr>
              <w:pStyle w:val="TableParagraph"/>
              <w:spacing w:before="0" w:line="210" w:lineRule="exact"/>
              <w:ind w:right="529"/>
              <w:rPr>
                <w:rFonts w:asciiTheme="minorHAnsi" w:hAnsiTheme="minorHAnsi" w:cstheme="minorHAnsi"/>
              </w:rPr>
            </w:pPr>
            <w:r w:rsidRPr="00600924">
              <w:rPr>
                <w:rFonts w:asciiTheme="minorHAnsi" w:hAnsiTheme="minorHAnsi" w:cstheme="minorHAnsi"/>
              </w:rPr>
              <w:t>Contracted Services: Addiction Services</w:t>
            </w:r>
          </w:p>
        </w:tc>
        <w:tc>
          <w:tcPr>
            <w:tcW w:w="1110" w:type="dxa"/>
          </w:tcPr>
          <w:p w14:paraId="4C98BB99" w14:textId="77777777" w:rsidR="00A10E84" w:rsidRPr="00600924" w:rsidRDefault="005B20C1" w:rsidP="00600924">
            <w:pPr>
              <w:pStyle w:val="TableParagraph"/>
              <w:spacing w:before="0"/>
              <w:ind w:left="0" w:right="143"/>
              <w:jc w:val="right"/>
              <w:rPr>
                <w:rFonts w:asciiTheme="minorHAnsi" w:hAnsiTheme="minorHAnsi" w:cstheme="minorHAnsi"/>
              </w:rPr>
            </w:pPr>
            <w:r w:rsidRPr="00600924">
              <w:rPr>
                <w:rFonts w:asciiTheme="minorHAnsi" w:hAnsiTheme="minorHAnsi" w:cstheme="minorHAnsi"/>
              </w:rPr>
              <w:t>$10,000</w:t>
            </w:r>
          </w:p>
        </w:tc>
        <w:tc>
          <w:tcPr>
            <w:tcW w:w="3585" w:type="dxa"/>
          </w:tcPr>
          <w:p w14:paraId="1A61AA36" w14:textId="77777777" w:rsidR="00A10E84" w:rsidRPr="00600924" w:rsidRDefault="005B20C1" w:rsidP="00600924">
            <w:pPr>
              <w:pStyle w:val="TableParagraph"/>
              <w:spacing w:before="0"/>
              <w:rPr>
                <w:rFonts w:asciiTheme="minorHAnsi" w:hAnsiTheme="minorHAnsi" w:cstheme="minorHAnsi"/>
              </w:rPr>
            </w:pPr>
            <w:r w:rsidRPr="00600924">
              <w:rPr>
                <w:rFonts w:asciiTheme="minorHAnsi" w:hAnsiTheme="minorHAnsi" w:cstheme="minorHAnsi"/>
              </w:rPr>
              <w:t>Guidance and Psychological</w:t>
            </w:r>
          </w:p>
        </w:tc>
      </w:tr>
      <w:tr w:rsidR="00A10E84" w:rsidRPr="00600924" w14:paraId="5C148D3D" w14:textId="77777777">
        <w:trPr>
          <w:trHeight w:hRule="exact" w:val="630"/>
        </w:trPr>
        <w:tc>
          <w:tcPr>
            <w:tcW w:w="3360" w:type="dxa"/>
          </w:tcPr>
          <w:p w14:paraId="2FF9177E" w14:textId="77777777" w:rsidR="00A10E84" w:rsidRPr="00600924" w:rsidRDefault="005B20C1" w:rsidP="00600924">
            <w:pPr>
              <w:pStyle w:val="TableParagraph"/>
              <w:spacing w:before="0" w:line="196" w:lineRule="exact"/>
              <w:ind w:right="196"/>
              <w:rPr>
                <w:rFonts w:asciiTheme="minorHAnsi" w:hAnsiTheme="minorHAnsi" w:cstheme="minorHAnsi"/>
              </w:rPr>
            </w:pPr>
            <w:r w:rsidRPr="00600924">
              <w:rPr>
                <w:rFonts w:asciiTheme="minorHAnsi" w:hAnsiTheme="minorHAnsi" w:cstheme="minorHAnsi"/>
              </w:rPr>
              <w:t>Professional Development: Trauma Sensitive Schools</w:t>
            </w:r>
          </w:p>
        </w:tc>
        <w:tc>
          <w:tcPr>
            <w:tcW w:w="1110" w:type="dxa"/>
          </w:tcPr>
          <w:p w14:paraId="02071AAA" w14:textId="77777777" w:rsidR="00A10E84" w:rsidRPr="00600924" w:rsidRDefault="005B20C1" w:rsidP="00600924">
            <w:pPr>
              <w:pStyle w:val="TableParagraph"/>
              <w:spacing w:before="0"/>
              <w:ind w:left="0" w:right="143"/>
              <w:jc w:val="right"/>
              <w:rPr>
                <w:rFonts w:asciiTheme="minorHAnsi" w:hAnsiTheme="minorHAnsi" w:cstheme="minorHAnsi"/>
              </w:rPr>
            </w:pPr>
            <w:r w:rsidRPr="00600924">
              <w:rPr>
                <w:rFonts w:asciiTheme="minorHAnsi" w:hAnsiTheme="minorHAnsi" w:cstheme="minorHAnsi"/>
              </w:rPr>
              <w:t>$10,000</w:t>
            </w:r>
          </w:p>
        </w:tc>
        <w:tc>
          <w:tcPr>
            <w:tcW w:w="3585" w:type="dxa"/>
          </w:tcPr>
          <w:p w14:paraId="65968FB9" w14:textId="77777777" w:rsidR="00A10E84" w:rsidRPr="00600924" w:rsidRDefault="005B20C1" w:rsidP="00600924">
            <w:pPr>
              <w:pStyle w:val="TableParagraph"/>
              <w:spacing w:before="0" w:line="196" w:lineRule="exact"/>
              <w:ind w:right="649"/>
              <w:rPr>
                <w:rFonts w:asciiTheme="minorHAnsi" w:hAnsiTheme="minorHAnsi" w:cstheme="minorHAnsi"/>
              </w:rPr>
            </w:pPr>
            <w:r w:rsidRPr="00600924">
              <w:rPr>
                <w:rFonts w:asciiTheme="minorHAnsi" w:hAnsiTheme="minorHAnsi" w:cstheme="minorHAnsi"/>
              </w:rPr>
              <w:t>Guidance and Psychological and Professional Development</w:t>
            </w:r>
          </w:p>
        </w:tc>
      </w:tr>
      <w:tr w:rsidR="00A10E84" w:rsidRPr="00600924" w14:paraId="324049BC" w14:textId="77777777">
        <w:trPr>
          <w:trHeight w:hRule="exact" w:val="750"/>
        </w:trPr>
        <w:tc>
          <w:tcPr>
            <w:tcW w:w="4470" w:type="dxa"/>
            <w:gridSpan w:val="2"/>
          </w:tcPr>
          <w:p w14:paraId="1B7B569F" w14:textId="77777777" w:rsidR="00A10E84" w:rsidRPr="00600924" w:rsidRDefault="005B20C1" w:rsidP="00600924">
            <w:pPr>
              <w:pStyle w:val="TableParagraph"/>
              <w:spacing w:before="0" w:line="196" w:lineRule="exact"/>
              <w:ind w:right="572"/>
              <w:rPr>
                <w:rFonts w:asciiTheme="minorHAnsi" w:hAnsiTheme="minorHAnsi" w:cstheme="minorHAnsi"/>
                <w:b/>
              </w:rPr>
            </w:pPr>
            <w:r w:rsidRPr="00600924">
              <w:rPr>
                <w:rFonts w:asciiTheme="minorHAnsi" w:hAnsiTheme="minorHAnsi" w:cstheme="minorHAnsi"/>
                <w:b/>
              </w:rPr>
              <w:t>Evidence-based program identified by the Department:</w:t>
            </w:r>
          </w:p>
        </w:tc>
        <w:tc>
          <w:tcPr>
            <w:tcW w:w="3585" w:type="dxa"/>
          </w:tcPr>
          <w:p w14:paraId="65B6D618" w14:textId="77777777" w:rsidR="00A10E84" w:rsidRPr="00600924" w:rsidRDefault="005B20C1" w:rsidP="00600924">
            <w:pPr>
              <w:pStyle w:val="TableParagraph"/>
              <w:spacing w:before="0" w:line="266" w:lineRule="auto"/>
              <w:ind w:right="432"/>
              <w:rPr>
                <w:rFonts w:asciiTheme="minorHAnsi" w:hAnsiTheme="minorHAnsi" w:cstheme="minorHAnsi"/>
              </w:rPr>
            </w:pPr>
            <w:r w:rsidRPr="00600924">
              <w:rPr>
                <w:rFonts w:asciiTheme="minorHAnsi" w:hAnsiTheme="minorHAnsi" w:cstheme="minorHAnsi"/>
              </w:rPr>
              <w:t>Increased personnel and services to support holistic student needs.</w:t>
            </w:r>
          </w:p>
        </w:tc>
      </w:tr>
      <w:tr w:rsidR="00A10E84" w:rsidRPr="00600924" w14:paraId="05642A87" w14:textId="77777777">
        <w:trPr>
          <w:trHeight w:hRule="exact" w:val="1020"/>
        </w:trPr>
        <w:tc>
          <w:tcPr>
            <w:tcW w:w="4470" w:type="dxa"/>
            <w:gridSpan w:val="2"/>
          </w:tcPr>
          <w:p w14:paraId="6759842A" w14:textId="77777777" w:rsidR="00A10E84" w:rsidRPr="00600924" w:rsidRDefault="005B20C1" w:rsidP="00600924">
            <w:pPr>
              <w:pStyle w:val="TableParagraph"/>
              <w:spacing w:before="0"/>
              <w:rPr>
                <w:rFonts w:asciiTheme="minorHAnsi" w:hAnsiTheme="minorHAnsi" w:cstheme="minorHAnsi"/>
                <w:b/>
              </w:rPr>
            </w:pPr>
            <w:r w:rsidRPr="00600924">
              <w:rPr>
                <w:rFonts w:asciiTheme="minorHAnsi" w:hAnsiTheme="minorHAnsi" w:cstheme="minorHAnsi"/>
                <w:b/>
              </w:rPr>
              <w:t>SOA program categories:</w:t>
            </w:r>
          </w:p>
        </w:tc>
        <w:tc>
          <w:tcPr>
            <w:tcW w:w="3585" w:type="dxa"/>
          </w:tcPr>
          <w:p w14:paraId="70303B69" w14:textId="77777777" w:rsidR="00A10E84" w:rsidRPr="00600924" w:rsidRDefault="005B20C1" w:rsidP="00600924">
            <w:pPr>
              <w:pStyle w:val="TableParagraph"/>
              <w:spacing w:before="0" w:line="273" w:lineRule="auto"/>
              <w:ind w:right="212"/>
              <w:rPr>
                <w:rFonts w:asciiTheme="minorHAnsi" w:hAnsiTheme="minorHAnsi" w:cstheme="minorHAnsi"/>
              </w:rPr>
            </w:pPr>
            <w:r w:rsidRPr="00600924">
              <w:rPr>
                <w:rFonts w:asciiTheme="minorHAnsi" w:hAnsiTheme="minorHAnsi" w:cstheme="minorHAnsi"/>
              </w:rPr>
              <w:t xml:space="preserve">C) Social services to support students’ social-emotional and physical health and </w:t>
            </w:r>
            <w:proofErr w:type="spellStart"/>
            <w:r w:rsidRPr="00600924">
              <w:rPr>
                <w:rFonts w:asciiTheme="minorHAnsi" w:hAnsiTheme="minorHAnsi" w:cstheme="minorHAnsi"/>
              </w:rPr>
              <w:t>and</w:t>
            </w:r>
            <w:proofErr w:type="spellEnd"/>
            <w:r w:rsidRPr="00600924">
              <w:rPr>
                <w:rFonts w:asciiTheme="minorHAnsi" w:hAnsiTheme="minorHAnsi" w:cstheme="minorHAnsi"/>
              </w:rPr>
              <w:t xml:space="preserve"> E (PD)</w:t>
            </w:r>
          </w:p>
        </w:tc>
      </w:tr>
    </w:tbl>
    <w:p w14:paraId="6EC0286D" w14:textId="77777777" w:rsidR="00A10E84" w:rsidRPr="00600924" w:rsidRDefault="00A10E84" w:rsidP="00600924">
      <w:pPr>
        <w:pStyle w:val="BodyText"/>
        <w:rPr>
          <w:rFonts w:asciiTheme="minorHAnsi" w:hAnsiTheme="minorHAnsi" w:cstheme="minorHAnsi"/>
          <w:sz w:val="22"/>
          <w:szCs w:val="22"/>
        </w:rPr>
      </w:pPr>
    </w:p>
    <w:p w14:paraId="7234819F" w14:textId="77777777" w:rsidR="00600924" w:rsidRDefault="005B20C1" w:rsidP="00600924">
      <w:pPr>
        <w:pStyle w:val="Heading1"/>
        <w:spacing w:before="0"/>
        <w:ind w:left="225"/>
        <w:rPr>
          <w:rFonts w:asciiTheme="minorHAnsi" w:hAnsiTheme="minorHAnsi" w:cstheme="minorHAnsi"/>
          <w:color w:val="2D73B4"/>
          <w:sz w:val="22"/>
          <w:szCs w:val="22"/>
        </w:rPr>
      </w:pPr>
      <w:r w:rsidRPr="00600924">
        <w:rPr>
          <w:rFonts w:asciiTheme="minorHAnsi" w:hAnsiTheme="minorHAnsi" w:cstheme="minorHAnsi"/>
          <w:b w:val="0"/>
          <w:color w:val="2D73B4"/>
          <w:sz w:val="22"/>
          <w:szCs w:val="22"/>
        </w:rPr>
        <w:t xml:space="preserve">→ </w:t>
      </w:r>
      <w:r w:rsidRPr="00600924">
        <w:rPr>
          <w:rFonts w:asciiTheme="minorHAnsi" w:hAnsiTheme="minorHAnsi" w:cstheme="minorHAnsi"/>
          <w:color w:val="2D73B4"/>
          <w:sz w:val="22"/>
          <w:szCs w:val="22"/>
        </w:rPr>
        <w:t>Commitment 3: Monitoring Success with Outcome Metrics and Targets</w:t>
      </w:r>
    </w:p>
    <w:p w14:paraId="1C0D28E6" w14:textId="77777777" w:rsidR="00600924" w:rsidRDefault="00600924" w:rsidP="00600924">
      <w:pPr>
        <w:pStyle w:val="Heading1"/>
        <w:spacing w:before="0"/>
        <w:ind w:left="225"/>
        <w:rPr>
          <w:rFonts w:asciiTheme="minorHAnsi" w:hAnsiTheme="minorHAnsi" w:cstheme="minorHAnsi"/>
          <w:color w:val="2D73B4"/>
          <w:sz w:val="22"/>
          <w:szCs w:val="22"/>
        </w:rPr>
      </w:pPr>
    </w:p>
    <w:p w14:paraId="3428D712" w14:textId="77777777" w:rsidR="00600924" w:rsidRDefault="00600924" w:rsidP="00600924">
      <w:pPr>
        <w:pStyle w:val="Heading1"/>
        <w:spacing w:before="0"/>
        <w:ind w:left="0"/>
        <w:rPr>
          <w:rFonts w:asciiTheme="minorHAnsi" w:hAnsiTheme="minorHAnsi" w:cstheme="minorHAnsi"/>
          <w:sz w:val="22"/>
          <w:szCs w:val="22"/>
        </w:rPr>
      </w:pPr>
    </w:p>
    <w:p w14:paraId="75132A41" w14:textId="759A1BC9" w:rsidR="00600924" w:rsidRPr="00600924" w:rsidRDefault="00600924" w:rsidP="00600924">
      <w:pPr>
        <w:pStyle w:val="Heading1"/>
        <w:spacing w:before="0"/>
        <w:ind w:left="0"/>
        <w:rPr>
          <w:rFonts w:asciiTheme="minorHAnsi" w:hAnsiTheme="minorHAnsi" w:cstheme="minorHAnsi"/>
          <w:sz w:val="22"/>
          <w:szCs w:val="22"/>
        </w:rPr>
        <w:sectPr w:rsidR="00600924" w:rsidRPr="00600924" w:rsidSect="00600924">
          <w:footerReference w:type="default" r:id="rId7"/>
          <w:pgSz w:w="12240" w:h="15840"/>
          <w:pgMar w:top="540" w:right="1400" w:bottom="280" w:left="1320" w:header="720" w:footer="720" w:gutter="0"/>
          <w:cols w:space="720"/>
        </w:sectPr>
      </w:pPr>
    </w:p>
    <w:p w14:paraId="7B490009" w14:textId="77777777" w:rsidR="00A10E84" w:rsidRPr="00600924" w:rsidRDefault="005B20C1" w:rsidP="00600924">
      <w:pPr>
        <w:pStyle w:val="Heading3"/>
        <w:numPr>
          <w:ilvl w:val="1"/>
          <w:numId w:val="1"/>
        </w:numPr>
        <w:tabs>
          <w:tab w:val="left" w:pos="1467"/>
        </w:tabs>
        <w:spacing w:before="0" w:line="196" w:lineRule="exact"/>
        <w:ind w:right="672" w:hanging="240"/>
        <w:rPr>
          <w:rFonts w:asciiTheme="minorHAnsi" w:hAnsiTheme="minorHAnsi" w:cstheme="minorHAnsi"/>
          <w:sz w:val="22"/>
          <w:szCs w:val="22"/>
        </w:rPr>
      </w:pPr>
      <w:r w:rsidRPr="00600924">
        <w:rPr>
          <w:rFonts w:asciiTheme="minorHAnsi" w:hAnsiTheme="minorHAnsi" w:cstheme="minorHAnsi"/>
          <w:sz w:val="22"/>
          <w:szCs w:val="22"/>
        </w:rPr>
        <w:lastRenderedPageBreak/>
        <w:t>Department outcome metrics:</w:t>
      </w:r>
    </w:p>
    <w:p w14:paraId="3A93665C" w14:textId="77777777" w:rsidR="00A10E84" w:rsidRPr="00600924" w:rsidRDefault="005B20C1" w:rsidP="00600924">
      <w:pPr>
        <w:pStyle w:val="ListParagraph"/>
        <w:numPr>
          <w:ilvl w:val="2"/>
          <w:numId w:val="1"/>
        </w:numPr>
        <w:tabs>
          <w:tab w:val="left" w:pos="1860"/>
        </w:tabs>
        <w:spacing w:line="229" w:lineRule="exact"/>
        <w:ind w:hanging="299"/>
        <w:rPr>
          <w:rFonts w:asciiTheme="minorHAnsi" w:hAnsiTheme="minorHAnsi" w:cstheme="minorHAnsi"/>
        </w:rPr>
      </w:pPr>
      <w:r w:rsidRPr="00600924">
        <w:rPr>
          <w:rFonts w:asciiTheme="minorHAnsi" w:hAnsiTheme="minorHAnsi" w:cstheme="minorHAnsi"/>
        </w:rPr>
        <w:t>Percentage of</w:t>
      </w:r>
      <w:r w:rsidRPr="00600924">
        <w:rPr>
          <w:rFonts w:asciiTheme="minorHAnsi" w:hAnsiTheme="minorHAnsi" w:cstheme="minorHAnsi"/>
          <w:spacing w:val="-2"/>
        </w:rPr>
        <w:t xml:space="preserve"> </w:t>
      </w:r>
      <w:r w:rsidRPr="00600924">
        <w:rPr>
          <w:rFonts w:asciiTheme="minorHAnsi" w:hAnsiTheme="minorHAnsi" w:cstheme="minorHAnsi"/>
        </w:rPr>
        <w:t>students</w:t>
      </w:r>
    </w:p>
    <w:p w14:paraId="43CAB276" w14:textId="77777777" w:rsidR="00A10E84" w:rsidRPr="00600924" w:rsidRDefault="005B20C1" w:rsidP="00600924">
      <w:pPr>
        <w:pStyle w:val="BodyText"/>
        <w:spacing w:line="249" w:lineRule="auto"/>
        <w:ind w:left="1830" w:right="-19"/>
        <w:rPr>
          <w:rFonts w:asciiTheme="minorHAnsi" w:hAnsiTheme="minorHAnsi" w:cstheme="minorHAnsi"/>
          <w:sz w:val="22"/>
          <w:szCs w:val="22"/>
        </w:rPr>
      </w:pPr>
      <w:r w:rsidRPr="00600924">
        <w:rPr>
          <w:rFonts w:asciiTheme="minorHAnsi" w:hAnsiTheme="minorHAnsi" w:cstheme="minorHAnsi"/>
          <w:sz w:val="22"/>
          <w:szCs w:val="22"/>
        </w:rPr>
        <w:t>completing Advanced Coursework</w:t>
      </w:r>
      <w:r w:rsidRPr="00600924">
        <w:rPr>
          <w:rFonts w:asciiTheme="minorHAnsi" w:hAnsiTheme="minorHAnsi" w:cstheme="minorHAnsi"/>
          <w:spacing w:val="-2"/>
          <w:sz w:val="22"/>
          <w:szCs w:val="22"/>
        </w:rPr>
        <w:t xml:space="preserve"> </w:t>
      </w:r>
      <w:r w:rsidRPr="00600924">
        <w:rPr>
          <w:rFonts w:asciiTheme="minorHAnsi" w:hAnsiTheme="minorHAnsi" w:cstheme="minorHAnsi"/>
          <w:sz w:val="22"/>
          <w:szCs w:val="22"/>
        </w:rPr>
        <w:t>(International Baccalaureate)</w:t>
      </w:r>
    </w:p>
    <w:p w14:paraId="522D26F1" w14:textId="77777777" w:rsidR="00A10E84" w:rsidRPr="00600924" w:rsidRDefault="005B20C1" w:rsidP="00600924">
      <w:pPr>
        <w:pStyle w:val="ListParagraph"/>
        <w:numPr>
          <w:ilvl w:val="2"/>
          <w:numId w:val="1"/>
        </w:numPr>
        <w:tabs>
          <w:tab w:val="left" w:pos="1910"/>
        </w:tabs>
        <w:spacing w:line="216" w:lineRule="exact"/>
        <w:ind w:left="1909" w:hanging="349"/>
        <w:rPr>
          <w:rFonts w:asciiTheme="minorHAnsi" w:hAnsiTheme="minorHAnsi" w:cstheme="minorHAnsi"/>
        </w:rPr>
      </w:pPr>
      <w:r w:rsidRPr="00600924">
        <w:rPr>
          <w:rFonts w:asciiTheme="minorHAnsi" w:hAnsiTheme="minorHAnsi" w:cstheme="minorHAnsi"/>
        </w:rPr>
        <w:t>Improved</w:t>
      </w:r>
      <w:r w:rsidRPr="00600924">
        <w:rPr>
          <w:rFonts w:asciiTheme="minorHAnsi" w:hAnsiTheme="minorHAnsi" w:cstheme="minorHAnsi"/>
          <w:spacing w:val="-2"/>
        </w:rPr>
        <w:t xml:space="preserve"> </w:t>
      </w:r>
      <w:r w:rsidRPr="00600924">
        <w:rPr>
          <w:rFonts w:asciiTheme="minorHAnsi" w:hAnsiTheme="minorHAnsi" w:cstheme="minorHAnsi"/>
        </w:rPr>
        <w:t>Four-year</w:t>
      </w:r>
    </w:p>
    <w:p w14:paraId="293BCFBB" w14:textId="77777777" w:rsidR="00A10E84" w:rsidRPr="00600924" w:rsidRDefault="005B20C1" w:rsidP="00600924">
      <w:pPr>
        <w:pStyle w:val="BodyText"/>
        <w:ind w:left="1830"/>
        <w:rPr>
          <w:rFonts w:asciiTheme="minorHAnsi" w:hAnsiTheme="minorHAnsi" w:cstheme="minorHAnsi"/>
          <w:sz w:val="22"/>
          <w:szCs w:val="22"/>
        </w:rPr>
      </w:pPr>
      <w:r w:rsidRPr="00600924">
        <w:rPr>
          <w:rFonts w:asciiTheme="minorHAnsi" w:hAnsiTheme="minorHAnsi" w:cstheme="minorHAnsi"/>
          <w:sz w:val="22"/>
          <w:szCs w:val="22"/>
        </w:rPr>
        <w:t>cohort graduation rate</w:t>
      </w:r>
    </w:p>
    <w:p w14:paraId="769D0D26" w14:textId="77777777" w:rsidR="00A10E84" w:rsidRPr="00600924" w:rsidRDefault="005B20C1" w:rsidP="00600924">
      <w:pPr>
        <w:pStyle w:val="Heading3"/>
        <w:numPr>
          <w:ilvl w:val="1"/>
          <w:numId w:val="1"/>
        </w:numPr>
        <w:tabs>
          <w:tab w:val="left" w:pos="1467"/>
        </w:tabs>
        <w:spacing w:before="0" w:line="212" w:lineRule="exact"/>
        <w:ind w:left="1466" w:hanging="266"/>
        <w:rPr>
          <w:rFonts w:asciiTheme="minorHAnsi" w:hAnsiTheme="minorHAnsi" w:cstheme="minorHAnsi"/>
          <w:sz w:val="22"/>
          <w:szCs w:val="22"/>
        </w:rPr>
      </w:pPr>
      <w:r w:rsidRPr="00600924">
        <w:rPr>
          <w:rFonts w:asciiTheme="minorHAnsi" w:hAnsiTheme="minorHAnsi" w:cstheme="minorHAnsi"/>
          <w:spacing w:val="-1"/>
          <w:sz w:val="22"/>
          <w:szCs w:val="22"/>
        </w:rPr>
        <w:br w:type="column"/>
      </w:r>
      <w:r w:rsidRPr="00600924">
        <w:rPr>
          <w:rFonts w:asciiTheme="minorHAnsi" w:hAnsiTheme="minorHAnsi" w:cstheme="minorHAnsi"/>
          <w:sz w:val="22"/>
          <w:szCs w:val="22"/>
        </w:rPr>
        <w:t>Custom district</w:t>
      </w:r>
      <w:r w:rsidRPr="00600924">
        <w:rPr>
          <w:rFonts w:asciiTheme="minorHAnsi" w:hAnsiTheme="minorHAnsi" w:cstheme="minorHAnsi"/>
          <w:spacing w:val="-4"/>
          <w:sz w:val="22"/>
          <w:szCs w:val="22"/>
        </w:rPr>
        <w:t xml:space="preserve"> </w:t>
      </w:r>
      <w:r w:rsidRPr="00600924">
        <w:rPr>
          <w:rFonts w:asciiTheme="minorHAnsi" w:hAnsiTheme="minorHAnsi" w:cstheme="minorHAnsi"/>
          <w:sz w:val="22"/>
          <w:szCs w:val="22"/>
        </w:rPr>
        <w:t>metrics:</w:t>
      </w:r>
    </w:p>
    <w:p w14:paraId="020E714E" w14:textId="77777777" w:rsidR="00A10E84" w:rsidRPr="00600924" w:rsidRDefault="005B20C1" w:rsidP="00600924">
      <w:pPr>
        <w:pStyle w:val="ListParagraph"/>
        <w:numPr>
          <w:ilvl w:val="2"/>
          <w:numId w:val="1"/>
        </w:numPr>
        <w:tabs>
          <w:tab w:val="left" w:pos="1910"/>
        </w:tabs>
        <w:spacing w:line="240" w:lineRule="exact"/>
        <w:ind w:left="1815" w:right="1144" w:hanging="255"/>
        <w:rPr>
          <w:rFonts w:asciiTheme="minorHAnsi" w:hAnsiTheme="minorHAnsi" w:cstheme="minorHAnsi"/>
        </w:rPr>
      </w:pPr>
      <w:r w:rsidRPr="00600924">
        <w:rPr>
          <w:rFonts w:asciiTheme="minorHAnsi" w:hAnsiTheme="minorHAnsi" w:cstheme="minorHAnsi"/>
        </w:rPr>
        <w:t>Student engagement (measured by improvements in our</w:t>
      </w:r>
      <w:r w:rsidRPr="00600924">
        <w:rPr>
          <w:rFonts w:asciiTheme="minorHAnsi" w:hAnsiTheme="minorHAnsi" w:cstheme="minorHAnsi"/>
          <w:spacing w:val="-5"/>
        </w:rPr>
        <w:t xml:space="preserve"> </w:t>
      </w:r>
      <w:r w:rsidRPr="00600924">
        <w:rPr>
          <w:rFonts w:asciiTheme="minorHAnsi" w:hAnsiTheme="minorHAnsi" w:cstheme="minorHAnsi"/>
        </w:rPr>
        <w:t>annual district-wide student</w:t>
      </w:r>
      <w:r w:rsidRPr="00600924">
        <w:rPr>
          <w:rFonts w:asciiTheme="minorHAnsi" w:hAnsiTheme="minorHAnsi" w:cstheme="minorHAnsi"/>
          <w:spacing w:val="-3"/>
        </w:rPr>
        <w:t xml:space="preserve"> </w:t>
      </w:r>
      <w:r w:rsidRPr="00600924">
        <w:rPr>
          <w:rFonts w:asciiTheme="minorHAnsi" w:hAnsiTheme="minorHAnsi" w:cstheme="minorHAnsi"/>
        </w:rPr>
        <w:t>survey</w:t>
      </w:r>
    </w:p>
    <w:p w14:paraId="7F1D729B" w14:textId="77777777" w:rsidR="00A10E84" w:rsidRPr="00600924" w:rsidRDefault="005B20C1" w:rsidP="00600924">
      <w:pPr>
        <w:pStyle w:val="BodyText"/>
        <w:spacing w:line="249" w:lineRule="auto"/>
        <w:ind w:left="1815" w:right="1669"/>
        <w:rPr>
          <w:rFonts w:asciiTheme="minorHAnsi" w:hAnsiTheme="minorHAnsi" w:cstheme="minorHAnsi"/>
          <w:sz w:val="22"/>
          <w:szCs w:val="22"/>
        </w:rPr>
      </w:pPr>
      <w:r w:rsidRPr="00600924">
        <w:rPr>
          <w:rFonts w:asciiTheme="minorHAnsi" w:hAnsiTheme="minorHAnsi" w:cstheme="minorHAnsi"/>
          <w:sz w:val="22"/>
          <w:szCs w:val="22"/>
        </w:rPr>
        <w:t>– questions related to engagement)</w:t>
      </w:r>
    </w:p>
    <w:p w14:paraId="27C2AA22" w14:textId="77777777" w:rsidR="00A10E84" w:rsidRPr="00600924" w:rsidRDefault="00A10E84" w:rsidP="00600924">
      <w:pPr>
        <w:spacing w:line="249" w:lineRule="auto"/>
        <w:rPr>
          <w:rFonts w:asciiTheme="minorHAnsi" w:hAnsiTheme="minorHAnsi" w:cstheme="minorHAnsi"/>
        </w:rPr>
        <w:sectPr w:rsidR="00A10E84" w:rsidRPr="00600924">
          <w:pgSz w:w="12240" w:h="15840"/>
          <w:pgMar w:top="1460" w:right="1540" w:bottom="280" w:left="1440" w:header="720" w:footer="720" w:gutter="0"/>
          <w:cols w:num="2" w:space="720" w:equalWidth="0">
            <w:col w:w="3946" w:space="104"/>
            <w:col w:w="5210"/>
          </w:cols>
        </w:sectPr>
      </w:pPr>
    </w:p>
    <w:p w14:paraId="7205B4A3" w14:textId="77777777" w:rsidR="00A10E84" w:rsidRPr="00600924" w:rsidRDefault="00A10E84" w:rsidP="00600924">
      <w:pPr>
        <w:pStyle w:val="BodyText"/>
        <w:rPr>
          <w:rFonts w:asciiTheme="minorHAnsi" w:hAnsiTheme="minorHAnsi" w:cstheme="minorHAnsi"/>
          <w:sz w:val="22"/>
          <w:szCs w:val="22"/>
        </w:rPr>
      </w:pPr>
    </w:p>
    <w:p w14:paraId="5FEFCCB2" w14:textId="77777777" w:rsidR="00A10E84" w:rsidRPr="00600924" w:rsidRDefault="00A10E84" w:rsidP="00600924">
      <w:pPr>
        <w:pStyle w:val="BodyText"/>
        <w:rPr>
          <w:rFonts w:asciiTheme="minorHAnsi" w:hAnsiTheme="minorHAnsi" w:cstheme="minorHAnsi"/>
          <w:sz w:val="22"/>
          <w:szCs w:val="22"/>
        </w:rPr>
      </w:pPr>
    </w:p>
    <w:p w14:paraId="0D8CAFB2" w14:textId="77777777" w:rsidR="00A10E84" w:rsidRPr="00600924" w:rsidRDefault="005B20C1" w:rsidP="00600924">
      <w:pPr>
        <w:pStyle w:val="Heading1"/>
        <w:spacing w:before="0"/>
        <w:ind w:left="105"/>
        <w:rPr>
          <w:rFonts w:asciiTheme="minorHAnsi" w:hAnsiTheme="minorHAnsi" w:cstheme="minorHAnsi"/>
          <w:sz w:val="22"/>
          <w:szCs w:val="22"/>
        </w:rPr>
      </w:pPr>
      <w:r w:rsidRPr="00600924">
        <w:rPr>
          <w:rFonts w:asciiTheme="minorHAnsi" w:hAnsiTheme="minorHAnsi" w:cstheme="minorHAnsi"/>
          <w:b w:val="0"/>
          <w:color w:val="2D73B4"/>
          <w:sz w:val="22"/>
          <w:szCs w:val="22"/>
        </w:rPr>
        <w:t xml:space="preserve">→ </w:t>
      </w:r>
      <w:r w:rsidRPr="00600924">
        <w:rPr>
          <w:rFonts w:asciiTheme="minorHAnsi" w:hAnsiTheme="minorHAnsi" w:cstheme="minorHAnsi"/>
          <w:color w:val="2D73B4"/>
          <w:sz w:val="22"/>
          <w:szCs w:val="22"/>
        </w:rPr>
        <w:t>Commitment 4: Engaging All Families</w:t>
      </w:r>
    </w:p>
    <w:p w14:paraId="693CE9C6" w14:textId="77777777" w:rsidR="00A10E84" w:rsidRPr="00600924" w:rsidRDefault="00A10E84" w:rsidP="00600924">
      <w:pPr>
        <w:pStyle w:val="BodyText"/>
        <w:rPr>
          <w:rFonts w:asciiTheme="minorHAnsi" w:hAnsiTheme="minorHAnsi" w:cstheme="minorHAnsi"/>
          <w:b/>
          <w:sz w:val="22"/>
          <w:szCs w:val="22"/>
        </w:rPr>
      </w:pPr>
    </w:p>
    <w:p w14:paraId="60E12DEA" w14:textId="77777777" w:rsidR="00A10E84" w:rsidRPr="00600924" w:rsidRDefault="005B20C1" w:rsidP="00600924">
      <w:pPr>
        <w:pStyle w:val="BodyText"/>
        <w:spacing w:line="273" w:lineRule="auto"/>
        <w:ind w:left="105" w:right="109"/>
        <w:jc w:val="both"/>
        <w:rPr>
          <w:rFonts w:asciiTheme="minorHAnsi" w:hAnsiTheme="minorHAnsi" w:cstheme="minorHAnsi"/>
          <w:sz w:val="22"/>
          <w:szCs w:val="22"/>
        </w:rPr>
      </w:pPr>
      <w:r w:rsidRPr="00600924">
        <w:rPr>
          <w:rFonts w:asciiTheme="minorHAnsi" w:hAnsiTheme="minorHAnsi" w:cstheme="minorHAnsi"/>
          <w:sz w:val="22"/>
          <w:szCs w:val="22"/>
        </w:rPr>
        <w:t>The Martha’s Vineyard Public Charter School is committed to ensuring that our families receive the information and support to navigate the complexities of the International Baccalaureate program. These sessions will be held at different times during and after the school day to maximize family participation.</w:t>
      </w:r>
    </w:p>
    <w:p w14:paraId="39AB53CF" w14:textId="77777777" w:rsidR="00A10E84" w:rsidRPr="00600924" w:rsidRDefault="00A10E84" w:rsidP="00600924">
      <w:pPr>
        <w:pStyle w:val="BodyText"/>
        <w:rPr>
          <w:rFonts w:asciiTheme="minorHAnsi" w:hAnsiTheme="minorHAnsi" w:cstheme="minorHAnsi"/>
          <w:sz w:val="22"/>
          <w:szCs w:val="22"/>
        </w:rPr>
      </w:pPr>
    </w:p>
    <w:p w14:paraId="7CBAF1F4" w14:textId="77777777" w:rsidR="00A10E84" w:rsidRPr="00600924" w:rsidRDefault="005B20C1" w:rsidP="00600924">
      <w:pPr>
        <w:pStyle w:val="BodyText"/>
        <w:spacing w:line="276" w:lineRule="auto"/>
        <w:ind w:left="105" w:right="113"/>
        <w:rPr>
          <w:rFonts w:asciiTheme="minorHAnsi" w:hAnsiTheme="minorHAnsi" w:cstheme="minorHAnsi"/>
          <w:sz w:val="22"/>
          <w:szCs w:val="22"/>
        </w:rPr>
      </w:pPr>
      <w:r w:rsidRPr="00600924">
        <w:rPr>
          <w:rFonts w:asciiTheme="minorHAnsi" w:hAnsiTheme="minorHAnsi" w:cstheme="minorHAnsi"/>
          <w:sz w:val="22"/>
          <w:szCs w:val="22"/>
        </w:rPr>
        <w:t>In addition to numerous community events at MVPCS including monthly PTO meetings and Soup and Games Night, we will implement quarterly IB Family Nights to help families understand the unique aspects of the program.  As we will offer the International Baccalaureate Career-Related program in 2021-22, MVPCS will also partner with community-based organizations like ACE MV, who oversee the off-shore wind technician program. MVPCS will also work with the Island Grown Initiative and Slough Farm who will work with our school to implement a farming program to support those students and families who seek to pursue agricultural or animal husbandry.</w:t>
      </w:r>
    </w:p>
    <w:p w14:paraId="2AE121F7" w14:textId="77777777" w:rsidR="00A10E84" w:rsidRPr="00600924" w:rsidRDefault="00A10E84" w:rsidP="00600924">
      <w:pPr>
        <w:pStyle w:val="BodyText"/>
        <w:rPr>
          <w:rFonts w:asciiTheme="minorHAnsi" w:hAnsiTheme="minorHAnsi" w:cstheme="minorHAnsi"/>
          <w:sz w:val="22"/>
          <w:szCs w:val="22"/>
        </w:rPr>
      </w:pPr>
    </w:p>
    <w:p w14:paraId="19E0D22E" w14:textId="77777777" w:rsidR="00A10E84" w:rsidRPr="00600924" w:rsidRDefault="005B20C1" w:rsidP="00600924">
      <w:pPr>
        <w:pStyle w:val="BodyText"/>
        <w:spacing w:line="280" w:lineRule="auto"/>
        <w:ind w:left="105"/>
        <w:rPr>
          <w:rFonts w:asciiTheme="minorHAnsi" w:hAnsiTheme="minorHAnsi" w:cstheme="minorHAnsi"/>
          <w:sz w:val="22"/>
          <w:szCs w:val="22"/>
        </w:rPr>
      </w:pPr>
      <w:r w:rsidRPr="00600924">
        <w:rPr>
          <w:rFonts w:asciiTheme="minorHAnsi" w:hAnsiTheme="minorHAnsi" w:cstheme="minorHAnsi"/>
          <w:sz w:val="22"/>
          <w:szCs w:val="22"/>
        </w:rPr>
        <w:t>We will measure the engagement of families with bi-annual surveys to measure families' understanding and support of the International Baccalaureate (IB) program.</w:t>
      </w:r>
    </w:p>
    <w:p w14:paraId="60EBF332" w14:textId="77777777" w:rsidR="00A10E84" w:rsidRPr="00600924" w:rsidRDefault="00A10E84" w:rsidP="00600924">
      <w:pPr>
        <w:pStyle w:val="BodyText"/>
        <w:rPr>
          <w:rFonts w:asciiTheme="minorHAnsi" w:hAnsiTheme="minorHAnsi" w:cstheme="minorHAnsi"/>
          <w:sz w:val="22"/>
          <w:szCs w:val="22"/>
        </w:rPr>
      </w:pPr>
    </w:p>
    <w:p w14:paraId="56DD9FC0" w14:textId="77777777" w:rsidR="00A10E84" w:rsidRPr="00600924" w:rsidRDefault="005B20C1" w:rsidP="00600924">
      <w:pPr>
        <w:ind w:left="105"/>
        <w:rPr>
          <w:rFonts w:asciiTheme="minorHAnsi" w:hAnsiTheme="minorHAnsi" w:cstheme="minorHAnsi"/>
          <w:b/>
        </w:rPr>
      </w:pPr>
      <w:r w:rsidRPr="00600924">
        <w:rPr>
          <w:rFonts w:asciiTheme="minorHAnsi" w:hAnsiTheme="minorHAnsi" w:cstheme="minorHAnsi"/>
          <w:b/>
          <w:color w:val="2D73B4"/>
        </w:rPr>
        <w:t>Certifications:</w:t>
      </w:r>
    </w:p>
    <w:p w14:paraId="0F4679BF" w14:textId="77777777" w:rsidR="00A10E84" w:rsidRPr="00600924" w:rsidRDefault="00A10E84" w:rsidP="00600924">
      <w:pPr>
        <w:pStyle w:val="BodyText"/>
        <w:rPr>
          <w:rFonts w:asciiTheme="minorHAnsi" w:hAnsiTheme="minorHAnsi" w:cstheme="minorHAnsi"/>
          <w:b/>
          <w:sz w:val="22"/>
          <w:szCs w:val="22"/>
        </w:rPr>
      </w:pPr>
    </w:p>
    <w:p w14:paraId="1DB94491" w14:textId="77777777" w:rsidR="00A10E84" w:rsidRPr="00600924" w:rsidRDefault="005B20C1" w:rsidP="00600924">
      <w:pPr>
        <w:pStyle w:val="Heading2"/>
        <w:spacing w:line="321" w:lineRule="auto"/>
        <w:ind w:right="653"/>
        <w:rPr>
          <w:rFonts w:asciiTheme="minorHAnsi" w:hAnsiTheme="minorHAnsi" w:cstheme="minorHAnsi"/>
        </w:rPr>
      </w:pPr>
      <w:r w:rsidRPr="00600924">
        <w:rPr>
          <w:rFonts w:asciiTheme="minorHAnsi" w:hAnsiTheme="minorHAnsi" w:cstheme="minorHAnsi"/>
          <w:b w:val="0"/>
        </w:rPr>
        <w:t xml:space="preserve">X </w:t>
      </w:r>
      <w:r w:rsidRPr="00600924">
        <w:rPr>
          <w:rFonts w:asciiTheme="minorHAnsi" w:hAnsiTheme="minorHAnsi" w:cstheme="minorHAnsi"/>
          <w:color w:val="1F3762"/>
        </w:rPr>
        <w:t>By checking here, I certify that our district has engaged stakeholders in accordance with the SOA Please summarize your stakeholder engagement process, including specific groups that were engaged:</w:t>
      </w:r>
    </w:p>
    <w:p w14:paraId="7124EF34" w14:textId="7B3195EE" w:rsidR="00A10E84" w:rsidRDefault="005B20C1" w:rsidP="00600924">
      <w:pPr>
        <w:pStyle w:val="BodyText"/>
        <w:spacing w:line="193" w:lineRule="exact"/>
        <w:ind w:left="105"/>
        <w:rPr>
          <w:rFonts w:asciiTheme="minorHAnsi" w:hAnsiTheme="minorHAnsi" w:cstheme="minorHAnsi"/>
          <w:sz w:val="22"/>
          <w:szCs w:val="22"/>
        </w:rPr>
      </w:pPr>
      <w:r w:rsidRPr="00600924">
        <w:rPr>
          <w:rFonts w:asciiTheme="minorHAnsi" w:hAnsiTheme="minorHAnsi" w:cstheme="minorHAnsi"/>
          <w:sz w:val="22"/>
          <w:szCs w:val="22"/>
        </w:rPr>
        <w:t>Since 2018, MVPCS has held family and student forums to engage our community in the adoption of the IB</w:t>
      </w:r>
      <w:r w:rsidR="00600924">
        <w:rPr>
          <w:rFonts w:asciiTheme="minorHAnsi" w:hAnsiTheme="minorHAnsi" w:cstheme="minorHAnsi"/>
          <w:sz w:val="22"/>
          <w:szCs w:val="22"/>
        </w:rPr>
        <w:t xml:space="preserve"> </w:t>
      </w:r>
      <w:r w:rsidRPr="00600924">
        <w:rPr>
          <w:rFonts w:asciiTheme="minorHAnsi" w:hAnsiTheme="minorHAnsi" w:cstheme="minorHAnsi"/>
          <w:sz w:val="22"/>
          <w:szCs w:val="22"/>
        </w:rPr>
        <w:t xml:space="preserve">program. Regular presentations to the IB regarding the progress for authorization have taken place since March 2019. The Board has also heard student presentations on the High School Success Counseling program.  The PTO has financially supported the Annual High School training to Vermont since 2109. Public comment on the SOA was provided at the December </w:t>
      </w:r>
      <w:proofErr w:type="gramStart"/>
      <w:r w:rsidRPr="00600924">
        <w:rPr>
          <w:rFonts w:asciiTheme="minorHAnsi" w:hAnsiTheme="minorHAnsi" w:cstheme="minorHAnsi"/>
          <w:sz w:val="22"/>
          <w:szCs w:val="22"/>
        </w:rPr>
        <w:t>16</w:t>
      </w:r>
      <w:proofErr w:type="gramEnd"/>
      <w:r w:rsidRPr="00600924">
        <w:rPr>
          <w:rFonts w:asciiTheme="minorHAnsi" w:hAnsiTheme="minorHAnsi" w:cstheme="minorHAnsi"/>
          <w:sz w:val="22"/>
          <w:szCs w:val="22"/>
        </w:rPr>
        <w:t xml:space="preserve"> 2020 Board Meeting.</w:t>
      </w:r>
    </w:p>
    <w:p w14:paraId="3851BF27" w14:textId="77777777" w:rsidR="00600924" w:rsidRPr="00600924" w:rsidRDefault="00600924" w:rsidP="00600924">
      <w:pPr>
        <w:pStyle w:val="BodyText"/>
        <w:spacing w:line="193" w:lineRule="exact"/>
        <w:ind w:left="105"/>
        <w:rPr>
          <w:rFonts w:asciiTheme="minorHAnsi" w:hAnsiTheme="minorHAnsi" w:cstheme="minorHAnsi"/>
          <w:sz w:val="22"/>
          <w:szCs w:val="22"/>
        </w:rPr>
      </w:pPr>
    </w:p>
    <w:p w14:paraId="30F981FF" w14:textId="77777777" w:rsidR="00A10E84" w:rsidRPr="00600924" w:rsidRDefault="005B20C1" w:rsidP="00600924">
      <w:pPr>
        <w:pStyle w:val="Heading2"/>
        <w:spacing w:line="278" w:lineRule="auto"/>
        <w:ind w:left="480"/>
        <w:rPr>
          <w:rFonts w:asciiTheme="minorHAnsi" w:hAnsiTheme="minorHAnsi" w:cstheme="minorHAnsi"/>
        </w:rPr>
      </w:pPr>
      <w:r w:rsidRPr="00600924">
        <w:rPr>
          <w:rFonts w:asciiTheme="minorHAnsi" w:hAnsiTheme="minorHAnsi" w:cstheme="minorHAnsi"/>
          <w:b w:val="0"/>
          <w:color w:val="1F3762"/>
        </w:rPr>
        <w:t xml:space="preserve">X </w:t>
      </w:r>
      <w:r w:rsidRPr="00600924">
        <w:rPr>
          <w:rFonts w:asciiTheme="minorHAnsi" w:hAnsiTheme="minorHAnsi" w:cstheme="minorHAnsi"/>
          <w:color w:val="1F3762"/>
        </w:rPr>
        <w:t>By checking here, I certify that the Martha’s Vineyard Public Charter School’s Board of Trustees voted on our Student Opportunity Plan</w:t>
      </w:r>
    </w:p>
    <w:p w14:paraId="6EFCE0E3" w14:textId="77777777" w:rsidR="00A10E84" w:rsidRPr="00600924" w:rsidRDefault="00A10E84" w:rsidP="00600924">
      <w:pPr>
        <w:pStyle w:val="BodyText"/>
        <w:rPr>
          <w:rFonts w:asciiTheme="minorHAnsi" w:hAnsiTheme="minorHAnsi" w:cstheme="minorHAnsi"/>
          <w:b/>
          <w:sz w:val="22"/>
          <w:szCs w:val="22"/>
        </w:rPr>
      </w:pPr>
    </w:p>
    <w:p w14:paraId="764C48B7" w14:textId="77777777" w:rsidR="00A10E84" w:rsidRPr="00600924" w:rsidRDefault="005B20C1" w:rsidP="00600924">
      <w:pPr>
        <w:tabs>
          <w:tab w:val="left" w:pos="4319"/>
        </w:tabs>
        <w:ind w:left="720"/>
        <w:rPr>
          <w:rFonts w:asciiTheme="minorHAnsi" w:hAnsiTheme="minorHAnsi" w:cstheme="minorHAnsi"/>
        </w:rPr>
      </w:pPr>
      <w:r w:rsidRPr="00600924">
        <w:rPr>
          <w:rFonts w:asciiTheme="minorHAnsi" w:hAnsiTheme="minorHAnsi" w:cstheme="minorHAnsi"/>
          <w:b/>
        </w:rPr>
        <w:t xml:space="preserve">Date of vote: </w:t>
      </w:r>
      <w:r w:rsidRPr="00600924">
        <w:rPr>
          <w:rFonts w:asciiTheme="minorHAnsi" w:hAnsiTheme="minorHAnsi" w:cstheme="minorHAnsi"/>
        </w:rPr>
        <w:t>12/16/2020</w:t>
      </w:r>
      <w:r w:rsidRPr="00600924">
        <w:rPr>
          <w:rFonts w:asciiTheme="minorHAnsi" w:hAnsiTheme="minorHAnsi" w:cstheme="minorHAnsi"/>
        </w:rPr>
        <w:tab/>
      </w:r>
      <w:r w:rsidRPr="00600924">
        <w:rPr>
          <w:rFonts w:asciiTheme="minorHAnsi" w:hAnsiTheme="minorHAnsi" w:cstheme="minorHAnsi"/>
          <w:b/>
        </w:rPr>
        <w:t xml:space="preserve">Outcome: </w:t>
      </w:r>
      <w:r w:rsidRPr="00600924">
        <w:rPr>
          <w:rFonts w:asciiTheme="minorHAnsi" w:hAnsiTheme="minorHAnsi" w:cstheme="minorHAnsi"/>
        </w:rPr>
        <w:t xml:space="preserve">Vote was </w:t>
      </w:r>
      <w:proofErr w:type="gramStart"/>
      <w:r w:rsidRPr="00600924">
        <w:rPr>
          <w:rFonts w:asciiTheme="minorHAnsi" w:hAnsiTheme="minorHAnsi" w:cstheme="minorHAnsi"/>
        </w:rPr>
        <w:t>Affirmative</w:t>
      </w:r>
      <w:proofErr w:type="gramEnd"/>
    </w:p>
    <w:sectPr w:rsidR="00A10E84" w:rsidRPr="00600924">
      <w:type w:val="continuous"/>
      <w:pgSz w:w="12240" w:h="15840"/>
      <w:pgMar w:top="1440" w:right="1540" w:bottom="2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18F37" w14:textId="77777777" w:rsidR="007B1E12" w:rsidRDefault="007B1E12" w:rsidP="00600924">
      <w:r>
        <w:separator/>
      </w:r>
    </w:p>
  </w:endnote>
  <w:endnote w:type="continuationSeparator" w:id="0">
    <w:p w14:paraId="5721B1DA" w14:textId="77777777" w:rsidR="007B1E12" w:rsidRDefault="007B1E12" w:rsidP="0060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44402"/>
      <w:docPartObj>
        <w:docPartGallery w:val="Page Numbers (Bottom of Page)"/>
        <w:docPartUnique/>
      </w:docPartObj>
    </w:sdtPr>
    <w:sdtEndPr>
      <w:rPr>
        <w:noProof/>
      </w:rPr>
    </w:sdtEndPr>
    <w:sdtContent>
      <w:p w14:paraId="5172EE2E" w14:textId="40FE79AB" w:rsidR="00600924" w:rsidRDefault="006009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38C438" w14:textId="77777777" w:rsidR="00600924" w:rsidRDefault="00600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86A23" w14:textId="77777777" w:rsidR="007B1E12" w:rsidRDefault="007B1E12" w:rsidP="00600924">
      <w:r>
        <w:separator/>
      </w:r>
    </w:p>
  </w:footnote>
  <w:footnote w:type="continuationSeparator" w:id="0">
    <w:p w14:paraId="25FA0D63" w14:textId="77777777" w:rsidR="007B1E12" w:rsidRDefault="007B1E12" w:rsidP="00600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437CD"/>
    <w:multiLevelType w:val="hybridMultilevel"/>
    <w:tmpl w:val="E8F6D362"/>
    <w:lvl w:ilvl="0" w:tplc="DCC62EAC">
      <w:start w:val="1"/>
      <w:numFmt w:val="decimal"/>
      <w:lvlText w:val="%1."/>
      <w:lvlJc w:val="left"/>
      <w:pPr>
        <w:ind w:left="435" w:hanging="250"/>
        <w:jc w:val="left"/>
      </w:pPr>
      <w:rPr>
        <w:rFonts w:ascii="Times New Roman" w:eastAsia="Times New Roman" w:hAnsi="Times New Roman" w:cs="Times New Roman" w:hint="default"/>
        <w:b/>
        <w:bCs/>
        <w:spacing w:val="-1"/>
        <w:w w:val="100"/>
        <w:sz w:val="20"/>
        <w:szCs w:val="20"/>
      </w:rPr>
    </w:lvl>
    <w:lvl w:ilvl="1" w:tplc="FC723880">
      <w:start w:val="1"/>
      <w:numFmt w:val="decimal"/>
      <w:lvlText w:val="%2)"/>
      <w:lvlJc w:val="left"/>
      <w:pPr>
        <w:ind w:left="1440" w:hanging="267"/>
        <w:jc w:val="left"/>
      </w:pPr>
      <w:rPr>
        <w:rFonts w:ascii="Times New Roman" w:eastAsia="Times New Roman" w:hAnsi="Times New Roman" w:cs="Times New Roman" w:hint="default"/>
        <w:b/>
        <w:bCs/>
        <w:spacing w:val="-1"/>
        <w:w w:val="100"/>
        <w:sz w:val="20"/>
        <w:szCs w:val="20"/>
      </w:rPr>
    </w:lvl>
    <w:lvl w:ilvl="2" w:tplc="FF724CCA">
      <w:numFmt w:val="bullet"/>
      <w:lvlText w:val="✓"/>
      <w:lvlJc w:val="left"/>
      <w:pPr>
        <w:ind w:left="1859" w:hanging="300"/>
      </w:pPr>
      <w:rPr>
        <w:rFonts w:ascii="MS Gothic" w:eastAsia="MS Gothic" w:hAnsi="MS Gothic" w:cs="MS Gothic" w:hint="default"/>
        <w:w w:val="100"/>
        <w:sz w:val="20"/>
        <w:szCs w:val="20"/>
      </w:rPr>
    </w:lvl>
    <w:lvl w:ilvl="3" w:tplc="345870B6">
      <w:numFmt w:val="bullet"/>
      <w:lvlText w:val="•"/>
      <w:lvlJc w:val="left"/>
      <w:pPr>
        <w:ind w:left="1860" w:hanging="300"/>
      </w:pPr>
      <w:rPr>
        <w:rFonts w:hint="default"/>
      </w:rPr>
    </w:lvl>
    <w:lvl w:ilvl="4" w:tplc="728E2B68">
      <w:numFmt w:val="bullet"/>
      <w:lvlText w:val="•"/>
      <w:lvlJc w:val="left"/>
      <w:pPr>
        <w:ind w:left="1579" w:hanging="300"/>
      </w:pPr>
      <w:rPr>
        <w:rFonts w:hint="default"/>
      </w:rPr>
    </w:lvl>
    <w:lvl w:ilvl="5" w:tplc="A0DC8EF0">
      <w:numFmt w:val="bullet"/>
      <w:lvlText w:val="•"/>
      <w:lvlJc w:val="left"/>
      <w:pPr>
        <w:ind w:left="1298" w:hanging="300"/>
      </w:pPr>
      <w:rPr>
        <w:rFonts w:hint="default"/>
      </w:rPr>
    </w:lvl>
    <w:lvl w:ilvl="6" w:tplc="FCE444EA">
      <w:numFmt w:val="bullet"/>
      <w:lvlText w:val="•"/>
      <w:lvlJc w:val="left"/>
      <w:pPr>
        <w:ind w:left="1017" w:hanging="300"/>
      </w:pPr>
      <w:rPr>
        <w:rFonts w:hint="default"/>
      </w:rPr>
    </w:lvl>
    <w:lvl w:ilvl="7" w:tplc="510A4114">
      <w:numFmt w:val="bullet"/>
      <w:lvlText w:val="•"/>
      <w:lvlJc w:val="left"/>
      <w:pPr>
        <w:ind w:left="737" w:hanging="300"/>
      </w:pPr>
      <w:rPr>
        <w:rFonts w:hint="default"/>
      </w:rPr>
    </w:lvl>
    <w:lvl w:ilvl="8" w:tplc="08AAAB14">
      <w:numFmt w:val="bullet"/>
      <w:lvlText w:val="•"/>
      <w:lvlJc w:val="left"/>
      <w:pPr>
        <w:ind w:left="456"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84"/>
    <w:rsid w:val="005B20C1"/>
    <w:rsid w:val="00600924"/>
    <w:rsid w:val="007B1E12"/>
    <w:rsid w:val="00A1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B56F"/>
  <w15:docId w15:val="{164710F0-ED3A-4865-829C-D46CA3EC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205"/>
      <w:outlineLvl w:val="0"/>
    </w:pPr>
    <w:rPr>
      <w:b/>
      <w:bCs/>
      <w:sz w:val="25"/>
      <w:szCs w:val="25"/>
    </w:rPr>
  </w:style>
  <w:style w:type="paragraph" w:styleId="Heading2">
    <w:name w:val="heading 2"/>
    <w:basedOn w:val="Normal"/>
    <w:uiPriority w:val="9"/>
    <w:unhideWhenUsed/>
    <w:qFormat/>
    <w:pPr>
      <w:ind w:left="105"/>
      <w:outlineLvl w:val="1"/>
    </w:pPr>
    <w:rPr>
      <w:rFonts w:ascii="Calibri" w:eastAsia="Calibri" w:hAnsi="Calibri" w:cs="Calibri"/>
      <w:b/>
      <w:bCs/>
    </w:rPr>
  </w:style>
  <w:style w:type="paragraph" w:styleId="Heading3">
    <w:name w:val="heading 3"/>
    <w:basedOn w:val="Normal"/>
    <w:uiPriority w:val="9"/>
    <w:unhideWhenUsed/>
    <w:qFormat/>
    <w:pPr>
      <w:spacing w:before="1"/>
      <w:ind w:left="435" w:hanging="266"/>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35" w:hanging="349"/>
    </w:pPr>
  </w:style>
  <w:style w:type="paragraph" w:customStyle="1" w:styleId="TableParagraph">
    <w:name w:val="Table Paragraph"/>
    <w:basedOn w:val="Normal"/>
    <w:uiPriority w:val="1"/>
    <w:qFormat/>
    <w:pPr>
      <w:spacing w:before="83"/>
      <w:ind w:left="285"/>
    </w:pPr>
  </w:style>
  <w:style w:type="paragraph" w:styleId="Header">
    <w:name w:val="header"/>
    <w:basedOn w:val="Normal"/>
    <w:link w:val="HeaderChar"/>
    <w:uiPriority w:val="99"/>
    <w:unhideWhenUsed/>
    <w:rsid w:val="00600924"/>
    <w:pPr>
      <w:tabs>
        <w:tab w:val="center" w:pos="4680"/>
        <w:tab w:val="right" w:pos="9360"/>
      </w:tabs>
    </w:pPr>
  </w:style>
  <w:style w:type="character" w:customStyle="1" w:styleId="HeaderChar">
    <w:name w:val="Header Char"/>
    <w:basedOn w:val="DefaultParagraphFont"/>
    <w:link w:val="Header"/>
    <w:uiPriority w:val="99"/>
    <w:rsid w:val="00600924"/>
    <w:rPr>
      <w:rFonts w:ascii="Times New Roman" w:eastAsia="Times New Roman" w:hAnsi="Times New Roman" w:cs="Times New Roman"/>
    </w:rPr>
  </w:style>
  <w:style w:type="paragraph" w:styleId="Footer">
    <w:name w:val="footer"/>
    <w:basedOn w:val="Normal"/>
    <w:link w:val="FooterChar"/>
    <w:uiPriority w:val="99"/>
    <w:unhideWhenUsed/>
    <w:rsid w:val="00600924"/>
    <w:pPr>
      <w:tabs>
        <w:tab w:val="center" w:pos="4680"/>
        <w:tab w:val="right" w:pos="9360"/>
      </w:tabs>
    </w:pPr>
  </w:style>
  <w:style w:type="character" w:customStyle="1" w:styleId="FooterChar">
    <w:name w:val="Footer Char"/>
    <w:basedOn w:val="DefaultParagraphFont"/>
    <w:link w:val="Footer"/>
    <w:uiPriority w:val="99"/>
    <w:rsid w:val="0060092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BF9BDE-F6AF-4A20-B1D5-C9A963296B5E}"/>
</file>

<file path=customXml/itemProps2.xml><?xml version="1.0" encoding="utf-8"?>
<ds:datastoreItem xmlns:ds="http://schemas.openxmlformats.org/officeDocument/2006/customXml" ds:itemID="{7DA415F5-7F82-4ABC-916D-6B58E6281931}"/>
</file>

<file path=customXml/itemProps3.xml><?xml version="1.0" encoding="utf-8"?>
<ds:datastoreItem xmlns:ds="http://schemas.openxmlformats.org/officeDocument/2006/customXml" ds:itemID="{6C29C0F0-FF5C-4AD7-A86E-62304ABC1DDA}"/>
</file>

<file path=docProps/app.xml><?xml version="1.0" encoding="utf-8"?>
<Properties xmlns="http://schemas.openxmlformats.org/officeDocument/2006/extended-properties" xmlns:vt="http://schemas.openxmlformats.org/officeDocument/2006/docPropsVTypes">
  <Template>Normal</Template>
  <TotalTime>5</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Martha’s Vineyard Public Charter School Student Opportunity Act Plan: SY 2021-2023</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Martha’s Vineyard Public Charter School Student Opportunity Act Plan: SY 2021-2023</dc:title>
  <dc:creator>DeLorenzo, Lee E (DESE)</dc:creator>
  <cp:lastModifiedBy>DeLorenzo, Lee E (DESE)</cp:lastModifiedBy>
  <cp:revision>3</cp:revision>
  <dcterms:created xsi:type="dcterms:W3CDTF">2021-03-19T20:23:00Z</dcterms:created>
  <dcterms:modified xsi:type="dcterms:W3CDTF">2021-03-24T15:54:00Z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