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C8D0D" w14:textId="06673639" w:rsidR="004D3601" w:rsidRDefault="00817254" w:rsidP="006F4892">
      <w:pPr>
        <w:spacing w:before="19"/>
        <w:ind w:left="100"/>
        <w:jc w:val="center"/>
        <w:rPr>
          <w:b/>
          <w:color w:val="1F3862"/>
          <w:sz w:val="28"/>
        </w:rPr>
      </w:pPr>
      <w:r>
        <w:rPr>
          <w:b/>
          <w:color w:val="1F3862"/>
          <w:sz w:val="28"/>
        </w:rPr>
        <w:t>Student Opportunity Act Plan: SY 2021-2023</w:t>
      </w:r>
    </w:p>
    <w:p w14:paraId="4097EB78" w14:textId="1F312E5E" w:rsidR="006F4892" w:rsidRDefault="006F4892" w:rsidP="006F4892">
      <w:pPr>
        <w:spacing w:before="19"/>
        <w:ind w:left="100"/>
        <w:jc w:val="center"/>
        <w:rPr>
          <w:b/>
          <w:sz w:val="28"/>
        </w:rPr>
      </w:pPr>
      <w:r>
        <w:rPr>
          <w:b/>
          <w:i/>
          <w:color w:val="2C74B5"/>
          <w:sz w:val="28"/>
        </w:rPr>
        <w:t>Mystic Valley Regional Charter School</w:t>
      </w:r>
    </w:p>
    <w:p w14:paraId="211C0890" w14:textId="77777777" w:rsidR="004D3601" w:rsidRDefault="00817254">
      <w:pPr>
        <w:pStyle w:val="Heading1"/>
        <w:spacing w:before="84"/>
      </w:pPr>
      <w:r>
        <w:rPr>
          <w:rFonts w:ascii="Microsoft Sans Serif" w:hAnsi="Microsoft Sans Serif"/>
          <w:b w:val="0"/>
          <w:color w:val="2C74B5"/>
        </w:rPr>
        <w:t xml:space="preserve">→ </w:t>
      </w:r>
      <w:r>
        <w:rPr>
          <w:color w:val="2C74B5"/>
        </w:rPr>
        <w:t>Commitment 1: Focusing on Student Subgroups</w:t>
      </w:r>
    </w:p>
    <w:p w14:paraId="4B8131D0" w14:textId="77777777" w:rsidR="004D3601" w:rsidRDefault="00817254">
      <w:pPr>
        <w:pStyle w:val="Heading2"/>
        <w:spacing w:before="71"/>
        <w:ind w:right="1307"/>
      </w:pPr>
      <w:r>
        <w:rPr>
          <w:color w:val="1F3862"/>
        </w:rPr>
        <w:t>Which student groups will require focused support to ensure all students achieve at high levels in school and are successfully prepared for life?</w:t>
      </w:r>
    </w:p>
    <w:p w14:paraId="3660C690" w14:textId="77777777" w:rsidR="004D3601" w:rsidRDefault="00817254">
      <w:pPr>
        <w:pStyle w:val="ListParagraph"/>
        <w:numPr>
          <w:ilvl w:val="0"/>
          <w:numId w:val="3"/>
        </w:numPr>
        <w:tabs>
          <w:tab w:val="left" w:pos="928"/>
          <w:tab w:val="left" w:pos="929"/>
        </w:tabs>
        <w:ind w:right="639" w:hanging="360"/>
        <w:rPr>
          <w:sz w:val="20"/>
        </w:rPr>
      </w:pPr>
      <w:r>
        <w:rPr>
          <w:sz w:val="20"/>
        </w:rPr>
        <w:t>Mystic</w:t>
      </w:r>
      <w:r>
        <w:rPr>
          <w:spacing w:val="-4"/>
          <w:sz w:val="20"/>
        </w:rPr>
        <w:t xml:space="preserve"> </w:t>
      </w:r>
      <w:r>
        <w:rPr>
          <w:sz w:val="20"/>
        </w:rPr>
        <w:t>Valley</w:t>
      </w:r>
      <w:r>
        <w:rPr>
          <w:spacing w:val="-3"/>
          <w:sz w:val="20"/>
        </w:rPr>
        <w:t xml:space="preserve"> </w:t>
      </w:r>
      <w:r>
        <w:rPr>
          <w:sz w:val="20"/>
        </w:rPr>
        <w:t>Regional</w:t>
      </w:r>
      <w:r>
        <w:rPr>
          <w:spacing w:val="-3"/>
          <w:sz w:val="20"/>
        </w:rPr>
        <w:t xml:space="preserve"> </w:t>
      </w:r>
      <w:r>
        <w:rPr>
          <w:sz w:val="20"/>
        </w:rPr>
        <w:t>Charter</w:t>
      </w:r>
      <w:r>
        <w:rPr>
          <w:spacing w:val="-3"/>
          <w:sz w:val="20"/>
        </w:rPr>
        <w:t xml:space="preserve"> </w:t>
      </w:r>
      <w:r>
        <w:rPr>
          <w:sz w:val="20"/>
        </w:rPr>
        <w:t>School</w:t>
      </w:r>
      <w:r>
        <w:rPr>
          <w:spacing w:val="-4"/>
          <w:sz w:val="20"/>
        </w:rPr>
        <w:t xml:space="preserve"> </w:t>
      </w:r>
      <w:r>
        <w:rPr>
          <w:sz w:val="20"/>
        </w:rPr>
        <w:t>(MVRCS)</w:t>
      </w:r>
      <w:r>
        <w:rPr>
          <w:spacing w:val="-1"/>
          <w:sz w:val="20"/>
        </w:rPr>
        <w:t xml:space="preserve"> </w:t>
      </w:r>
      <w:r>
        <w:rPr>
          <w:sz w:val="20"/>
        </w:rPr>
        <w:t>has</w:t>
      </w:r>
      <w:r>
        <w:rPr>
          <w:spacing w:val="-2"/>
          <w:sz w:val="20"/>
        </w:rPr>
        <w:t xml:space="preserve"> </w:t>
      </w:r>
      <w:r>
        <w:rPr>
          <w:sz w:val="20"/>
        </w:rPr>
        <w:t>identified</w:t>
      </w:r>
      <w:r>
        <w:rPr>
          <w:spacing w:val="-3"/>
          <w:sz w:val="20"/>
        </w:rPr>
        <w:t xml:space="preserve"> </w:t>
      </w:r>
      <w:r>
        <w:rPr>
          <w:sz w:val="20"/>
        </w:rPr>
        <w:t>the</w:t>
      </w:r>
      <w:r>
        <w:rPr>
          <w:spacing w:val="-4"/>
          <w:sz w:val="20"/>
        </w:rPr>
        <w:t xml:space="preserve"> </w:t>
      </w:r>
      <w:r>
        <w:rPr>
          <w:sz w:val="20"/>
        </w:rPr>
        <w:t>following</w:t>
      </w:r>
      <w:r>
        <w:rPr>
          <w:spacing w:val="-4"/>
          <w:sz w:val="20"/>
        </w:rPr>
        <w:t xml:space="preserve"> </w:t>
      </w:r>
      <w:r>
        <w:rPr>
          <w:sz w:val="20"/>
        </w:rPr>
        <w:t>subgroups</w:t>
      </w:r>
      <w:r>
        <w:rPr>
          <w:spacing w:val="-3"/>
          <w:sz w:val="20"/>
        </w:rPr>
        <w:t xml:space="preserve"> </w:t>
      </w:r>
      <w:r>
        <w:rPr>
          <w:sz w:val="20"/>
        </w:rPr>
        <w:t>as</w:t>
      </w:r>
      <w:r>
        <w:rPr>
          <w:spacing w:val="-4"/>
          <w:sz w:val="20"/>
        </w:rPr>
        <w:t xml:space="preserve"> </w:t>
      </w:r>
      <w:r>
        <w:rPr>
          <w:sz w:val="20"/>
        </w:rPr>
        <w:t>those</w:t>
      </w:r>
      <w:r>
        <w:rPr>
          <w:spacing w:val="-4"/>
          <w:sz w:val="20"/>
        </w:rPr>
        <w:t xml:space="preserve"> </w:t>
      </w:r>
      <w:r>
        <w:rPr>
          <w:sz w:val="20"/>
        </w:rPr>
        <w:t>in</w:t>
      </w:r>
      <w:r>
        <w:rPr>
          <w:spacing w:val="-3"/>
          <w:sz w:val="20"/>
        </w:rPr>
        <w:t xml:space="preserve"> </w:t>
      </w:r>
      <w:r>
        <w:rPr>
          <w:sz w:val="20"/>
        </w:rPr>
        <w:t>need</w:t>
      </w:r>
      <w:r>
        <w:rPr>
          <w:spacing w:val="-3"/>
          <w:sz w:val="20"/>
        </w:rPr>
        <w:t xml:space="preserve"> </w:t>
      </w:r>
      <w:r>
        <w:rPr>
          <w:sz w:val="20"/>
        </w:rPr>
        <w:t>of</w:t>
      </w:r>
      <w:r>
        <w:rPr>
          <w:spacing w:val="-5"/>
          <w:sz w:val="20"/>
        </w:rPr>
        <w:t xml:space="preserve"> </w:t>
      </w:r>
      <w:r>
        <w:rPr>
          <w:sz w:val="20"/>
        </w:rPr>
        <w:t>addit</w:t>
      </w:r>
      <w:r>
        <w:rPr>
          <w:sz w:val="20"/>
        </w:rPr>
        <w:t>ional support: African American/Black, Male, and Students with</w:t>
      </w:r>
      <w:r>
        <w:rPr>
          <w:spacing w:val="-19"/>
          <w:sz w:val="20"/>
        </w:rPr>
        <w:t xml:space="preserve"> </w:t>
      </w:r>
      <w:r>
        <w:rPr>
          <w:sz w:val="20"/>
        </w:rPr>
        <w:t>Disabilities.</w:t>
      </w:r>
    </w:p>
    <w:p w14:paraId="39AE5F86" w14:textId="77777777" w:rsidR="004D3601" w:rsidRDefault="00817254">
      <w:pPr>
        <w:pStyle w:val="ListParagraph"/>
        <w:numPr>
          <w:ilvl w:val="0"/>
          <w:numId w:val="3"/>
        </w:numPr>
        <w:tabs>
          <w:tab w:val="left" w:pos="928"/>
          <w:tab w:val="left" w:pos="929"/>
        </w:tabs>
        <w:spacing w:before="10"/>
        <w:ind w:right="656" w:hanging="360"/>
        <w:rPr>
          <w:sz w:val="20"/>
        </w:rPr>
      </w:pPr>
      <w:r>
        <w:rPr>
          <w:sz w:val="20"/>
        </w:rPr>
        <w:t>The</w:t>
      </w:r>
      <w:r>
        <w:rPr>
          <w:spacing w:val="-4"/>
          <w:sz w:val="20"/>
        </w:rPr>
        <w:t xml:space="preserve"> </w:t>
      </w:r>
      <w:r>
        <w:rPr>
          <w:sz w:val="20"/>
        </w:rPr>
        <w:t>school</w:t>
      </w:r>
      <w:r>
        <w:rPr>
          <w:spacing w:val="-4"/>
          <w:sz w:val="20"/>
        </w:rPr>
        <w:t xml:space="preserve"> </w:t>
      </w:r>
      <w:r>
        <w:rPr>
          <w:sz w:val="20"/>
        </w:rPr>
        <w:t>has</w:t>
      </w:r>
      <w:r>
        <w:rPr>
          <w:spacing w:val="-2"/>
          <w:sz w:val="20"/>
        </w:rPr>
        <w:t xml:space="preserve"> </w:t>
      </w:r>
      <w:r>
        <w:rPr>
          <w:sz w:val="20"/>
        </w:rPr>
        <w:t>chosen</w:t>
      </w:r>
      <w:r>
        <w:rPr>
          <w:spacing w:val="-3"/>
          <w:sz w:val="20"/>
        </w:rPr>
        <w:t xml:space="preserve"> </w:t>
      </w:r>
      <w:r>
        <w:rPr>
          <w:sz w:val="20"/>
        </w:rPr>
        <w:t>the</w:t>
      </w:r>
      <w:r>
        <w:rPr>
          <w:spacing w:val="-2"/>
          <w:sz w:val="20"/>
        </w:rPr>
        <w:t xml:space="preserve"> </w:t>
      </w:r>
      <w:r>
        <w:rPr>
          <w:sz w:val="20"/>
        </w:rPr>
        <w:t>subgroups</w:t>
      </w:r>
      <w:r>
        <w:rPr>
          <w:spacing w:val="-3"/>
          <w:sz w:val="20"/>
        </w:rPr>
        <w:t xml:space="preserve"> </w:t>
      </w:r>
      <w:r>
        <w:rPr>
          <w:sz w:val="20"/>
        </w:rPr>
        <w:t>above</w:t>
      </w:r>
      <w:r>
        <w:rPr>
          <w:spacing w:val="-4"/>
          <w:sz w:val="20"/>
        </w:rPr>
        <w:t xml:space="preserve"> </w:t>
      </w:r>
      <w:r>
        <w:rPr>
          <w:sz w:val="20"/>
        </w:rPr>
        <w:t>based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following</w:t>
      </w:r>
      <w:r>
        <w:rPr>
          <w:spacing w:val="-4"/>
          <w:sz w:val="20"/>
        </w:rPr>
        <w:t xml:space="preserve"> </w:t>
      </w:r>
      <w:r>
        <w:rPr>
          <w:sz w:val="20"/>
        </w:rPr>
        <w:t>data</w:t>
      </w:r>
      <w:r>
        <w:rPr>
          <w:spacing w:val="-3"/>
          <w:sz w:val="20"/>
        </w:rPr>
        <w:t xml:space="preserve"> </w:t>
      </w:r>
      <w:r>
        <w:rPr>
          <w:sz w:val="20"/>
        </w:rPr>
        <w:t>(MCAS,</w:t>
      </w:r>
      <w:r>
        <w:rPr>
          <w:spacing w:val="-3"/>
          <w:sz w:val="20"/>
        </w:rPr>
        <w:t xml:space="preserve"> </w:t>
      </w:r>
      <w:r>
        <w:rPr>
          <w:sz w:val="20"/>
        </w:rPr>
        <w:t>2019),</w:t>
      </w:r>
      <w:r>
        <w:rPr>
          <w:spacing w:val="-2"/>
          <w:sz w:val="20"/>
        </w:rPr>
        <w:t xml:space="preserve"> </w:t>
      </w:r>
      <w:r>
        <w:rPr>
          <w:sz w:val="20"/>
        </w:rPr>
        <w:t>illustrating</w:t>
      </w:r>
      <w:r>
        <w:rPr>
          <w:spacing w:val="-4"/>
          <w:sz w:val="20"/>
        </w:rPr>
        <w:t xml:space="preserve"> </w:t>
      </w:r>
      <w:r>
        <w:rPr>
          <w:sz w:val="20"/>
        </w:rPr>
        <w:t>the</w:t>
      </w:r>
      <w:r>
        <w:rPr>
          <w:spacing w:val="-4"/>
          <w:sz w:val="20"/>
        </w:rPr>
        <w:t xml:space="preserve"> </w:t>
      </w:r>
      <w:r>
        <w:rPr>
          <w:sz w:val="20"/>
        </w:rPr>
        <w:t>difference</w:t>
      </w:r>
      <w:r>
        <w:rPr>
          <w:spacing w:val="-1"/>
          <w:sz w:val="20"/>
        </w:rPr>
        <w:t xml:space="preserve"> </w:t>
      </w:r>
      <w:r>
        <w:rPr>
          <w:sz w:val="20"/>
        </w:rPr>
        <w:t>of the percentage of students Meeting or Exceeding Grade-Level Expectations between All Students and the selected subgroups, illustrated in the chart</w:t>
      </w:r>
      <w:r>
        <w:rPr>
          <w:spacing w:val="-13"/>
          <w:sz w:val="20"/>
        </w:rPr>
        <w:t xml:space="preserve"> </w:t>
      </w:r>
      <w:r>
        <w:rPr>
          <w:sz w:val="20"/>
        </w:rPr>
        <w:t>below.</w:t>
      </w:r>
    </w:p>
    <w:p w14:paraId="71937004" w14:textId="77777777" w:rsidR="004D3601" w:rsidRDefault="004D3601">
      <w:pPr>
        <w:pStyle w:val="BodyText"/>
        <w:spacing w:before="4" w:after="1"/>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1"/>
        <w:gridCol w:w="1349"/>
        <w:gridCol w:w="1896"/>
        <w:gridCol w:w="3265"/>
      </w:tblGrid>
      <w:tr w:rsidR="004D3601" w14:paraId="163B1F6A" w14:textId="77777777">
        <w:trPr>
          <w:trHeight w:hRule="exact" w:val="257"/>
        </w:trPr>
        <w:tc>
          <w:tcPr>
            <w:tcW w:w="2871" w:type="dxa"/>
          </w:tcPr>
          <w:p w14:paraId="403D4F93" w14:textId="77777777" w:rsidR="004D3601" w:rsidRDefault="00817254">
            <w:pPr>
              <w:pStyle w:val="TableParagraph"/>
              <w:spacing w:before="4"/>
              <w:ind w:left="830"/>
              <w:rPr>
                <w:b/>
                <w:sz w:val="20"/>
              </w:rPr>
            </w:pPr>
            <w:r>
              <w:rPr>
                <w:b/>
                <w:sz w:val="20"/>
              </w:rPr>
              <w:t>Subgroup</w:t>
            </w:r>
          </w:p>
        </w:tc>
        <w:tc>
          <w:tcPr>
            <w:tcW w:w="1349" w:type="dxa"/>
          </w:tcPr>
          <w:p w14:paraId="0B2299A4" w14:textId="77777777" w:rsidR="004D3601" w:rsidRDefault="00817254">
            <w:pPr>
              <w:pStyle w:val="TableParagraph"/>
              <w:spacing w:before="4"/>
              <w:ind w:left="316"/>
              <w:rPr>
                <w:b/>
                <w:sz w:val="20"/>
              </w:rPr>
            </w:pPr>
            <w:r>
              <w:rPr>
                <w:b/>
                <w:sz w:val="20"/>
              </w:rPr>
              <w:t>ELA</w:t>
            </w:r>
          </w:p>
        </w:tc>
        <w:tc>
          <w:tcPr>
            <w:tcW w:w="1896" w:type="dxa"/>
          </w:tcPr>
          <w:p w14:paraId="496CD6E2" w14:textId="77777777" w:rsidR="004D3601" w:rsidRDefault="00817254">
            <w:pPr>
              <w:pStyle w:val="TableParagraph"/>
              <w:spacing w:before="4"/>
              <w:ind w:left="194"/>
              <w:rPr>
                <w:b/>
                <w:sz w:val="20"/>
              </w:rPr>
            </w:pPr>
            <w:r>
              <w:rPr>
                <w:b/>
                <w:sz w:val="20"/>
              </w:rPr>
              <w:t>Mathematics</w:t>
            </w:r>
          </w:p>
        </w:tc>
        <w:tc>
          <w:tcPr>
            <w:tcW w:w="3265" w:type="dxa"/>
          </w:tcPr>
          <w:p w14:paraId="6F7C7FAE" w14:textId="77777777" w:rsidR="004D3601" w:rsidRDefault="00817254">
            <w:pPr>
              <w:pStyle w:val="TableParagraph"/>
              <w:spacing w:before="4"/>
              <w:ind w:left="597"/>
              <w:rPr>
                <w:b/>
                <w:sz w:val="20"/>
              </w:rPr>
            </w:pPr>
            <w:r>
              <w:rPr>
                <w:b/>
                <w:sz w:val="20"/>
              </w:rPr>
              <w:t>Science/Technology</w:t>
            </w:r>
          </w:p>
        </w:tc>
      </w:tr>
      <w:tr w:rsidR="004D3601" w14:paraId="5E1CA483" w14:textId="77777777">
        <w:trPr>
          <w:trHeight w:hRule="exact" w:val="257"/>
        </w:trPr>
        <w:tc>
          <w:tcPr>
            <w:tcW w:w="2871" w:type="dxa"/>
          </w:tcPr>
          <w:p w14:paraId="7530D9E1" w14:textId="77777777" w:rsidR="004D3601" w:rsidRDefault="00817254">
            <w:pPr>
              <w:pStyle w:val="TableParagraph"/>
              <w:spacing w:before="4"/>
              <w:rPr>
                <w:sz w:val="20"/>
              </w:rPr>
            </w:pPr>
            <w:r>
              <w:rPr>
                <w:sz w:val="20"/>
              </w:rPr>
              <w:t>AA/Black</w:t>
            </w:r>
          </w:p>
        </w:tc>
        <w:tc>
          <w:tcPr>
            <w:tcW w:w="1349" w:type="dxa"/>
          </w:tcPr>
          <w:p w14:paraId="6E238BAA" w14:textId="77777777" w:rsidR="004D3601" w:rsidRDefault="00817254">
            <w:pPr>
              <w:pStyle w:val="TableParagraph"/>
              <w:spacing w:before="4"/>
              <w:rPr>
                <w:sz w:val="20"/>
              </w:rPr>
            </w:pPr>
            <w:r>
              <w:rPr>
                <w:sz w:val="20"/>
              </w:rPr>
              <w:t>-15%</w:t>
            </w:r>
          </w:p>
        </w:tc>
        <w:tc>
          <w:tcPr>
            <w:tcW w:w="1896" w:type="dxa"/>
          </w:tcPr>
          <w:p w14:paraId="64B1ED92" w14:textId="77777777" w:rsidR="004D3601" w:rsidRDefault="00817254">
            <w:pPr>
              <w:pStyle w:val="TableParagraph"/>
              <w:spacing w:before="4"/>
              <w:rPr>
                <w:sz w:val="20"/>
              </w:rPr>
            </w:pPr>
            <w:r>
              <w:rPr>
                <w:sz w:val="20"/>
              </w:rPr>
              <w:t>-25%</w:t>
            </w:r>
          </w:p>
        </w:tc>
        <w:tc>
          <w:tcPr>
            <w:tcW w:w="3265" w:type="dxa"/>
          </w:tcPr>
          <w:p w14:paraId="18F3DAC6" w14:textId="77777777" w:rsidR="004D3601" w:rsidRDefault="00817254">
            <w:pPr>
              <w:pStyle w:val="TableParagraph"/>
              <w:spacing w:before="4"/>
              <w:rPr>
                <w:sz w:val="20"/>
              </w:rPr>
            </w:pPr>
            <w:r>
              <w:rPr>
                <w:sz w:val="20"/>
              </w:rPr>
              <w:t>-12%</w:t>
            </w:r>
          </w:p>
        </w:tc>
      </w:tr>
      <w:tr w:rsidR="004D3601" w14:paraId="5323976E" w14:textId="77777777">
        <w:trPr>
          <w:trHeight w:hRule="exact" w:val="257"/>
        </w:trPr>
        <w:tc>
          <w:tcPr>
            <w:tcW w:w="2871" w:type="dxa"/>
          </w:tcPr>
          <w:p w14:paraId="0BE0137A" w14:textId="77777777" w:rsidR="004D3601" w:rsidRDefault="00817254">
            <w:pPr>
              <w:pStyle w:val="TableParagraph"/>
              <w:spacing w:before="4"/>
              <w:rPr>
                <w:sz w:val="20"/>
              </w:rPr>
            </w:pPr>
            <w:r>
              <w:rPr>
                <w:sz w:val="20"/>
              </w:rPr>
              <w:t>Male</w:t>
            </w:r>
          </w:p>
        </w:tc>
        <w:tc>
          <w:tcPr>
            <w:tcW w:w="1349" w:type="dxa"/>
          </w:tcPr>
          <w:p w14:paraId="2E57F9A7" w14:textId="77777777" w:rsidR="004D3601" w:rsidRDefault="00817254">
            <w:pPr>
              <w:pStyle w:val="TableParagraph"/>
              <w:spacing w:before="4"/>
              <w:rPr>
                <w:sz w:val="20"/>
              </w:rPr>
            </w:pPr>
            <w:r>
              <w:rPr>
                <w:sz w:val="20"/>
              </w:rPr>
              <w:t>-5%</w:t>
            </w:r>
          </w:p>
        </w:tc>
        <w:tc>
          <w:tcPr>
            <w:tcW w:w="1896" w:type="dxa"/>
          </w:tcPr>
          <w:p w14:paraId="00113657" w14:textId="77777777" w:rsidR="004D3601" w:rsidRDefault="00817254">
            <w:pPr>
              <w:pStyle w:val="TableParagraph"/>
              <w:spacing w:before="4"/>
              <w:rPr>
                <w:sz w:val="20"/>
              </w:rPr>
            </w:pPr>
            <w:r>
              <w:rPr>
                <w:sz w:val="20"/>
              </w:rPr>
              <w:t>-5%</w:t>
            </w:r>
          </w:p>
        </w:tc>
        <w:tc>
          <w:tcPr>
            <w:tcW w:w="3265" w:type="dxa"/>
          </w:tcPr>
          <w:p w14:paraId="2F5E63B3" w14:textId="77777777" w:rsidR="004D3601" w:rsidRDefault="00817254">
            <w:pPr>
              <w:pStyle w:val="TableParagraph"/>
              <w:spacing w:before="4"/>
              <w:rPr>
                <w:sz w:val="20"/>
              </w:rPr>
            </w:pPr>
            <w:r>
              <w:rPr>
                <w:sz w:val="20"/>
              </w:rPr>
              <w:t>+2%</w:t>
            </w:r>
          </w:p>
        </w:tc>
      </w:tr>
      <w:tr w:rsidR="004D3601" w14:paraId="049F6C38" w14:textId="77777777">
        <w:trPr>
          <w:trHeight w:hRule="exact" w:val="257"/>
        </w:trPr>
        <w:tc>
          <w:tcPr>
            <w:tcW w:w="2871" w:type="dxa"/>
          </w:tcPr>
          <w:p w14:paraId="1775306E" w14:textId="77777777" w:rsidR="004D3601" w:rsidRDefault="00817254">
            <w:pPr>
              <w:pStyle w:val="TableParagraph"/>
              <w:rPr>
                <w:sz w:val="20"/>
              </w:rPr>
            </w:pPr>
            <w:r>
              <w:rPr>
                <w:sz w:val="20"/>
              </w:rPr>
              <w:t>Students with Disabilities</w:t>
            </w:r>
          </w:p>
        </w:tc>
        <w:tc>
          <w:tcPr>
            <w:tcW w:w="1349" w:type="dxa"/>
          </w:tcPr>
          <w:p w14:paraId="05CF9ACC" w14:textId="77777777" w:rsidR="004D3601" w:rsidRDefault="00817254">
            <w:pPr>
              <w:pStyle w:val="TableParagraph"/>
              <w:rPr>
                <w:sz w:val="20"/>
              </w:rPr>
            </w:pPr>
            <w:r>
              <w:rPr>
                <w:sz w:val="20"/>
              </w:rPr>
              <w:t>-25%</w:t>
            </w:r>
          </w:p>
        </w:tc>
        <w:tc>
          <w:tcPr>
            <w:tcW w:w="1896" w:type="dxa"/>
          </w:tcPr>
          <w:p w14:paraId="08722562" w14:textId="77777777" w:rsidR="004D3601" w:rsidRDefault="00817254">
            <w:pPr>
              <w:pStyle w:val="TableParagraph"/>
              <w:rPr>
                <w:sz w:val="20"/>
              </w:rPr>
            </w:pPr>
            <w:r>
              <w:rPr>
                <w:sz w:val="20"/>
              </w:rPr>
              <w:t>-8%</w:t>
            </w:r>
          </w:p>
        </w:tc>
        <w:tc>
          <w:tcPr>
            <w:tcW w:w="3265" w:type="dxa"/>
          </w:tcPr>
          <w:p w14:paraId="1E10C698" w14:textId="77777777" w:rsidR="004D3601" w:rsidRDefault="00817254">
            <w:pPr>
              <w:pStyle w:val="TableParagraph"/>
              <w:rPr>
                <w:sz w:val="20"/>
              </w:rPr>
            </w:pPr>
            <w:r>
              <w:rPr>
                <w:sz w:val="20"/>
              </w:rPr>
              <w:t>-22%</w:t>
            </w:r>
          </w:p>
        </w:tc>
      </w:tr>
    </w:tbl>
    <w:p w14:paraId="73076041" w14:textId="77777777" w:rsidR="004D3601" w:rsidRDefault="004D3601">
      <w:pPr>
        <w:pStyle w:val="BodyText"/>
        <w:spacing w:before="9"/>
      </w:pPr>
    </w:p>
    <w:p w14:paraId="7D049B7D" w14:textId="77777777" w:rsidR="004D3601" w:rsidRDefault="00817254">
      <w:pPr>
        <w:pStyle w:val="Heading1"/>
        <w:spacing w:before="1"/>
      </w:pPr>
      <w:r>
        <w:rPr>
          <w:rFonts w:ascii="Microsoft Sans Serif" w:hAnsi="Microsoft Sans Serif"/>
          <w:b w:val="0"/>
          <w:color w:val="2C74B5"/>
        </w:rPr>
        <w:t xml:space="preserve">→ </w:t>
      </w:r>
      <w:r>
        <w:rPr>
          <w:color w:val="2C74B5"/>
        </w:rPr>
        <w:t>Commitment 2: Using Evidence-Based Programs to Close Gaps</w:t>
      </w:r>
    </w:p>
    <w:p w14:paraId="34CE109C" w14:textId="77777777" w:rsidR="004D3601" w:rsidRDefault="00817254">
      <w:pPr>
        <w:pStyle w:val="Heading2"/>
        <w:spacing w:before="74"/>
        <w:ind w:right="1307"/>
      </w:pPr>
      <w:r>
        <w:rPr>
          <w:color w:val="1F3862"/>
        </w:rPr>
        <w:t>What evidence-based programs will your charter school adopt, deepen, or continue to best support the closure of achievement and opportunity gaps? What resources will be allocated to these programs?</w:t>
      </w:r>
    </w:p>
    <w:p w14:paraId="605FF06F" w14:textId="77777777" w:rsidR="004D3601" w:rsidRDefault="004D3601">
      <w:pPr>
        <w:pStyle w:val="BodyText"/>
        <w:spacing w:before="11"/>
        <w:rPr>
          <w:b/>
          <w:sz w:val="19"/>
        </w:rPr>
      </w:pPr>
    </w:p>
    <w:p w14:paraId="5B97C244" w14:textId="77777777" w:rsidR="004D3601" w:rsidRDefault="00817254">
      <w:pPr>
        <w:ind w:left="100"/>
        <w:rPr>
          <w:b/>
          <w:sz w:val="20"/>
        </w:rPr>
      </w:pPr>
      <w:r>
        <w:rPr>
          <w:b/>
          <w:sz w:val="20"/>
        </w:rPr>
        <w:t>Evidence-based program #1: Advanced Curriculum-Specific P</w:t>
      </w:r>
      <w:r>
        <w:rPr>
          <w:b/>
          <w:sz w:val="20"/>
        </w:rPr>
        <w:t>rofessional Development for Teachers</w:t>
      </w:r>
    </w:p>
    <w:p w14:paraId="680492C7" w14:textId="77777777" w:rsidR="004D3601" w:rsidRDefault="00817254">
      <w:pPr>
        <w:pStyle w:val="BodyText"/>
        <w:ind w:left="100" w:right="118"/>
      </w:pPr>
      <w:r>
        <w:t>A central component of MVRCS’s Mission is to provide each student with the opportunity to acquire a world-class education. This concept is reinforced in the school’s Accountability Plan (Key Design Element 1). MVRCS’s g</w:t>
      </w:r>
      <w:r>
        <w:t>oal is to provide its educators with thorough training and professional development in all curricular programs, and the school plans to continue to invest to achieve this outcome.</w:t>
      </w:r>
    </w:p>
    <w:p w14:paraId="127FC199" w14:textId="77777777" w:rsidR="004D3601" w:rsidRDefault="004D3601">
      <w:pPr>
        <w:pStyle w:val="BodyText"/>
      </w:pPr>
    </w:p>
    <w:p w14:paraId="4A32D43C" w14:textId="77777777" w:rsidR="004D3601" w:rsidRDefault="00817254">
      <w:pPr>
        <w:pStyle w:val="BodyText"/>
        <w:ind w:left="100" w:right="99"/>
      </w:pPr>
      <w:r>
        <w:t>MVRCS aims to use teacher attendance at Direct Instruction (DI) and Interna</w:t>
      </w:r>
      <w:r>
        <w:t>tional Baccalaureate (IB) workshops to meet KDE 1 requirements in this current school year. Each year, the school provides new teachers with a robust DI training program. Throughout the school year, MVRCS also provides teacher supports in DI using internal</w:t>
      </w:r>
      <w:r>
        <w:t xml:space="preserve"> observations and external consulting services. </w:t>
      </w:r>
      <w:proofErr w:type="spellStart"/>
      <w:r>
        <w:t>Ronnis</w:t>
      </w:r>
      <w:proofErr w:type="spellEnd"/>
      <w:r>
        <w:t xml:space="preserve"> Systems, Inc. provides MVRCS with DI consulting services for the 2020-21 school year for grades K-12, focusing on student-level classroom achievement data to drive professional development support. Sim</w:t>
      </w:r>
      <w:r>
        <w:t>ilarly, MVRCS’s practice is to enroll all new IB teachers in subject-specific IB-led workshops. Experienced teachers also attend IB workshops periodically, typically when there is a change to any IB course requirements.</w:t>
      </w:r>
    </w:p>
    <w:p w14:paraId="1B04F0D8" w14:textId="77777777" w:rsidR="004D3601" w:rsidRDefault="004D3601">
      <w:pPr>
        <w:pStyle w:val="BodyText"/>
        <w:spacing w:before="11"/>
        <w:rPr>
          <w:sz w:val="19"/>
        </w:r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1759"/>
        <w:gridCol w:w="5663"/>
      </w:tblGrid>
      <w:tr w:rsidR="004D3601" w14:paraId="05584934" w14:textId="77777777">
        <w:trPr>
          <w:trHeight w:hRule="exact" w:val="290"/>
        </w:trPr>
        <w:tc>
          <w:tcPr>
            <w:tcW w:w="3083" w:type="dxa"/>
            <w:shd w:val="clear" w:color="auto" w:fill="D9D9D9"/>
          </w:tcPr>
          <w:p w14:paraId="2798494A" w14:textId="77777777" w:rsidR="004D3601" w:rsidRDefault="00817254">
            <w:pPr>
              <w:pStyle w:val="TableParagraph"/>
              <w:spacing w:before="0" w:line="229" w:lineRule="exact"/>
              <w:ind w:left="100"/>
              <w:rPr>
                <w:b/>
                <w:sz w:val="20"/>
              </w:rPr>
            </w:pPr>
            <w:r>
              <w:rPr>
                <w:b/>
                <w:sz w:val="20"/>
              </w:rPr>
              <w:t>FY21 budget item</w:t>
            </w:r>
          </w:p>
        </w:tc>
        <w:tc>
          <w:tcPr>
            <w:tcW w:w="1759" w:type="dxa"/>
            <w:shd w:val="clear" w:color="auto" w:fill="D9D9D9"/>
          </w:tcPr>
          <w:p w14:paraId="184065EA" w14:textId="77777777" w:rsidR="004D3601" w:rsidRDefault="00817254">
            <w:pPr>
              <w:pStyle w:val="TableParagraph"/>
              <w:spacing w:before="0" w:line="229" w:lineRule="exact"/>
              <w:rPr>
                <w:b/>
                <w:sz w:val="20"/>
              </w:rPr>
            </w:pPr>
            <w:r>
              <w:rPr>
                <w:b/>
                <w:sz w:val="20"/>
              </w:rPr>
              <w:t>Amount</w:t>
            </w:r>
          </w:p>
        </w:tc>
        <w:tc>
          <w:tcPr>
            <w:tcW w:w="5663" w:type="dxa"/>
            <w:shd w:val="clear" w:color="auto" w:fill="D9D9D9"/>
          </w:tcPr>
          <w:p w14:paraId="7992872A" w14:textId="77777777" w:rsidR="004D3601" w:rsidRDefault="00817254">
            <w:pPr>
              <w:pStyle w:val="TableParagraph"/>
              <w:spacing w:before="0" w:line="229" w:lineRule="exact"/>
              <w:ind w:left="105"/>
              <w:rPr>
                <w:b/>
                <w:sz w:val="20"/>
              </w:rPr>
            </w:pPr>
            <w:r>
              <w:rPr>
                <w:b/>
                <w:sz w:val="20"/>
              </w:rPr>
              <w:t>Foundation Category</w:t>
            </w:r>
          </w:p>
        </w:tc>
      </w:tr>
      <w:tr w:rsidR="004D3601" w14:paraId="13601721" w14:textId="77777777">
        <w:trPr>
          <w:trHeight w:hRule="exact" w:val="293"/>
        </w:trPr>
        <w:tc>
          <w:tcPr>
            <w:tcW w:w="3083" w:type="dxa"/>
            <w:tcBorders>
              <w:top w:val="single" w:sz="29" w:space="0" w:color="D9D9D9"/>
            </w:tcBorders>
          </w:tcPr>
          <w:p w14:paraId="26FCF595" w14:textId="77777777" w:rsidR="004D3601" w:rsidRDefault="00817254">
            <w:pPr>
              <w:pStyle w:val="TableParagraph"/>
              <w:spacing w:before="0" w:line="215" w:lineRule="exact"/>
              <w:ind w:left="0"/>
              <w:rPr>
                <w:sz w:val="20"/>
              </w:rPr>
            </w:pPr>
            <w:r>
              <w:rPr>
                <w:sz w:val="20"/>
              </w:rPr>
              <w:t>IB Workshops</w:t>
            </w:r>
          </w:p>
        </w:tc>
        <w:tc>
          <w:tcPr>
            <w:tcW w:w="1759" w:type="dxa"/>
            <w:tcBorders>
              <w:top w:val="single" w:sz="29" w:space="0" w:color="D9D9D9"/>
            </w:tcBorders>
          </w:tcPr>
          <w:p w14:paraId="5166169E" w14:textId="77777777" w:rsidR="004D3601" w:rsidRDefault="00817254">
            <w:pPr>
              <w:pStyle w:val="TableParagraph"/>
              <w:spacing w:before="0" w:line="215" w:lineRule="exact"/>
              <w:ind w:left="0"/>
              <w:rPr>
                <w:sz w:val="20"/>
              </w:rPr>
            </w:pPr>
            <w:r>
              <w:rPr>
                <w:sz w:val="20"/>
              </w:rPr>
              <w:t>$15,000</w:t>
            </w:r>
          </w:p>
        </w:tc>
        <w:tc>
          <w:tcPr>
            <w:tcW w:w="5663" w:type="dxa"/>
            <w:tcBorders>
              <w:top w:val="single" w:sz="29" w:space="0" w:color="D9D9D9"/>
            </w:tcBorders>
          </w:tcPr>
          <w:p w14:paraId="547E7BCC" w14:textId="77777777" w:rsidR="004D3601" w:rsidRDefault="00817254">
            <w:pPr>
              <w:pStyle w:val="TableParagraph"/>
              <w:spacing w:before="0" w:line="215" w:lineRule="exact"/>
              <w:ind w:left="0"/>
              <w:rPr>
                <w:sz w:val="20"/>
              </w:rPr>
            </w:pPr>
            <w:r>
              <w:rPr>
                <w:sz w:val="20"/>
              </w:rPr>
              <w:t>Professional Development</w:t>
            </w:r>
          </w:p>
        </w:tc>
      </w:tr>
      <w:tr w:rsidR="004D3601" w14:paraId="6A772C43" w14:textId="77777777">
        <w:trPr>
          <w:trHeight w:hRule="exact" w:val="295"/>
        </w:trPr>
        <w:tc>
          <w:tcPr>
            <w:tcW w:w="3083" w:type="dxa"/>
            <w:tcBorders>
              <w:bottom w:val="single" w:sz="8" w:space="0" w:color="000000"/>
            </w:tcBorders>
          </w:tcPr>
          <w:p w14:paraId="6864148B" w14:textId="77777777" w:rsidR="004D3601" w:rsidRDefault="00817254">
            <w:pPr>
              <w:pStyle w:val="TableParagraph"/>
              <w:ind w:left="0"/>
              <w:rPr>
                <w:sz w:val="20"/>
              </w:rPr>
            </w:pPr>
            <w:r>
              <w:rPr>
                <w:sz w:val="20"/>
              </w:rPr>
              <w:t xml:space="preserve">NIFDI &amp; </w:t>
            </w:r>
            <w:proofErr w:type="spellStart"/>
            <w:r>
              <w:rPr>
                <w:sz w:val="20"/>
              </w:rPr>
              <w:t>Ronnis</w:t>
            </w:r>
            <w:proofErr w:type="spellEnd"/>
            <w:r>
              <w:rPr>
                <w:sz w:val="20"/>
              </w:rPr>
              <w:t xml:space="preserve"> Consulting</w:t>
            </w:r>
          </w:p>
        </w:tc>
        <w:tc>
          <w:tcPr>
            <w:tcW w:w="1759" w:type="dxa"/>
            <w:tcBorders>
              <w:bottom w:val="single" w:sz="8" w:space="0" w:color="000000"/>
            </w:tcBorders>
          </w:tcPr>
          <w:p w14:paraId="6275043E" w14:textId="77777777" w:rsidR="004D3601" w:rsidRDefault="00817254">
            <w:pPr>
              <w:pStyle w:val="TableParagraph"/>
              <w:ind w:left="0"/>
              <w:rPr>
                <w:sz w:val="20"/>
              </w:rPr>
            </w:pPr>
            <w:r>
              <w:rPr>
                <w:sz w:val="20"/>
              </w:rPr>
              <w:t>$173,600</w:t>
            </w:r>
          </w:p>
        </w:tc>
        <w:tc>
          <w:tcPr>
            <w:tcW w:w="5663" w:type="dxa"/>
            <w:tcBorders>
              <w:bottom w:val="single" w:sz="8" w:space="0" w:color="000000"/>
            </w:tcBorders>
          </w:tcPr>
          <w:p w14:paraId="3E30A001" w14:textId="77777777" w:rsidR="004D3601" w:rsidRDefault="00817254">
            <w:pPr>
              <w:pStyle w:val="TableParagraph"/>
              <w:ind w:left="0"/>
              <w:rPr>
                <w:sz w:val="20"/>
              </w:rPr>
            </w:pPr>
            <w:r>
              <w:rPr>
                <w:sz w:val="20"/>
              </w:rPr>
              <w:t>Professional Development</w:t>
            </w:r>
          </w:p>
        </w:tc>
      </w:tr>
      <w:tr w:rsidR="004D3601" w14:paraId="0983ED6A" w14:textId="77777777">
        <w:trPr>
          <w:trHeight w:hRule="exact" w:val="293"/>
        </w:trPr>
        <w:tc>
          <w:tcPr>
            <w:tcW w:w="4842" w:type="dxa"/>
            <w:gridSpan w:val="2"/>
            <w:tcBorders>
              <w:top w:val="single" w:sz="8" w:space="0" w:color="000000"/>
            </w:tcBorders>
            <w:shd w:val="clear" w:color="auto" w:fill="D9D9D9"/>
          </w:tcPr>
          <w:p w14:paraId="78EA07BD" w14:textId="77777777" w:rsidR="004D3601" w:rsidRDefault="00817254">
            <w:pPr>
              <w:pStyle w:val="TableParagraph"/>
              <w:spacing w:before="0" w:line="231" w:lineRule="exact"/>
              <w:ind w:left="100"/>
              <w:rPr>
                <w:b/>
                <w:sz w:val="20"/>
              </w:rPr>
            </w:pPr>
            <w:r>
              <w:rPr>
                <w:b/>
                <w:sz w:val="20"/>
              </w:rPr>
              <w:t>Evidence-based program identified by the Department:</w:t>
            </w:r>
          </w:p>
        </w:tc>
        <w:tc>
          <w:tcPr>
            <w:tcW w:w="5663" w:type="dxa"/>
            <w:tcBorders>
              <w:top w:val="single" w:sz="8" w:space="0" w:color="000000"/>
            </w:tcBorders>
          </w:tcPr>
          <w:p w14:paraId="4537D219" w14:textId="77777777" w:rsidR="004D3601" w:rsidRDefault="00817254">
            <w:pPr>
              <w:pStyle w:val="TableParagraph"/>
              <w:spacing w:before="4"/>
              <w:ind w:left="0"/>
              <w:rPr>
                <w:sz w:val="20"/>
              </w:rPr>
            </w:pPr>
            <w:r>
              <w:rPr>
                <w:sz w:val="20"/>
              </w:rPr>
              <w:t>Supporting educators to implement high-quality, aligned curriculum</w:t>
            </w:r>
          </w:p>
        </w:tc>
      </w:tr>
      <w:tr w:rsidR="004D3601" w14:paraId="7548E698" w14:textId="77777777">
        <w:trPr>
          <w:trHeight w:hRule="exact" w:val="295"/>
        </w:trPr>
        <w:tc>
          <w:tcPr>
            <w:tcW w:w="4842" w:type="dxa"/>
            <w:gridSpan w:val="2"/>
            <w:shd w:val="clear" w:color="auto" w:fill="D9D9D9"/>
          </w:tcPr>
          <w:p w14:paraId="2537B74D" w14:textId="77777777" w:rsidR="004D3601" w:rsidRDefault="00817254">
            <w:pPr>
              <w:pStyle w:val="TableParagraph"/>
              <w:ind w:left="100"/>
              <w:rPr>
                <w:b/>
                <w:sz w:val="20"/>
              </w:rPr>
            </w:pPr>
            <w:r>
              <w:rPr>
                <w:b/>
                <w:sz w:val="20"/>
              </w:rPr>
              <w:t>SOA program categories:</w:t>
            </w:r>
          </w:p>
        </w:tc>
        <w:tc>
          <w:tcPr>
            <w:tcW w:w="5663" w:type="dxa"/>
          </w:tcPr>
          <w:p w14:paraId="657FDCDD" w14:textId="77777777" w:rsidR="004D3601" w:rsidRDefault="00817254">
            <w:pPr>
              <w:pStyle w:val="TableParagraph"/>
              <w:ind w:left="0"/>
              <w:rPr>
                <w:sz w:val="20"/>
              </w:rPr>
            </w:pPr>
            <w:r>
              <w:rPr>
                <w:sz w:val="20"/>
              </w:rPr>
              <w:t>SOA Category E</w:t>
            </w:r>
          </w:p>
        </w:tc>
      </w:tr>
    </w:tbl>
    <w:p w14:paraId="08C34D08" w14:textId="77777777" w:rsidR="004D3601" w:rsidRDefault="004D3601">
      <w:pPr>
        <w:pStyle w:val="BodyText"/>
        <w:spacing w:before="12"/>
        <w:rPr>
          <w:sz w:val="19"/>
        </w:rPr>
      </w:pPr>
    </w:p>
    <w:p w14:paraId="476EF077" w14:textId="77777777" w:rsidR="004D3601" w:rsidRDefault="00817254">
      <w:pPr>
        <w:pStyle w:val="Heading2"/>
        <w:ind w:left="100"/>
      </w:pPr>
      <w:r>
        <w:t>Evidence-based program #2: Remote Learning Resources</w:t>
      </w:r>
    </w:p>
    <w:p w14:paraId="060BE6CA" w14:textId="77777777" w:rsidR="004D3601" w:rsidRDefault="00817254">
      <w:pPr>
        <w:pStyle w:val="BodyText"/>
        <w:ind w:left="100" w:right="99"/>
      </w:pPr>
      <w:r>
        <w:t xml:space="preserve">Although the majority of MVRCS students have returned to school for full-time in-person instruction this year, the school has made significant investments in supporting students whose parents opted for the hybrid or fully remote learning models during the </w:t>
      </w:r>
      <w:r>
        <w:t>2020- 2021 school year. MVRCS devoted extensive resources to developing an asynchronous learning model option during the summer of 2020, with daily instructional videos for all core academic subjects filmed by MVRCS educators. MVRCS is in the process of au</w:t>
      </w:r>
      <w:r>
        <w:t>diting this video-based program (performed by a special educator) to ensure it is accessible and delivered to programmatic specifications. To supplement in English Language Arts and Mathematics, MVRCS has obtained IXL (a personalized learning platform) lic</w:t>
      </w:r>
      <w:r>
        <w:t>enses for all students.</w:t>
      </w:r>
    </w:p>
    <w:p w14:paraId="11A199E5" w14:textId="77777777" w:rsidR="004D3601" w:rsidRDefault="004D3601">
      <w:pPr>
        <w:pStyle w:val="BodyText"/>
      </w:pPr>
    </w:p>
    <w:p w14:paraId="7F9996BE" w14:textId="77777777" w:rsidR="004D3601" w:rsidRDefault="00817254">
      <w:pPr>
        <w:pStyle w:val="BodyText"/>
        <w:ind w:left="100" w:right="390"/>
      </w:pPr>
      <w:r>
        <w:t xml:space="preserve">The MVRCS video-based curriculum, supplemented by IXL, has allowed all MVRCS students, even those who may be in school full time, with the ability to view and review instructional content. This will be particularly helpful for the </w:t>
      </w:r>
      <w:r>
        <w:t>student groups identified above.</w:t>
      </w:r>
    </w:p>
    <w:p w14:paraId="4238EBD6" w14:textId="77777777" w:rsidR="004D3601" w:rsidRDefault="004D3601">
      <w:pPr>
        <w:sectPr w:rsidR="004D3601">
          <w:type w:val="continuous"/>
          <w:pgSz w:w="12240" w:h="15840"/>
          <w:pgMar w:top="700" w:right="640" w:bottom="280" w:left="620" w:header="720" w:footer="720" w:gutter="0"/>
          <w:cols w:space="720"/>
        </w:sect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1706"/>
        <w:gridCol w:w="5687"/>
      </w:tblGrid>
      <w:tr w:rsidR="004D3601" w14:paraId="245AEB3E" w14:textId="77777777">
        <w:trPr>
          <w:trHeight w:hRule="exact" w:val="252"/>
        </w:trPr>
        <w:tc>
          <w:tcPr>
            <w:tcW w:w="3071" w:type="dxa"/>
            <w:shd w:val="clear" w:color="auto" w:fill="D9D9D9"/>
          </w:tcPr>
          <w:p w14:paraId="1CBC517A" w14:textId="77777777" w:rsidR="004D3601" w:rsidRDefault="00817254">
            <w:pPr>
              <w:pStyle w:val="TableParagraph"/>
              <w:spacing w:before="0" w:line="229" w:lineRule="exact"/>
              <w:ind w:left="100"/>
              <w:rPr>
                <w:b/>
                <w:sz w:val="20"/>
              </w:rPr>
            </w:pPr>
            <w:r>
              <w:rPr>
                <w:b/>
                <w:sz w:val="20"/>
              </w:rPr>
              <w:lastRenderedPageBreak/>
              <w:t>FY21 budget item</w:t>
            </w:r>
          </w:p>
        </w:tc>
        <w:tc>
          <w:tcPr>
            <w:tcW w:w="1706" w:type="dxa"/>
            <w:shd w:val="clear" w:color="auto" w:fill="D9D9D9"/>
          </w:tcPr>
          <w:p w14:paraId="7F8E7BE6" w14:textId="77777777" w:rsidR="004D3601" w:rsidRDefault="00817254">
            <w:pPr>
              <w:pStyle w:val="TableParagraph"/>
              <w:spacing w:before="0" w:line="229" w:lineRule="exact"/>
              <w:rPr>
                <w:b/>
                <w:sz w:val="20"/>
              </w:rPr>
            </w:pPr>
            <w:r>
              <w:rPr>
                <w:b/>
                <w:sz w:val="20"/>
              </w:rPr>
              <w:t>Amount</w:t>
            </w:r>
          </w:p>
        </w:tc>
        <w:tc>
          <w:tcPr>
            <w:tcW w:w="5687" w:type="dxa"/>
            <w:shd w:val="clear" w:color="auto" w:fill="D9D9D9"/>
          </w:tcPr>
          <w:p w14:paraId="18342ACE" w14:textId="77777777" w:rsidR="004D3601" w:rsidRDefault="00817254">
            <w:pPr>
              <w:pStyle w:val="TableParagraph"/>
              <w:spacing w:before="0" w:line="229" w:lineRule="exact"/>
              <w:ind w:left="105"/>
              <w:rPr>
                <w:b/>
                <w:sz w:val="20"/>
              </w:rPr>
            </w:pPr>
            <w:r>
              <w:rPr>
                <w:b/>
                <w:sz w:val="20"/>
              </w:rPr>
              <w:t>Foundation Category</w:t>
            </w:r>
          </w:p>
        </w:tc>
      </w:tr>
      <w:tr w:rsidR="004D3601" w14:paraId="782942EB" w14:textId="77777777">
        <w:trPr>
          <w:trHeight w:hRule="exact" w:val="257"/>
        </w:trPr>
        <w:tc>
          <w:tcPr>
            <w:tcW w:w="3071" w:type="dxa"/>
          </w:tcPr>
          <w:p w14:paraId="4EFF6B29" w14:textId="77777777" w:rsidR="004D3601" w:rsidRDefault="00817254">
            <w:pPr>
              <w:pStyle w:val="TableParagraph"/>
              <w:ind w:left="0"/>
              <w:rPr>
                <w:sz w:val="20"/>
              </w:rPr>
            </w:pPr>
            <w:r>
              <w:rPr>
                <w:sz w:val="20"/>
              </w:rPr>
              <w:t>IXL Software</w:t>
            </w:r>
          </w:p>
        </w:tc>
        <w:tc>
          <w:tcPr>
            <w:tcW w:w="1706" w:type="dxa"/>
          </w:tcPr>
          <w:p w14:paraId="37BEE23B" w14:textId="77777777" w:rsidR="004D3601" w:rsidRDefault="00817254">
            <w:pPr>
              <w:pStyle w:val="TableParagraph"/>
              <w:ind w:left="-1"/>
              <w:rPr>
                <w:sz w:val="20"/>
              </w:rPr>
            </w:pPr>
            <w:r>
              <w:rPr>
                <w:sz w:val="20"/>
              </w:rPr>
              <w:t>$15,000</w:t>
            </w:r>
          </w:p>
        </w:tc>
        <w:tc>
          <w:tcPr>
            <w:tcW w:w="5687" w:type="dxa"/>
          </w:tcPr>
          <w:p w14:paraId="30F9BF36" w14:textId="77777777" w:rsidR="004D3601" w:rsidRDefault="00817254">
            <w:pPr>
              <w:pStyle w:val="TableParagraph"/>
              <w:ind w:left="-1"/>
              <w:rPr>
                <w:sz w:val="20"/>
              </w:rPr>
            </w:pPr>
            <w:r>
              <w:rPr>
                <w:sz w:val="20"/>
              </w:rPr>
              <w:t>Instructional Materials, Equipment &amp; Technology</w:t>
            </w:r>
          </w:p>
        </w:tc>
      </w:tr>
      <w:tr w:rsidR="004D3601" w14:paraId="0D2878E0" w14:textId="77777777">
        <w:trPr>
          <w:trHeight w:hRule="exact" w:val="259"/>
        </w:trPr>
        <w:tc>
          <w:tcPr>
            <w:tcW w:w="3071" w:type="dxa"/>
            <w:tcBorders>
              <w:bottom w:val="single" w:sz="8" w:space="0" w:color="000000"/>
            </w:tcBorders>
          </w:tcPr>
          <w:p w14:paraId="61F93C70" w14:textId="77777777" w:rsidR="004D3601" w:rsidRDefault="00817254">
            <w:pPr>
              <w:pStyle w:val="TableParagraph"/>
              <w:ind w:left="0"/>
              <w:rPr>
                <w:sz w:val="20"/>
              </w:rPr>
            </w:pPr>
            <w:r>
              <w:rPr>
                <w:sz w:val="20"/>
              </w:rPr>
              <w:t>MVRCS Video Curriculum Project</w:t>
            </w:r>
          </w:p>
        </w:tc>
        <w:tc>
          <w:tcPr>
            <w:tcW w:w="1706" w:type="dxa"/>
            <w:tcBorders>
              <w:bottom w:val="single" w:sz="8" w:space="0" w:color="000000"/>
            </w:tcBorders>
          </w:tcPr>
          <w:p w14:paraId="31907353" w14:textId="77777777" w:rsidR="004D3601" w:rsidRDefault="00817254">
            <w:pPr>
              <w:pStyle w:val="TableParagraph"/>
              <w:ind w:left="-1"/>
              <w:rPr>
                <w:sz w:val="20"/>
              </w:rPr>
            </w:pPr>
            <w:r>
              <w:rPr>
                <w:sz w:val="20"/>
              </w:rPr>
              <w:t>$242,942.50</w:t>
            </w:r>
          </w:p>
        </w:tc>
        <w:tc>
          <w:tcPr>
            <w:tcW w:w="5687" w:type="dxa"/>
            <w:tcBorders>
              <w:bottom w:val="single" w:sz="8" w:space="0" w:color="000000"/>
            </w:tcBorders>
          </w:tcPr>
          <w:p w14:paraId="0DA4FA71" w14:textId="77777777" w:rsidR="004D3601" w:rsidRDefault="00817254">
            <w:pPr>
              <w:pStyle w:val="TableParagraph"/>
              <w:ind w:left="-1"/>
              <w:rPr>
                <w:sz w:val="20"/>
              </w:rPr>
            </w:pPr>
            <w:r>
              <w:rPr>
                <w:sz w:val="20"/>
              </w:rPr>
              <w:t>Instructional Materials, Equipment &amp; Technology</w:t>
            </w:r>
          </w:p>
        </w:tc>
      </w:tr>
      <w:tr w:rsidR="004D3601" w14:paraId="519025FF" w14:textId="77777777">
        <w:trPr>
          <w:trHeight w:hRule="exact" w:val="255"/>
        </w:trPr>
        <w:tc>
          <w:tcPr>
            <w:tcW w:w="4777" w:type="dxa"/>
            <w:gridSpan w:val="2"/>
            <w:tcBorders>
              <w:top w:val="single" w:sz="8" w:space="0" w:color="000000"/>
            </w:tcBorders>
            <w:shd w:val="clear" w:color="auto" w:fill="D9D9D9"/>
          </w:tcPr>
          <w:p w14:paraId="64B1E936" w14:textId="77777777" w:rsidR="004D3601" w:rsidRDefault="00817254">
            <w:pPr>
              <w:pStyle w:val="TableParagraph"/>
              <w:spacing w:before="0" w:line="229" w:lineRule="exact"/>
              <w:ind w:left="100"/>
              <w:rPr>
                <w:b/>
                <w:sz w:val="20"/>
              </w:rPr>
            </w:pPr>
            <w:r>
              <w:rPr>
                <w:b/>
                <w:sz w:val="20"/>
              </w:rPr>
              <w:t>Evidence-based program identified by the Department:</w:t>
            </w:r>
          </w:p>
        </w:tc>
        <w:tc>
          <w:tcPr>
            <w:tcW w:w="5687" w:type="dxa"/>
            <w:tcBorders>
              <w:top w:val="single" w:sz="8" w:space="0" w:color="000000"/>
            </w:tcBorders>
          </w:tcPr>
          <w:p w14:paraId="184CB388" w14:textId="77777777" w:rsidR="004D3601" w:rsidRDefault="00817254">
            <w:pPr>
              <w:pStyle w:val="TableParagraph"/>
              <w:spacing w:before="2"/>
              <w:ind w:left="-1"/>
              <w:rPr>
                <w:sz w:val="20"/>
              </w:rPr>
            </w:pPr>
            <w:r>
              <w:rPr>
                <w:sz w:val="20"/>
              </w:rPr>
              <w:t>Supporting educators to implement high-quality, aligned curriculum</w:t>
            </w:r>
          </w:p>
        </w:tc>
      </w:tr>
      <w:tr w:rsidR="004D3601" w14:paraId="544AA263" w14:textId="77777777">
        <w:trPr>
          <w:trHeight w:hRule="exact" w:val="257"/>
        </w:trPr>
        <w:tc>
          <w:tcPr>
            <w:tcW w:w="4777" w:type="dxa"/>
            <w:gridSpan w:val="2"/>
            <w:shd w:val="clear" w:color="auto" w:fill="D9D9D9"/>
          </w:tcPr>
          <w:p w14:paraId="220E8D51" w14:textId="77777777" w:rsidR="004D3601" w:rsidRDefault="00817254">
            <w:pPr>
              <w:pStyle w:val="TableParagraph"/>
              <w:ind w:left="100"/>
              <w:rPr>
                <w:b/>
                <w:sz w:val="20"/>
              </w:rPr>
            </w:pPr>
            <w:r>
              <w:rPr>
                <w:b/>
                <w:sz w:val="20"/>
              </w:rPr>
              <w:t>SOA program categories:</w:t>
            </w:r>
          </w:p>
        </w:tc>
        <w:tc>
          <w:tcPr>
            <w:tcW w:w="5687" w:type="dxa"/>
          </w:tcPr>
          <w:p w14:paraId="23502290" w14:textId="77777777" w:rsidR="004D3601" w:rsidRDefault="00817254">
            <w:pPr>
              <w:pStyle w:val="TableParagraph"/>
              <w:ind w:left="-1"/>
              <w:rPr>
                <w:sz w:val="20"/>
              </w:rPr>
            </w:pPr>
            <w:r>
              <w:rPr>
                <w:sz w:val="20"/>
              </w:rPr>
              <w:t>SOA Category F</w:t>
            </w:r>
          </w:p>
        </w:tc>
      </w:tr>
    </w:tbl>
    <w:p w14:paraId="4E449305" w14:textId="77777777" w:rsidR="004D3601" w:rsidRDefault="004D3601">
      <w:pPr>
        <w:pStyle w:val="BodyText"/>
        <w:spacing w:before="1"/>
        <w:rPr>
          <w:sz w:val="15"/>
        </w:rPr>
      </w:pPr>
    </w:p>
    <w:p w14:paraId="37C9059A" w14:textId="77777777" w:rsidR="004D3601" w:rsidRDefault="00817254">
      <w:pPr>
        <w:spacing w:before="60"/>
        <w:ind w:left="120"/>
        <w:rPr>
          <w:b/>
          <w:i/>
          <w:sz w:val="20"/>
        </w:rPr>
      </w:pPr>
      <w:r>
        <w:rPr>
          <w:b/>
          <w:sz w:val="20"/>
        </w:rPr>
        <w:t xml:space="preserve">Evidence-based program #3: Distribution of Pre-K Direct Instruction: </w:t>
      </w:r>
      <w:r>
        <w:rPr>
          <w:b/>
          <w:i/>
          <w:sz w:val="20"/>
        </w:rPr>
        <w:t>Teach Your Child to Read in 100 Easy Lessons</w:t>
      </w:r>
    </w:p>
    <w:p w14:paraId="35E8B62B" w14:textId="77777777" w:rsidR="004D3601" w:rsidRDefault="00817254">
      <w:pPr>
        <w:pStyle w:val="BodyText"/>
        <w:ind w:left="120" w:right="369"/>
      </w:pPr>
      <w:r>
        <w:t xml:space="preserve">MVRCS has created a video-based program to complement the </w:t>
      </w:r>
      <w:r>
        <w:rPr>
          <w:i/>
        </w:rPr>
        <w:t xml:space="preserve">Teach Your Child to Read in 100 Easy Lessons </w:t>
      </w:r>
      <w:r>
        <w:t>program, authored by DI founder Siegfri</w:t>
      </w:r>
      <w:r>
        <w:t>ed Engelmann. The school has recently made this program available to anyone who has requested access to it, prioritizing pre-K-aged students within MVRCS’s sending districts.</w:t>
      </w:r>
    </w:p>
    <w:p w14:paraId="3BA16590" w14:textId="77777777" w:rsidR="004D3601" w:rsidRDefault="004D3601">
      <w:pPr>
        <w:pStyle w:val="BodyText"/>
        <w:spacing w:before="11"/>
        <w:rPr>
          <w:sz w:val="19"/>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1706"/>
        <w:gridCol w:w="5687"/>
      </w:tblGrid>
      <w:tr w:rsidR="004D3601" w14:paraId="619E22D8" w14:textId="77777777">
        <w:trPr>
          <w:trHeight w:hRule="exact" w:val="252"/>
        </w:trPr>
        <w:tc>
          <w:tcPr>
            <w:tcW w:w="3071" w:type="dxa"/>
            <w:shd w:val="clear" w:color="auto" w:fill="D9D9D9"/>
          </w:tcPr>
          <w:p w14:paraId="39C22C44" w14:textId="77777777" w:rsidR="004D3601" w:rsidRDefault="00817254">
            <w:pPr>
              <w:pStyle w:val="TableParagraph"/>
              <w:spacing w:before="0" w:line="229" w:lineRule="exact"/>
              <w:ind w:left="100"/>
              <w:rPr>
                <w:b/>
                <w:sz w:val="20"/>
              </w:rPr>
            </w:pPr>
            <w:r>
              <w:rPr>
                <w:b/>
                <w:sz w:val="20"/>
              </w:rPr>
              <w:t>FY21 budget item</w:t>
            </w:r>
          </w:p>
        </w:tc>
        <w:tc>
          <w:tcPr>
            <w:tcW w:w="1706" w:type="dxa"/>
            <w:shd w:val="clear" w:color="auto" w:fill="D9D9D9"/>
          </w:tcPr>
          <w:p w14:paraId="6928F635" w14:textId="77777777" w:rsidR="004D3601" w:rsidRDefault="00817254">
            <w:pPr>
              <w:pStyle w:val="TableParagraph"/>
              <w:spacing w:before="0" w:line="229" w:lineRule="exact"/>
              <w:rPr>
                <w:b/>
                <w:sz w:val="20"/>
              </w:rPr>
            </w:pPr>
            <w:r>
              <w:rPr>
                <w:b/>
                <w:sz w:val="20"/>
              </w:rPr>
              <w:t>Amount</w:t>
            </w:r>
          </w:p>
        </w:tc>
        <w:tc>
          <w:tcPr>
            <w:tcW w:w="5687" w:type="dxa"/>
            <w:shd w:val="clear" w:color="auto" w:fill="D9D9D9"/>
          </w:tcPr>
          <w:p w14:paraId="637A305C" w14:textId="77777777" w:rsidR="004D3601" w:rsidRDefault="00817254">
            <w:pPr>
              <w:pStyle w:val="TableParagraph"/>
              <w:spacing w:before="0" w:line="229" w:lineRule="exact"/>
              <w:ind w:left="105"/>
              <w:rPr>
                <w:b/>
                <w:sz w:val="20"/>
              </w:rPr>
            </w:pPr>
            <w:r>
              <w:rPr>
                <w:b/>
                <w:sz w:val="20"/>
              </w:rPr>
              <w:t>Foundation Category</w:t>
            </w:r>
          </w:p>
        </w:tc>
      </w:tr>
      <w:tr w:rsidR="004D3601" w14:paraId="20B0FA26" w14:textId="77777777">
        <w:trPr>
          <w:trHeight w:hRule="exact" w:val="262"/>
        </w:trPr>
        <w:tc>
          <w:tcPr>
            <w:tcW w:w="3071" w:type="dxa"/>
            <w:tcBorders>
              <w:bottom w:val="single" w:sz="8" w:space="0" w:color="000000"/>
            </w:tcBorders>
          </w:tcPr>
          <w:p w14:paraId="0AABA81E" w14:textId="77777777" w:rsidR="004D3601" w:rsidRDefault="00817254">
            <w:pPr>
              <w:pStyle w:val="TableParagraph"/>
              <w:ind w:left="0"/>
              <w:rPr>
                <w:sz w:val="20"/>
              </w:rPr>
            </w:pPr>
            <w:r>
              <w:rPr>
                <w:sz w:val="20"/>
              </w:rPr>
              <w:t>MVRCS Parent &amp; Community</w:t>
            </w:r>
          </w:p>
        </w:tc>
        <w:tc>
          <w:tcPr>
            <w:tcW w:w="1706" w:type="dxa"/>
            <w:tcBorders>
              <w:bottom w:val="single" w:sz="8" w:space="0" w:color="000000"/>
            </w:tcBorders>
          </w:tcPr>
          <w:p w14:paraId="765D2CBC" w14:textId="77777777" w:rsidR="004D3601" w:rsidRDefault="00817254">
            <w:pPr>
              <w:pStyle w:val="TableParagraph"/>
              <w:ind w:left="-1"/>
              <w:rPr>
                <w:sz w:val="20"/>
              </w:rPr>
            </w:pPr>
            <w:r>
              <w:rPr>
                <w:sz w:val="20"/>
              </w:rPr>
              <w:t>$14,000</w:t>
            </w:r>
          </w:p>
        </w:tc>
        <w:tc>
          <w:tcPr>
            <w:tcW w:w="5687" w:type="dxa"/>
            <w:tcBorders>
              <w:bottom w:val="single" w:sz="8" w:space="0" w:color="000000"/>
            </w:tcBorders>
          </w:tcPr>
          <w:p w14:paraId="6F8A1E15" w14:textId="77777777" w:rsidR="004D3601" w:rsidRDefault="00817254">
            <w:pPr>
              <w:pStyle w:val="TableParagraph"/>
              <w:ind w:left="-1"/>
              <w:rPr>
                <w:sz w:val="20"/>
              </w:rPr>
            </w:pPr>
            <w:r>
              <w:rPr>
                <w:sz w:val="20"/>
              </w:rPr>
              <w:t>Instructional Materials, Equipment &amp; Technology</w:t>
            </w:r>
          </w:p>
        </w:tc>
      </w:tr>
      <w:tr w:rsidR="004D3601" w14:paraId="6B5C58CC" w14:textId="77777777">
        <w:trPr>
          <w:trHeight w:hRule="exact" w:val="540"/>
        </w:trPr>
        <w:tc>
          <w:tcPr>
            <w:tcW w:w="4777" w:type="dxa"/>
            <w:gridSpan w:val="2"/>
            <w:tcBorders>
              <w:top w:val="single" w:sz="8" w:space="0" w:color="000000"/>
            </w:tcBorders>
            <w:shd w:val="clear" w:color="auto" w:fill="D9D9D9"/>
          </w:tcPr>
          <w:p w14:paraId="40795AA6" w14:textId="77777777" w:rsidR="004D3601" w:rsidRDefault="00817254">
            <w:pPr>
              <w:pStyle w:val="TableParagraph"/>
              <w:spacing w:before="0" w:line="229" w:lineRule="exact"/>
              <w:ind w:left="100"/>
              <w:rPr>
                <w:b/>
                <w:sz w:val="20"/>
              </w:rPr>
            </w:pPr>
            <w:r>
              <w:rPr>
                <w:b/>
                <w:sz w:val="20"/>
              </w:rPr>
              <w:t>Evidence-based program identified by the Department:</w:t>
            </w:r>
          </w:p>
        </w:tc>
        <w:tc>
          <w:tcPr>
            <w:tcW w:w="5687" w:type="dxa"/>
            <w:tcBorders>
              <w:top w:val="single" w:sz="8" w:space="0" w:color="000000"/>
            </w:tcBorders>
          </w:tcPr>
          <w:p w14:paraId="0A9759CA" w14:textId="77777777" w:rsidR="004D3601" w:rsidRDefault="00817254">
            <w:pPr>
              <w:pStyle w:val="TableParagraph"/>
              <w:spacing w:line="256" w:lineRule="auto"/>
              <w:ind w:left="-1" w:right="35"/>
              <w:rPr>
                <w:sz w:val="20"/>
              </w:rPr>
            </w:pPr>
            <w:r>
              <w:rPr>
                <w:sz w:val="20"/>
              </w:rPr>
              <w:t>Research-based early literacy programs in pre-kindergarten and early elementary grades</w:t>
            </w:r>
          </w:p>
        </w:tc>
      </w:tr>
      <w:tr w:rsidR="004D3601" w14:paraId="69A85E80" w14:textId="77777777">
        <w:trPr>
          <w:trHeight w:hRule="exact" w:val="257"/>
        </w:trPr>
        <w:tc>
          <w:tcPr>
            <w:tcW w:w="4777" w:type="dxa"/>
            <w:gridSpan w:val="2"/>
            <w:shd w:val="clear" w:color="auto" w:fill="D9D9D9"/>
          </w:tcPr>
          <w:p w14:paraId="50C76FB6" w14:textId="77777777" w:rsidR="004D3601" w:rsidRDefault="00817254">
            <w:pPr>
              <w:pStyle w:val="TableParagraph"/>
              <w:ind w:left="100"/>
              <w:rPr>
                <w:b/>
                <w:sz w:val="20"/>
              </w:rPr>
            </w:pPr>
            <w:r>
              <w:rPr>
                <w:b/>
                <w:sz w:val="20"/>
              </w:rPr>
              <w:t>SOA program categories:</w:t>
            </w:r>
          </w:p>
        </w:tc>
        <w:tc>
          <w:tcPr>
            <w:tcW w:w="5687" w:type="dxa"/>
          </w:tcPr>
          <w:p w14:paraId="0E157EA6" w14:textId="77777777" w:rsidR="004D3601" w:rsidRDefault="00817254">
            <w:pPr>
              <w:pStyle w:val="TableParagraph"/>
              <w:ind w:left="-1"/>
              <w:rPr>
                <w:sz w:val="20"/>
              </w:rPr>
            </w:pPr>
            <w:r>
              <w:rPr>
                <w:sz w:val="20"/>
              </w:rPr>
              <w:t>SOA Category G</w:t>
            </w:r>
          </w:p>
        </w:tc>
      </w:tr>
    </w:tbl>
    <w:p w14:paraId="7B3E372D" w14:textId="77777777" w:rsidR="004D3601" w:rsidRDefault="004D3601">
      <w:pPr>
        <w:pStyle w:val="BodyText"/>
      </w:pPr>
    </w:p>
    <w:p w14:paraId="1CD7C205" w14:textId="77777777" w:rsidR="004D3601" w:rsidRDefault="00817254">
      <w:pPr>
        <w:pStyle w:val="Heading2"/>
        <w:ind w:left="120"/>
      </w:pPr>
      <w:r>
        <w:t>Evidence-based program #4: Faculty Recruitment Efforts</w:t>
      </w:r>
    </w:p>
    <w:p w14:paraId="1C3AF948" w14:textId="77777777" w:rsidR="004D3601" w:rsidRDefault="00817254">
      <w:pPr>
        <w:pStyle w:val="BodyText"/>
        <w:ind w:left="120" w:right="249"/>
      </w:pPr>
      <w:r>
        <w:t xml:space="preserve">MVRCS is a member of </w:t>
      </w:r>
      <w:proofErr w:type="spellStart"/>
      <w:r>
        <w:t>Nemnet</w:t>
      </w:r>
      <w:proofErr w:type="spellEnd"/>
      <w:r>
        <w:t xml:space="preserve"> Minority Recruitment, which is a “national resource organization committed to assisting schools and organizations in the recruitment and retention of diverse teachers, administrators and coaches</w:t>
      </w:r>
      <w:r>
        <w:rPr>
          <w:i/>
        </w:rPr>
        <w:t xml:space="preserve">.” </w:t>
      </w:r>
      <w:r>
        <w:t>MVRCS continues to use this rel</w:t>
      </w:r>
      <w:r>
        <w:t>ationship to gain access to diverse talent in the Greater Boston Area and beyond.</w:t>
      </w:r>
    </w:p>
    <w:p w14:paraId="1D7A133A" w14:textId="77777777" w:rsidR="004D3601" w:rsidRDefault="004D3601">
      <w:pPr>
        <w:pStyle w:val="BodyText"/>
        <w:spacing w:before="11"/>
        <w:rPr>
          <w:sz w:val="19"/>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1706"/>
        <w:gridCol w:w="5687"/>
      </w:tblGrid>
      <w:tr w:rsidR="004D3601" w14:paraId="5A108878" w14:textId="77777777">
        <w:trPr>
          <w:trHeight w:hRule="exact" w:val="252"/>
        </w:trPr>
        <w:tc>
          <w:tcPr>
            <w:tcW w:w="3071" w:type="dxa"/>
            <w:shd w:val="clear" w:color="auto" w:fill="D9D9D9"/>
          </w:tcPr>
          <w:p w14:paraId="6F406A44" w14:textId="77777777" w:rsidR="004D3601" w:rsidRDefault="00817254">
            <w:pPr>
              <w:pStyle w:val="TableParagraph"/>
              <w:ind w:left="108"/>
              <w:rPr>
                <w:b/>
                <w:sz w:val="20"/>
              </w:rPr>
            </w:pPr>
            <w:r>
              <w:rPr>
                <w:b/>
                <w:sz w:val="20"/>
              </w:rPr>
              <w:t>FY21 budget item</w:t>
            </w:r>
          </w:p>
        </w:tc>
        <w:tc>
          <w:tcPr>
            <w:tcW w:w="1706" w:type="dxa"/>
            <w:shd w:val="clear" w:color="auto" w:fill="D9D9D9"/>
          </w:tcPr>
          <w:p w14:paraId="15399683" w14:textId="77777777" w:rsidR="004D3601" w:rsidRDefault="00817254">
            <w:pPr>
              <w:pStyle w:val="TableParagraph"/>
              <w:ind w:left="107"/>
              <w:rPr>
                <w:b/>
                <w:sz w:val="20"/>
              </w:rPr>
            </w:pPr>
            <w:r>
              <w:rPr>
                <w:b/>
                <w:sz w:val="20"/>
              </w:rPr>
              <w:t>Amount</w:t>
            </w:r>
          </w:p>
        </w:tc>
        <w:tc>
          <w:tcPr>
            <w:tcW w:w="5687" w:type="dxa"/>
            <w:shd w:val="clear" w:color="auto" w:fill="D9D9D9"/>
          </w:tcPr>
          <w:p w14:paraId="5D4FD0F7" w14:textId="77777777" w:rsidR="004D3601" w:rsidRDefault="00817254">
            <w:pPr>
              <w:pStyle w:val="TableParagraph"/>
              <w:ind w:left="107"/>
              <w:rPr>
                <w:b/>
                <w:sz w:val="20"/>
              </w:rPr>
            </w:pPr>
            <w:r>
              <w:rPr>
                <w:b/>
                <w:sz w:val="20"/>
              </w:rPr>
              <w:t>Foundation Category</w:t>
            </w:r>
          </w:p>
        </w:tc>
      </w:tr>
      <w:tr w:rsidR="004D3601" w14:paraId="3AA18670" w14:textId="77777777">
        <w:trPr>
          <w:trHeight w:hRule="exact" w:val="262"/>
        </w:trPr>
        <w:tc>
          <w:tcPr>
            <w:tcW w:w="3071" w:type="dxa"/>
            <w:tcBorders>
              <w:bottom w:val="single" w:sz="8" w:space="0" w:color="000000"/>
            </w:tcBorders>
          </w:tcPr>
          <w:p w14:paraId="47503D48" w14:textId="77777777" w:rsidR="004D3601" w:rsidRDefault="00817254">
            <w:pPr>
              <w:pStyle w:val="TableParagraph"/>
              <w:ind w:left="108"/>
              <w:rPr>
                <w:sz w:val="20"/>
              </w:rPr>
            </w:pPr>
            <w:proofErr w:type="spellStart"/>
            <w:r>
              <w:rPr>
                <w:sz w:val="20"/>
              </w:rPr>
              <w:t>Nemnet</w:t>
            </w:r>
            <w:proofErr w:type="spellEnd"/>
            <w:r>
              <w:rPr>
                <w:sz w:val="20"/>
              </w:rPr>
              <w:t xml:space="preserve"> Membership</w:t>
            </w:r>
          </w:p>
        </w:tc>
        <w:tc>
          <w:tcPr>
            <w:tcW w:w="1706" w:type="dxa"/>
            <w:tcBorders>
              <w:bottom w:val="single" w:sz="8" w:space="0" w:color="000000"/>
            </w:tcBorders>
          </w:tcPr>
          <w:p w14:paraId="6C4BDD41" w14:textId="77777777" w:rsidR="004D3601" w:rsidRDefault="00817254">
            <w:pPr>
              <w:pStyle w:val="TableParagraph"/>
              <w:ind w:left="-1"/>
              <w:rPr>
                <w:sz w:val="20"/>
              </w:rPr>
            </w:pPr>
            <w:r>
              <w:rPr>
                <w:sz w:val="20"/>
              </w:rPr>
              <w:t>$5,000</w:t>
            </w:r>
          </w:p>
        </w:tc>
        <w:tc>
          <w:tcPr>
            <w:tcW w:w="5687" w:type="dxa"/>
            <w:tcBorders>
              <w:bottom w:val="single" w:sz="8" w:space="0" w:color="000000"/>
            </w:tcBorders>
          </w:tcPr>
          <w:p w14:paraId="3573E83F" w14:textId="77777777" w:rsidR="004D3601" w:rsidRDefault="00817254">
            <w:pPr>
              <w:pStyle w:val="TableParagraph"/>
              <w:ind w:left="107"/>
              <w:rPr>
                <w:sz w:val="20"/>
              </w:rPr>
            </w:pPr>
            <w:r>
              <w:rPr>
                <w:sz w:val="20"/>
              </w:rPr>
              <w:t>Administration</w:t>
            </w:r>
          </w:p>
        </w:tc>
      </w:tr>
      <w:tr w:rsidR="004D3601" w14:paraId="406107FB" w14:textId="77777777">
        <w:trPr>
          <w:trHeight w:hRule="exact" w:val="500"/>
        </w:trPr>
        <w:tc>
          <w:tcPr>
            <w:tcW w:w="4777" w:type="dxa"/>
            <w:gridSpan w:val="2"/>
            <w:tcBorders>
              <w:top w:val="single" w:sz="8" w:space="0" w:color="000000"/>
            </w:tcBorders>
            <w:shd w:val="clear" w:color="auto" w:fill="D9D9D9"/>
          </w:tcPr>
          <w:p w14:paraId="61AF5073" w14:textId="77777777" w:rsidR="004D3601" w:rsidRDefault="00817254">
            <w:pPr>
              <w:pStyle w:val="TableParagraph"/>
              <w:ind w:left="108"/>
              <w:rPr>
                <w:b/>
                <w:sz w:val="20"/>
              </w:rPr>
            </w:pPr>
            <w:r>
              <w:rPr>
                <w:b/>
                <w:sz w:val="20"/>
              </w:rPr>
              <w:t>Evidence-based program identified by the Department:</w:t>
            </w:r>
          </w:p>
        </w:tc>
        <w:tc>
          <w:tcPr>
            <w:tcW w:w="5687" w:type="dxa"/>
            <w:tcBorders>
              <w:top w:val="single" w:sz="8" w:space="0" w:color="000000"/>
            </w:tcBorders>
          </w:tcPr>
          <w:p w14:paraId="1DAE3CD9" w14:textId="77777777" w:rsidR="004D3601" w:rsidRDefault="00817254">
            <w:pPr>
              <w:pStyle w:val="TableParagraph"/>
              <w:ind w:left="107"/>
              <w:rPr>
                <w:sz w:val="20"/>
              </w:rPr>
            </w:pPr>
            <w:r>
              <w:rPr>
                <w:sz w:val="20"/>
              </w:rPr>
              <w:t>Diversifying the educator/administrator workforce through recruitment and retention</w:t>
            </w:r>
          </w:p>
        </w:tc>
      </w:tr>
      <w:tr w:rsidR="004D3601" w14:paraId="46286314" w14:textId="77777777">
        <w:trPr>
          <w:trHeight w:hRule="exact" w:val="256"/>
        </w:trPr>
        <w:tc>
          <w:tcPr>
            <w:tcW w:w="4777" w:type="dxa"/>
            <w:gridSpan w:val="2"/>
            <w:shd w:val="clear" w:color="auto" w:fill="D9D9D9"/>
          </w:tcPr>
          <w:p w14:paraId="657BF608" w14:textId="77777777" w:rsidR="004D3601" w:rsidRDefault="00817254">
            <w:pPr>
              <w:pStyle w:val="TableParagraph"/>
              <w:spacing w:before="0"/>
              <w:ind w:left="108"/>
              <w:rPr>
                <w:b/>
                <w:sz w:val="20"/>
              </w:rPr>
            </w:pPr>
            <w:r>
              <w:rPr>
                <w:b/>
                <w:sz w:val="20"/>
              </w:rPr>
              <w:t>SOA program categories:</w:t>
            </w:r>
          </w:p>
        </w:tc>
        <w:tc>
          <w:tcPr>
            <w:tcW w:w="5687" w:type="dxa"/>
          </w:tcPr>
          <w:p w14:paraId="5F9A868B" w14:textId="77777777" w:rsidR="004D3601" w:rsidRDefault="00817254">
            <w:pPr>
              <w:pStyle w:val="TableParagraph"/>
              <w:spacing w:before="0"/>
              <w:ind w:left="107"/>
              <w:rPr>
                <w:sz w:val="20"/>
              </w:rPr>
            </w:pPr>
            <w:r>
              <w:rPr>
                <w:sz w:val="20"/>
              </w:rPr>
              <w:t>SOA Category H</w:t>
            </w:r>
          </w:p>
        </w:tc>
      </w:tr>
    </w:tbl>
    <w:p w14:paraId="166DD547" w14:textId="77777777" w:rsidR="004D3601" w:rsidRDefault="004D3601">
      <w:pPr>
        <w:pStyle w:val="BodyText"/>
        <w:spacing w:before="1"/>
        <w:rPr>
          <w:sz w:val="27"/>
        </w:rPr>
      </w:pPr>
    </w:p>
    <w:p w14:paraId="0E9BC48F" w14:textId="77777777" w:rsidR="004D3601" w:rsidRDefault="00817254">
      <w:pPr>
        <w:pStyle w:val="Heading1"/>
        <w:ind w:left="227"/>
      </w:pPr>
      <w:r>
        <w:rPr>
          <w:rFonts w:ascii="Microsoft Sans Serif" w:hAnsi="Microsoft Sans Serif"/>
          <w:b w:val="0"/>
          <w:color w:val="2C74B5"/>
        </w:rPr>
        <w:t xml:space="preserve">→ </w:t>
      </w:r>
      <w:r>
        <w:rPr>
          <w:color w:val="2C74B5"/>
        </w:rPr>
        <w:t>Commitment 3: Monitoring Success with Outcome Metrics and Targets</w:t>
      </w:r>
    </w:p>
    <w:p w14:paraId="08D06B88" w14:textId="77777777" w:rsidR="004D3601" w:rsidRDefault="00817254">
      <w:pPr>
        <w:pStyle w:val="Heading2"/>
        <w:spacing w:before="147"/>
        <w:ind w:left="227" w:right="1345"/>
      </w:pPr>
      <w:r>
        <w:rPr>
          <w:color w:val="1F3862"/>
        </w:rPr>
        <w:t>What metrics will your charter school use to monitor success in reducing disparities in achievement among student subgroups? Select from the list of Department metrics or provide your own.</w:t>
      </w:r>
    </w:p>
    <w:p w14:paraId="3EBA021E" w14:textId="77777777" w:rsidR="004D3601" w:rsidRDefault="004D3601">
      <w:pPr>
        <w:pStyle w:val="BodyText"/>
        <w:spacing w:before="6"/>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2"/>
        <w:gridCol w:w="5221"/>
      </w:tblGrid>
      <w:tr w:rsidR="004D3601" w14:paraId="493D2325" w14:textId="77777777">
        <w:trPr>
          <w:trHeight w:hRule="exact" w:val="1910"/>
        </w:trPr>
        <w:tc>
          <w:tcPr>
            <w:tcW w:w="5672" w:type="dxa"/>
          </w:tcPr>
          <w:p w14:paraId="00F01E35" w14:textId="77777777" w:rsidR="004D3601" w:rsidRDefault="00817254">
            <w:pPr>
              <w:pStyle w:val="TableParagraph"/>
              <w:numPr>
                <w:ilvl w:val="0"/>
                <w:numId w:val="2"/>
              </w:numPr>
              <w:tabs>
                <w:tab w:val="left" w:pos="442"/>
              </w:tabs>
              <w:spacing w:before="0" w:line="196" w:lineRule="exact"/>
              <w:ind w:hanging="242"/>
              <w:rPr>
                <w:b/>
                <w:sz w:val="20"/>
              </w:rPr>
            </w:pPr>
            <w:r>
              <w:rPr>
                <w:b/>
                <w:sz w:val="20"/>
              </w:rPr>
              <w:t>Department outcome</w:t>
            </w:r>
            <w:r>
              <w:rPr>
                <w:b/>
                <w:spacing w:val="-26"/>
                <w:sz w:val="20"/>
              </w:rPr>
              <w:t xml:space="preserve"> </w:t>
            </w:r>
            <w:r>
              <w:rPr>
                <w:b/>
                <w:sz w:val="20"/>
              </w:rPr>
              <w:t>metrics:</w:t>
            </w:r>
          </w:p>
          <w:p w14:paraId="16C37A8C" w14:textId="77777777" w:rsidR="004D3601" w:rsidRDefault="00817254">
            <w:pPr>
              <w:pStyle w:val="TableParagraph"/>
              <w:numPr>
                <w:ilvl w:val="1"/>
                <w:numId w:val="2"/>
              </w:numPr>
              <w:tabs>
                <w:tab w:val="left" w:pos="800"/>
              </w:tabs>
              <w:spacing w:before="17" w:line="268" w:lineRule="exact"/>
              <w:ind w:right="136"/>
              <w:rPr>
                <w:sz w:val="20"/>
              </w:rPr>
            </w:pPr>
            <w:r>
              <w:rPr>
                <w:sz w:val="20"/>
              </w:rPr>
              <w:t>MCAS student achievement (both absolute and growth)</w:t>
            </w:r>
            <w:r>
              <w:rPr>
                <w:spacing w:val="-20"/>
                <w:sz w:val="20"/>
              </w:rPr>
              <w:t xml:space="preserve"> </w:t>
            </w:r>
            <w:r>
              <w:rPr>
                <w:sz w:val="20"/>
              </w:rPr>
              <w:t>in Grades 3 and 10, ELA and Mathematics, defined as</w:t>
            </w:r>
            <w:r>
              <w:rPr>
                <w:spacing w:val="-19"/>
                <w:sz w:val="20"/>
              </w:rPr>
              <w:t xml:space="preserve"> </w:t>
            </w:r>
            <w:r>
              <w:rPr>
                <w:sz w:val="20"/>
              </w:rPr>
              <w:t>the</w:t>
            </w:r>
          </w:p>
          <w:p w14:paraId="6441158A" w14:textId="77777777" w:rsidR="004D3601" w:rsidRDefault="00817254">
            <w:pPr>
              <w:pStyle w:val="TableParagraph"/>
              <w:spacing w:before="27" w:line="264" w:lineRule="auto"/>
              <w:ind w:left="799"/>
              <w:rPr>
                <w:sz w:val="20"/>
              </w:rPr>
            </w:pPr>
            <w:r>
              <w:rPr>
                <w:sz w:val="20"/>
              </w:rPr>
              <w:t>combined percentage of students scoring the Meeting or Exceeding Grade-Level Expectations categories.</w:t>
            </w:r>
          </w:p>
          <w:p w14:paraId="2FE43BD1" w14:textId="77777777" w:rsidR="004D3601" w:rsidRDefault="00817254">
            <w:pPr>
              <w:pStyle w:val="TableParagraph"/>
              <w:numPr>
                <w:ilvl w:val="1"/>
                <w:numId w:val="2"/>
              </w:numPr>
              <w:tabs>
                <w:tab w:val="left" w:pos="800"/>
              </w:tabs>
              <w:spacing w:before="0" w:line="244" w:lineRule="exact"/>
              <w:rPr>
                <w:sz w:val="20"/>
              </w:rPr>
            </w:pPr>
            <w:r>
              <w:rPr>
                <w:sz w:val="20"/>
              </w:rPr>
              <w:t>Percentage of diverse staff members, along with</w:t>
            </w:r>
            <w:r>
              <w:rPr>
                <w:spacing w:val="-18"/>
                <w:sz w:val="20"/>
              </w:rPr>
              <w:t xml:space="preserve"> </w:t>
            </w:r>
            <w:r>
              <w:rPr>
                <w:sz w:val="20"/>
              </w:rPr>
              <w:t>annual</w:t>
            </w:r>
          </w:p>
          <w:p w14:paraId="61D799A4" w14:textId="77777777" w:rsidR="004D3601" w:rsidRDefault="00817254">
            <w:pPr>
              <w:pStyle w:val="TableParagraph"/>
              <w:spacing w:before="25"/>
              <w:ind w:left="799"/>
              <w:rPr>
                <w:sz w:val="20"/>
              </w:rPr>
            </w:pPr>
            <w:r>
              <w:rPr>
                <w:sz w:val="20"/>
              </w:rPr>
              <w:t>comparisons to sending districts and the state.</w:t>
            </w:r>
          </w:p>
        </w:tc>
        <w:tc>
          <w:tcPr>
            <w:tcW w:w="5221" w:type="dxa"/>
          </w:tcPr>
          <w:p w14:paraId="272E04D1" w14:textId="77777777" w:rsidR="004D3601" w:rsidRDefault="00817254">
            <w:pPr>
              <w:pStyle w:val="TableParagraph"/>
              <w:numPr>
                <w:ilvl w:val="0"/>
                <w:numId w:val="1"/>
              </w:numPr>
              <w:tabs>
                <w:tab w:val="left" w:pos="392"/>
              </w:tabs>
              <w:spacing w:before="0" w:line="196" w:lineRule="exact"/>
              <w:rPr>
                <w:b/>
                <w:sz w:val="20"/>
              </w:rPr>
            </w:pPr>
            <w:r>
              <w:rPr>
                <w:b/>
                <w:sz w:val="20"/>
              </w:rPr>
              <w:t>Custom</w:t>
            </w:r>
            <w:r>
              <w:rPr>
                <w:b/>
                <w:spacing w:val="-6"/>
                <w:sz w:val="20"/>
              </w:rPr>
              <w:t xml:space="preserve"> </w:t>
            </w:r>
            <w:r>
              <w:rPr>
                <w:b/>
                <w:sz w:val="20"/>
              </w:rPr>
              <w:t>metrics</w:t>
            </w:r>
          </w:p>
          <w:p w14:paraId="2B7B9068" w14:textId="77777777" w:rsidR="004D3601" w:rsidRDefault="00817254">
            <w:pPr>
              <w:pStyle w:val="TableParagraph"/>
              <w:numPr>
                <w:ilvl w:val="1"/>
                <w:numId w:val="1"/>
              </w:numPr>
              <w:tabs>
                <w:tab w:val="left" w:pos="800"/>
              </w:tabs>
              <w:spacing w:before="17" w:line="268" w:lineRule="exact"/>
              <w:ind w:right="244"/>
              <w:rPr>
                <w:sz w:val="20"/>
              </w:rPr>
            </w:pPr>
            <w:r>
              <w:rPr>
                <w:sz w:val="20"/>
              </w:rPr>
              <w:t>Iowa Assessments results (external assessment)</w:t>
            </w:r>
            <w:r>
              <w:rPr>
                <w:spacing w:val="-19"/>
                <w:sz w:val="20"/>
              </w:rPr>
              <w:t xml:space="preserve"> </w:t>
            </w:r>
            <w:r>
              <w:rPr>
                <w:sz w:val="20"/>
              </w:rPr>
              <w:t>for Grades 3 and 9. Of particular interest will</w:t>
            </w:r>
            <w:r>
              <w:rPr>
                <w:spacing w:val="-16"/>
                <w:sz w:val="20"/>
              </w:rPr>
              <w:t xml:space="preserve"> </w:t>
            </w:r>
            <w:proofErr w:type="gramStart"/>
            <w:r>
              <w:rPr>
                <w:sz w:val="20"/>
              </w:rPr>
              <w:t>be</w:t>
            </w:r>
            <w:proofErr w:type="gramEnd"/>
          </w:p>
          <w:p w14:paraId="3E5FAE63" w14:textId="77777777" w:rsidR="004D3601" w:rsidRDefault="00817254">
            <w:pPr>
              <w:pStyle w:val="TableParagraph"/>
              <w:spacing w:before="27" w:line="264" w:lineRule="auto"/>
              <w:ind w:left="799" w:right="11"/>
              <w:rPr>
                <w:sz w:val="20"/>
              </w:rPr>
            </w:pPr>
            <w:r>
              <w:rPr>
                <w:sz w:val="20"/>
              </w:rPr>
              <w:t xml:space="preserve">results/growth in Reading and Mathematics </w:t>
            </w:r>
            <w:proofErr w:type="spellStart"/>
            <w:r>
              <w:rPr>
                <w:sz w:val="20"/>
              </w:rPr>
              <w:t>subscores</w:t>
            </w:r>
            <w:proofErr w:type="spellEnd"/>
            <w:r>
              <w:rPr>
                <w:sz w:val="20"/>
              </w:rPr>
              <w:t>, along with the Core Total metric.</w:t>
            </w:r>
          </w:p>
          <w:p w14:paraId="77B1E62D" w14:textId="77777777" w:rsidR="004D3601" w:rsidRDefault="00817254">
            <w:pPr>
              <w:pStyle w:val="TableParagraph"/>
              <w:numPr>
                <w:ilvl w:val="1"/>
                <w:numId w:val="1"/>
              </w:numPr>
              <w:tabs>
                <w:tab w:val="left" w:pos="800"/>
              </w:tabs>
              <w:spacing w:before="0" w:line="244" w:lineRule="exact"/>
              <w:rPr>
                <w:sz w:val="20"/>
              </w:rPr>
            </w:pPr>
            <w:r>
              <w:rPr>
                <w:sz w:val="20"/>
              </w:rPr>
              <w:t>Percentage of students enrolled in</w:t>
            </w:r>
            <w:r>
              <w:rPr>
                <w:spacing w:val="-15"/>
                <w:sz w:val="20"/>
              </w:rPr>
              <w:t xml:space="preserve"> </w:t>
            </w:r>
            <w:proofErr w:type="gramStart"/>
            <w:r>
              <w:rPr>
                <w:sz w:val="20"/>
              </w:rPr>
              <w:t>advanced</w:t>
            </w:r>
            <w:proofErr w:type="gramEnd"/>
          </w:p>
          <w:p w14:paraId="7ED840DC" w14:textId="77777777" w:rsidR="004D3601" w:rsidRDefault="00817254">
            <w:pPr>
              <w:pStyle w:val="TableParagraph"/>
              <w:spacing w:before="25"/>
              <w:ind w:left="799"/>
              <w:rPr>
                <w:sz w:val="20"/>
              </w:rPr>
            </w:pPr>
            <w:r>
              <w:rPr>
                <w:sz w:val="20"/>
              </w:rPr>
              <w:t>coursework (IB).</w:t>
            </w:r>
          </w:p>
        </w:tc>
      </w:tr>
    </w:tbl>
    <w:p w14:paraId="497A1995" w14:textId="77777777" w:rsidR="004D3601" w:rsidRDefault="004D3601">
      <w:pPr>
        <w:pStyle w:val="BodyText"/>
        <w:rPr>
          <w:b/>
        </w:rPr>
      </w:pPr>
    </w:p>
    <w:p w14:paraId="6C344C7B" w14:textId="77777777" w:rsidR="004D3601" w:rsidRDefault="00817254">
      <w:pPr>
        <w:spacing w:before="132"/>
        <w:ind w:left="227"/>
        <w:rPr>
          <w:b/>
          <w:sz w:val="26"/>
        </w:rPr>
      </w:pPr>
      <w:r>
        <w:rPr>
          <w:rFonts w:ascii="Microsoft Sans Serif" w:hAnsi="Microsoft Sans Serif"/>
          <w:color w:val="2C74B5"/>
          <w:sz w:val="26"/>
        </w:rPr>
        <w:t xml:space="preserve">→ </w:t>
      </w:r>
      <w:r>
        <w:rPr>
          <w:b/>
          <w:color w:val="2C74B5"/>
          <w:sz w:val="26"/>
        </w:rPr>
        <w:t>Commitment 4: Engaging All Families</w:t>
      </w:r>
    </w:p>
    <w:p w14:paraId="2D670558" w14:textId="77777777" w:rsidR="004D3601" w:rsidRDefault="00817254">
      <w:pPr>
        <w:spacing w:before="75"/>
        <w:ind w:left="227"/>
        <w:rPr>
          <w:b/>
          <w:sz w:val="20"/>
        </w:rPr>
      </w:pPr>
      <w:r>
        <w:rPr>
          <w:b/>
          <w:color w:val="1F3862"/>
          <w:sz w:val="20"/>
        </w:rPr>
        <w:t xml:space="preserve">How will your charter school ensure that all families, particularly those representing the student subgroups most in need </w:t>
      </w:r>
      <w:proofErr w:type="gramStart"/>
      <w:r>
        <w:rPr>
          <w:b/>
          <w:color w:val="1F3862"/>
          <w:sz w:val="20"/>
        </w:rPr>
        <w:t>of</w:t>
      </w:r>
      <w:proofErr w:type="gramEnd"/>
    </w:p>
    <w:p w14:paraId="6444C1C8" w14:textId="77777777" w:rsidR="004D3601" w:rsidRDefault="00817254">
      <w:pPr>
        <w:spacing w:before="1"/>
        <w:ind w:left="227"/>
        <w:rPr>
          <w:b/>
          <w:sz w:val="20"/>
        </w:rPr>
      </w:pPr>
      <w:r>
        <w:rPr>
          <w:b/>
          <w:color w:val="1F3862"/>
          <w:sz w:val="20"/>
        </w:rPr>
        <w:t>support, have the opportunity to meaningfully engage with the charter scho</w:t>
      </w:r>
      <w:r>
        <w:rPr>
          <w:b/>
          <w:color w:val="1F3862"/>
          <w:sz w:val="20"/>
        </w:rPr>
        <w:t>ol regarding their students’ needs?</w:t>
      </w:r>
    </w:p>
    <w:p w14:paraId="3CCAF411" w14:textId="77777777" w:rsidR="004D3601" w:rsidRDefault="00817254">
      <w:pPr>
        <w:pStyle w:val="ListParagraph"/>
        <w:numPr>
          <w:ilvl w:val="0"/>
          <w:numId w:val="3"/>
        </w:numPr>
        <w:tabs>
          <w:tab w:val="left" w:pos="948"/>
          <w:tab w:val="left" w:pos="949"/>
        </w:tabs>
        <w:spacing w:before="1" w:line="240" w:lineRule="auto"/>
        <w:ind w:left="948" w:right="721" w:hanging="360"/>
        <w:rPr>
          <w:sz w:val="20"/>
        </w:rPr>
      </w:pPr>
      <w:r>
        <w:rPr>
          <w:sz w:val="20"/>
        </w:rPr>
        <w:t>Although</w:t>
      </w:r>
      <w:r>
        <w:rPr>
          <w:spacing w:val="-3"/>
          <w:sz w:val="20"/>
        </w:rPr>
        <w:t xml:space="preserve"> </w:t>
      </w:r>
      <w:r>
        <w:rPr>
          <w:sz w:val="20"/>
        </w:rPr>
        <w:t>the</w:t>
      </w:r>
      <w:r>
        <w:rPr>
          <w:spacing w:val="-4"/>
          <w:sz w:val="20"/>
        </w:rPr>
        <w:t xml:space="preserve"> </w:t>
      </w:r>
      <w:r>
        <w:rPr>
          <w:sz w:val="20"/>
        </w:rPr>
        <w:t>school</w:t>
      </w:r>
      <w:r>
        <w:rPr>
          <w:spacing w:val="-4"/>
          <w:sz w:val="20"/>
        </w:rPr>
        <w:t xml:space="preserve"> </w:t>
      </w:r>
      <w:r>
        <w:rPr>
          <w:sz w:val="20"/>
        </w:rPr>
        <w:t>currently</w:t>
      </w:r>
      <w:r>
        <w:rPr>
          <w:spacing w:val="-5"/>
          <w:sz w:val="20"/>
        </w:rPr>
        <w:t xml:space="preserve"> </w:t>
      </w:r>
      <w:r>
        <w:rPr>
          <w:sz w:val="20"/>
        </w:rPr>
        <w:t>meets</w:t>
      </w:r>
      <w:r>
        <w:rPr>
          <w:spacing w:val="-2"/>
          <w:sz w:val="20"/>
        </w:rPr>
        <w:t xml:space="preserve"> </w:t>
      </w:r>
      <w:r>
        <w:rPr>
          <w:sz w:val="20"/>
        </w:rPr>
        <w:t>all</w:t>
      </w:r>
      <w:r>
        <w:rPr>
          <w:spacing w:val="-4"/>
          <w:sz w:val="20"/>
        </w:rPr>
        <w:t xml:space="preserve"> </w:t>
      </w:r>
      <w:r>
        <w:rPr>
          <w:sz w:val="20"/>
        </w:rPr>
        <w:t>requirements</w:t>
      </w:r>
      <w:r>
        <w:rPr>
          <w:spacing w:val="-2"/>
          <w:sz w:val="20"/>
        </w:rPr>
        <w:t xml:space="preserve"> </w:t>
      </w:r>
      <w:r>
        <w:rPr>
          <w:sz w:val="20"/>
        </w:rPr>
        <w:t>regarding</w:t>
      </w:r>
      <w:r>
        <w:rPr>
          <w:spacing w:val="-4"/>
          <w:sz w:val="20"/>
        </w:rPr>
        <w:t xml:space="preserve"> </w:t>
      </w:r>
      <w:r>
        <w:rPr>
          <w:sz w:val="20"/>
        </w:rPr>
        <w:t>providing</w:t>
      </w:r>
      <w:r>
        <w:rPr>
          <w:spacing w:val="-4"/>
          <w:sz w:val="20"/>
        </w:rPr>
        <w:t xml:space="preserve"> </w:t>
      </w:r>
      <w:r>
        <w:rPr>
          <w:sz w:val="20"/>
        </w:rPr>
        <w:t>translated</w:t>
      </w:r>
      <w:r>
        <w:rPr>
          <w:spacing w:val="-3"/>
          <w:sz w:val="20"/>
        </w:rPr>
        <w:t xml:space="preserve"> </w:t>
      </w:r>
      <w:r>
        <w:rPr>
          <w:sz w:val="20"/>
        </w:rPr>
        <w:t>documents,</w:t>
      </w:r>
      <w:r>
        <w:rPr>
          <w:spacing w:val="-3"/>
          <w:sz w:val="20"/>
        </w:rPr>
        <w:t xml:space="preserve"> </w:t>
      </w:r>
      <w:r>
        <w:rPr>
          <w:sz w:val="20"/>
        </w:rPr>
        <w:t>MVRCS</w:t>
      </w:r>
      <w:r>
        <w:rPr>
          <w:spacing w:val="-2"/>
          <w:sz w:val="20"/>
        </w:rPr>
        <w:t xml:space="preserve"> </w:t>
      </w:r>
      <w:r>
        <w:rPr>
          <w:sz w:val="20"/>
        </w:rPr>
        <w:t>will</w:t>
      </w:r>
      <w:r>
        <w:rPr>
          <w:spacing w:val="-4"/>
          <w:sz w:val="20"/>
        </w:rPr>
        <w:t xml:space="preserve"> </w:t>
      </w:r>
      <w:r>
        <w:rPr>
          <w:sz w:val="20"/>
        </w:rPr>
        <w:t>partner with a new provider to ensure that a broad and comprehensive array of documents are available to families whose first language is not English and that these translations are efficiently processed. Services will be used for regular and special educa</w:t>
      </w:r>
      <w:r>
        <w:rPr>
          <w:sz w:val="20"/>
        </w:rPr>
        <w:t>tion</w:t>
      </w:r>
      <w:r>
        <w:rPr>
          <w:spacing w:val="-11"/>
          <w:sz w:val="20"/>
        </w:rPr>
        <w:t xml:space="preserve"> </w:t>
      </w:r>
      <w:r>
        <w:rPr>
          <w:sz w:val="20"/>
        </w:rPr>
        <w:t>documents.</w:t>
      </w:r>
    </w:p>
    <w:p w14:paraId="510204EB" w14:textId="77777777" w:rsidR="004D3601" w:rsidRDefault="00817254">
      <w:pPr>
        <w:pStyle w:val="ListParagraph"/>
        <w:numPr>
          <w:ilvl w:val="0"/>
          <w:numId w:val="3"/>
        </w:numPr>
        <w:tabs>
          <w:tab w:val="left" w:pos="948"/>
          <w:tab w:val="left" w:pos="949"/>
        </w:tabs>
        <w:ind w:left="948" w:right="902" w:hanging="360"/>
        <w:rPr>
          <w:sz w:val="20"/>
        </w:rPr>
      </w:pPr>
      <w:r>
        <w:rPr>
          <w:sz w:val="20"/>
        </w:rPr>
        <w:t>MVRCS has multiple staff members who are fluent in MVRCS’s most commonly-spoken languages and prepared to respond to parent inquiries and support school outreach</w:t>
      </w:r>
      <w:r>
        <w:rPr>
          <w:spacing w:val="-23"/>
          <w:sz w:val="20"/>
        </w:rPr>
        <w:t xml:space="preserve"> </w:t>
      </w:r>
      <w:r>
        <w:rPr>
          <w:sz w:val="20"/>
        </w:rPr>
        <w:t>initiatives.</w:t>
      </w:r>
    </w:p>
    <w:p w14:paraId="558395EB" w14:textId="77777777" w:rsidR="004D3601" w:rsidRDefault="00817254">
      <w:pPr>
        <w:pStyle w:val="ListParagraph"/>
        <w:numPr>
          <w:ilvl w:val="0"/>
          <w:numId w:val="3"/>
        </w:numPr>
        <w:tabs>
          <w:tab w:val="left" w:pos="948"/>
          <w:tab w:val="left" w:pos="949"/>
        </w:tabs>
        <w:spacing w:line="240" w:lineRule="auto"/>
        <w:ind w:left="948" w:hanging="360"/>
        <w:rPr>
          <w:sz w:val="20"/>
        </w:rPr>
      </w:pPr>
      <w:r>
        <w:rPr>
          <w:sz w:val="20"/>
        </w:rPr>
        <w:t>MVRCS will continue to work with its PTO to provide enrichment activities to all</w:t>
      </w:r>
      <w:r>
        <w:rPr>
          <w:spacing w:val="-30"/>
          <w:sz w:val="20"/>
        </w:rPr>
        <w:t xml:space="preserve"> </w:t>
      </w:r>
      <w:r>
        <w:rPr>
          <w:sz w:val="20"/>
        </w:rPr>
        <w:t>families.</w:t>
      </w:r>
    </w:p>
    <w:p w14:paraId="341B3D73" w14:textId="77777777" w:rsidR="004D3601" w:rsidRDefault="004D3601">
      <w:pPr>
        <w:rPr>
          <w:sz w:val="20"/>
        </w:rPr>
        <w:sectPr w:rsidR="004D3601">
          <w:footerReference w:type="default" r:id="rId7"/>
          <w:pgSz w:w="12240" w:h="15840"/>
          <w:pgMar w:top="720" w:right="500" w:bottom="1160" w:left="600" w:header="0" w:footer="965" w:gutter="0"/>
          <w:pgNumType w:start="2"/>
          <w:cols w:space="720"/>
        </w:sectPr>
      </w:pPr>
    </w:p>
    <w:p w14:paraId="14113FE5" w14:textId="77777777" w:rsidR="004D3601" w:rsidRDefault="00817254">
      <w:pPr>
        <w:pStyle w:val="Heading1"/>
        <w:spacing w:before="19"/>
      </w:pPr>
      <w:r>
        <w:rPr>
          <w:color w:val="2C74B5"/>
        </w:rPr>
        <w:lastRenderedPageBreak/>
        <w:t>Certifications:</w:t>
      </w:r>
    </w:p>
    <w:p w14:paraId="74CCE2DE" w14:textId="77777777" w:rsidR="004D3601" w:rsidRDefault="00817254">
      <w:pPr>
        <w:pStyle w:val="Heading2"/>
        <w:spacing w:before="82" w:line="244" w:lineRule="auto"/>
        <w:ind w:right="768"/>
      </w:pPr>
      <w:r>
        <w:rPr>
          <w:rFonts w:ascii="MS Gothic" w:hAnsi="MS Gothic"/>
          <w:color w:val="1F3862"/>
        </w:rPr>
        <w:t>☒</w:t>
      </w:r>
      <w:r>
        <w:rPr>
          <w:rFonts w:ascii="MS Gothic" w:hAnsi="MS Gothic"/>
          <w:color w:val="1F3862"/>
        </w:rPr>
        <w:t xml:space="preserve"> </w:t>
      </w:r>
      <w:r>
        <w:rPr>
          <w:color w:val="1F3862"/>
        </w:rPr>
        <w:t>By checking here, I certify that our charter school has engaged stakeholders in our community in accordance with the Student Opportunity Act</w:t>
      </w:r>
    </w:p>
    <w:p w14:paraId="73286511" w14:textId="77777777" w:rsidR="004D3601" w:rsidRDefault="004D3601">
      <w:pPr>
        <w:pStyle w:val="BodyText"/>
        <w:spacing w:before="4"/>
        <w:rPr>
          <w:b/>
          <w:sz w:val="15"/>
        </w:rPr>
      </w:pPr>
    </w:p>
    <w:p w14:paraId="6FBA3848" w14:textId="77777777" w:rsidR="004D3601" w:rsidRDefault="00817254">
      <w:pPr>
        <w:ind w:left="207"/>
        <w:rPr>
          <w:b/>
          <w:sz w:val="20"/>
        </w:rPr>
      </w:pPr>
      <w:r>
        <w:rPr>
          <w:b/>
          <w:color w:val="1F3862"/>
          <w:sz w:val="20"/>
        </w:rPr>
        <w:t>Please summarize your stakeholder engagement process, including specific groups that were engaged:</w:t>
      </w:r>
    </w:p>
    <w:p w14:paraId="560E0CC7" w14:textId="77777777" w:rsidR="004D3601" w:rsidRDefault="00817254">
      <w:pPr>
        <w:pStyle w:val="BodyText"/>
        <w:spacing w:before="74"/>
        <w:ind w:left="207" w:right="165"/>
      </w:pPr>
      <w:r>
        <w:t>In the producti</w:t>
      </w:r>
      <w:r>
        <w:t>on of this document, MVRCS engaged various constituent groups in the school community, including members of the leadership team, staff members, current and former parents, and members of the Board of Trustees.</w:t>
      </w:r>
    </w:p>
    <w:p w14:paraId="740D1A69" w14:textId="77777777" w:rsidR="004D3601" w:rsidRDefault="004D3601">
      <w:pPr>
        <w:pStyle w:val="BodyText"/>
      </w:pPr>
    </w:p>
    <w:p w14:paraId="35BB3278" w14:textId="77777777" w:rsidR="004D3601" w:rsidRDefault="004D3601">
      <w:pPr>
        <w:pStyle w:val="BodyText"/>
        <w:spacing w:before="7"/>
        <w:rPr>
          <w:sz w:val="17"/>
        </w:rPr>
      </w:pPr>
    </w:p>
    <w:p w14:paraId="698BF70A" w14:textId="77777777" w:rsidR="004D3601" w:rsidRDefault="00817254">
      <w:pPr>
        <w:pStyle w:val="Heading2"/>
        <w:spacing w:line="247" w:lineRule="auto"/>
        <w:ind w:left="100" w:right="768"/>
      </w:pPr>
      <w:r>
        <w:rPr>
          <w:rFonts w:ascii="MS Gothic" w:hAnsi="MS Gothic"/>
          <w:color w:val="1F3862"/>
        </w:rPr>
        <w:t>☒</w:t>
      </w:r>
      <w:r>
        <w:rPr>
          <w:rFonts w:ascii="MS Gothic" w:hAnsi="MS Gothic"/>
          <w:color w:val="1F3862"/>
        </w:rPr>
        <w:t xml:space="preserve"> </w:t>
      </w:r>
      <w:r>
        <w:rPr>
          <w:color w:val="1F3862"/>
        </w:rPr>
        <w:t>By checking here, I certify that the Mysti</w:t>
      </w:r>
      <w:r>
        <w:rPr>
          <w:color w:val="1F3862"/>
        </w:rPr>
        <w:t>c Valley Regional Charter School’s Board of Trustees voted on our Student Opportunity Act Plan.</w:t>
      </w:r>
    </w:p>
    <w:p w14:paraId="3991257B" w14:textId="77777777" w:rsidR="004D3601" w:rsidRDefault="00817254">
      <w:pPr>
        <w:tabs>
          <w:tab w:val="left" w:pos="5140"/>
        </w:tabs>
        <w:spacing w:before="137"/>
        <w:ind w:left="928"/>
        <w:rPr>
          <w:sz w:val="20"/>
        </w:rPr>
      </w:pPr>
      <w:r>
        <w:rPr>
          <w:b/>
          <w:sz w:val="20"/>
        </w:rPr>
        <w:t xml:space="preserve">Date of vote: </w:t>
      </w:r>
      <w:r>
        <w:rPr>
          <w:sz w:val="20"/>
        </w:rPr>
        <w:t>January</w:t>
      </w:r>
      <w:r>
        <w:rPr>
          <w:spacing w:val="-5"/>
          <w:sz w:val="20"/>
        </w:rPr>
        <w:t xml:space="preserve"> </w:t>
      </w:r>
      <w:r>
        <w:rPr>
          <w:sz w:val="20"/>
        </w:rPr>
        <w:t>11,</w:t>
      </w:r>
      <w:r>
        <w:rPr>
          <w:spacing w:val="-2"/>
          <w:sz w:val="20"/>
        </w:rPr>
        <w:t xml:space="preserve"> </w:t>
      </w:r>
      <w:r>
        <w:rPr>
          <w:sz w:val="20"/>
        </w:rPr>
        <w:t>2021</w:t>
      </w:r>
      <w:r>
        <w:rPr>
          <w:sz w:val="20"/>
        </w:rPr>
        <w:tab/>
      </w:r>
      <w:r>
        <w:rPr>
          <w:b/>
          <w:sz w:val="20"/>
        </w:rPr>
        <w:t xml:space="preserve">Outcome of vote: </w:t>
      </w:r>
      <w:r>
        <w:rPr>
          <w:sz w:val="20"/>
        </w:rPr>
        <w:t>Approved by Board of</w:t>
      </w:r>
      <w:r>
        <w:rPr>
          <w:spacing w:val="-23"/>
          <w:sz w:val="20"/>
        </w:rPr>
        <w:t xml:space="preserve"> </w:t>
      </w:r>
      <w:r>
        <w:rPr>
          <w:sz w:val="20"/>
        </w:rPr>
        <w:t>Trustees</w:t>
      </w:r>
    </w:p>
    <w:sectPr w:rsidR="004D3601">
      <w:pgSz w:w="12240" w:h="15840"/>
      <w:pgMar w:top="700" w:right="600" w:bottom="1160" w:left="62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BC58" w14:textId="77777777" w:rsidR="00817254" w:rsidRDefault="00817254">
      <w:r>
        <w:separator/>
      </w:r>
    </w:p>
  </w:endnote>
  <w:endnote w:type="continuationSeparator" w:id="0">
    <w:p w14:paraId="4C5AC975" w14:textId="77777777" w:rsidR="00817254" w:rsidRDefault="0081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96ED" w14:textId="5B7C348E" w:rsidR="004D3601" w:rsidRDefault="006F4892">
    <w:pPr>
      <w:pStyle w:val="BodyText"/>
      <w:spacing w:line="14" w:lineRule="auto"/>
    </w:pPr>
    <w:r>
      <w:rPr>
        <w:noProof/>
      </w:rPr>
      <mc:AlternateContent>
        <mc:Choice Requires="wps">
          <w:drawing>
            <wp:anchor distT="0" distB="0" distL="114300" distR="114300" simplePos="0" relativeHeight="251657728" behindDoc="1" locked="0" layoutInCell="1" allowOverlap="1" wp14:anchorId="6E42060A" wp14:editId="01AC5E69">
              <wp:simplePos x="0" y="0"/>
              <wp:positionH relativeFrom="page">
                <wp:posOffset>7226935</wp:posOffset>
              </wp:positionH>
              <wp:positionV relativeFrom="page">
                <wp:posOffset>9305925</wp:posOffset>
              </wp:positionV>
              <wp:extent cx="114935" cy="152400"/>
              <wp:effectExtent l="0" t="0" r="1905"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9C4D" w14:textId="77777777" w:rsidR="004D3601" w:rsidRDefault="00817254">
                          <w:pPr>
                            <w:spacing w:line="223" w:lineRule="exact"/>
                            <w:ind w:left="40"/>
                            <w:rPr>
                              <w:i/>
                              <w:sz w:val="20"/>
                            </w:rPr>
                          </w:pPr>
                          <w:r>
                            <w:fldChar w:fldCharType="begin"/>
                          </w:r>
                          <w:r>
                            <w:rPr>
                              <w:i/>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060A" id="_x0000_t202" coordsize="21600,21600" o:spt="202" path="m,l,21600r21600,l21600,xe">
              <v:stroke joinstyle="miter"/>
              <v:path gradientshapeok="t" o:connecttype="rect"/>
            </v:shapetype>
            <v:shape id="Text Box 1" o:spid="_x0000_s1026" type="#_x0000_t202" alt="&quot;&quot;" style="position:absolute;margin-left:569.05pt;margin-top:732.75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" filled="f" stroked="f">
              <v:textbox inset="0,0,0,0">
                <w:txbxContent>
                  <w:p w14:paraId="75EE9C4D" w14:textId="77777777" w:rsidR="004D3601" w:rsidRDefault="00817254">
                    <w:pPr>
                      <w:spacing w:line="223" w:lineRule="exact"/>
                      <w:ind w:left="40"/>
                      <w:rPr>
                        <w:i/>
                        <w:sz w:val="20"/>
                      </w:rPr>
                    </w:pPr>
                    <w:r>
                      <w:fldChar w:fldCharType="begin"/>
                    </w:r>
                    <w:r>
                      <w:rPr>
                        <w:i/>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E49C" w14:textId="77777777" w:rsidR="00817254" w:rsidRDefault="00817254">
      <w:r>
        <w:separator/>
      </w:r>
    </w:p>
  </w:footnote>
  <w:footnote w:type="continuationSeparator" w:id="0">
    <w:p w14:paraId="160C7493" w14:textId="77777777" w:rsidR="00817254" w:rsidRDefault="0081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1B12"/>
    <w:multiLevelType w:val="hybridMultilevel"/>
    <w:tmpl w:val="8474EF58"/>
    <w:lvl w:ilvl="0" w:tplc="89202B54">
      <w:start w:val="2"/>
      <w:numFmt w:val="decimal"/>
      <w:lvlText w:val="%1)"/>
      <w:lvlJc w:val="left"/>
      <w:pPr>
        <w:ind w:left="391" w:hanging="209"/>
        <w:jc w:val="left"/>
      </w:pPr>
      <w:rPr>
        <w:rFonts w:ascii="Calibri" w:eastAsia="Calibri" w:hAnsi="Calibri" w:cs="Calibri" w:hint="default"/>
        <w:b/>
        <w:bCs/>
        <w:w w:val="99"/>
        <w:sz w:val="20"/>
        <w:szCs w:val="20"/>
      </w:rPr>
    </w:lvl>
    <w:lvl w:ilvl="1" w:tplc="8E327F72">
      <w:numFmt w:val="bullet"/>
      <w:lvlText w:val="✓"/>
      <w:lvlJc w:val="left"/>
      <w:pPr>
        <w:ind w:left="799" w:hanging="269"/>
      </w:pPr>
      <w:rPr>
        <w:rFonts w:ascii="MS UI Gothic" w:eastAsia="MS UI Gothic" w:hAnsi="MS UI Gothic" w:cs="MS UI Gothic" w:hint="default"/>
        <w:w w:val="76"/>
        <w:sz w:val="22"/>
        <w:szCs w:val="22"/>
      </w:rPr>
    </w:lvl>
    <w:lvl w:ilvl="2" w:tplc="D12E9160">
      <w:numFmt w:val="bullet"/>
      <w:lvlText w:val="•"/>
      <w:lvlJc w:val="left"/>
      <w:pPr>
        <w:ind w:left="1290" w:hanging="269"/>
      </w:pPr>
      <w:rPr>
        <w:rFonts w:hint="default"/>
      </w:rPr>
    </w:lvl>
    <w:lvl w:ilvl="3" w:tplc="833AC3F0">
      <w:numFmt w:val="bullet"/>
      <w:lvlText w:val="•"/>
      <w:lvlJc w:val="left"/>
      <w:pPr>
        <w:ind w:left="1780" w:hanging="269"/>
      </w:pPr>
      <w:rPr>
        <w:rFonts w:hint="default"/>
      </w:rPr>
    </w:lvl>
    <w:lvl w:ilvl="4" w:tplc="46A80944">
      <w:numFmt w:val="bullet"/>
      <w:lvlText w:val="•"/>
      <w:lvlJc w:val="left"/>
      <w:pPr>
        <w:ind w:left="2270" w:hanging="269"/>
      </w:pPr>
      <w:rPr>
        <w:rFonts w:hint="default"/>
      </w:rPr>
    </w:lvl>
    <w:lvl w:ilvl="5" w:tplc="CA18896E">
      <w:numFmt w:val="bullet"/>
      <w:lvlText w:val="•"/>
      <w:lvlJc w:val="left"/>
      <w:pPr>
        <w:ind w:left="2760" w:hanging="269"/>
      </w:pPr>
      <w:rPr>
        <w:rFonts w:hint="default"/>
      </w:rPr>
    </w:lvl>
    <w:lvl w:ilvl="6" w:tplc="C86E96F0">
      <w:numFmt w:val="bullet"/>
      <w:lvlText w:val="•"/>
      <w:lvlJc w:val="left"/>
      <w:pPr>
        <w:ind w:left="3250" w:hanging="269"/>
      </w:pPr>
      <w:rPr>
        <w:rFonts w:hint="default"/>
      </w:rPr>
    </w:lvl>
    <w:lvl w:ilvl="7" w:tplc="EE94319A">
      <w:numFmt w:val="bullet"/>
      <w:lvlText w:val="•"/>
      <w:lvlJc w:val="left"/>
      <w:pPr>
        <w:ind w:left="3740" w:hanging="269"/>
      </w:pPr>
      <w:rPr>
        <w:rFonts w:hint="default"/>
      </w:rPr>
    </w:lvl>
    <w:lvl w:ilvl="8" w:tplc="2B7E01BC">
      <w:numFmt w:val="bullet"/>
      <w:lvlText w:val="•"/>
      <w:lvlJc w:val="left"/>
      <w:pPr>
        <w:ind w:left="4231" w:hanging="269"/>
      </w:pPr>
      <w:rPr>
        <w:rFonts w:hint="default"/>
      </w:rPr>
    </w:lvl>
  </w:abstractNum>
  <w:abstractNum w:abstractNumId="1" w15:restartNumberingAfterBreak="0">
    <w:nsid w:val="36494171"/>
    <w:multiLevelType w:val="hybridMultilevel"/>
    <w:tmpl w:val="98765744"/>
    <w:lvl w:ilvl="0" w:tplc="5F141938">
      <w:numFmt w:val="bullet"/>
      <w:lvlText w:val="□"/>
      <w:lvlJc w:val="left"/>
      <w:pPr>
        <w:ind w:left="928" w:hanging="361"/>
      </w:pPr>
      <w:rPr>
        <w:rFonts w:ascii="Calibri" w:eastAsia="Calibri" w:hAnsi="Calibri" w:cs="Calibri" w:hint="default"/>
        <w:w w:val="100"/>
        <w:sz w:val="21"/>
        <w:szCs w:val="21"/>
      </w:rPr>
    </w:lvl>
    <w:lvl w:ilvl="1" w:tplc="FE26A512">
      <w:numFmt w:val="bullet"/>
      <w:lvlText w:val="•"/>
      <w:lvlJc w:val="left"/>
      <w:pPr>
        <w:ind w:left="1926" w:hanging="361"/>
      </w:pPr>
      <w:rPr>
        <w:rFonts w:hint="default"/>
      </w:rPr>
    </w:lvl>
    <w:lvl w:ilvl="2" w:tplc="39F252B8">
      <w:numFmt w:val="bullet"/>
      <w:lvlText w:val="•"/>
      <w:lvlJc w:val="left"/>
      <w:pPr>
        <w:ind w:left="2932" w:hanging="361"/>
      </w:pPr>
      <w:rPr>
        <w:rFonts w:hint="default"/>
      </w:rPr>
    </w:lvl>
    <w:lvl w:ilvl="3" w:tplc="DD00E0C8">
      <w:numFmt w:val="bullet"/>
      <w:lvlText w:val="•"/>
      <w:lvlJc w:val="left"/>
      <w:pPr>
        <w:ind w:left="3938" w:hanging="361"/>
      </w:pPr>
      <w:rPr>
        <w:rFonts w:hint="default"/>
      </w:rPr>
    </w:lvl>
    <w:lvl w:ilvl="4" w:tplc="D814313C">
      <w:numFmt w:val="bullet"/>
      <w:lvlText w:val="•"/>
      <w:lvlJc w:val="left"/>
      <w:pPr>
        <w:ind w:left="4944" w:hanging="361"/>
      </w:pPr>
      <w:rPr>
        <w:rFonts w:hint="default"/>
      </w:rPr>
    </w:lvl>
    <w:lvl w:ilvl="5" w:tplc="5B788D76">
      <w:numFmt w:val="bullet"/>
      <w:lvlText w:val="•"/>
      <w:lvlJc w:val="left"/>
      <w:pPr>
        <w:ind w:left="5950" w:hanging="361"/>
      </w:pPr>
      <w:rPr>
        <w:rFonts w:hint="default"/>
      </w:rPr>
    </w:lvl>
    <w:lvl w:ilvl="6" w:tplc="8B12C022">
      <w:numFmt w:val="bullet"/>
      <w:lvlText w:val="•"/>
      <w:lvlJc w:val="left"/>
      <w:pPr>
        <w:ind w:left="6956" w:hanging="361"/>
      </w:pPr>
      <w:rPr>
        <w:rFonts w:hint="default"/>
      </w:rPr>
    </w:lvl>
    <w:lvl w:ilvl="7" w:tplc="4F783EF0">
      <w:numFmt w:val="bullet"/>
      <w:lvlText w:val="•"/>
      <w:lvlJc w:val="left"/>
      <w:pPr>
        <w:ind w:left="7962" w:hanging="361"/>
      </w:pPr>
      <w:rPr>
        <w:rFonts w:hint="default"/>
      </w:rPr>
    </w:lvl>
    <w:lvl w:ilvl="8" w:tplc="CE1EE42A">
      <w:numFmt w:val="bullet"/>
      <w:lvlText w:val="•"/>
      <w:lvlJc w:val="left"/>
      <w:pPr>
        <w:ind w:left="8968" w:hanging="361"/>
      </w:pPr>
      <w:rPr>
        <w:rFonts w:hint="default"/>
      </w:rPr>
    </w:lvl>
  </w:abstractNum>
  <w:abstractNum w:abstractNumId="2" w15:restartNumberingAfterBreak="0">
    <w:nsid w:val="6940138F"/>
    <w:multiLevelType w:val="hybridMultilevel"/>
    <w:tmpl w:val="20B065E2"/>
    <w:lvl w:ilvl="0" w:tplc="0BCE4FB8">
      <w:start w:val="1"/>
      <w:numFmt w:val="decimal"/>
      <w:lvlText w:val="%1)"/>
      <w:lvlJc w:val="left"/>
      <w:pPr>
        <w:ind w:left="441" w:hanging="243"/>
        <w:jc w:val="left"/>
      </w:pPr>
      <w:rPr>
        <w:rFonts w:ascii="Calibri" w:eastAsia="Calibri" w:hAnsi="Calibri" w:cs="Calibri" w:hint="default"/>
        <w:b/>
        <w:bCs/>
        <w:spacing w:val="-1"/>
        <w:w w:val="99"/>
        <w:sz w:val="20"/>
        <w:szCs w:val="20"/>
      </w:rPr>
    </w:lvl>
    <w:lvl w:ilvl="1" w:tplc="BB1A7418">
      <w:numFmt w:val="bullet"/>
      <w:lvlText w:val="✓"/>
      <w:lvlJc w:val="left"/>
      <w:pPr>
        <w:ind w:left="799" w:hanging="269"/>
      </w:pPr>
      <w:rPr>
        <w:rFonts w:ascii="MS UI Gothic" w:eastAsia="MS UI Gothic" w:hAnsi="MS UI Gothic" w:cs="MS UI Gothic" w:hint="default"/>
        <w:w w:val="76"/>
        <w:sz w:val="22"/>
        <w:szCs w:val="22"/>
      </w:rPr>
    </w:lvl>
    <w:lvl w:ilvl="2" w:tplc="5F8C1192">
      <w:numFmt w:val="bullet"/>
      <w:lvlText w:val="•"/>
      <w:lvlJc w:val="left"/>
      <w:pPr>
        <w:ind w:left="1340" w:hanging="269"/>
      </w:pPr>
      <w:rPr>
        <w:rFonts w:hint="default"/>
      </w:rPr>
    </w:lvl>
    <w:lvl w:ilvl="3" w:tplc="7A3EFA80">
      <w:numFmt w:val="bullet"/>
      <w:lvlText w:val="•"/>
      <w:lvlJc w:val="left"/>
      <w:pPr>
        <w:ind w:left="1880" w:hanging="269"/>
      </w:pPr>
      <w:rPr>
        <w:rFonts w:hint="default"/>
      </w:rPr>
    </w:lvl>
    <w:lvl w:ilvl="4" w:tplc="C276E42E">
      <w:numFmt w:val="bullet"/>
      <w:lvlText w:val="•"/>
      <w:lvlJc w:val="left"/>
      <w:pPr>
        <w:ind w:left="2420" w:hanging="269"/>
      </w:pPr>
      <w:rPr>
        <w:rFonts w:hint="default"/>
      </w:rPr>
    </w:lvl>
    <w:lvl w:ilvl="5" w:tplc="4CA269FA">
      <w:numFmt w:val="bullet"/>
      <w:lvlText w:val="•"/>
      <w:lvlJc w:val="left"/>
      <w:pPr>
        <w:ind w:left="2961" w:hanging="269"/>
      </w:pPr>
      <w:rPr>
        <w:rFonts w:hint="default"/>
      </w:rPr>
    </w:lvl>
    <w:lvl w:ilvl="6" w:tplc="F384BCB4">
      <w:numFmt w:val="bullet"/>
      <w:lvlText w:val="•"/>
      <w:lvlJc w:val="left"/>
      <w:pPr>
        <w:ind w:left="3501" w:hanging="269"/>
      </w:pPr>
      <w:rPr>
        <w:rFonts w:hint="default"/>
      </w:rPr>
    </w:lvl>
    <w:lvl w:ilvl="7" w:tplc="B6488B5E">
      <w:numFmt w:val="bullet"/>
      <w:lvlText w:val="•"/>
      <w:lvlJc w:val="left"/>
      <w:pPr>
        <w:ind w:left="4041" w:hanging="269"/>
      </w:pPr>
      <w:rPr>
        <w:rFonts w:hint="default"/>
      </w:rPr>
    </w:lvl>
    <w:lvl w:ilvl="8" w:tplc="2E7CCE3C">
      <w:numFmt w:val="bullet"/>
      <w:lvlText w:val="•"/>
      <w:lvlJc w:val="left"/>
      <w:pPr>
        <w:ind w:left="4582" w:hanging="26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01"/>
    <w:rsid w:val="004D3601"/>
    <w:rsid w:val="006F4892"/>
    <w:rsid w:val="0081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F3229"/>
  <w15:docId w15:val="{164710F0-ED3A-4865-829C-D46CA3E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7"/>
      <w:outlineLvl w:val="0"/>
    </w:pPr>
    <w:rPr>
      <w:b/>
      <w:bCs/>
      <w:sz w:val="26"/>
      <w:szCs w:val="26"/>
    </w:rPr>
  </w:style>
  <w:style w:type="paragraph" w:styleId="Heading2">
    <w:name w:val="heading 2"/>
    <w:basedOn w:val="Normal"/>
    <w:uiPriority w:val="9"/>
    <w:unhideWhenUsed/>
    <w:qFormat/>
    <w:pPr>
      <w:ind w:left="2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 w:line="244" w:lineRule="exact"/>
      <w:ind w:left="948" w:hanging="360"/>
    </w:pPr>
  </w:style>
  <w:style w:type="paragraph" w:customStyle="1" w:styleId="TableParagraph">
    <w:name w:val="Table Paragraph"/>
    <w:basedOn w:val="Normal"/>
    <w:uiPriority w:val="1"/>
    <w:qFormat/>
    <w:pPr>
      <w:spacing w:before="1"/>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C37AF-A5C8-4EAC-8CF8-60AE44EAE091}"/>
</file>

<file path=customXml/itemProps2.xml><?xml version="1.0" encoding="utf-8"?>
<ds:datastoreItem xmlns:ds="http://schemas.openxmlformats.org/officeDocument/2006/customXml" ds:itemID="{4EC7BE01-65C6-4B4A-B156-2F81B25B9CA4}"/>
</file>

<file path=customXml/itemProps3.xml><?xml version="1.0" encoding="utf-8"?>
<ds:datastoreItem xmlns:ds="http://schemas.openxmlformats.org/officeDocument/2006/customXml" ds:itemID="{6CAE0E0B-3751-4B22-8A0C-225DCBF5BE85}"/>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Mystic Valley Regional Charter School Student Opportunity Act Plan: SY 2021-2023</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Valley Regional Charter School Student Opportunity Act Plan: SY 2021-2023</dc:title>
  <dc:creator>DESE</dc:creator>
  <cp:lastModifiedBy>DeLorenzo, Lee E (DESE)</cp:lastModifiedBy>
  <cp:revision>2</cp:revision>
  <dcterms:created xsi:type="dcterms:W3CDTF">2021-03-19T20:25:00Z</dcterms:created>
  <dcterms:modified xsi:type="dcterms:W3CDTF">2021-03-19T20:25:00Z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