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2680D1F" w:rsidR="0084579D" w:rsidRPr="006D754F" w:rsidRDefault="00F37B42" w:rsidP="1C74B6A0">
      <w:pPr>
        <w:pStyle w:val="Subtitle"/>
        <w:rPr>
          <w:color w:val="C00000"/>
        </w:rPr>
      </w:pPr>
      <w:r>
        <w:t>Upper Cape Cod Regional Vocational Technical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2DF12DB" w14:textId="56FE9D57" w:rsidR="008E176E" w:rsidRPr="008F7F98" w:rsidRDefault="00F37B42" w:rsidP="0084579D">
      <w:pPr>
        <w:pStyle w:val="ListParagraph"/>
        <w:numPr>
          <w:ilvl w:val="0"/>
          <w:numId w:val="11"/>
        </w:numPr>
        <w:spacing w:after="0" w:line="240" w:lineRule="auto"/>
        <w:rPr>
          <w:rFonts w:cs="Tahoma"/>
          <w:szCs w:val="24"/>
        </w:rPr>
      </w:pPr>
      <w:r w:rsidRPr="008F7F98">
        <w:rPr>
          <w:w w:val="95"/>
        </w:rPr>
        <w:t>High</w:t>
      </w:r>
      <w:r w:rsidRPr="008F7F98">
        <w:rPr>
          <w:spacing w:val="15"/>
          <w:w w:val="95"/>
        </w:rPr>
        <w:t xml:space="preserve"> </w:t>
      </w:r>
      <w:r w:rsidRPr="008F7F98">
        <w:rPr>
          <w:w w:val="95"/>
        </w:rPr>
        <w:t>Needs</w:t>
      </w:r>
      <w:r w:rsidRPr="008F7F98">
        <w:rPr>
          <w:spacing w:val="10"/>
          <w:w w:val="95"/>
        </w:rPr>
        <w:t xml:space="preserve"> </w:t>
      </w:r>
      <w:r w:rsidRPr="008F7F98">
        <w:rPr>
          <w:w w:val="95"/>
        </w:rPr>
        <w:t>students</w:t>
      </w:r>
      <w:r w:rsidRPr="008F7F98">
        <w:rPr>
          <w:spacing w:val="10"/>
          <w:w w:val="95"/>
        </w:rPr>
        <w:t xml:space="preserve"> </w:t>
      </w:r>
      <w:r w:rsidRPr="008F7F98">
        <w:rPr>
          <w:w w:val="95"/>
        </w:rPr>
        <w:t>(defined</w:t>
      </w:r>
      <w:r w:rsidRPr="008F7F98">
        <w:rPr>
          <w:spacing w:val="16"/>
          <w:w w:val="95"/>
        </w:rPr>
        <w:t xml:space="preserve"> </w:t>
      </w:r>
      <w:r w:rsidRPr="008F7F98">
        <w:rPr>
          <w:w w:val="95"/>
        </w:rPr>
        <w:t>as</w:t>
      </w:r>
      <w:r w:rsidRPr="008F7F98">
        <w:rPr>
          <w:spacing w:val="9"/>
          <w:w w:val="95"/>
        </w:rPr>
        <w:t xml:space="preserve"> </w:t>
      </w:r>
      <w:r w:rsidRPr="008F7F98">
        <w:rPr>
          <w:w w:val="95"/>
        </w:rPr>
        <w:t>any</w:t>
      </w:r>
      <w:r w:rsidRPr="008F7F98">
        <w:rPr>
          <w:spacing w:val="10"/>
          <w:w w:val="95"/>
        </w:rPr>
        <w:t xml:space="preserve"> </w:t>
      </w:r>
      <w:r w:rsidRPr="008F7F98">
        <w:rPr>
          <w:w w:val="95"/>
        </w:rPr>
        <w:t>student</w:t>
      </w:r>
      <w:r w:rsidRPr="008F7F98">
        <w:rPr>
          <w:spacing w:val="2"/>
          <w:w w:val="95"/>
        </w:rPr>
        <w:t xml:space="preserve"> </w:t>
      </w:r>
      <w:r w:rsidRPr="008F7F98">
        <w:rPr>
          <w:w w:val="95"/>
        </w:rPr>
        <w:t>who</w:t>
      </w:r>
      <w:r w:rsidRPr="008F7F98">
        <w:rPr>
          <w:spacing w:val="16"/>
          <w:w w:val="95"/>
        </w:rPr>
        <w:t xml:space="preserve"> </w:t>
      </w:r>
      <w:r w:rsidRPr="008F7F98">
        <w:rPr>
          <w:w w:val="95"/>
        </w:rPr>
        <w:t>is</w:t>
      </w:r>
      <w:r w:rsidRPr="008F7F98">
        <w:rPr>
          <w:spacing w:val="10"/>
          <w:w w:val="95"/>
        </w:rPr>
        <w:t xml:space="preserve"> </w:t>
      </w:r>
      <w:proofErr w:type="gramStart"/>
      <w:r w:rsidRPr="008F7F98">
        <w:rPr>
          <w:w w:val="95"/>
        </w:rPr>
        <w:t>economically</w:t>
      </w:r>
      <w:r w:rsidRPr="008F7F98">
        <w:rPr>
          <w:spacing w:val="10"/>
          <w:w w:val="95"/>
        </w:rPr>
        <w:t xml:space="preserve"> </w:t>
      </w:r>
      <w:r w:rsidRPr="008F7F98">
        <w:rPr>
          <w:w w:val="95"/>
        </w:rPr>
        <w:t>disadvantaged</w:t>
      </w:r>
      <w:proofErr w:type="gramEnd"/>
      <w:r w:rsidRPr="008F7F98">
        <w:rPr>
          <w:w w:val="95"/>
        </w:rPr>
        <w:t>,</w:t>
      </w:r>
      <w:r w:rsidRPr="008F7F98">
        <w:rPr>
          <w:spacing w:val="2"/>
          <w:w w:val="95"/>
        </w:rPr>
        <w:t xml:space="preserve"> </w:t>
      </w:r>
      <w:r w:rsidRPr="008F7F98">
        <w:rPr>
          <w:w w:val="95"/>
        </w:rPr>
        <w:t>has</w:t>
      </w:r>
      <w:r w:rsidRPr="008F7F98">
        <w:rPr>
          <w:spacing w:val="10"/>
          <w:w w:val="95"/>
        </w:rPr>
        <w:t xml:space="preserve"> </w:t>
      </w:r>
      <w:r w:rsidRPr="008F7F98">
        <w:rPr>
          <w:w w:val="95"/>
        </w:rPr>
        <w:t>a</w:t>
      </w:r>
      <w:r w:rsidRPr="008F7F98">
        <w:rPr>
          <w:spacing w:val="16"/>
          <w:w w:val="95"/>
        </w:rPr>
        <w:t xml:space="preserve"> </w:t>
      </w:r>
      <w:r w:rsidRPr="008F7F98">
        <w:rPr>
          <w:w w:val="95"/>
        </w:rPr>
        <w:t>disability,</w:t>
      </w:r>
      <w:r w:rsidRPr="008F7F98">
        <w:rPr>
          <w:spacing w:val="2"/>
          <w:w w:val="95"/>
        </w:rPr>
        <w:t xml:space="preserve"> </w:t>
      </w:r>
      <w:r w:rsidRPr="008F7F98">
        <w:rPr>
          <w:w w:val="95"/>
        </w:rPr>
        <w:t>or</w:t>
      </w:r>
      <w:r w:rsidRPr="008F7F98">
        <w:rPr>
          <w:spacing w:val="9"/>
          <w:w w:val="95"/>
        </w:rPr>
        <w:t xml:space="preserve"> </w:t>
      </w:r>
      <w:r w:rsidRPr="008F7F98">
        <w:rPr>
          <w:w w:val="95"/>
        </w:rPr>
        <w:t>is</w:t>
      </w:r>
      <w:r w:rsidRPr="008F7F98">
        <w:rPr>
          <w:spacing w:val="10"/>
          <w:w w:val="95"/>
        </w:rPr>
        <w:t xml:space="preserve"> </w:t>
      </w:r>
      <w:r w:rsidRPr="008F7F98">
        <w:rPr>
          <w:w w:val="95"/>
        </w:rPr>
        <w:t>an</w:t>
      </w:r>
      <w:r w:rsidRPr="008F7F98">
        <w:rPr>
          <w:spacing w:val="16"/>
          <w:w w:val="95"/>
        </w:rPr>
        <w:t xml:space="preserve"> </w:t>
      </w:r>
      <w:r w:rsidRPr="008F7F98">
        <w:rPr>
          <w:w w:val="95"/>
        </w:rPr>
        <w:t>English</w:t>
      </w:r>
      <w:r w:rsidRPr="008F7F98">
        <w:rPr>
          <w:spacing w:val="-44"/>
          <w:w w:val="95"/>
        </w:rPr>
        <w:t xml:space="preserve"> </w:t>
      </w:r>
      <w:r>
        <w:t>learner/former</w:t>
      </w:r>
      <w:r w:rsidRPr="008F7F98">
        <w:rPr>
          <w:spacing w:val="-5"/>
        </w:rPr>
        <w:t xml:space="preserve"> </w:t>
      </w:r>
      <w:r>
        <w:t>English</w:t>
      </w:r>
      <w:r w:rsidRPr="008F7F98">
        <w:rPr>
          <w:spacing w:val="1"/>
        </w:rPr>
        <w:t xml:space="preserve"> </w:t>
      </w:r>
      <w:r>
        <w:t>learner)</w:t>
      </w:r>
    </w:p>
    <w:p w14:paraId="00E6FDC2" w14:textId="77777777" w:rsidR="008F7F98" w:rsidRPr="008F7F98" w:rsidRDefault="008F7F98" w:rsidP="008F7F98">
      <w:pPr>
        <w:spacing w:after="0" w:line="240" w:lineRule="auto"/>
        <w:ind w:left="360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F7F18EB" w14:textId="77777777" w:rsidR="00F37B42" w:rsidRDefault="00F37B42" w:rsidP="00F37B42"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possible</w:t>
      </w:r>
      <w:r>
        <w:rPr>
          <w:spacing w:val="10"/>
          <w:w w:val="95"/>
        </w:rPr>
        <w:t xml:space="preserve"> </w:t>
      </w:r>
      <w:r>
        <w:rPr>
          <w:w w:val="95"/>
        </w:rPr>
        <w:t>improvement.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0EDD3C2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F37B4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F37B42" w:rsidRPr="00F37B42">
        <w:rPr>
          <w:rStyle w:val="Heading2Char"/>
        </w:rPr>
        <w:t>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1D62F7D" w14:textId="77777777" w:rsidR="00F37B42" w:rsidRDefault="00F37B42" w:rsidP="00F37B42">
      <w:r>
        <w:rPr>
          <w:w w:val="95"/>
        </w:rPr>
        <w:t>Content</w:t>
      </w:r>
      <w:r>
        <w:rPr>
          <w:spacing w:val="2"/>
          <w:w w:val="95"/>
        </w:rPr>
        <w:t xml:space="preserve"> </w:t>
      </w:r>
      <w:r>
        <w:rPr>
          <w:w w:val="95"/>
        </w:rPr>
        <w:t>area</w:t>
      </w:r>
      <w:r>
        <w:rPr>
          <w:spacing w:val="15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along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9"/>
          <w:w w:val="95"/>
        </w:rPr>
        <w:t xml:space="preserve"> </w:t>
      </w:r>
      <w:r>
        <w:rPr>
          <w:w w:val="95"/>
        </w:rPr>
        <w:t>working</w:t>
      </w:r>
      <w:r>
        <w:rPr>
          <w:spacing w:val="16"/>
          <w:w w:val="95"/>
        </w:rPr>
        <w:t xml:space="preserve"> </w:t>
      </w:r>
      <w:r>
        <w:rPr>
          <w:w w:val="95"/>
        </w:rPr>
        <w:t>together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deliver</w:t>
      </w:r>
      <w:r>
        <w:rPr>
          <w:spacing w:val="10"/>
          <w:w w:val="95"/>
        </w:rPr>
        <w:t xml:space="preserve"> </w:t>
      </w:r>
      <w:r>
        <w:rPr>
          <w:w w:val="95"/>
        </w:rPr>
        <w:t>curriculum.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19"/>
        <w:gridCol w:w="3596"/>
        <w:gridCol w:w="2412"/>
      </w:tblGrid>
      <w:tr w:rsidR="00F37B42" w14:paraId="39425C0D" w14:textId="77777777" w:rsidTr="00F37B42">
        <w:trPr>
          <w:trHeight w:val="548"/>
        </w:trPr>
        <w:tc>
          <w:tcPr>
            <w:tcW w:w="307" w:type="dxa"/>
            <w:shd w:val="clear" w:color="auto" w:fill="CCCCCC"/>
          </w:tcPr>
          <w:p w14:paraId="2874A878" w14:textId="77777777" w:rsidR="00F37B42" w:rsidRDefault="00F37B4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9" w:type="dxa"/>
            <w:shd w:val="clear" w:color="auto" w:fill="CCCCCC"/>
          </w:tcPr>
          <w:p w14:paraId="1E6FD2CC" w14:textId="77777777" w:rsidR="00F37B42" w:rsidRDefault="00F37B42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F68F5C" w14:textId="77777777" w:rsidR="00F37B42" w:rsidRDefault="00F37B42" w:rsidP="000D7849">
            <w:pPr>
              <w:pStyle w:val="TableParagraph"/>
              <w:ind w:left="132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96" w:type="dxa"/>
            <w:shd w:val="clear" w:color="auto" w:fill="CCCCCC"/>
          </w:tcPr>
          <w:p w14:paraId="07E69F8E" w14:textId="77777777" w:rsidR="00F37B42" w:rsidRDefault="00F37B42" w:rsidP="000D7849">
            <w:pPr>
              <w:pStyle w:val="TableParagraph"/>
              <w:spacing w:before="59" w:line="266" w:lineRule="auto"/>
              <w:ind w:left="1374" w:right="10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3583C9FA" w14:textId="77777777" w:rsidR="00F37B42" w:rsidRDefault="00F37B42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E848ED" w14:textId="77777777" w:rsidR="00F37B42" w:rsidRDefault="00F37B42" w:rsidP="000D7849">
            <w:pPr>
              <w:pStyle w:val="TableParagraph"/>
              <w:ind w:left="32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37B42" w14:paraId="0AB8A29D" w14:textId="77777777" w:rsidTr="00F37B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858657" w14:textId="77777777" w:rsidR="00F37B42" w:rsidRDefault="00F37B4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7FA215" w14:textId="77777777" w:rsidR="00F37B42" w:rsidRDefault="00F37B42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79B75F" w14:textId="77777777" w:rsidR="00F37B42" w:rsidRDefault="00F37B42" w:rsidP="000D7849">
            <w:pPr>
              <w:pStyle w:val="TableParagraph"/>
              <w:spacing w:before="105" w:line="266" w:lineRule="auto"/>
              <w:ind w:left="1312" w:hanging="9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paraprofessional/.5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education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35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7CBD1B" w14:textId="77777777" w:rsidR="00F37B42" w:rsidRDefault="00F37B4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6FAFEA" w14:textId="77777777" w:rsidR="00F37B42" w:rsidRDefault="00F37B42" w:rsidP="000D7849">
            <w:pPr>
              <w:pStyle w:val="TableParagraph"/>
              <w:ind w:left="1381" w:right="13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30,000.00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BC8EA2" w14:textId="77777777" w:rsidR="00F37B42" w:rsidRDefault="00F37B42" w:rsidP="000D7849">
            <w:pPr>
              <w:pStyle w:val="TableParagraph"/>
              <w:spacing w:before="105" w:line="266" w:lineRule="auto"/>
              <w:ind w:left="82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7CDD963" w14:textId="77777777" w:rsidR="00D54646" w:rsidRDefault="00D54646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2E84F1B9" w14:textId="3696F1FA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F37B4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F37B42" w:rsidRPr="00F37B42">
        <w:rPr>
          <w:rStyle w:val="Heading2Char"/>
        </w:rPr>
        <w:t>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F18D841" w14:textId="77777777" w:rsidR="00F37B42" w:rsidRDefault="00F37B42" w:rsidP="00F37B42">
      <w:r>
        <w:rPr>
          <w:w w:val="95"/>
        </w:rPr>
        <w:t>Content area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along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8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together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deliver</w:t>
      </w:r>
      <w:r>
        <w:rPr>
          <w:spacing w:val="7"/>
          <w:w w:val="95"/>
        </w:rPr>
        <w:t xml:space="preserve"> </w:t>
      </w:r>
      <w:r>
        <w:rPr>
          <w:w w:val="95"/>
        </w:rPr>
        <w:t>curriculum.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919"/>
        <w:gridCol w:w="3735"/>
        <w:gridCol w:w="2475"/>
      </w:tblGrid>
      <w:tr w:rsidR="00F37B42" w14:paraId="64C92DC9" w14:textId="77777777" w:rsidTr="00F37B42">
        <w:trPr>
          <w:trHeight w:val="548"/>
        </w:trPr>
        <w:tc>
          <w:tcPr>
            <w:tcW w:w="307" w:type="dxa"/>
            <w:shd w:val="clear" w:color="auto" w:fill="CCCCCC"/>
          </w:tcPr>
          <w:p w14:paraId="2BFD546C" w14:textId="77777777" w:rsidR="00F37B42" w:rsidRDefault="00F37B4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  <w:shd w:val="clear" w:color="auto" w:fill="CCCCCC"/>
          </w:tcPr>
          <w:p w14:paraId="309C89DA" w14:textId="77777777" w:rsidR="00F37B42" w:rsidRDefault="00F37B42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614924" w14:textId="77777777" w:rsidR="00F37B42" w:rsidRDefault="00F37B42" w:rsidP="000D7849">
            <w:pPr>
              <w:pStyle w:val="TableParagraph"/>
              <w:ind w:left="122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35" w:type="dxa"/>
            <w:shd w:val="clear" w:color="auto" w:fill="CCCCCC"/>
          </w:tcPr>
          <w:p w14:paraId="2F3F8E7F" w14:textId="77777777" w:rsidR="00F37B42" w:rsidRDefault="00F37B42" w:rsidP="000D7849">
            <w:pPr>
              <w:pStyle w:val="TableParagraph"/>
              <w:spacing w:before="59" w:line="266" w:lineRule="auto"/>
              <w:ind w:left="14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475" w:type="dxa"/>
            <w:tcBorders>
              <w:right w:val="nil"/>
            </w:tcBorders>
            <w:shd w:val="clear" w:color="auto" w:fill="CCCCCC"/>
          </w:tcPr>
          <w:p w14:paraId="344A5C41" w14:textId="77777777" w:rsidR="00F37B42" w:rsidRDefault="00F37B42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C201BB" w14:textId="77777777" w:rsidR="00F37B42" w:rsidRDefault="00F37B42" w:rsidP="000D7849"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37B42" w14:paraId="6BA4E49C" w14:textId="77777777" w:rsidTr="00F37B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782B8B1" w14:textId="77777777" w:rsidR="00F37B42" w:rsidRDefault="00F37B4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F42B1B" w14:textId="77777777" w:rsidR="00F37B42" w:rsidRDefault="00F37B42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266541" w14:textId="77777777" w:rsidR="00F37B42" w:rsidRDefault="00F37B42" w:rsidP="000D7849">
            <w:pPr>
              <w:pStyle w:val="TableParagraph"/>
              <w:spacing w:before="105" w:line="266" w:lineRule="auto"/>
              <w:ind w:left="1212" w:hanging="738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additional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paraprofessional/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special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education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3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073C2B" w14:textId="77777777" w:rsidR="00F37B42" w:rsidRDefault="00F37B4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9BF106" w14:textId="77777777" w:rsidR="00F37B42" w:rsidRDefault="00F37B42" w:rsidP="000D7849">
            <w:pPr>
              <w:pStyle w:val="TableParagraph"/>
              <w:ind w:left="1450" w:right="14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30,000.00</w:t>
            </w:r>
          </w:p>
        </w:tc>
        <w:tc>
          <w:tcPr>
            <w:tcW w:w="24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B7A3DE3" w14:textId="77777777" w:rsidR="00F37B42" w:rsidRDefault="00F37B42" w:rsidP="000D7849">
            <w:pPr>
              <w:pStyle w:val="TableParagraph"/>
              <w:spacing w:before="105" w:line="266" w:lineRule="auto"/>
              <w:ind w:left="85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04E0F5E" w14:textId="34EDF0FE" w:rsidR="00131CA1" w:rsidRPr="0035356C" w:rsidRDefault="00F37B42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lastRenderedPageBreak/>
        <w:t xml:space="preserve"> </w:t>
      </w: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239D422" w14:textId="77777777" w:rsidR="00F37B42" w:rsidRDefault="00F37B4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8781429" w14:textId="77777777" w:rsidR="00F37B42" w:rsidRDefault="00F37B42" w:rsidP="00F37B42">
      <w:pPr>
        <w:pStyle w:val="ListParagraph"/>
        <w:numPr>
          <w:ilvl w:val="0"/>
          <w:numId w:val="11"/>
        </w:numPr>
      </w:pPr>
      <w:r w:rsidRPr="00F37B42">
        <w:rPr>
          <w:w w:val="95"/>
        </w:rPr>
        <w:t>Student</w:t>
      </w:r>
      <w:r w:rsidRPr="00F37B42">
        <w:rPr>
          <w:spacing w:val="20"/>
          <w:w w:val="95"/>
        </w:rPr>
        <w:t xml:space="preserve"> </w:t>
      </w:r>
      <w:r w:rsidRPr="00F37B42">
        <w:rPr>
          <w:w w:val="95"/>
        </w:rPr>
        <w:t>Achievement:</w:t>
      </w:r>
      <w:r w:rsidRPr="00F37B42">
        <w:rPr>
          <w:spacing w:val="12"/>
          <w:w w:val="95"/>
        </w:rPr>
        <w:t xml:space="preserve"> </w:t>
      </w:r>
      <w:r w:rsidRPr="00F37B42">
        <w:rPr>
          <w:w w:val="95"/>
        </w:rPr>
        <w:t>Mathematics</w:t>
      </w:r>
      <w:r w:rsidRPr="00F37B42">
        <w:rPr>
          <w:spacing w:val="20"/>
          <w:w w:val="95"/>
        </w:rPr>
        <w:t xml:space="preserve"> </w:t>
      </w:r>
      <w:r w:rsidRPr="00F37B42">
        <w:rPr>
          <w:w w:val="95"/>
        </w:rPr>
        <w:t>achievement</w:t>
      </w:r>
      <w:r w:rsidRPr="00F37B42">
        <w:rPr>
          <w:spacing w:val="12"/>
          <w:w w:val="95"/>
        </w:rPr>
        <w:t xml:space="preserve"> </w:t>
      </w:r>
      <w:r w:rsidRPr="00F37B42">
        <w:rPr>
          <w:w w:val="95"/>
        </w:rPr>
        <w:t>as</w:t>
      </w:r>
      <w:r w:rsidRPr="00F37B42">
        <w:rPr>
          <w:spacing w:val="21"/>
          <w:w w:val="95"/>
        </w:rPr>
        <w:t xml:space="preserve"> </w:t>
      </w:r>
      <w:r w:rsidRPr="00F37B42">
        <w:rPr>
          <w:w w:val="95"/>
        </w:rPr>
        <w:t>measured</w:t>
      </w:r>
      <w:r w:rsidRPr="00F37B42">
        <w:rPr>
          <w:spacing w:val="28"/>
          <w:w w:val="95"/>
        </w:rPr>
        <w:t xml:space="preserve"> </w:t>
      </w:r>
      <w:r w:rsidRPr="00F37B42">
        <w:rPr>
          <w:w w:val="95"/>
        </w:rPr>
        <w:t>by</w:t>
      </w:r>
      <w:r w:rsidRPr="00F37B42">
        <w:rPr>
          <w:spacing w:val="20"/>
          <w:w w:val="95"/>
        </w:rPr>
        <w:t xml:space="preserve"> </w:t>
      </w:r>
      <w:r w:rsidRPr="00F37B42">
        <w:rPr>
          <w:w w:val="95"/>
        </w:rPr>
        <w:t>average</w:t>
      </w:r>
      <w:r w:rsidRPr="00F37B42">
        <w:rPr>
          <w:spacing w:val="28"/>
          <w:w w:val="95"/>
        </w:rPr>
        <w:t xml:space="preserve"> </w:t>
      </w:r>
      <w:r w:rsidRPr="00F37B42">
        <w:rPr>
          <w:w w:val="95"/>
        </w:rPr>
        <w:t>scaled</w:t>
      </w:r>
      <w:r w:rsidRPr="00F37B42">
        <w:rPr>
          <w:spacing w:val="28"/>
          <w:w w:val="95"/>
        </w:rPr>
        <w:t xml:space="preserve"> </w:t>
      </w:r>
      <w:r w:rsidRPr="00F37B42">
        <w:rPr>
          <w:w w:val="95"/>
        </w:rPr>
        <w:t>scores</w:t>
      </w:r>
      <w:r w:rsidRPr="00F37B42">
        <w:rPr>
          <w:spacing w:val="21"/>
          <w:w w:val="95"/>
        </w:rPr>
        <w:t xml:space="preserve"> </w:t>
      </w:r>
      <w:r w:rsidRPr="00F37B42">
        <w:rPr>
          <w:w w:val="95"/>
        </w:rPr>
        <w:t>on</w:t>
      </w:r>
      <w:r w:rsidRPr="00F37B42">
        <w:rPr>
          <w:spacing w:val="28"/>
          <w:w w:val="95"/>
        </w:rPr>
        <w:t xml:space="preserve"> </w:t>
      </w:r>
      <w:r w:rsidRPr="00F37B42">
        <w:rPr>
          <w:w w:val="95"/>
        </w:rPr>
        <w:t>MCAS</w:t>
      </w:r>
    </w:p>
    <w:p w14:paraId="41AA4894" w14:textId="77777777" w:rsidR="00F37B42" w:rsidRDefault="00F37B42" w:rsidP="00F37B42">
      <w:pPr>
        <w:pStyle w:val="ListParagraph"/>
        <w:numPr>
          <w:ilvl w:val="0"/>
          <w:numId w:val="11"/>
        </w:numPr>
      </w:pPr>
      <w:r w:rsidRPr="00F37B42">
        <w:rPr>
          <w:w w:val="95"/>
        </w:rPr>
        <w:t>Student</w:t>
      </w:r>
      <w:r w:rsidRPr="00F37B42">
        <w:rPr>
          <w:spacing w:val="22"/>
          <w:w w:val="95"/>
        </w:rPr>
        <w:t xml:space="preserve"> </w:t>
      </w:r>
      <w:r w:rsidRPr="00F37B42">
        <w:rPr>
          <w:w w:val="95"/>
        </w:rPr>
        <w:t>Achievement:</w:t>
      </w:r>
      <w:r w:rsidRPr="00F37B42">
        <w:rPr>
          <w:spacing w:val="14"/>
          <w:w w:val="95"/>
        </w:rPr>
        <w:t xml:space="preserve"> </w:t>
      </w:r>
      <w:r w:rsidRPr="00F37B42">
        <w:rPr>
          <w:w w:val="95"/>
        </w:rPr>
        <w:t>Science</w:t>
      </w:r>
      <w:r w:rsidRPr="00F37B42">
        <w:rPr>
          <w:spacing w:val="31"/>
          <w:w w:val="95"/>
        </w:rPr>
        <w:t xml:space="preserve"> </w:t>
      </w:r>
      <w:r w:rsidRPr="00F37B42">
        <w:rPr>
          <w:w w:val="95"/>
        </w:rPr>
        <w:t>achievement</w:t>
      </w:r>
      <w:r w:rsidRPr="00F37B42">
        <w:rPr>
          <w:spacing w:val="14"/>
          <w:w w:val="95"/>
        </w:rPr>
        <w:t xml:space="preserve"> </w:t>
      </w:r>
      <w:r w:rsidRPr="00F37B42">
        <w:rPr>
          <w:w w:val="95"/>
        </w:rPr>
        <w:t>as</w:t>
      </w:r>
      <w:r w:rsidRPr="00F37B42">
        <w:rPr>
          <w:spacing w:val="22"/>
          <w:w w:val="95"/>
        </w:rPr>
        <w:t xml:space="preserve"> </w:t>
      </w:r>
      <w:r w:rsidRPr="00F37B42">
        <w:rPr>
          <w:w w:val="95"/>
        </w:rPr>
        <w:t>measured</w:t>
      </w:r>
      <w:r w:rsidRPr="00F37B42">
        <w:rPr>
          <w:spacing w:val="31"/>
          <w:w w:val="95"/>
        </w:rPr>
        <w:t xml:space="preserve"> </w:t>
      </w:r>
      <w:r w:rsidRPr="00F37B42">
        <w:rPr>
          <w:w w:val="95"/>
        </w:rPr>
        <w:t>by</w:t>
      </w:r>
      <w:r w:rsidRPr="00F37B42">
        <w:rPr>
          <w:spacing w:val="23"/>
          <w:w w:val="95"/>
        </w:rPr>
        <w:t xml:space="preserve"> </w:t>
      </w:r>
      <w:r w:rsidRPr="00F37B42">
        <w:rPr>
          <w:w w:val="95"/>
        </w:rPr>
        <w:t>average</w:t>
      </w:r>
      <w:r w:rsidRPr="00F37B42">
        <w:rPr>
          <w:spacing w:val="31"/>
          <w:w w:val="95"/>
        </w:rPr>
        <w:t xml:space="preserve"> </w:t>
      </w:r>
      <w:r w:rsidRPr="00F37B42">
        <w:rPr>
          <w:w w:val="95"/>
        </w:rPr>
        <w:t>scaled</w:t>
      </w:r>
      <w:r w:rsidRPr="00F37B42">
        <w:rPr>
          <w:spacing w:val="30"/>
          <w:w w:val="95"/>
        </w:rPr>
        <w:t xml:space="preserve"> </w:t>
      </w:r>
      <w:r w:rsidRPr="00F37B42">
        <w:rPr>
          <w:w w:val="95"/>
        </w:rPr>
        <w:t>scores</w:t>
      </w:r>
      <w:r w:rsidRPr="00F37B42">
        <w:rPr>
          <w:spacing w:val="23"/>
          <w:w w:val="95"/>
        </w:rPr>
        <w:t xml:space="preserve"> </w:t>
      </w:r>
      <w:r w:rsidRPr="00F37B42">
        <w:rPr>
          <w:w w:val="95"/>
        </w:rPr>
        <w:t>(or</w:t>
      </w:r>
      <w:r w:rsidRPr="00F37B42">
        <w:rPr>
          <w:spacing w:val="23"/>
          <w:w w:val="95"/>
        </w:rPr>
        <w:t xml:space="preserve"> </w:t>
      </w:r>
      <w:r w:rsidRPr="00F37B42">
        <w:rPr>
          <w:w w:val="95"/>
        </w:rPr>
        <w:t>CPI,</w:t>
      </w:r>
      <w:r w:rsidRPr="00F37B42">
        <w:rPr>
          <w:spacing w:val="14"/>
          <w:w w:val="95"/>
        </w:rPr>
        <w:t xml:space="preserve"> </w:t>
      </w:r>
      <w:r w:rsidRPr="00F37B42">
        <w:rPr>
          <w:w w:val="95"/>
        </w:rPr>
        <w:t>depending</w:t>
      </w:r>
      <w:r w:rsidRPr="00F37B42">
        <w:rPr>
          <w:spacing w:val="30"/>
          <w:w w:val="95"/>
        </w:rPr>
        <w:t xml:space="preserve"> </w:t>
      </w:r>
      <w:r w:rsidRPr="00F37B42">
        <w:rPr>
          <w:w w:val="95"/>
        </w:rPr>
        <w:t>on</w:t>
      </w:r>
      <w:r w:rsidRPr="00F37B42">
        <w:rPr>
          <w:spacing w:val="31"/>
          <w:w w:val="95"/>
        </w:rPr>
        <w:t xml:space="preserve"> </w:t>
      </w:r>
      <w:r w:rsidRPr="00F37B42">
        <w:rPr>
          <w:w w:val="95"/>
        </w:rPr>
        <w:t>grade</w:t>
      </w:r>
      <w:r w:rsidRPr="00F37B42">
        <w:rPr>
          <w:spacing w:val="31"/>
          <w:w w:val="95"/>
        </w:rPr>
        <w:t xml:space="preserve"> </w:t>
      </w:r>
      <w:r w:rsidRPr="00F37B42">
        <w:rPr>
          <w:w w:val="95"/>
        </w:rPr>
        <w:t>level)</w:t>
      </w:r>
      <w:r w:rsidRPr="00F37B42">
        <w:rPr>
          <w:spacing w:val="22"/>
          <w:w w:val="95"/>
        </w:rPr>
        <w:t xml:space="preserve"> </w:t>
      </w:r>
      <w:r w:rsidRPr="00F37B42">
        <w:rPr>
          <w:w w:val="95"/>
        </w:rPr>
        <w:t>on</w:t>
      </w:r>
      <w:r w:rsidRPr="00F37B42">
        <w:rPr>
          <w:spacing w:val="-44"/>
          <w:w w:val="95"/>
        </w:rPr>
        <w:t xml:space="preserve"> </w:t>
      </w:r>
      <w:r>
        <w:t>MCAS</w:t>
      </w:r>
    </w:p>
    <w:p w14:paraId="3CAF2DE2" w14:textId="77777777" w:rsidR="00F37B42" w:rsidRDefault="00F37B42" w:rsidP="00F37B42">
      <w:pPr>
        <w:pStyle w:val="ListParagraph"/>
        <w:numPr>
          <w:ilvl w:val="0"/>
          <w:numId w:val="11"/>
        </w:numPr>
      </w:pPr>
      <w:r w:rsidRPr="00F37B42">
        <w:rPr>
          <w:w w:val="95"/>
        </w:rPr>
        <w:t>Student</w:t>
      </w:r>
      <w:r w:rsidRPr="00F37B42">
        <w:rPr>
          <w:spacing w:val="10"/>
          <w:w w:val="95"/>
        </w:rPr>
        <w:t xml:space="preserve"> </w:t>
      </w:r>
      <w:r w:rsidRPr="00F37B42">
        <w:rPr>
          <w:w w:val="95"/>
        </w:rPr>
        <w:t>Growth:</w:t>
      </w:r>
      <w:r w:rsidRPr="00F37B42">
        <w:rPr>
          <w:spacing w:val="3"/>
          <w:w w:val="95"/>
        </w:rPr>
        <w:t xml:space="preserve"> </w:t>
      </w:r>
      <w:r w:rsidRPr="00F37B42">
        <w:rPr>
          <w:w w:val="95"/>
        </w:rPr>
        <w:t>ELA</w:t>
      </w:r>
      <w:r w:rsidRPr="00F37B42">
        <w:rPr>
          <w:spacing w:val="11"/>
          <w:w w:val="95"/>
        </w:rPr>
        <w:t xml:space="preserve"> </w:t>
      </w:r>
      <w:r w:rsidRPr="00F37B42">
        <w:rPr>
          <w:w w:val="95"/>
        </w:rPr>
        <w:t>mean</w:t>
      </w:r>
      <w:r w:rsidRPr="00F37B42">
        <w:rPr>
          <w:spacing w:val="17"/>
          <w:w w:val="95"/>
        </w:rPr>
        <w:t xml:space="preserve"> </w:t>
      </w:r>
      <w:r w:rsidRPr="00F37B42">
        <w:rPr>
          <w:w w:val="95"/>
        </w:rPr>
        <w:t>student</w:t>
      </w:r>
      <w:r w:rsidRPr="00F37B42">
        <w:rPr>
          <w:spacing w:val="3"/>
          <w:w w:val="95"/>
        </w:rPr>
        <w:t xml:space="preserve"> </w:t>
      </w:r>
      <w:r w:rsidRPr="00F37B42">
        <w:rPr>
          <w:w w:val="95"/>
        </w:rPr>
        <w:t>growth</w:t>
      </w:r>
      <w:r w:rsidRPr="00F37B42">
        <w:rPr>
          <w:spacing w:val="17"/>
          <w:w w:val="95"/>
        </w:rPr>
        <w:t xml:space="preserve"> </w:t>
      </w:r>
      <w:r w:rsidRPr="00F37B42">
        <w:rPr>
          <w:w w:val="95"/>
        </w:rPr>
        <w:t>percentile</w:t>
      </w:r>
      <w:r w:rsidRPr="00F37B42">
        <w:rPr>
          <w:spacing w:val="17"/>
          <w:w w:val="95"/>
        </w:rPr>
        <w:t xml:space="preserve"> </w:t>
      </w:r>
      <w:r w:rsidRPr="00F37B42">
        <w:rPr>
          <w:w w:val="95"/>
        </w:rPr>
        <w:t>(SGP)</w:t>
      </w:r>
    </w:p>
    <w:p w14:paraId="17C942A5" w14:textId="457ECC2E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C6BD9F4" w14:textId="77777777" w:rsidR="00AF798E" w:rsidRPr="0035356C" w:rsidRDefault="00AF798E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9DFF05" w14:textId="77777777" w:rsidR="00F37B42" w:rsidRDefault="00F37B42" w:rsidP="00F37B42">
      <w:r>
        <w:rPr>
          <w:w w:val="95"/>
        </w:rPr>
        <w:t>Verbal,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electronic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written</w:t>
      </w:r>
      <w:r>
        <w:rPr>
          <w:spacing w:val="10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parents.</w:t>
      </w:r>
    </w:p>
    <w:p w14:paraId="5FD92F26" w14:textId="1ADB26BC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469BBDB" w14:textId="77777777" w:rsidR="00AF798E" w:rsidRPr="0035356C" w:rsidRDefault="00AF798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682CA9A" w14:textId="77777777" w:rsidR="00F37B42" w:rsidRDefault="00F37B42" w:rsidP="00F37B42">
      <w:r>
        <w:rPr>
          <w:w w:val="95"/>
        </w:rPr>
        <w:t>Written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electronic</w:t>
      </w:r>
      <w:r>
        <w:rPr>
          <w:spacing w:val="2"/>
          <w:w w:val="95"/>
        </w:rPr>
        <w:t xml:space="preserve"> </w:t>
      </w:r>
      <w:r>
        <w:rPr>
          <w:w w:val="95"/>
        </w:rPr>
        <w:t>surveys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sent</w:t>
      </w:r>
      <w:r>
        <w:rPr>
          <w:spacing w:val="-5"/>
          <w:w w:val="95"/>
        </w:rPr>
        <w:t xml:space="preserve"> </w:t>
      </w:r>
      <w:r>
        <w:rPr>
          <w:w w:val="95"/>
        </w:rPr>
        <w:t>out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families.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016E3038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37B42">
        <w:rPr>
          <w:rFonts w:cs="Tahoma"/>
          <w:bCs/>
          <w:szCs w:val="24"/>
        </w:rPr>
        <w:t xml:space="preserve"> 09/01/20</w:t>
      </w:r>
      <w:r w:rsidR="00B24267">
        <w:rPr>
          <w:rFonts w:cs="Tahoma"/>
          <w:bCs/>
          <w:szCs w:val="24"/>
        </w:rPr>
        <w:t>20</w:t>
      </w:r>
      <w:r w:rsidR="00F37B42">
        <w:rPr>
          <w:rFonts w:cs="Tahoma"/>
          <w:b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642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CE35" w14:textId="77777777" w:rsidR="00B4573A" w:rsidRDefault="00B4573A" w:rsidP="0064207B">
      <w:pPr>
        <w:spacing w:after="0" w:line="240" w:lineRule="auto"/>
      </w:pPr>
      <w:r>
        <w:separator/>
      </w:r>
    </w:p>
  </w:endnote>
  <w:endnote w:type="continuationSeparator" w:id="0">
    <w:p w14:paraId="2B727B83" w14:textId="77777777" w:rsidR="00B4573A" w:rsidRDefault="00B4573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38FC" w14:textId="77777777" w:rsidR="005214F9" w:rsidRDefault="0052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2A30" w14:textId="77777777" w:rsidR="005214F9" w:rsidRDefault="00521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9C19" w14:textId="77777777" w:rsidR="005214F9" w:rsidRDefault="0052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D2051" w14:textId="77777777" w:rsidR="00B4573A" w:rsidRDefault="00B4573A" w:rsidP="0064207B">
      <w:pPr>
        <w:spacing w:after="0" w:line="240" w:lineRule="auto"/>
      </w:pPr>
      <w:r>
        <w:separator/>
      </w:r>
    </w:p>
  </w:footnote>
  <w:footnote w:type="continuationSeparator" w:id="0">
    <w:p w14:paraId="070732A3" w14:textId="77777777" w:rsidR="00B4573A" w:rsidRDefault="00B4573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A0D1" w14:textId="77777777" w:rsidR="005214F9" w:rsidRDefault="00521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3E6611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37B42">
      <w:rPr>
        <w:sz w:val="22"/>
      </w:rPr>
      <w:t xml:space="preserve">  Upper Cap</w:t>
    </w:r>
    <w:r w:rsidR="005214F9">
      <w:rPr>
        <w:sz w:val="22"/>
      </w:rPr>
      <w:t>e</w:t>
    </w:r>
    <w:r w:rsidR="00F37B42">
      <w:rPr>
        <w:sz w:val="22"/>
      </w:rPr>
      <w:t xml:space="preserve"> Cod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F821ED"/>
    <w:multiLevelType w:val="hybridMultilevel"/>
    <w:tmpl w:val="2F5E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5214F9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8F7F98"/>
    <w:rsid w:val="00941326"/>
    <w:rsid w:val="00983884"/>
    <w:rsid w:val="00A834D7"/>
    <w:rsid w:val="00AF798E"/>
    <w:rsid w:val="00B12D8E"/>
    <w:rsid w:val="00B24267"/>
    <w:rsid w:val="00B42CD6"/>
    <w:rsid w:val="00B4573A"/>
    <w:rsid w:val="00C4151B"/>
    <w:rsid w:val="00C77542"/>
    <w:rsid w:val="00C942A6"/>
    <w:rsid w:val="00D27034"/>
    <w:rsid w:val="00D54646"/>
    <w:rsid w:val="00D756F3"/>
    <w:rsid w:val="00F37B42"/>
    <w:rsid w:val="00F46A58"/>
    <w:rsid w:val="00F679B1"/>
    <w:rsid w:val="00FC1FD7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37B4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37B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Cape Cod RVT 3 Year SOA plan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Cape Cod RVT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2021-03-10T20:10:00Z</dcterms:created>
  <dcterms:modified xsi:type="dcterms:W3CDTF">2021-03-24T19:39:00Z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