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0F" w:rsidRDefault="00C87A0F" w:rsidP="00757DF9">
      <w:pPr>
        <w:spacing w:before="1200" w:after="1200"/>
        <w:rPr>
          <w:noProof/>
        </w:rPr>
      </w:pPr>
      <w:r>
        <w:rPr>
          <w:noProof/>
        </w:rPr>
        <w:drawing>
          <wp:inline distT="0" distB="0" distL="0" distR="0">
            <wp:extent cx="8778240" cy="4145280"/>
            <wp:effectExtent l="19050" t="0" r="3810" b="0"/>
            <wp:docPr id="2" name="Picture 1" descr="Massachusetts Student-Driven Secondary Transition Model. A dark blue infinity symbol. Left side: the self determined student in the school environment, guided onward by his vision (a star in his outstretched hand). Right side: the student as a successful adu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21" w:rsidRDefault="00D5265D" w:rsidP="00FE39FC">
      <w:pPr>
        <w:jc w:val="righ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52625" cy="952500"/>
            <wp:effectExtent l="19050" t="0" r="9525" b="0"/>
            <wp:docPr id="7" name="Picture 7" descr="Logo of the Massachusetts Department of Elementary and Secondar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e.mass.edu/nmg/logo/ESELogo/Full%20Logo/205x100/Master-Logo_205x100_c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8A" w:rsidRDefault="0047461C" w:rsidP="00FE39FC">
      <w:pPr>
        <w:pStyle w:val="Heading1"/>
        <w:spacing w:before="0"/>
        <w:rPr>
          <w:rFonts w:asciiTheme="minorHAnsi" w:hAnsiTheme="minorHAnsi"/>
          <w:color w:val="auto"/>
        </w:rPr>
      </w:pPr>
      <w:r w:rsidRPr="0062168A">
        <w:rPr>
          <w:rFonts w:asciiTheme="minorHAnsi" w:hAnsiTheme="minorHAnsi"/>
          <w:color w:val="auto"/>
        </w:rPr>
        <w:t>THE MASSACHUSETTS STUDENT-DRIVEN SECONDARY TRANSITION MODEL</w:t>
      </w:r>
    </w:p>
    <w:p w:rsidR="0018756A" w:rsidRPr="009E1F16" w:rsidRDefault="003230BC" w:rsidP="009E1F16">
      <w:pPr>
        <w:pStyle w:val="Heading2"/>
        <w:spacing w:before="240"/>
        <w:rPr>
          <w:rFonts w:asciiTheme="minorHAnsi" w:hAnsiTheme="minorHAnsi"/>
          <w:color w:val="auto"/>
          <w:sz w:val="24"/>
          <w:szCs w:val="24"/>
        </w:rPr>
      </w:pPr>
      <w:r w:rsidRPr="009E1F16">
        <w:rPr>
          <w:rFonts w:asciiTheme="minorHAnsi" w:hAnsiTheme="minorHAnsi"/>
          <w:color w:val="auto"/>
          <w:sz w:val="24"/>
          <w:szCs w:val="24"/>
        </w:rPr>
        <w:t>Introduction</w:t>
      </w:r>
    </w:p>
    <w:p w:rsidR="0018756A" w:rsidRDefault="00CA3084" w:rsidP="0062168A">
      <w:pPr>
        <w:spacing w:before="240" w:after="240"/>
        <w:rPr>
          <w:sz w:val="22"/>
        </w:rPr>
      </w:pPr>
      <w:r>
        <w:rPr>
          <w:sz w:val="22"/>
        </w:rPr>
        <w:t xml:space="preserve">According to the Individuals with Disabilities Education Act (IDEA), secondary transition services are a "coordinated set of activities… within a results-oriented process, that is focused on improving the academic and functional achievement” of </w:t>
      </w:r>
      <w:r w:rsidR="00B641BF">
        <w:rPr>
          <w:sz w:val="22"/>
        </w:rPr>
        <w:t xml:space="preserve">students with disabilities, </w:t>
      </w:r>
      <w:r>
        <w:rPr>
          <w:sz w:val="22"/>
        </w:rPr>
        <w:t xml:space="preserve">so as to facilitate </w:t>
      </w:r>
      <w:r w:rsidR="00C50474">
        <w:rPr>
          <w:sz w:val="22"/>
        </w:rPr>
        <w:t>their</w:t>
      </w:r>
      <w:r>
        <w:rPr>
          <w:sz w:val="22"/>
        </w:rPr>
        <w:t xml:space="preserve"> "movement from school to post-school activities."</w:t>
      </w:r>
      <w:r>
        <w:rPr>
          <w:rStyle w:val="EndnoteReference"/>
          <w:sz w:val="22"/>
        </w:rPr>
        <w:endnoteReference w:id="1"/>
      </w:r>
      <w:r w:rsidR="005B6562">
        <w:rPr>
          <w:sz w:val="22"/>
        </w:rPr>
        <w:t xml:space="preserve"> </w:t>
      </w:r>
      <w:r w:rsidR="0018756A">
        <w:rPr>
          <w:sz w:val="22"/>
        </w:rPr>
        <w:t>Created by the Department of Elementary and Secondary Education (ESE) in co</w:t>
      </w:r>
      <w:r w:rsidR="00393342">
        <w:rPr>
          <w:sz w:val="22"/>
        </w:rPr>
        <w:t>nsultation</w:t>
      </w:r>
      <w:r w:rsidR="0018756A">
        <w:rPr>
          <w:sz w:val="22"/>
        </w:rPr>
        <w:t xml:space="preserve"> with a broad cross-section of stakeholders, and with graphics expertise donated by the Institute for Community Inclusion at UMass Boston, t</w:t>
      </w:r>
      <w:r w:rsidR="005B6562">
        <w:rPr>
          <w:sz w:val="22"/>
        </w:rPr>
        <w:t xml:space="preserve">he </w:t>
      </w:r>
      <w:r w:rsidR="00DE3CF5" w:rsidRPr="00DE3CF5">
        <w:rPr>
          <w:i/>
          <w:sz w:val="22"/>
        </w:rPr>
        <w:t>Massachusetts Student-Driven Secondary Transition Model</w:t>
      </w:r>
      <w:r w:rsidR="005B6562">
        <w:rPr>
          <w:sz w:val="22"/>
        </w:rPr>
        <w:t xml:space="preserve"> visually represents this movement from school to post-school life</w:t>
      </w:r>
      <w:r w:rsidR="00245748">
        <w:rPr>
          <w:sz w:val="22"/>
        </w:rPr>
        <w:t xml:space="preserve"> for students with</w:t>
      </w:r>
      <w:r w:rsidR="00621C74">
        <w:rPr>
          <w:sz w:val="22"/>
        </w:rPr>
        <w:t xml:space="preserve"> Individualized Education Programs (</w:t>
      </w:r>
      <w:r w:rsidR="00245748">
        <w:rPr>
          <w:sz w:val="22"/>
        </w:rPr>
        <w:t>IEPs</w:t>
      </w:r>
      <w:r w:rsidR="00621C74">
        <w:rPr>
          <w:sz w:val="22"/>
        </w:rPr>
        <w:t>)</w:t>
      </w:r>
      <w:r w:rsidR="00245748">
        <w:rPr>
          <w:sz w:val="22"/>
        </w:rPr>
        <w:t xml:space="preserve"> aged 14-22</w:t>
      </w:r>
      <w:r w:rsidR="0018756A">
        <w:rPr>
          <w:sz w:val="22"/>
        </w:rPr>
        <w:t xml:space="preserve">. </w:t>
      </w:r>
      <w:r w:rsidR="008F117F">
        <w:rPr>
          <w:sz w:val="22"/>
        </w:rPr>
        <w:t>The model is informed by two big ideas:</w:t>
      </w:r>
    </w:p>
    <w:p w:rsidR="0020427C" w:rsidRPr="001D3667" w:rsidRDefault="00437A9C" w:rsidP="001D3667">
      <w:pPr>
        <w:pStyle w:val="Heading4"/>
        <w:rPr>
          <w:rFonts w:asciiTheme="minorHAnsi" w:hAnsiTheme="minorHAnsi"/>
          <w:b w:val="0"/>
          <w:color w:val="auto"/>
          <w:sz w:val="22"/>
        </w:rPr>
      </w:pPr>
      <w:r>
        <w:tab/>
      </w:r>
      <w:r w:rsidR="0020427C" w:rsidRPr="001D3667">
        <w:rPr>
          <w:rFonts w:asciiTheme="minorHAnsi" w:hAnsiTheme="minorHAnsi"/>
          <w:b w:val="0"/>
          <w:color w:val="auto"/>
          <w:sz w:val="22"/>
        </w:rPr>
        <w:t>“Student-Driven”</w:t>
      </w:r>
    </w:p>
    <w:p w:rsidR="00767C6B" w:rsidRDefault="00437A9C" w:rsidP="00A46DCA">
      <w:pPr>
        <w:spacing w:after="240"/>
        <w:rPr>
          <w:sz w:val="22"/>
        </w:rPr>
      </w:pPr>
      <w:r>
        <w:rPr>
          <w:sz w:val="22"/>
        </w:rPr>
        <w:tab/>
      </w:r>
      <w:r w:rsidR="00567A56">
        <w:rPr>
          <w:sz w:val="22"/>
        </w:rPr>
        <w:t xml:space="preserve">This model emphasizes the central, </w:t>
      </w:r>
      <w:r w:rsidR="008C29A8">
        <w:rPr>
          <w:sz w:val="22"/>
        </w:rPr>
        <w:t>most important characteristic</w:t>
      </w:r>
      <w:r w:rsidR="0062168A">
        <w:rPr>
          <w:sz w:val="22"/>
        </w:rPr>
        <w:t xml:space="preserve"> of a successful secondary </w:t>
      </w:r>
      <w:r w:rsidR="00567A56">
        <w:rPr>
          <w:sz w:val="22"/>
        </w:rPr>
        <w:t xml:space="preserve">transition process: it is </w:t>
      </w:r>
      <w:r w:rsidR="003230BC" w:rsidRPr="003230BC">
        <w:rPr>
          <w:i/>
          <w:sz w:val="22"/>
        </w:rPr>
        <w:t>student-driven</w:t>
      </w:r>
      <w:r w:rsidR="00567A56">
        <w:rPr>
          <w:sz w:val="22"/>
        </w:rPr>
        <w:t>.</w:t>
      </w:r>
      <w:r w:rsidR="00694033">
        <w:rPr>
          <w:sz w:val="22"/>
        </w:rPr>
        <w:t xml:space="preserve"> A</w:t>
      </w:r>
      <w:r w:rsidR="0062168A">
        <w:rPr>
          <w:sz w:val="22"/>
        </w:rPr>
        <w:t xml:space="preserve"> </w:t>
      </w:r>
      <w:r w:rsidR="00553D67">
        <w:rPr>
          <w:sz w:val="22"/>
        </w:rPr>
        <w:t xml:space="preserve">large body of </w:t>
      </w:r>
      <w:r w:rsidR="00694033">
        <w:rPr>
          <w:sz w:val="22"/>
        </w:rPr>
        <w:tab/>
      </w:r>
      <w:r w:rsidR="00553D67">
        <w:rPr>
          <w:sz w:val="22"/>
        </w:rPr>
        <w:t xml:space="preserve">research </w:t>
      </w:r>
      <w:r w:rsidR="0020427C">
        <w:rPr>
          <w:sz w:val="22"/>
        </w:rPr>
        <w:t xml:space="preserve">demonstrates </w:t>
      </w:r>
      <w:r w:rsidR="00553D67">
        <w:rPr>
          <w:sz w:val="22"/>
        </w:rPr>
        <w:t>that students who</w:t>
      </w:r>
      <w:r w:rsidR="0062168A">
        <w:rPr>
          <w:sz w:val="22"/>
        </w:rPr>
        <w:t xml:space="preserve"> </w:t>
      </w:r>
      <w:r w:rsidR="00767C6B">
        <w:rPr>
          <w:sz w:val="22"/>
        </w:rPr>
        <w:t xml:space="preserve">achieve postsecondary success tend to be those who </w:t>
      </w:r>
      <w:r w:rsidR="0020427C">
        <w:rPr>
          <w:sz w:val="22"/>
        </w:rPr>
        <w:t xml:space="preserve">are </w:t>
      </w:r>
      <w:r w:rsidR="00767C6B">
        <w:rPr>
          <w:sz w:val="22"/>
        </w:rPr>
        <w:t>supported by</w:t>
      </w:r>
      <w:r w:rsidR="00694033">
        <w:rPr>
          <w:sz w:val="22"/>
        </w:rPr>
        <w:t xml:space="preserve"> </w:t>
      </w:r>
      <w:r w:rsidR="00767C6B">
        <w:rPr>
          <w:sz w:val="22"/>
        </w:rPr>
        <w:t>educators, families, and</w:t>
      </w:r>
      <w:r w:rsidR="0062168A">
        <w:rPr>
          <w:sz w:val="22"/>
        </w:rPr>
        <w:t xml:space="preserve"> </w:t>
      </w:r>
      <w:r w:rsidR="00694033">
        <w:rPr>
          <w:sz w:val="22"/>
        </w:rPr>
        <w:tab/>
      </w:r>
      <w:r w:rsidR="00767C6B">
        <w:rPr>
          <w:sz w:val="22"/>
        </w:rPr>
        <w:t xml:space="preserve">communities to be </w:t>
      </w:r>
      <w:r w:rsidR="00642418">
        <w:rPr>
          <w:sz w:val="22"/>
        </w:rPr>
        <w:t>meaningfully</w:t>
      </w:r>
      <w:r w:rsidR="00553D67">
        <w:rPr>
          <w:sz w:val="22"/>
        </w:rPr>
        <w:t xml:space="preserve"> </w:t>
      </w:r>
      <w:r w:rsidR="00393342">
        <w:rPr>
          <w:sz w:val="22"/>
        </w:rPr>
        <w:t xml:space="preserve">engaged </w:t>
      </w:r>
      <w:r w:rsidR="00553D67">
        <w:rPr>
          <w:sz w:val="22"/>
        </w:rPr>
        <w:t xml:space="preserve">in </w:t>
      </w:r>
      <w:r w:rsidR="00642418" w:rsidRPr="00642418">
        <w:rPr>
          <w:sz w:val="22"/>
        </w:rPr>
        <w:t xml:space="preserve">planning, assessment, IEP development, </w:t>
      </w:r>
      <w:r w:rsidR="00610B19">
        <w:rPr>
          <w:sz w:val="22"/>
        </w:rPr>
        <w:t>course of</w:t>
      </w:r>
      <w:r w:rsidR="0062168A">
        <w:rPr>
          <w:sz w:val="22"/>
        </w:rPr>
        <w:t xml:space="preserve"> </w:t>
      </w:r>
      <w:r w:rsidR="00610B19">
        <w:rPr>
          <w:sz w:val="22"/>
        </w:rPr>
        <w:t>study, and</w:t>
      </w:r>
      <w:r w:rsidR="00694033">
        <w:rPr>
          <w:sz w:val="22"/>
        </w:rPr>
        <w:t xml:space="preserve"> </w:t>
      </w:r>
      <w:r w:rsidR="00642418">
        <w:rPr>
          <w:sz w:val="22"/>
        </w:rPr>
        <w:t>service delivery</w:t>
      </w:r>
      <w:r w:rsidR="00610B19">
        <w:rPr>
          <w:sz w:val="22"/>
        </w:rPr>
        <w:t xml:space="preserve"> </w:t>
      </w:r>
      <w:r w:rsidR="0062168A">
        <w:rPr>
          <w:sz w:val="22"/>
        </w:rPr>
        <w:t xml:space="preserve">during their transition </w:t>
      </w:r>
      <w:r w:rsidR="00694033">
        <w:rPr>
          <w:sz w:val="22"/>
        </w:rPr>
        <w:tab/>
      </w:r>
      <w:r w:rsidR="0062168A">
        <w:rPr>
          <w:sz w:val="22"/>
        </w:rPr>
        <w:t xml:space="preserve">years. </w:t>
      </w:r>
      <w:r w:rsidR="00610B19">
        <w:rPr>
          <w:sz w:val="22"/>
        </w:rPr>
        <w:t>Successful</w:t>
      </w:r>
      <w:r w:rsidR="00767C6B">
        <w:rPr>
          <w:sz w:val="22"/>
        </w:rPr>
        <w:t xml:space="preserve"> </w:t>
      </w:r>
      <w:r w:rsidR="008E1F41">
        <w:rPr>
          <w:sz w:val="22"/>
        </w:rPr>
        <w:t>students</w:t>
      </w:r>
      <w:r w:rsidR="00767C6B">
        <w:rPr>
          <w:sz w:val="22"/>
        </w:rPr>
        <w:t xml:space="preserve"> understand their</w:t>
      </w:r>
      <w:r w:rsidR="0062168A">
        <w:rPr>
          <w:sz w:val="22"/>
        </w:rPr>
        <w:t xml:space="preserve"> </w:t>
      </w:r>
      <w:r w:rsidR="00767C6B">
        <w:rPr>
          <w:sz w:val="22"/>
        </w:rPr>
        <w:t>own strengths and limitations, know themselves to be</w:t>
      </w:r>
      <w:r w:rsidR="00694033">
        <w:rPr>
          <w:sz w:val="22"/>
        </w:rPr>
        <w:t xml:space="preserve"> </w:t>
      </w:r>
      <w:r w:rsidR="00767C6B">
        <w:rPr>
          <w:sz w:val="22"/>
        </w:rPr>
        <w:t>“causal agents in their own lives,”</w:t>
      </w:r>
      <w:r w:rsidR="008E1F41">
        <w:rPr>
          <w:rStyle w:val="EndnoteReference"/>
          <w:sz w:val="22"/>
        </w:rPr>
        <w:endnoteReference w:id="2"/>
      </w:r>
      <w:r w:rsidR="00767C6B">
        <w:rPr>
          <w:sz w:val="22"/>
        </w:rPr>
        <w:t xml:space="preserve"> have a</w:t>
      </w:r>
      <w:r w:rsidR="0062168A">
        <w:rPr>
          <w:sz w:val="22"/>
        </w:rPr>
        <w:t xml:space="preserve"> </w:t>
      </w:r>
      <w:r w:rsidR="00767C6B">
        <w:rPr>
          <w:sz w:val="22"/>
        </w:rPr>
        <w:t xml:space="preserve">vision </w:t>
      </w:r>
      <w:r w:rsidR="00694033">
        <w:rPr>
          <w:sz w:val="22"/>
        </w:rPr>
        <w:tab/>
      </w:r>
      <w:r w:rsidR="00767C6B">
        <w:rPr>
          <w:sz w:val="22"/>
        </w:rPr>
        <w:t>for the future</w:t>
      </w:r>
      <w:r w:rsidR="00610B19">
        <w:rPr>
          <w:sz w:val="22"/>
        </w:rPr>
        <w:t xml:space="preserve">, and </w:t>
      </w:r>
      <w:r w:rsidR="008E1F41">
        <w:rPr>
          <w:sz w:val="22"/>
        </w:rPr>
        <w:t xml:space="preserve">are </w:t>
      </w:r>
      <w:r w:rsidR="00376875">
        <w:rPr>
          <w:sz w:val="22"/>
        </w:rPr>
        <w:t xml:space="preserve">directly </w:t>
      </w:r>
      <w:r w:rsidR="00393342">
        <w:rPr>
          <w:sz w:val="22"/>
        </w:rPr>
        <w:t xml:space="preserve">involved </w:t>
      </w:r>
      <w:r w:rsidR="008E1F41">
        <w:rPr>
          <w:sz w:val="22"/>
        </w:rPr>
        <w:t>in actualizing that vision</w:t>
      </w:r>
      <w:r w:rsidR="008015D5">
        <w:rPr>
          <w:sz w:val="22"/>
        </w:rPr>
        <w:t>.</w:t>
      </w:r>
    </w:p>
    <w:p w:rsidR="0020427C" w:rsidRPr="001D3667" w:rsidRDefault="00437A9C" w:rsidP="001D3667">
      <w:pPr>
        <w:pStyle w:val="Heading4"/>
        <w:rPr>
          <w:rFonts w:asciiTheme="minorHAnsi" w:hAnsiTheme="minorHAnsi"/>
          <w:b w:val="0"/>
          <w:color w:val="auto"/>
          <w:sz w:val="22"/>
        </w:rPr>
      </w:pPr>
      <w:r>
        <w:tab/>
      </w:r>
      <w:r w:rsidR="003230BC" w:rsidRPr="001D3667">
        <w:rPr>
          <w:rFonts w:asciiTheme="minorHAnsi" w:hAnsiTheme="minorHAnsi"/>
          <w:b w:val="0"/>
          <w:color w:val="auto"/>
          <w:sz w:val="22"/>
        </w:rPr>
        <w:t>An Infinity Symbol</w:t>
      </w:r>
    </w:p>
    <w:p w:rsidR="0020427C" w:rsidRDefault="00437A9C" w:rsidP="00FE39FC">
      <w:pPr>
        <w:spacing w:after="240"/>
        <w:rPr>
          <w:sz w:val="22"/>
        </w:rPr>
      </w:pPr>
      <w:r>
        <w:rPr>
          <w:sz w:val="22"/>
        </w:rPr>
        <w:tab/>
      </w:r>
      <w:r w:rsidR="00321BCD">
        <w:rPr>
          <w:sz w:val="22"/>
        </w:rPr>
        <w:t xml:space="preserve">No one – with or without disabilities – becomes successful in a vacuum. </w:t>
      </w:r>
      <w:r w:rsidR="00877E68">
        <w:rPr>
          <w:sz w:val="22"/>
        </w:rPr>
        <w:t>We are all</w:t>
      </w:r>
      <w:r w:rsidR="00A46DCA">
        <w:rPr>
          <w:sz w:val="22"/>
        </w:rPr>
        <w:t xml:space="preserve"> </w:t>
      </w:r>
      <w:r w:rsidR="00877E68">
        <w:rPr>
          <w:sz w:val="22"/>
        </w:rPr>
        <w:t>interdependent</w:t>
      </w:r>
      <w:r w:rsidR="002D11E7">
        <w:rPr>
          <w:sz w:val="22"/>
        </w:rPr>
        <w:t>, each person relying on the other</w:t>
      </w:r>
      <w:r w:rsidR="00B800D7">
        <w:rPr>
          <w:sz w:val="22"/>
        </w:rPr>
        <w:t xml:space="preserve"> for </w:t>
      </w:r>
      <w:r w:rsidR="00FE39FC">
        <w:rPr>
          <w:sz w:val="22"/>
        </w:rPr>
        <w:tab/>
      </w:r>
      <w:r w:rsidR="00B800D7">
        <w:rPr>
          <w:sz w:val="22"/>
        </w:rPr>
        <w:t>knowledge, companionship, resources</w:t>
      </w:r>
      <w:r w:rsidR="00E9129A">
        <w:rPr>
          <w:sz w:val="22"/>
        </w:rPr>
        <w:t xml:space="preserve">, </w:t>
      </w:r>
      <w:r>
        <w:rPr>
          <w:sz w:val="22"/>
        </w:rPr>
        <w:tab/>
      </w:r>
      <w:r w:rsidR="00E9129A">
        <w:rPr>
          <w:sz w:val="22"/>
        </w:rPr>
        <w:t>and support</w:t>
      </w:r>
      <w:r w:rsidR="002D11E7">
        <w:rPr>
          <w:sz w:val="22"/>
        </w:rPr>
        <w:t>. T</w:t>
      </w:r>
      <w:r w:rsidR="00321BCD">
        <w:rPr>
          <w:sz w:val="22"/>
        </w:rPr>
        <w:t xml:space="preserve">hroughout the course of their lives, in school and beyond, individuals with </w:t>
      </w:r>
      <w:r>
        <w:rPr>
          <w:sz w:val="22"/>
        </w:rPr>
        <w:tab/>
      </w:r>
      <w:r w:rsidR="00321BCD">
        <w:rPr>
          <w:sz w:val="22"/>
        </w:rPr>
        <w:t>disabilities are supported by family, community, and</w:t>
      </w:r>
      <w:r w:rsidR="00FC08AF">
        <w:rPr>
          <w:sz w:val="22"/>
        </w:rPr>
        <w:t xml:space="preserve"> (</w:t>
      </w:r>
      <w:r w:rsidR="00321BCD">
        <w:rPr>
          <w:sz w:val="22"/>
        </w:rPr>
        <w:t>in some cases</w:t>
      </w:r>
      <w:r w:rsidR="00FC08AF">
        <w:rPr>
          <w:sz w:val="22"/>
        </w:rPr>
        <w:t>)</w:t>
      </w:r>
      <w:r w:rsidR="00321BCD">
        <w:rPr>
          <w:sz w:val="22"/>
        </w:rPr>
        <w:t xml:space="preserve"> </w:t>
      </w:r>
      <w:r w:rsidR="00905B1B">
        <w:rPr>
          <w:sz w:val="22"/>
        </w:rPr>
        <w:t>state</w:t>
      </w:r>
      <w:r w:rsidR="00321BCD">
        <w:rPr>
          <w:sz w:val="22"/>
        </w:rPr>
        <w:t xml:space="preserve"> agencies. In this visual</w:t>
      </w:r>
      <w:r w:rsidR="00FE39FC">
        <w:rPr>
          <w:sz w:val="22"/>
        </w:rPr>
        <w:t xml:space="preserve"> </w:t>
      </w:r>
      <w:r w:rsidR="00321BCD">
        <w:rPr>
          <w:sz w:val="22"/>
        </w:rPr>
        <w:t xml:space="preserve">model, the </w:t>
      </w:r>
      <w:r w:rsidR="00297E87" w:rsidRPr="00393342">
        <w:rPr>
          <w:b/>
          <w:color w:val="17365D" w:themeColor="text2" w:themeShade="BF"/>
          <w:sz w:val="22"/>
        </w:rPr>
        <w:t>dark blue infinity symbol</w:t>
      </w:r>
      <w:r w:rsidR="002F64F2">
        <w:rPr>
          <w:b/>
          <w:color w:val="17365D" w:themeColor="text2" w:themeShade="BF"/>
          <w:sz w:val="22"/>
        </w:rPr>
        <w:t xml:space="preserve"> </w:t>
      </w:r>
      <w:r w:rsidR="00321BCD">
        <w:rPr>
          <w:sz w:val="22"/>
        </w:rPr>
        <w:t xml:space="preserve">denotes </w:t>
      </w:r>
      <w:r w:rsidR="00694033">
        <w:rPr>
          <w:sz w:val="22"/>
        </w:rPr>
        <w:tab/>
      </w:r>
      <w:r w:rsidR="00321BCD">
        <w:rPr>
          <w:sz w:val="22"/>
        </w:rPr>
        <w:t xml:space="preserve">the lifelong interdependence of every </w:t>
      </w:r>
      <w:r w:rsidR="00FC08AF">
        <w:rPr>
          <w:sz w:val="22"/>
        </w:rPr>
        <w:t>person,</w:t>
      </w:r>
      <w:r w:rsidR="002F64F2">
        <w:rPr>
          <w:sz w:val="22"/>
        </w:rPr>
        <w:t xml:space="preserve"> </w:t>
      </w:r>
      <w:r w:rsidR="00FC08AF">
        <w:rPr>
          <w:sz w:val="22"/>
        </w:rPr>
        <w:t>who from school days</w:t>
      </w:r>
      <w:r w:rsidR="00905B1B">
        <w:rPr>
          <w:sz w:val="22"/>
        </w:rPr>
        <w:t xml:space="preserve"> (on the left)</w:t>
      </w:r>
      <w:r w:rsidR="00FC08AF">
        <w:rPr>
          <w:sz w:val="22"/>
        </w:rPr>
        <w:t xml:space="preserve"> progresses to adult life</w:t>
      </w:r>
      <w:r w:rsidR="00905B1B">
        <w:rPr>
          <w:sz w:val="22"/>
        </w:rPr>
        <w:t xml:space="preserve"> (on the right)</w:t>
      </w:r>
      <w:r w:rsidR="00FC08AF">
        <w:rPr>
          <w:sz w:val="22"/>
        </w:rPr>
        <w:t xml:space="preserve">. </w:t>
      </w:r>
    </w:p>
    <w:p w:rsidR="00C96D03" w:rsidRDefault="00905B1B" w:rsidP="007E40B1">
      <w:pPr>
        <w:rPr>
          <w:sz w:val="22"/>
        </w:rPr>
      </w:pPr>
      <w:r>
        <w:rPr>
          <w:sz w:val="22"/>
        </w:rPr>
        <w:t>We invite</w:t>
      </w:r>
      <w:r w:rsidR="00584F95">
        <w:rPr>
          <w:sz w:val="22"/>
        </w:rPr>
        <w:t xml:space="preserve"> all stakeholders </w:t>
      </w:r>
      <w:r>
        <w:rPr>
          <w:sz w:val="22"/>
        </w:rPr>
        <w:t xml:space="preserve">– students, families, </w:t>
      </w:r>
      <w:r w:rsidR="006C5E8D">
        <w:rPr>
          <w:sz w:val="22"/>
        </w:rPr>
        <w:t xml:space="preserve">general and special </w:t>
      </w:r>
      <w:r>
        <w:rPr>
          <w:sz w:val="22"/>
        </w:rPr>
        <w:t xml:space="preserve">educators, </w:t>
      </w:r>
      <w:r w:rsidR="006C5E8D">
        <w:rPr>
          <w:sz w:val="22"/>
        </w:rPr>
        <w:t xml:space="preserve">administrators, </w:t>
      </w:r>
      <w:r w:rsidR="00406B71">
        <w:rPr>
          <w:sz w:val="22"/>
        </w:rPr>
        <w:t xml:space="preserve">guidance counselors, vocational rehabilitation counselors, </w:t>
      </w:r>
      <w:r w:rsidR="006C5E8D">
        <w:rPr>
          <w:sz w:val="22"/>
        </w:rPr>
        <w:t xml:space="preserve">related service providers, </w:t>
      </w:r>
      <w:r>
        <w:rPr>
          <w:sz w:val="22"/>
        </w:rPr>
        <w:t>and others</w:t>
      </w:r>
      <w:r w:rsidR="00943F97">
        <w:rPr>
          <w:sz w:val="22"/>
        </w:rPr>
        <w:t xml:space="preserve"> </w:t>
      </w:r>
      <w:r>
        <w:rPr>
          <w:sz w:val="22"/>
        </w:rPr>
        <w:t>– to use this model</w:t>
      </w:r>
      <w:r w:rsidR="00D7007F">
        <w:rPr>
          <w:sz w:val="22"/>
        </w:rPr>
        <w:t xml:space="preserve"> </w:t>
      </w:r>
      <w:r w:rsidR="00584F95">
        <w:rPr>
          <w:sz w:val="22"/>
        </w:rPr>
        <w:t>as a reference to inform the planning and delivery of secondary transition</w:t>
      </w:r>
      <w:r w:rsidR="00943F97">
        <w:rPr>
          <w:sz w:val="22"/>
        </w:rPr>
        <w:t xml:space="preserve"> </w:t>
      </w:r>
      <w:r w:rsidR="00584F95">
        <w:rPr>
          <w:sz w:val="22"/>
        </w:rPr>
        <w:t xml:space="preserve">programs and services, on an individual and system-wide basis. We note that the model </w:t>
      </w:r>
      <w:r w:rsidR="006262D3">
        <w:rPr>
          <w:sz w:val="22"/>
        </w:rPr>
        <w:t>is</w:t>
      </w:r>
      <w:r w:rsidR="00943F97">
        <w:rPr>
          <w:sz w:val="22"/>
        </w:rPr>
        <w:t xml:space="preserve"> </w:t>
      </w:r>
      <w:r w:rsidR="006262D3">
        <w:rPr>
          <w:sz w:val="22"/>
        </w:rPr>
        <w:t xml:space="preserve">aligned </w:t>
      </w:r>
      <w:r w:rsidR="00584F95">
        <w:rPr>
          <w:sz w:val="22"/>
        </w:rPr>
        <w:t xml:space="preserve">with </w:t>
      </w:r>
      <w:r w:rsidR="006C5E8D">
        <w:rPr>
          <w:sz w:val="22"/>
        </w:rPr>
        <w:t xml:space="preserve">existing </w:t>
      </w:r>
      <w:r w:rsidR="00584F95">
        <w:rPr>
          <w:sz w:val="22"/>
        </w:rPr>
        <w:t>state priorities such as college-career readiness</w:t>
      </w:r>
      <w:r w:rsidR="00156EC3">
        <w:rPr>
          <w:sz w:val="22"/>
        </w:rPr>
        <w:t>, with district</w:t>
      </w:r>
      <w:r w:rsidR="006C5E8D">
        <w:rPr>
          <w:sz w:val="22"/>
        </w:rPr>
        <w:t xml:space="preserve"> standards and</w:t>
      </w:r>
      <w:r w:rsidR="00943F97">
        <w:rPr>
          <w:sz w:val="22"/>
        </w:rPr>
        <w:t xml:space="preserve"> </w:t>
      </w:r>
      <w:r w:rsidR="006C5E8D">
        <w:rPr>
          <w:sz w:val="22"/>
        </w:rPr>
        <w:t>indicators, and with initiatives such as</w:t>
      </w:r>
      <w:r w:rsidR="008F117F">
        <w:rPr>
          <w:sz w:val="22"/>
        </w:rPr>
        <w:t xml:space="preserve"> the</w:t>
      </w:r>
      <w:r w:rsidR="006C5E8D">
        <w:rPr>
          <w:sz w:val="22"/>
        </w:rPr>
        <w:t xml:space="preserve"> </w:t>
      </w:r>
      <w:r w:rsidR="000D35C1">
        <w:rPr>
          <w:sz w:val="22"/>
        </w:rPr>
        <w:t>Massachusetts T</w:t>
      </w:r>
      <w:r w:rsidR="006C5E8D">
        <w:rPr>
          <w:sz w:val="22"/>
        </w:rPr>
        <w:t xml:space="preserve">iered </w:t>
      </w:r>
      <w:r w:rsidR="000D35C1">
        <w:rPr>
          <w:sz w:val="22"/>
        </w:rPr>
        <w:t>S</w:t>
      </w:r>
      <w:r w:rsidR="006C5E8D">
        <w:rPr>
          <w:sz w:val="22"/>
        </w:rPr>
        <w:t xml:space="preserve">ystem of </w:t>
      </w:r>
      <w:r w:rsidR="000D35C1">
        <w:rPr>
          <w:sz w:val="22"/>
        </w:rPr>
        <w:t>S</w:t>
      </w:r>
      <w:r w:rsidR="006C5E8D">
        <w:rPr>
          <w:sz w:val="22"/>
        </w:rPr>
        <w:t>upport</w:t>
      </w:r>
      <w:r w:rsidR="002F0D24">
        <w:rPr>
          <w:sz w:val="22"/>
        </w:rPr>
        <w:t>s</w:t>
      </w:r>
      <w:r w:rsidR="006C5E8D">
        <w:rPr>
          <w:sz w:val="22"/>
        </w:rPr>
        <w:t>.</w:t>
      </w:r>
      <w:r w:rsidR="006262D3">
        <w:rPr>
          <w:sz w:val="22"/>
        </w:rPr>
        <w:t xml:space="preserve"> </w:t>
      </w:r>
      <w:r w:rsidR="009A5273">
        <w:rPr>
          <w:sz w:val="22"/>
        </w:rPr>
        <w:t>Already, across the</w:t>
      </w:r>
      <w:r w:rsidR="00943F97">
        <w:rPr>
          <w:sz w:val="22"/>
        </w:rPr>
        <w:t xml:space="preserve"> </w:t>
      </w:r>
      <w:r w:rsidR="009A5273">
        <w:rPr>
          <w:sz w:val="22"/>
        </w:rPr>
        <w:t>Commonwealth, school districts are developing strategic partnerships that cross tra</w:t>
      </w:r>
      <w:r w:rsidR="00406B71">
        <w:rPr>
          <w:sz w:val="22"/>
        </w:rPr>
        <w:t xml:space="preserve">ditional boundaries such as those that have existed between </w:t>
      </w:r>
      <w:r w:rsidR="009A5273">
        <w:rPr>
          <w:sz w:val="22"/>
        </w:rPr>
        <w:t xml:space="preserve">general and special education, </w:t>
      </w:r>
      <w:r w:rsidR="00406B71">
        <w:rPr>
          <w:sz w:val="22"/>
        </w:rPr>
        <w:t>educators and families, in scho</w:t>
      </w:r>
      <w:r w:rsidR="002F64F2">
        <w:rPr>
          <w:sz w:val="22"/>
        </w:rPr>
        <w:t xml:space="preserve">ol and beyond the school walls. </w:t>
      </w:r>
      <w:r w:rsidR="00406B71">
        <w:rPr>
          <w:sz w:val="22"/>
        </w:rPr>
        <w:t>This model encourages and supports these</w:t>
      </w:r>
      <w:r w:rsidR="00943F97">
        <w:rPr>
          <w:sz w:val="22"/>
        </w:rPr>
        <w:t xml:space="preserve"> </w:t>
      </w:r>
      <w:r w:rsidR="00406B71">
        <w:rPr>
          <w:sz w:val="22"/>
        </w:rPr>
        <w:t>efforts, as the best way to promote optimal outcomes for our students.</w:t>
      </w:r>
    </w:p>
    <w:p w:rsidR="001A6830" w:rsidRPr="009E1F16" w:rsidRDefault="00C96D03" w:rsidP="009E1F16">
      <w:pPr>
        <w:pStyle w:val="Heading2"/>
        <w:spacing w:before="240" w:after="240"/>
        <w:rPr>
          <w:rFonts w:asciiTheme="minorHAnsi" w:hAnsiTheme="minorHAnsi"/>
          <w:color w:val="auto"/>
          <w:sz w:val="24"/>
          <w:szCs w:val="24"/>
        </w:rPr>
      </w:pPr>
      <w:r>
        <w:rPr>
          <w:sz w:val="22"/>
        </w:rPr>
        <w:br w:type="page"/>
      </w:r>
      <w:r w:rsidR="00441218" w:rsidRPr="009E1F16">
        <w:rPr>
          <w:rFonts w:asciiTheme="minorHAnsi" w:hAnsiTheme="minorHAnsi"/>
          <w:color w:val="auto"/>
          <w:sz w:val="24"/>
          <w:szCs w:val="24"/>
        </w:rPr>
        <w:lastRenderedPageBreak/>
        <w:t>Exploring</w:t>
      </w:r>
      <w:r w:rsidR="003230BC" w:rsidRPr="009E1F16">
        <w:rPr>
          <w:rFonts w:asciiTheme="minorHAnsi" w:hAnsiTheme="minorHAnsi"/>
          <w:color w:val="auto"/>
          <w:sz w:val="24"/>
          <w:szCs w:val="24"/>
        </w:rPr>
        <w:t xml:space="preserve"> the Massachusetts Student-Driven Secondary Transition Model</w:t>
      </w:r>
    </w:p>
    <w:p w:rsidR="001A6830" w:rsidRPr="009E1F16" w:rsidRDefault="001A6830" w:rsidP="009E1F16">
      <w:pPr>
        <w:pStyle w:val="Heading3"/>
        <w:spacing w:before="240" w:after="240"/>
        <w:rPr>
          <w:rFonts w:asciiTheme="minorHAnsi" w:hAnsiTheme="minorHAnsi"/>
          <w:color w:val="auto"/>
          <w:sz w:val="22"/>
        </w:rPr>
      </w:pPr>
      <w:r w:rsidRPr="009E1F16">
        <w:rPr>
          <w:rFonts w:asciiTheme="minorHAnsi" w:hAnsiTheme="minorHAnsi"/>
          <w:color w:val="auto"/>
          <w:sz w:val="22"/>
        </w:rPr>
        <w:t>LEFT SIDE</w:t>
      </w:r>
      <w:r w:rsidR="00010922" w:rsidRPr="009E1F16">
        <w:rPr>
          <w:rFonts w:asciiTheme="minorHAnsi" w:hAnsiTheme="minorHAnsi"/>
          <w:color w:val="auto"/>
          <w:sz w:val="22"/>
        </w:rPr>
        <w:t xml:space="preserve"> – The Student in the School Context</w:t>
      </w:r>
    </w:p>
    <w:p w:rsidR="001A6830" w:rsidRPr="00EA316D" w:rsidRDefault="001A6830" w:rsidP="00EA316D">
      <w:pPr>
        <w:pStyle w:val="Heading4"/>
        <w:rPr>
          <w:rFonts w:asciiTheme="minorHAnsi" w:hAnsiTheme="minorHAnsi"/>
          <w:b w:val="0"/>
          <w:color w:val="auto"/>
          <w:sz w:val="22"/>
        </w:rPr>
      </w:pPr>
      <w:r w:rsidRPr="00EA316D">
        <w:rPr>
          <w:rFonts w:asciiTheme="minorHAnsi" w:hAnsiTheme="minorHAnsi"/>
          <w:b w:val="0"/>
          <w:color w:val="auto"/>
          <w:sz w:val="22"/>
        </w:rPr>
        <w:t>On the left side of the model is the student with disabilities in the school environment.</w:t>
      </w:r>
    </w:p>
    <w:p w:rsidR="00437A9C" w:rsidRDefault="00795080" w:rsidP="009E1F16">
      <w:pPr>
        <w:spacing w:before="240" w:after="240"/>
        <w:rPr>
          <w:sz w:val="22"/>
        </w:rPr>
      </w:pPr>
      <w:r>
        <w:rPr>
          <w:sz w:val="22"/>
        </w:rPr>
        <w:t xml:space="preserve">Fully </w:t>
      </w:r>
      <w:r w:rsidRPr="007E40B1">
        <w:rPr>
          <w:b/>
          <w:sz w:val="22"/>
        </w:rPr>
        <w:t>self-determined</w:t>
      </w:r>
      <w:r>
        <w:rPr>
          <w:sz w:val="22"/>
        </w:rPr>
        <w:t xml:space="preserve">, the </w:t>
      </w:r>
      <w:r w:rsidRPr="00AB6F0E">
        <w:rPr>
          <w:b/>
          <w:color w:val="17365D" w:themeColor="text2" w:themeShade="BF"/>
          <w:sz w:val="22"/>
        </w:rPr>
        <w:t>student</w:t>
      </w:r>
      <w:r>
        <w:rPr>
          <w:sz w:val="22"/>
        </w:rPr>
        <w:t xml:space="preserve"> </w:t>
      </w:r>
      <w:r w:rsidR="00F15C9E">
        <w:rPr>
          <w:sz w:val="22"/>
        </w:rPr>
        <w:t>acquires</w:t>
      </w:r>
      <w:r w:rsidR="00AB6F0E">
        <w:rPr>
          <w:sz w:val="22"/>
        </w:rPr>
        <w:t xml:space="preserve"> and</w:t>
      </w:r>
      <w:r>
        <w:rPr>
          <w:sz w:val="22"/>
        </w:rPr>
        <w:t xml:space="preserve"> </w:t>
      </w:r>
      <w:r w:rsidR="00F15C9E">
        <w:rPr>
          <w:sz w:val="22"/>
        </w:rPr>
        <w:t>internalizes</w:t>
      </w:r>
      <w:r w:rsidR="0029430D">
        <w:rPr>
          <w:sz w:val="22"/>
        </w:rPr>
        <w:t xml:space="preserve"> </w:t>
      </w:r>
      <w:r w:rsidR="00321078">
        <w:rPr>
          <w:sz w:val="22"/>
        </w:rPr>
        <w:t xml:space="preserve">self knowledge and </w:t>
      </w:r>
      <w:r w:rsidRPr="00795080">
        <w:rPr>
          <w:sz w:val="22"/>
        </w:rPr>
        <w:t>key skills</w:t>
      </w:r>
      <w:r w:rsidR="00321078">
        <w:rPr>
          <w:sz w:val="22"/>
        </w:rPr>
        <w:t>,</w:t>
      </w:r>
      <w:r w:rsidRPr="00795080">
        <w:rPr>
          <w:sz w:val="22"/>
        </w:rPr>
        <w:t xml:space="preserve"> includi</w:t>
      </w:r>
      <w:r>
        <w:rPr>
          <w:sz w:val="22"/>
        </w:rPr>
        <w:t xml:space="preserve">ng </w:t>
      </w:r>
      <w:r w:rsidR="00A9623B">
        <w:rPr>
          <w:sz w:val="22"/>
        </w:rPr>
        <w:t xml:space="preserve">the ability to evaluate </w:t>
      </w:r>
      <w:r w:rsidR="00F077A8">
        <w:rPr>
          <w:sz w:val="22"/>
        </w:rPr>
        <w:t xml:space="preserve">options, </w:t>
      </w:r>
      <w:r w:rsidR="00321078">
        <w:rPr>
          <w:sz w:val="22"/>
        </w:rPr>
        <w:t xml:space="preserve">make choices and decisions, self regulate, self advocate, set and attain goals, solve </w:t>
      </w:r>
      <w:r w:rsidR="004A29D6">
        <w:rPr>
          <w:sz w:val="22"/>
        </w:rPr>
        <w:t xml:space="preserve">interpersonal </w:t>
      </w:r>
      <w:r w:rsidR="00321078">
        <w:rPr>
          <w:sz w:val="22"/>
        </w:rPr>
        <w:t xml:space="preserve">problems, communicate </w:t>
      </w:r>
      <w:r w:rsidR="009C08F1">
        <w:rPr>
          <w:sz w:val="22"/>
        </w:rPr>
        <w:t>competently</w:t>
      </w:r>
      <w:r w:rsidR="00321078">
        <w:rPr>
          <w:sz w:val="22"/>
        </w:rPr>
        <w:t xml:space="preserve">, and effect change according to one’s </w:t>
      </w:r>
      <w:r w:rsidR="005D68A9">
        <w:rPr>
          <w:sz w:val="22"/>
        </w:rPr>
        <w:t>preferences</w:t>
      </w:r>
      <w:r w:rsidR="00321078">
        <w:rPr>
          <w:sz w:val="22"/>
        </w:rPr>
        <w:t xml:space="preserve">. </w:t>
      </w:r>
    </w:p>
    <w:p w:rsidR="00CE3E64" w:rsidRDefault="00E95870" w:rsidP="009E1F16">
      <w:pPr>
        <w:spacing w:before="240" w:after="240"/>
        <w:rPr>
          <w:sz w:val="22"/>
        </w:rPr>
      </w:pPr>
      <w:r>
        <w:rPr>
          <w:sz w:val="22"/>
        </w:rPr>
        <w:t xml:space="preserve">The </w:t>
      </w:r>
      <w:r w:rsidR="00607BB3" w:rsidRPr="00607BB3">
        <w:rPr>
          <w:b/>
          <w:color w:val="FFC000"/>
          <w:sz w:val="22"/>
        </w:rPr>
        <w:t xml:space="preserve">gold </w:t>
      </w:r>
      <w:r w:rsidRPr="00607BB3">
        <w:rPr>
          <w:b/>
          <w:color w:val="FFC000"/>
          <w:sz w:val="22"/>
        </w:rPr>
        <w:t>star</w:t>
      </w:r>
      <w:r w:rsidRPr="00607BB3">
        <w:rPr>
          <w:color w:val="FFC000"/>
          <w:sz w:val="22"/>
        </w:rPr>
        <w:t xml:space="preserve"> </w:t>
      </w:r>
      <w:r w:rsidR="0029430D">
        <w:rPr>
          <w:sz w:val="22"/>
        </w:rPr>
        <w:t xml:space="preserve">in the student’s outstretched hand </w:t>
      </w:r>
      <w:r>
        <w:rPr>
          <w:sz w:val="22"/>
        </w:rPr>
        <w:t>guides the</w:t>
      </w:r>
      <w:r w:rsidR="00F564E8">
        <w:rPr>
          <w:sz w:val="22"/>
        </w:rPr>
        <w:t xml:space="preserve"> entire secondary transition process</w:t>
      </w:r>
      <w:r w:rsidR="0029430D">
        <w:rPr>
          <w:sz w:val="22"/>
        </w:rPr>
        <w:t>. This</w:t>
      </w:r>
      <w:r w:rsidR="00F564E8">
        <w:rPr>
          <w:sz w:val="22"/>
        </w:rPr>
        <w:t xml:space="preserve"> </w:t>
      </w:r>
      <w:r w:rsidR="00F077A8">
        <w:rPr>
          <w:sz w:val="22"/>
        </w:rPr>
        <w:t xml:space="preserve">star </w:t>
      </w:r>
      <w:r w:rsidR="00F564E8">
        <w:rPr>
          <w:sz w:val="22"/>
        </w:rPr>
        <w:t>is the student’s vision, expressed as p</w:t>
      </w:r>
      <w:r>
        <w:rPr>
          <w:sz w:val="22"/>
        </w:rPr>
        <w:t>ostsecondary goals</w:t>
      </w:r>
      <w:r w:rsidR="0029430D">
        <w:rPr>
          <w:sz w:val="22"/>
        </w:rPr>
        <w:t xml:space="preserve"> </w:t>
      </w:r>
      <w:r w:rsidR="008D74A7">
        <w:rPr>
          <w:sz w:val="22"/>
        </w:rPr>
        <w:t xml:space="preserve">(PSG) </w:t>
      </w:r>
      <w:r w:rsidR="0029430D">
        <w:rPr>
          <w:sz w:val="22"/>
        </w:rPr>
        <w:t>which ultimately are realized in adult postsecondary success</w:t>
      </w:r>
      <w:r w:rsidR="00AB6F0E">
        <w:rPr>
          <w:sz w:val="22"/>
        </w:rPr>
        <w:t xml:space="preserve">, as </w:t>
      </w:r>
      <w:r w:rsidR="003F4291">
        <w:rPr>
          <w:sz w:val="22"/>
        </w:rPr>
        <w:t>shown</w:t>
      </w:r>
      <w:r w:rsidR="00AB6F0E">
        <w:rPr>
          <w:sz w:val="22"/>
        </w:rPr>
        <w:t xml:space="preserve"> on the right side of the model</w:t>
      </w:r>
      <w:r w:rsidR="0029430D">
        <w:rPr>
          <w:sz w:val="22"/>
        </w:rPr>
        <w:t>.</w:t>
      </w:r>
      <w:r w:rsidR="00521D79">
        <w:rPr>
          <w:sz w:val="22"/>
        </w:rPr>
        <w:t xml:space="preserve"> </w:t>
      </w:r>
    </w:p>
    <w:p w:rsidR="00D305C8" w:rsidRDefault="00437A9C" w:rsidP="009E1F16">
      <w:pPr>
        <w:spacing w:before="240" w:after="240"/>
        <w:rPr>
          <w:sz w:val="22"/>
        </w:rPr>
      </w:pPr>
      <w:r>
        <w:rPr>
          <w:sz w:val="22"/>
        </w:rPr>
        <w:tab/>
      </w:r>
      <w:r w:rsidR="00521D79">
        <w:rPr>
          <w:sz w:val="22"/>
        </w:rPr>
        <w:t xml:space="preserve">A student’s understanding and articulation of his or her personal vision/PSG is a developmental </w:t>
      </w:r>
      <w:r>
        <w:rPr>
          <w:sz w:val="22"/>
        </w:rPr>
        <w:tab/>
      </w:r>
      <w:r w:rsidR="00521D79">
        <w:rPr>
          <w:sz w:val="22"/>
        </w:rPr>
        <w:t xml:space="preserve">process. Young students may have very little </w:t>
      </w:r>
      <w:r w:rsidR="009E1F16">
        <w:rPr>
          <w:sz w:val="22"/>
        </w:rPr>
        <w:tab/>
      </w:r>
      <w:r w:rsidR="00521D79">
        <w:rPr>
          <w:sz w:val="22"/>
        </w:rPr>
        <w:t>grasp of their own needs, strengths, preferences</w:t>
      </w:r>
      <w:r w:rsidR="009E1F16">
        <w:rPr>
          <w:sz w:val="22"/>
        </w:rPr>
        <w:t xml:space="preserve"> </w:t>
      </w:r>
      <w:r w:rsidR="00521D79">
        <w:rPr>
          <w:sz w:val="22"/>
        </w:rPr>
        <w:t xml:space="preserve">and interests, and therefore very little notion of what sort of career, postsecondary education, </w:t>
      </w:r>
      <w:r>
        <w:rPr>
          <w:sz w:val="22"/>
        </w:rPr>
        <w:tab/>
      </w:r>
      <w:r w:rsidR="00521D79">
        <w:rPr>
          <w:sz w:val="22"/>
        </w:rPr>
        <w:t>or living arrangements might eventually suit them best. An older student, having enjoyed a</w:t>
      </w:r>
      <w:r w:rsidR="009E1F16">
        <w:rPr>
          <w:sz w:val="22"/>
        </w:rPr>
        <w:t xml:space="preserve"> </w:t>
      </w:r>
      <w:r w:rsidR="00521D79">
        <w:rPr>
          <w:sz w:val="22"/>
        </w:rPr>
        <w:t>greater variety of academic, work</w:t>
      </w:r>
      <w:r w:rsidR="00692AF4">
        <w:rPr>
          <w:sz w:val="22"/>
        </w:rPr>
        <w:t xml:space="preserve">, </w:t>
      </w:r>
      <w:r w:rsidR="00521D79">
        <w:rPr>
          <w:sz w:val="22"/>
        </w:rPr>
        <w:t xml:space="preserve">and life </w:t>
      </w:r>
      <w:r w:rsidR="009E1F16">
        <w:rPr>
          <w:sz w:val="22"/>
        </w:rPr>
        <w:tab/>
      </w:r>
      <w:r w:rsidR="00521D79">
        <w:rPr>
          <w:sz w:val="22"/>
        </w:rPr>
        <w:t>opportunities, will more easily express his or her</w:t>
      </w:r>
      <w:r w:rsidR="009E1F16">
        <w:rPr>
          <w:sz w:val="22"/>
        </w:rPr>
        <w:t xml:space="preserve"> </w:t>
      </w:r>
      <w:r w:rsidR="00521D79">
        <w:rPr>
          <w:sz w:val="22"/>
        </w:rPr>
        <w:t xml:space="preserve">dreams for the future. </w:t>
      </w:r>
    </w:p>
    <w:p w:rsidR="00437A9C" w:rsidRDefault="00FE165B" w:rsidP="009E1F16">
      <w:pPr>
        <w:pStyle w:val="CommentText"/>
        <w:spacing w:before="240" w:after="240"/>
        <w:rPr>
          <w:sz w:val="22"/>
          <w:szCs w:val="22"/>
        </w:rPr>
      </w:pPr>
      <w:r w:rsidRPr="00AD758F">
        <w:rPr>
          <w:sz w:val="22"/>
          <w:szCs w:val="22"/>
        </w:rPr>
        <w:t>Supporting the student in the</w:t>
      </w:r>
      <w:r w:rsidR="00814FF0" w:rsidRPr="00AD758F">
        <w:rPr>
          <w:sz w:val="22"/>
          <w:szCs w:val="22"/>
        </w:rPr>
        <w:t xml:space="preserve"> </w:t>
      </w:r>
      <w:bookmarkStart w:id="0" w:name="_GoBack"/>
      <w:r w:rsidR="00814FF0" w:rsidRPr="00AD758F">
        <w:rPr>
          <w:b/>
          <w:color w:val="92CDDC" w:themeColor="accent5" w:themeTint="99"/>
          <w:sz w:val="22"/>
          <w:szCs w:val="22"/>
        </w:rPr>
        <w:t>light blue ring</w:t>
      </w:r>
      <w:bookmarkEnd w:id="0"/>
      <w:r w:rsidR="00814FF0" w:rsidRPr="00AD758F">
        <w:rPr>
          <w:color w:val="92CDDC" w:themeColor="accent5" w:themeTint="99"/>
          <w:sz w:val="22"/>
          <w:szCs w:val="22"/>
        </w:rPr>
        <w:t xml:space="preserve"> </w:t>
      </w:r>
      <w:r w:rsidR="003230BC" w:rsidRPr="003230BC">
        <w:rPr>
          <w:sz w:val="22"/>
          <w:szCs w:val="22"/>
        </w:rPr>
        <w:t xml:space="preserve">are the whole school, transition assessments, the Transition Planning Form (TPF), and the IEP. </w:t>
      </w:r>
    </w:p>
    <w:p w:rsidR="00AD758F" w:rsidRPr="00AD758F" w:rsidRDefault="00437A9C" w:rsidP="009E1F16">
      <w:pPr>
        <w:pStyle w:val="CommentTex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9B2FA5">
        <w:rPr>
          <w:sz w:val="22"/>
          <w:szCs w:val="22"/>
        </w:rPr>
        <w:t xml:space="preserve">The term “whole school” comprises both academic and nonacademic general education, </w:t>
      </w:r>
      <w:r w:rsidR="009B2FA5" w:rsidRPr="009B2FA5">
        <w:rPr>
          <w:sz w:val="22"/>
          <w:szCs w:val="22"/>
        </w:rPr>
        <w:t>including</w:t>
      </w:r>
      <w:r w:rsidR="005F4B71">
        <w:rPr>
          <w:sz w:val="22"/>
          <w:szCs w:val="22"/>
        </w:rPr>
        <w:t xml:space="preserve"> </w:t>
      </w:r>
      <w:r w:rsidR="009B2FA5">
        <w:rPr>
          <w:sz w:val="22"/>
          <w:szCs w:val="22"/>
        </w:rPr>
        <w:t>curriculum frameworks, guidance counseling,</w:t>
      </w:r>
      <w:r w:rsidR="0007382D">
        <w:rPr>
          <w:sz w:val="22"/>
          <w:szCs w:val="22"/>
        </w:rPr>
        <w:t xml:space="preserve"> </w:t>
      </w:r>
      <w:r w:rsidR="008C7A94">
        <w:rPr>
          <w:sz w:val="22"/>
          <w:szCs w:val="22"/>
        </w:rPr>
        <w:t xml:space="preserve">a </w:t>
      </w:r>
      <w:r w:rsidR="009B2FA5">
        <w:rPr>
          <w:sz w:val="22"/>
          <w:szCs w:val="22"/>
        </w:rPr>
        <w:t>tiered system of support</w:t>
      </w:r>
      <w:r w:rsidR="004A29D6">
        <w:rPr>
          <w:sz w:val="22"/>
          <w:szCs w:val="22"/>
        </w:rPr>
        <w:t>s</w:t>
      </w:r>
      <w:r w:rsidR="009B2FA5">
        <w:rPr>
          <w:sz w:val="22"/>
          <w:szCs w:val="22"/>
        </w:rPr>
        <w:t xml:space="preserve">, </w:t>
      </w:r>
      <w:r w:rsidR="00BB03B2">
        <w:rPr>
          <w:sz w:val="22"/>
          <w:szCs w:val="22"/>
        </w:rPr>
        <w:t>vocational</w:t>
      </w:r>
      <w:r w:rsidR="009E1F16">
        <w:rPr>
          <w:sz w:val="22"/>
          <w:szCs w:val="22"/>
        </w:rPr>
        <w:t xml:space="preserve"> </w:t>
      </w:r>
      <w:r w:rsidR="00BB03B2">
        <w:rPr>
          <w:sz w:val="22"/>
          <w:szCs w:val="22"/>
        </w:rPr>
        <w:t xml:space="preserve">education, </w:t>
      </w:r>
      <w:r w:rsidR="009B2FA5">
        <w:rPr>
          <w:sz w:val="22"/>
          <w:szCs w:val="22"/>
        </w:rPr>
        <w:t>work-and-learning initiatives</w:t>
      </w:r>
      <w:r w:rsidR="00891C4C">
        <w:rPr>
          <w:sz w:val="22"/>
          <w:szCs w:val="22"/>
        </w:rPr>
        <w:t>, and the life of the school</w:t>
      </w:r>
      <w:r w:rsidR="00BB03B2">
        <w:rPr>
          <w:sz w:val="22"/>
          <w:szCs w:val="22"/>
        </w:rPr>
        <w:t>.</w:t>
      </w:r>
      <w:r w:rsidR="00D439BE">
        <w:rPr>
          <w:sz w:val="22"/>
          <w:szCs w:val="22"/>
        </w:rPr>
        <w:t xml:space="preserve"> The goal of both general and</w:t>
      </w:r>
      <w:r w:rsidR="009E1F16">
        <w:rPr>
          <w:sz w:val="22"/>
          <w:szCs w:val="22"/>
        </w:rPr>
        <w:t xml:space="preserve"> </w:t>
      </w:r>
      <w:r w:rsidR="00D439BE">
        <w:rPr>
          <w:sz w:val="22"/>
          <w:szCs w:val="22"/>
        </w:rPr>
        <w:t xml:space="preserve">special </w:t>
      </w:r>
      <w:r w:rsidR="009E1F16">
        <w:rPr>
          <w:sz w:val="22"/>
          <w:szCs w:val="22"/>
        </w:rPr>
        <w:tab/>
      </w:r>
      <w:r w:rsidR="00D439BE">
        <w:rPr>
          <w:sz w:val="22"/>
          <w:szCs w:val="22"/>
        </w:rPr>
        <w:t xml:space="preserve">education is to </w:t>
      </w:r>
      <w:r w:rsidR="00D439BE" w:rsidRPr="00D55B8B">
        <w:rPr>
          <w:sz w:val="22"/>
          <w:szCs w:val="22"/>
        </w:rPr>
        <w:t>prepare students for adult life</w:t>
      </w:r>
      <w:r w:rsidR="00D439BE">
        <w:rPr>
          <w:sz w:val="22"/>
          <w:szCs w:val="22"/>
        </w:rPr>
        <w:t xml:space="preserve">. </w:t>
      </w:r>
      <w:r w:rsidR="009B2FA5">
        <w:rPr>
          <w:sz w:val="22"/>
          <w:szCs w:val="22"/>
        </w:rPr>
        <w:t>Sp</w:t>
      </w:r>
      <w:r w:rsidR="003230BC" w:rsidRPr="003230BC">
        <w:rPr>
          <w:sz w:val="22"/>
          <w:szCs w:val="22"/>
        </w:rPr>
        <w:t>ecial education services</w:t>
      </w:r>
      <w:r w:rsidR="008E502F">
        <w:rPr>
          <w:sz w:val="22"/>
          <w:szCs w:val="22"/>
        </w:rPr>
        <w:t xml:space="preserve"> – transition</w:t>
      </w:r>
      <w:r w:rsidR="009E1F16">
        <w:rPr>
          <w:sz w:val="22"/>
          <w:szCs w:val="22"/>
        </w:rPr>
        <w:t xml:space="preserve"> </w:t>
      </w:r>
      <w:r w:rsidR="008E502F">
        <w:rPr>
          <w:sz w:val="22"/>
          <w:szCs w:val="22"/>
        </w:rPr>
        <w:t xml:space="preserve">assessment, the TPF, the IEP – provide </w:t>
      </w:r>
      <w:r w:rsidR="00D439BE">
        <w:rPr>
          <w:sz w:val="22"/>
          <w:szCs w:val="22"/>
        </w:rPr>
        <w:t xml:space="preserve">individualized </w:t>
      </w:r>
      <w:r w:rsidR="006027D3">
        <w:rPr>
          <w:sz w:val="22"/>
          <w:szCs w:val="22"/>
        </w:rPr>
        <w:t xml:space="preserve">support </w:t>
      </w:r>
      <w:r w:rsidR="009E1F16">
        <w:rPr>
          <w:sz w:val="22"/>
          <w:szCs w:val="22"/>
        </w:rPr>
        <w:tab/>
      </w:r>
      <w:r w:rsidR="00D439BE">
        <w:rPr>
          <w:sz w:val="22"/>
          <w:szCs w:val="22"/>
        </w:rPr>
        <w:t xml:space="preserve">to promote </w:t>
      </w:r>
      <w:r w:rsidR="00F23B89">
        <w:rPr>
          <w:sz w:val="22"/>
          <w:szCs w:val="22"/>
        </w:rPr>
        <w:t xml:space="preserve">effective </w:t>
      </w:r>
      <w:r w:rsidR="00D439BE">
        <w:rPr>
          <w:sz w:val="22"/>
          <w:szCs w:val="22"/>
        </w:rPr>
        <w:t>student</w:t>
      </w:r>
      <w:r w:rsidR="009E1F16">
        <w:rPr>
          <w:sz w:val="22"/>
          <w:szCs w:val="22"/>
        </w:rPr>
        <w:t xml:space="preserve"> </w:t>
      </w:r>
      <w:r w:rsidR="003230BC" w:rsidRPr="003230BC">
        <w:rPr>
          <w:sz w:val="22"/>
          <w:szCs w:val="22"/>
        </w:rPr>
        <w:t xml:space="preserve">progress in </w:t>
      </w:r>
      <w:r w:rsidR="006027D3">
        <w:rPr>
          <w:sz w:val="22"/>
          <w:szCs w:val="22"/>
        </w:rPr>
        <w:t>general education</w:t>
      </w:r>
      <w:r w:rsidR="008E502F">
        <w:rPr>
          <w:sz w:val="22"/>
          <w:szCs w:val="22"/>
        </w:rPr>
        <w:t xml:space="preserve"> toward the realization of adult success</w:t>
      </w:r>
      <w:r w:rsidR="00D439BE">
        <w:rPr>
          <w:sz w:val="22"/>
          <w:szCs w:val="22"/>
        </w:rPr>
        <w:t>.</w:t>
      </w:r>
    </w:p>
    <w:p w:rsidR="009E1F16" w:rsidRDefault="0075274D" w:rsidP="009E1F16">
      <w:pPr>
        <w:pStyle w:val="ListParagraph"/>
        <w:numPr>
          <w:ilvl w:val="0"/>
          <w:numId w:val="1"/>
        </w:numPr>
        <w:spacing w:before="240" w:after="240"/>
        <w:ind w:left="360"/>
        <w:contextualSpacing w:val="0"/>
        <w:rPr>
          <w:sz w:val="22"/>
        </w:rPr>
      </w:pPr>
      <w:r w:rsidRPr="009E1F16">
        <w:rPr>
          <w:sz w:val="22"/>
        </w:rPr>
        <w:t xml:space="preserve">In the </w:t>
      </w:r>
      <w:r w:rsidR="003230BC" w:rsidRPr="009E1F16">
        <w:rPr>
          <w:b/>
          <w:sz w:val="22"/>
        </w:rPr>
        <w:t>whole-school</w:t>
      </w:r>
      <w:r w:rsidR="003230BC" w:rsidRPr="009E1F16">
        <w:rPr>
          <w:sz w:val="22"/>
        </w:rPr>
        <w:t xml:space="preserve"> context, </w:t>
      </w:r>
      <w:r w:rsidRPr="009E1F16">
        <w:rPr>
          <w:sz w:val="22"/>
        </w:rPr>
        <w:t>the</w:t>
      </w:r>
      <w:r w:rsidR="003230BC" w:rsidRPr="009E1F16">
        <w:rPr>
          <w:sz w:val="22"/>
        </w:rPr>
        <w:t xml:space="preserve"> student engages in a course of study aligned with his or her </w:t>
      </w:r>
      <w:r w:rsidR="00274B46" w:rsidRPr="009E1F16">
        <w:rPr>
          <w:sz w:val="22"/>
        </w:rPr>
        <w:t>vision/PSG</w:t>
      </w:r>
      <w:r w:rsidRPr="009E1F16">
        <w:rPr>
          <w:sz w:val="22"/>
        </w:rPr>
        <w:t xml:space="preserve">, receiving services and supports </w:t>
      </w:r>
      <w:r w:rsidR="003230BC" w:rsidRPr="009E1F16">
        <w:rPr>
          <w:sz w:val="22"/>
        </w:rPr>
        <w:t>which enable him or her to make progress according to the Massachusetts Curriculum Frameworks</w:t>
      </w:r>
      <w:r w:rsidR="00B34CE4" w:rsidRPr="009E1F16">
        <w:rPr>
          <w:sz w:val="22"/>
        </w:rPr>
        <w:t xml:space="preserve"> </w:t>
      </w:r>
      <w:r w:rsidR="003230BC" w:rsidRPr="009E1F16">
        <w:rPr>
          <w:sz w:val="22"/>
        </w:rPr>
        <w:t>and his or her IEP goals</w:t>
      </w:r>
      <w:r w:rsidR="0070036E" w:rsidRPr="009E1F16">
        <w:rPr>
          <w:sz w:val="22"/>
        </w:rPr>
        <w:t>,</w:t>
      </w:r>
      <w:r w:rsidR="00AE74DA" w:rsidRPr="009E1F16">
        <w:rPr>
          <w:sz w:val="22"/>
        </w:rPr>
        <w:t xml:space="preserve"> and </w:t>
      </w:r>
      <w:r w:rsidR="0070036E" w:rsidRPr="009E1F16">
        <w:rPr>
          <w:sz w:val="22"/>
        </w:rPr>
        <w:t xml:space="preserve">to </w:t>
      </w:r>
      <w:r w:rsidR="00AE74DA" w:rsidRPr="009E1F16">
        <w:rPr>
          <w:sz w:val="22"/>
        </w:rPr>
        <w:t>participate in the life of the school</w:t>
      </w:r>
      <w:r w:rsidR="003230BC" w:rsidRPr="009E1F16">
        <w:rPr>
          <w:sz w:val="22"/>
        </w:rPr>
        <w:t xml:space="preserve">. </w:t>
      </w:r>
    </w:p>
    <w:p w:rsidR="009E1F16" w:rsidRDefault="0047461C" w:rsidP="00E41400">
      <w:pPr>
        <w:pStyle w:val="ListParagraph"/>
        <w:numPr>
          <w:ilvl w:val="0"/>
          <w:numId w:val="1"/>
        </w:numPr>
        <w:spacing w:before="240" w:after="240"/>
        <w:ind w:left="360"/>
        <w:contextualSpacing w:val="0"/>
        <w:rPr>
          <w:sz w:val="22"/>
        </w:rPr>
      </w:pPr>
      <w:r w:rsidRPr="009E1F16">
        <w:rPr>
          <w:sz w:val="22"/>
        </w:rPr>
        <w:t xml:space="preserve">Through age-appropriate </w:t>
      </w:r>
      <w:r w:rsidRPr="009E1F16">
        <w:rPr>
          <w:b/>
          <w:sz w:val="22"/>
        </w:rPr>
        <w:t>t</w:t>
      </w:r>
      <w:r w:rsidR="00655F2C" w:rsidRPr="009E1F16">
        <w:rPr>
          <w:b/>
          <w:sz w:val="22"/>
        </w:rPr>
        <w:t xml:space="preserve">ransition </w:t>
      </w:r>
      <w:r w:rsidRPr="009E1F16">
        <w:rPr>
          <w:b/>
          <w:sz w:val="22"/>
        </w:rPr>
        <w:t>a</w:t>
      </w:r>
      <w:r w:rsidR="00814FF0" w:rsidRPr="009E1F16">
        <w:rPr>
          <w:b/>
          <w:sz w:val="22"/>
        </w:rPr>
        <w:t>ssessment</w:t>
      </w:r>
      <w:r w:rsidR="00814FF0" w:rsidRPr="009E1F16">
        <w:rPr>
          <w:sz w:val="22"/>
        </w:rPr>
        <w:t xml:space="preserve">, the student’s </w:t>
      </w:r>
      <w:r w:rsidRPr="009E1F16">
        <w:rPr>
          <w:sz w:val="22"/>
        </w:rPr>
        <w:t xml:space="preserve">IEP </w:t>
      </w:r>
      <w:r w:rsidR="00814FF0" w:rsidRPr="009E1F16">
        <w:rPr>
          <w:sz w:val="22"/>
        </w:rPr>
        <w:t>team –</w:t>
      </w:r>
      <w:r w:rsidRPr="009E1F16">
        <w:rPr>
          <w:sz w:val="22"/>
        </w:rPr>
        <w:t xml:space="preserve"> of which the student and his or her family are</w:t>
      </w:r>
      <w:r w:rsidR="00814FF0" w:rsidRPr="009E1F16">
        <w:rPr>
          <w:sz w:val="22"/>
        </w:rPr>
        <w:t xml:space="preserve"> integral member</w:t>
      </w:r>
      <w:r w:rsidRPr="009E1F16">
        <w:rPr>
          <w:sz w:val="22"/>
        </w:rPr>
        <w:t>s</w:t>
      </w:r>
      <w:r w:rsidR="00814FF0" w:rsidRPr="009E1F16">
        <w:rPr>
          <w:sz w:val="22"/>
        </w:rPr>
        <w:t xml:space="preserve"> – discern</w:t>
      </w:r>
      <w:r w:rsidRPr="009E1F16">
        <w:rPr>
          <w:sz w:val="22"/>
        </w:rPr>
        <w:t>s</w:t>
      </w:r>
      <w:r w:rsidR="00814FF0" w:rsidRPr="009E1F16">
        <w:rPr>
          <w:sz w:val="22"/>
        </w:rPr>
        <w:t xml:space="preserve"> the student’</w:t>
      </w:r>
      <w:r w:rsidRPr="009E1F16">
        <w:rPr>
          <w:sz w:val="22"/>
        </w:rPr>
        <w:t>s vision;</w:t>
      </w:r>
      <w:r w:rsidR="00814FF0" w:rsidRPr="009E1F16">
        <w:rPr>
          <w:sz w:val="22"/>
        </w:rPr>
        <w:t xml:space="preserve"> come</w:t>
      </w:r>
      <w:r w:rsidRPr="009E1F16">
        <w:rPr>
          <w:sz w:val="22"/>
        </w:rPr>
        <w:t>s</w:t>
      </w:r>
      <w:r w:rsidR="00814FF0" w:rsidRPr="009E1F16">
        <w:rPr>
          <w:sz w:val="22"/>
        </w:rPr>
        <w:t xml:space="preserve"> to understand  the student’s </w:t>
      </w:r>
      <w:r w:rsidR="00173227" w:rsidRPr="009E1F16">
        <w:rPr>
          <w:sz w:val="22"/>
        </w:rPr>
        <w:t>strengths, preferences,</w:t>
      </w:r>
      <w:r w:rsidR="00814FF0" w:rsidRPr="009E1F16">
        <w:rPr>
          <w:sz w:val="22"/>
        </w:rPr>
        <w:t xml:space="preserve"> i</w:t>
      </w:r>
      <w:r w:rsidRPr="009E1F16">
        <w:rPr>
          <w:sz w:val="22"/>
        </w:rPr>
        <w:t>nterests</w:t>
      </w:r>
      <w:r w:rsidR="00491DA1" w:rsidRPr="009E1F16">
        <w:rPr>
          <w:sz w:val="22"/>
        </w:rPr>
        <w:t>, and disability-related needs</w:t>
      </w:r>
      <w:r w:rsidRPr="009E1F16">
        <w:rPr>
          <w:sz w:val="22"/>
        </w:rPr>
        <w:t>;</w:t>
      </w:r>
      <w:r w:rsidR="00814FF0" w:rsidRPr="009E1F16">
        <w:rPr>
          <w:sz w:val="22"/>
        </w:rPr>
        <w:t xml:space="preserve"> and measure</w:t>
      </w:r>
      <w:r w:rsidRPr="009E1F16">
        <w:rPr>
          <w:sz w:val="22"/>
        </w:rPr>
        <w:t>s</w:t>
      </w:r>
      <w:r w:rsidR="00814FF0" w:rsidRPr="009E1F16">
        <w:rPr>
          <w:sz w:val="22"/>
        </w:rPr>
        <w:t xml:space="preserve"> the student’s progress towards the acquisition of skills. </w:t>
      </w:r>
    </w:p>
    <w:p w:rsidR="00E41400" w:rsidRDefault="00814FF0" w:rsidP="00E41400">
      <w:pPr>
        <w:pStyle w:val="ListParagraph"/>
        <w:numPr>
          <w:ilvl w:val="0"/>
          <w:numId w:val="1"/>
        </w:numPr>
        <w:spacing w:before="240" w:after="240"/>
        <w:ind w:left="360"/>
        <w:contextualSpacing w:val="0"/>
        <w:rPr>
          <w:sz w:val="22"/>
        </w:rPr>
      </w:pPr>
      <w:r w:rsidRPr="00E41400">
        <w:rPr>
          <w:sz w:val="22"/>
        </w:rPr>
        <w:t>Annually, the student’s team</w:t>
      </w:r>
      <w:r w:rsidR="007E40B1" w:rsidRPr="00E41400">
        <w:rPr>
          <w:sz w:val="22"/>
        </w:rPr>
        <w:t xml:space="preserve"> uses the </w:t>
      </w:r>
      <w:r w:rsidR="007E40B1" w:rsidRPr="00E41400">
        <w:rPr>
          <w:b/>
          <w:sz w:val="22"/>
        </w:rPr>
        <w:t>TPF</w:t>
      </w:r>
      <w:r w:rsidR="007E40B1" w:rsidRPr="00E41400">
        <w:rPr>
          <w:sz w:val="22"/>
        </w:rPr>
        <w:t xml:space="preserve"> to guide </w:t>
      </w:r>
      <w:r w:rsidR="00F32FDA" w:rsidRPr="00E41400">
        <w:rPr>
          <w:sz w:val="22"/>
        </w:rPr>
        <w:t>its</w:t>
      </w:r>
      <w:r w:rsidR="007E40B1" w:rsidRPr="00E41400">
        <w:rPr>
          <w:sz w:val="22"/>
        </w:rPr>
        <w:t xml:space="preserve"> discussion of </w:t>
      </w:r>
      <w:r w:rsidR="00D22C11" w:rsidRPr="00E41400">
        <w:rPr>
          <w:sz w:val="22"/>
        </w:rPr>
        <w:t xml:space="preserve">ongoing, age appropriate </w:t>
      </w:r>
      <w:r w:rsidR="0047461C" w:rsidRPr="00E41400">
        <w:rPr>
          <w:sz w:val="22"/>
        </w:rPr>
        <w:t xml:space="preserve">transition assessments, </w:t>
      </w:r>
      <w:r w:rsidR="007E40B1" w:rsidRPr="00E41400">
        <w:rPr>
          <w:sz w:val="22"/>
        </w:rPr>
        <w:t>the student’s vision</w:t>
      </w:r>
      <w:r w:rsidR="00D22C11" w:rsidRPr="00E41400">
        <w:rPr>
          <w:sz w:val="22"/>
        </w:rPr>
        <w:t>/</w:t>
      </w:r>
      <w:r w:rsidR="00F077A8" w:rsidRPr="00E41400">
        <w:rPr>
          <w:sz w:val="22"/>
        </w:rPr>
        <w:t>PSG</w:t>
      </w:r>
      <w:r w:rsidR="007E40B1" w:rsidRPr="00E41400">
        <w:rPr>
          <w:sz w:val="22"/>
        </w:rPr>
        <w:t xml:space="preserve"> and disability-related needs, and an action plan that will detail how the student can </w:t>
      </w:r>
      <w:r w:rsidR="00D22C11" w:rsidRPr="00E41400">
        <w:rPr>
          <w:sz w:val="22"/>
        </w:rPr>
        <w:t>prepare</w:t>
      </w:r>
      <w:r w:rsidR="007E40B1" w:rsidRPr="00E41400">
        <w:rPr>
          <w:sz w:val="22"/>
        </w:rPr>
        <w:t xml:space="preserve"> both academically and functionally to achieve his or her postsecondary vision</w:t>
      </w:r>
      <w:r w:rsidR="00700E47" w:rsidRPr="00E41400">
        <w:rPr>
          <w:sz w:val="22"/>
        </w:rPr>
        <w:t>/PSG</w:t>
      </w:r>
      <w:r w:rsidR="007E40B1" w:rsidRPr="00E41400">
        <w:rPr>
          <w:sz w:val="22"/>
        </w:rPr>
        <w:t xml:space="preserve">. </w:t>
      </w:r>
      <w:r w:rsidR="004A30A8" w:rsidRPr="00E41400">
        <w:rPr>
          <w:sz w:val="22"/>
        </w:rPr>
        <w:t xml:space="preserve">Although the TPF must be used to guide the transition discussion at the IEP table, </w:t>
      </w:r>
      <w:r w:rsidR="00B75635" w:rsidRPr="00E41400">
        <w:rPr>
          <w:sz w:val="22"/>
        </w:rPr>
        <w:t>the TPF is not a service delivery contract.</w:t>
      </w:r>
      <w:r w:rsidR="004A30A8" w:rsidRPr="00E41400">
        <w:rPr>
          <w:sz w:val="22"/>
        </w:rPr>
        <w:t xml:space="preserve"> </w:t>
      </w:r>
      <w:proofErr w:type="gramStart"/>
      <w:r w:rsidR="004A30A8" w:rsidRPr="00E41400">
        <w:rPr>
          <w:sz w:val="22"/>
        </w:rPr>
        <w:t>Thus</w:t>
      </w:r>
      <w:proofErr w:type="gramEnd"/>
      <w:r w:rsidR="004A30A8" w:rsidRPr="00E41400">
        <w:rPr>
          <w:sz w:val="22"/>
        </w:rPr>
        <w:t xml:space="preserve"> the TPF is</w:t>
      </w:r>
      <w:r w:rsidR="00700E47" w:rsidRPr="00E41400">
        <w:rPr>
          <w:sz w:val="22"/>
        </w:rPr>
        <w:t xml:space="preserve"> </w:t>
      </w:r>
      <w:r w:rsidR="00B75635" w:rsidRPr="00E41400">
        <w:rPr>
          <w:sz w:val="22"/>
        </w:rPr>
        <w:t>used as</w:t>
      </w:r>
      <w:r w:rsidR="004A30A8" w:rsidRPr="00E41400">
        <w:rPr>
          <w:sz w:val="22"/>
        </w:rPr>
        <w:t xml:space="preserve"> a </w:t>
      </w:r>
      <w:r w:rsidR="00D22C11" w:rsidRPr="00E41400">
        <w:rPr>
          <w:sz w:val="22"/>
        </w:rPr>
        <w:t xml:space="preserve">holistic </w:t>
      </w:r>
      <w:r w:rsidR="004A30A8" w:rsidRPr="00E41400">
        <w:rPr>
          <w:sz w:val="22"/>
        </w:rPr>
        <w:t>brainstorming document which can record the intentions of many stakeholders in the student’s life: the student, the student’s family, coaches, employers, and others.</w:t>
      </w:r>
    </w:p>
    <w:p w:rsidR="00E41400" w:rsidRDefault="004A30A8" w:rsidP="00E41400">
      <w:pPr>
        <w:pStyle w:val="ListParagraph"/>
        <w:numPr>
          <w:ilvl w:val="0"/>
          <w:numId w:val="1"/>
        </w:numPr>
        <w:spacing w:before="240" w:after="240"/>
        <w:ind w:left="360"/>
        <w:contextualSpacing w:val="0"/>
        <w:rPr>
          <w:sz w:val="22"/>
        </w:rPr>
      </w:pPr>
      <w:r w:rsidRPr="00E41400">
        <w:rPr>
          <w:sz w:val="22"/>
        </w:rPr>
        <w:lastRenderedPageBreak/>
        <w:t>Once the TPF discussion has occurred, the student’</w:t>
      </w:r>
      <w:r w:rsidR="006D4686" w:rsidRPr="00E41400">
        <w:rPr>
          <w:sz w:val="22"/>
        </w:rPr>
        <w:t>s team then</w:t>
      </w:r>
      <w:r w:rsidRPr="00E41400">
        <w:rPr>
          <w:sz w:val="22"/>
        </w:rPr>
        <w:t xml:space="preserve"> develops the</w:t>
      </w:r>
      <w:r w:rsidR="00274B46" w:rsidRPr="00E41400">
        <w:rPr>
          <w:b/>
          <w:sz w:val="22"/>
        </w:rPr>
        <w:t xml:space="preserve"> </w:t>
      </w:r>
      <w:r w:rsidR="00655F2C" w:rsidRPr="00E41400">
        <w:rPr>
          <w:b/>
          <w:sz w:val="22"/>
        </w:rPr>
        <w:t>IEP</w:t>
      </w:r>
      <w:r w:rsidRPr="00E41400">
        <w:rPr>
          <w:b/>
          <w:sz w:val="22"/>
        </w:rPr>
        <w:t xml:space="preserve">. </w:t>
      </w:r>
      <w:r w:rsidRPr="00E41400">
        <w:rPr>
          <w:sz w:val="22"/>
        </w:rPr>
        <w:t xml:space="preserve">By contrast with the TPF, the IEP is </w:t>
      </w:r>
      <w:r w:rsidR="008D74A7" w:rsidRPr="00E41400">
        <w:rPr>
          <w:sz w:val="22"/>
        </w:rPr>
        <w:t xml:space="preserve">a </w:t>
      </w:r>
      <w:r w:rsidRPr="00E41400">
        <w:rPr>
          <w:sz w:val="22"/>
        </w:rPr>
        <w:t xml:space="preserve">contract </w:t>
      </w:r>
      <w:r w:rsidR="008D74A7" w:rsidRPr="00E41400">
        <w:rPr>
          <w:sz w:val="22"/>
        </w:rPr>
        <w:t xml:space="preserve">between the district and the parent/family </w:t>
      </w:r>
      <w:r w:rsidR="005B58B2" w:rsidRPr="00E41400">
        <w:rPr>
          <w:sz w:val="22"/>
        </w:rPr>
        <w:t>that</w:t>
      </w:r>
      <w:r w:rsidRPr="00E41400">
        <w:rPr>
          <w:sz w:val="22"/>
        </w:rPr>
        <w:t xml:space="preserve"> de</w:t>
      </w:r>
      <w:r w:rsidR="005B58B2" w:rsidRPr="00E41400">
        <w:rPr>
          <w:sz w:val="22"/>
        </w:rPr>
        <w:t>lineates</w:t>
      </w:r>
      <w:r w:rsidRPr="00E41400">
        <w:rPr>
          <w:sz w:val="22"/>
        </w:rPr>
        <w:t xml:space="preserve"> services and supports the school must provide</w:t>
      </w:r>
      <w:r w:rsidR="008D74A7" w:rsidRPr="00E41400">
        <w:rPr>
          <w:sz w:val="22"/>
        </w:rPr>
        <w:t xml:space="preserve"> for the next year</w:t>
      </w:r>
      <w:r w:rsidR="00AB5AEE" w:rsidRPr="00E41400">
        <w:rPr>
          <w:sz w:val="22"/>
        </w:rPr>
        <w:t>, in order to move the student toward the realization of his or her vision/PSG</w:t>
      </w:r>
      <w:r w:rsidRPr="00E41400">
        <w:rPr>
          <w:sz w:val="22"/>
        </w:rPr>
        <w:t xml:space="preserve">. </w:t>
      </w:r>
      <w:r w:rsidR="005B58B2" w:rsidRPr="00E41400">
        <w:rPr>
          <w:sz w:val="22"/>
        </w:rPr>
        <w:t xml:space="preserve">The IEP </w:t>
      </w:r>
      <w:r w:rsidR="00EC3C90" w:rsidRPr="00E41400">
        <w:rPr>
          <w:sz w:val="22"/>
        </w:rPr>
        <w:t>records the student’s vision</w:t>
      </w:r>
      <w:r w:rsidR="008D74A7" w:rsidRPr="00E41400">
        <w:rPr>
          <w:sz w:val="22"/>
        </w:rPr>
        <w:t>/PSG</w:t>
      </w:r>
      <w:r w:rsidR="00EC3C90" w:rsidRPr="00E41400">
        <w:rPr>
          <w:sz w:val="22"/>
        </w:rPr>
        <w:t xml:space="preserve"> and any family or student concerns, </w:t>
      </w:r>
      <w:r w:rsidR="005B58B2" w:rsidRPr="00E41400">
        <w:rPr>
          <w:sz w:val="22"/>
        </w:rPr>
        <w:t xml:space="preserve">describes assessment results, </w:t>
      </w:r>
      <w:r w:rsidR="00AF7C42" w:rsidRPr="00E41400">
        <w:rPr>
          <w:sz w:val="22"/>
        </w:rPr>
        <w:t>sets forth</w:t>
      </w:r>
      <w:r w:rsidR="00EC3C90" w:rsidRPr="00E41400">
        <w:rPr>
          <w:sz w:val="22"/>
        </w:rPr>
        <w:t xml:space="preserve"> annual skill-based goals, and stipulates supports and services that will be delivered.</w:t>
      </w:r>
    </w:p>
    <w:p w:rsidR="0075274D" w:rsidRPr="00E41400" w:rsidRDefault="00984258" w:rsidP="00E41400">
      <w:pPr>
        <w:spacing w:before="240" w:after="240"/>
        <w:rPr>
          <w:sz w:val="22"/>
        </w:rPr>
      </w:pPr>
      <w:r w:rsidRPr="00E41400" w:rsidDel="004D5540">
        <w:rPr>
          <w:sz w:val="22"/>
        </w:rPr>
        <w:t>Also on the left</w:t>
      </w:r>
      <w:r w:rsidR="00F32FDA" w:rsidRPr="00E41400">
        <w:rPr>
          <w:sz w:val="22"/>
        </w:rPr>
        <w:t xml:space="preserve"> side of this visual model</w:t>
      </w:r>
      <w:r w:rsidRPr="00E41400" w:rsidDel="004D5540">
        <w:rPr>
          <w:sz w:val="22"/>
        </w:rPr>
        <w:t xml:space="preserve"> is half of the</w:t>
      </w:r>
      <w:r w:rsidR="00BC09A4" w:rsidRPr="00E41400" w:rsidDel="004D5540">
        <w:rPr>
          <w:sz w:val="22"/>
        </w:rPr>
        <w:t xml:space="preserve"> </w:t>
      </w:r>
      <w:r w:rsidR="00BC09A4" w:rsidRPr="00E41400" w:rsidDel="004D5540">
        <w:rPr>
          <w:b/>
          <w:color w:val="17365D" w:themeColor="text2" w:themeShade="BF"/>
          <w:sz w:val="22"/>
        </w:rPr>
        <w:t xml:space="preserve">dark blue </w:t>
      </w:r>
      <w:r w:rsidRPr="00E41400" w:rsidDel="004D5540">
        <w:rPr>
          <w:b/>
          <w:color w:val="17365D" w:themeColor="text2" w:themeShade="BF"/>
          <w:sz w:val="22"/>
        </w:rPr>
        <w:t>infinity symbol</w:t>
      </w:r>
      <w:r w:rsidR="003F4291" w:rsidRPr="00E41400" w:rsidDel="004D5540">
        <w:rPr>
          <w:sz w:val="22"/>
        </w:rPr>
        <w:t xml:space="preserve">. The student’s education takes place in the context of family, community, and – in many cases – </w:t>
      </w:r>
      <w:r w:rsidR="00173227" w:rsidRPr="00E41400" w:rsidDel="004D5540">
        <w:rPr>
          <w:sz w:val="22"/>
        </w:rPr>
        <w:t xml:space="preserve">support from </w:t>
      </w:r>
      <w:r w:rsidR="003F4291" w:rsidRPr="00E41400" w:rsidDel="004D5540">
        <w:rPr>
          <w:sz w:val="22"/>
        </w:rPr>
        <w:t xml:space="preserve">adult </w:t>
      </w:r>
      <w:r w:rsidR="00325505" w:rsidRPr="00E41400" w:rsidDel="004D5540">
        <w:rPr>
          <w:sz w:val="22"/>
        </w:rPr>
        <w:t>services</w:t>
      </w:r>
      <w:r w:rsidRPr="00E41400" w:rsidDel="004D5540">
        <w:rPr>
          <w:sz w:val="22"/>
        </w:rPr>
        <w:t xml:space="preserve">. </w:t>
      </w:r>
      <w:r w:rsidR="003230BC" w:rsidRPr="00E41400">
        <w:rPr>
          <w:sz w:val="22"/>
        </w:rPr>
        <w:t>Because of this, schools actively collaborate with other stakeholders in the student’s life in order to support the student’s vision/PSG.</w:t>
      </w:r>
    </w:p>
    <w:p w:rsidR="005A4BD0" w:rsidRDefault="003F4291" w:rsidP="00E41400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rPr>
          <w:sz w:val="22"/>
        </w:rPr>
      </w:pPr>
      <w:r w:rsidRPr="00D305C8">
        <w:rPr>
          <w:sz w:val="22"/>
        </w:rPr>
        <w:t xml:space="preserve">The student’s </w:t>
      </w:r>
      <w:r w:rsidRPr="00D305C8">
        <w:rPr>
          <w:b/>
          <w:sz w:val="22"/>
        </w:rPr>
        <w:t>family</w:t>
      </w:r>
      <w:r w:rsidR="00AB5EF9" w:rsidRPr="00D305C8">
        <w:rPr>
          <w:b/>
          <w:sz w:val="22"/>
        </w:rPr>
        <w:t xml:space="preserve"> </w:t>
      </w:r>
      <w:r w:rsidR="00AB5EF9" w:rsidRPr="00D305C8">
        <w:rPr>
          <w:sz w:val="22"/>
        </w:rPr>
        <w:t>members</w:t>
      </w:r>
      <w:r w:rsidRPr="00D305C8">
        <w:rPr>
          <w:sz w:val="22"/>
        </w:rPr>
        <w:t xml:space="preserve">, </w:t>
      </w:r>
      <w:r w:rsidR="00AB5EF9" w:rsidRPr="00D305C8">
        <w:rPr>
          <w:sz w:val="22"/>
        </w:rPr>
        <w:t>who are experts</w:t>
      </w:r>
      <w:r w:rsidRPr="00D305C8">
        <w:rPr>
          <w:sz w:val="22"/>
        </w:rPr>
        <w:t xml:space="preserve"> regarding the</w:t>
      </w:r>
      <w:r w:rsidR="003542B2" w:rsidRPr="00D305C8">
        <w:rPr>
          <w:sz w:val="22"/>
        </w:rPr>
        <w:t xml:space="preserve"> student</w:t>
      </w:r>
      <w:r w:rsidRPr="00D305C8">
        <w:rPr>
          <w:sz w:val="22"/>
        </w:rPr>
        <w:t xml:space="preserve">, are essential partners during secondary transition planning. For example, they can offer key insights into the student’s </w:t>
      </w:r>
      <w:r w:rsidR="006874EA">
        <w:rPr>
          <w:sz w:val="22"/>
        </w:rPr>
        <w:t xml:space="preserve">interests, preferences, </w:t>
      </w:r>
      <w:r w:rsidR="009C6D8B">
        <w:rPr>
          <w:sz w:val="22"/>
        </w:rPr>
        <w:t xml:space="preserve">and </w:t>
      </w:r>
      <w:r w:rsidR="006874EA">
        <w:rPr>
          <w:sz w:val="22"/>
        </w:rPr>
        <w:t>needs</w:t>
      </w:r>
      <w:r w:rsidR="009C6D8B">
        <w:rPr>
          <w:sz w:val="22"/>
        </w:rPr>
        <w:t>,</w:t>
      </w:r>
      <w:r w:rsidR="006874EA">
        <w:rPr>
          <w:sz w:val="22"/>
        </w:rPr>
        <w:t xml:space="preserve"> as well as</w:t>
      </w:r>
      <w:r w:rsidR="00F32FDA">
        <w:rPr>
          <w:sz w:val="22"/>
        </w:rPr>
        <w:t xml:space="preserve"> insights into the student’s</w:t>
      </w:r>
      <w:r w:rsidR="006874EA">
        <w:rPr>
          <w:sz w:val="22"/>
        </w:rPr>
        <w:t xml:space="preserve"> </w:t>
      </w:r>
      <w:r w:rsidRPr="00D305C8">
        <w:rPr>
          <w:sz w:val="22"/>
        </w:rPr>
        <w:t xml:space="preserve">growth and development, cultural background, and performance in non-school contexts. </w:t>
      </w:r>
      <w:r w:rsidR="00E95079">
        <w:rPr>
          <w:sz w:val="22"/>
        </w:rPr>
        <w:t>Families</w:t>
      </w:r>
      <w:r w:rsidR="00E95079" w:rsidRPr="00D305C8">
        <w:rPr>
          <w:sz w:val="22"/>
        </w:rPr>
        <w:t xml:space="preserve"> </w:t>
      </w:r>
      <w:r w:rsidRPr="00D305C8">
        <w:rPr>
          <w:sz w:val="22"/>
        </w:rPr>
        <w:t>are often knowledg</w:t>
      </w:r>
      <w:r w:rsidR="000636FF" w:rsidRPr="00D305C8">
        <w:rPr>
          <w:sz w:val="22"/>
        </w:rPr>
        <w:t xml:space="preserve">eable about local resources and </w:t>
      </w:r>
      <w:r w:rsidRPr="00D305C8">
        <w:rPr>
          <w:sz w:val="22"/>
        </w:rPr>
        <w:t>can provide linkages to community employment and recreation opportunities.</w:t>
      </w:r>
      <w:r w:rsidR="000636FF" w:rsidRPr="00D305C8">
        <w:rPr>
          <w:sz w:val="22"/>
        </w:rPr>
        <w:t xml:space="preserve"> During non-school hours, many families </w:t>
      </w:r>
      <w:r w:rsidR="00300070">
        <w:rPr>
          <w:sz w:val="22"/>
        </w:rPr>
        <w:t>support</w:t>
      </w:r>
      <w:r w:rsidR="000636FF" w:rsidRPr="00D305C8">
        <w:rPr>
          <w:sz w:val="22"/>
        </w:rPr>
        <w:t xml:space="preserve"> their transition-aged children </w:t>
      </w:r>
      <w:r w:rsidR="00300070">
        <w:rPr>
          <w:sz w:val="22"/>
        </w:rPr>
        <w:t xml:space="preserve">to engage </w:t>
      </w:r>
      <w:r w:rsidR="000636FF" w:rsidRPr="00D305C8">
        <w:rPr>
          <w:sz w:val="22"/>
        </w:rPr>
        <w:t>in experiences which develop</w:t>
      </w:r>
      <w:r w:rsidR="002B2C0D" w:rsidRPr="00D305C8">
        <w:rPr>
          <w:sz w:val="22"/>
        </w:rPr>
        <w:t xml:space="preserve"> and deepen</w:t>
      </w:r>
      <w:r w:rsidR="000636FF" w:rsidRPr="00D305C8">
        <w:rPr>
          <w:sz w:val="22"/>
        </w:rPr>
        <w:t xml:space="preserve"> the </w:t>
      </w:r>
      <w:r w:rsidR="00300070">
        <w:rPr>
          <w:sz w:val="22"/>
        </w:rPr>
        <w:t>student</w:t>
      </w:r>
      <w:r w:rsidR="009C6D8B">
        <w:rPr>
          <w:sz w:val="22"/>
        </w:rPr>
        <w:t>s’</w:t>
      </w:r>
      <w:r w:rsidR="00300070">
        <w:rPr>
          <w:sz w:val="22"/>
        </w:rPr>
        <w:t xml:space="preserve"> </w:t>
      </w:r>
      <w:r w:rsidR="000636FF" w:rsidRPr="00D305C8">
        <w:rPr>
          <w:sz w:val="22"/>
        </w:rPr>
        <w:t>knowledge and skills</w:t>
      </w:r>
      <w:r w:rsidR="00FC620C" w:rsidRPr="00D305C8">
        <w:rPr>
          <w:sz w:val="22"/>
        </w:rPr>
        <w:t xml:space="preserve">, and support </w:t>
      </w:r>
      <w:r w:rsidR="006874EA">
        <w:rPr>
          <w:sz w:val="22"/>
        </w:rPr>
        <w:t xml:space="preserve">progress toward </w:t>
      </w:r>
      <w:r w:rsidR="00FC620C" w:rsidRPr="00D305C8">
        <w:rPr>
          <w:sz w:val="22"/>
        </w:rPr>
        <w:t>attainment of the</w:t>
      </w:r>
      <w:r w:rsidR="009C6D8B">
        <w:rPr>
          <w:sz w:val="22"/>
        </w:rPr>
        <w:t xml:space="preserve">ir </w:t>
      </w:r>
      <w:r w:rsidR="00FC620C" w:rsidRPr="00D305C8">
        <w:rPr>
          <w:sz w:val="22"/>
        </w:rPr>
        <w:t>vision</w:t>
      </w:r>
      <w:r w:rsidR="00300070">
        <w:rPr>
          <w:sz w:val="22"/>
        </w:rPr>
        <w:t>/PSG</w:t>
      </w:r>
      <w:r w:rsidR="000636FF" w:rsidRPr="00D305C8">
        <w:rPr>
          <w:sz w:val="22"/>
        </w:rPr>
        <w:t>.</w:t>
      </w:r>
    </w:p>
    <w:p w:rsidR="0097008D" w:rsidRDefault="0097008D" w:rsidP="00E41400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rPr>
          <w:sz w:val="22"/>
        </w:rPr>
      </w:pPr>
      <w:r w:rsidRPr="00D305C8">
        <w:rPr>
          <w:sz w:val="22"/>
        </w:rPr>
        <w:t xml:space="preserve">The </w:t>
      </w:r>
      <w:r w:rsidRPr="00D305C8">
        <w:rPr>
          <w:b/>
          <w:sz w:val="22"/>
        </w:rPr>
        <w:t>community</w:t>
      </w:r>
      <w:r w:rsidRPr="00D305C8">
        <w:rPr>
          <w:sz w:val="22"/>
        </w:rPr>
        <w:t xml:space="preserve"> in which the student lives </w:t>
      </w:r>
      <w:r w:rsidR="00173227" w:rsidRPr="00D305C8">
        <w:rPr>
          <w:sz w:val="22"/>
        </w:rPr>
        <w:t>can be a</w:t>
      </w:r>
      <w:r w:rsidRPr="00D305C8">
        <w:rPr>
          <w:sz w:val="22"/>
        </w:rPr>
        <w:t xml:space="preserve"> rich source of </w:t>
      </w:r>
      <w:r w:rsidR="002B2C0D" w:rsidRPr="00D305C8">
        <w:rPr>
          <w:sz w:val="22"/>
        </w:rPr>
        <w:t xml:space="preserve">resources and </w:t>
      </w:r>
      <w:r w:rsidR="0078793E" w:rsidRPr="00D305C8">
        <w:rPr>
          <w:sz w:val="22"/>
        </w:rPr>
        <w:t xml:space="preserve">natural </w:t>
      </w:r>
      <w:r w:rsidR="002B2C0D" w:rsidRPr="00D305C8">
        <w:rPr>
          <w:sz w:val="22"/>
        </w:rPr>
        <w:t xml:space="preserve">supports. </w:t>
      </w:r>
      <w:r w:rsidR="0078793E" w:rsidRPr="00D305C8">
        <w:rPr>
          <w:sz w:val="22"/>
        </w:rPr>
        <w:t xml:space="preserve">Students can explore interests and develop skills through connections with friends, neighbors, coaches, religious congregations, local business owners, civic organizations, clubs, non-profits, </w:t>
      </w:r>
      <w:r w:rsidR="00DE7CA2" w:rsidRPr="00D305C8">
        <w:rPr>
          <w:sz w:val="22"/>
        </w:rPr>
        <w:t>etc.</w:t>
      </w:r>
      <w:r w:rsidR="00300070">
        <w:rPr>
          <w:sz w:val="22"/>
        </w:rPr>
        <w:t xml:space="preserve"> </w:t>
      </w:r>
      <w:r w:rsidR="00751E26">
        <w:rPr>
          <w:sz w:val="22"/>
        </w:rPr>
        <w:t>Tapping into these resources, s</w:t>
      </w:r>
      <w:r w:rsidR="003230BC" w:rsidRPr="00A44E66">
        <w:rPr>
          <w:sz w:val="22"/>
        </w:rPr>
        <w:t>chools</w:t>
      </w:r>
      <w:r w:rsidR="00A44E66">
        <w:rPr>
          <w:sz w:val="22"/>
        </w:rPr>
        <w:t xml:space="preserve"> </w:t>
      </w:r>
      <w:r w:rsidR="00751E26">
        <w:rPr>
          <w:sz w:val="22"/>
        </w:rPr>
        <w:t xml:space="preserve">can </w:t>
      </w:r>
      <w:r w:rsidR="003230BC" w:rsidRPr="00A44E66">
        <w:rPr>
          <w:sz w:val="22"/>
        </w:rPr>
        <w:t xml:space="preserve">provide opportunities </w:t>
      </w:r>
      <w:r w:rsidR="00826A14">
        <w:rPr>
          <w:sz w:val="22"/>
        </w:rPr>
        <w:t xml:space="preserve">inside and </w:t>
      </w:r>
      <w:r w:rsidR="00751E26">
        <w:rPr>
          <w:sz w:val="22"/>
        </w:rPr>
        <w:t>beyond the classroom walls to</w:t>
      </w:r>
      <w:r w:rsidR="00826A14">
        <w:rPr>
          <w:sz w:val="22"/>
        </w:rPr>
        <w:t xml:space="preserve"> help students clarify </w:t>
      </w:r>
      <w:r w:rsidR="003230BC" w:rsidRPr="00A44E66">
        <w:rPr>
          <w:sz w:val="22"/>
        </w:rPr>
        <w:t>the</w:t>
      </w:r>
      <w:r w:rsidR="00A44E66">
        <w:rPr>
          <w:sz w:val="22"/>
        </w:rPr>
        <w:t>ir</w:t>
      </w:r>
      <w:r w:rsidR="003230BC" w:rsidRPr="00A44E66">
        <w:rPr>
          <w:sz w:val="22"/>
        </w:rPr>
        <w:t xml:space="preserve"> vision</w:t>
      </w:r>
      <w:r w:rsidR="004C1737">
        <w:rPr>
          <w:sz w:val="22"/>
        </w:rPr>
        <w:t>s</w:t>
      </w:r>
      <w:r w:rsidR="003230BC" w:rsidRPr="00A44E66">
        <w:rPr>
          <w:sz w:val="22"/>
        </w:rPr>
        <w:t>/PSG</w:t>
      </w:r>
      <w:r w:rsidR="004C1737">
        <w:rPr>
          <w:sz w:val="22"/>
        </w:rPr>
        <w:t>s</w:t>
      </w:r>
      <w:r w:rsidR="003230BC" w:rsidRPr="00A44E66">
        <w:rPr>
          <w:sz w:val="22"/>
        </w:rPr>
        <w:t xml:space="preserve"> and make progress toward</w:t>
      </w:r>
      <w:r w:rsidR="00826A14">
        <w:rPr>
          <w:sz w:val="22"/>
        </w:rPr>
        <w:t xml:space="preserve"> achieving</w:t>
      </w:r>
      <w:r w:rsidR="003230BC" w:rsidRPr="00A44E66">
        <w:rPr>
          <w:sz w:val="22"/>
        </w:rPr>
        <w:t xml:space="preserve"> </w:t>
      </w:r>
      <w:r w:rsidR="004C1737">
        <w:rPr>
          <w:sz w:val="22"/>
        </w:rPr>
        <w:t>them</w:t>
      </w:r>
      <w:r w:rsidR="003230BC" w:rsidRPr="00A44E66">
        <w:rPr>
          <w:sz w:val="22"/>
        </w:rPr>
        <w:t>.</w:t>
      </w:r>
    </w:p>
    <w:p w:rsidR="00325505" w:rsidRPr="00D305C8" w:rsidRDefault="00325505" w:rsidP="00E41400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  <w:rPr>
          <w:sz w:val="22"/>
        </w:rPr>
      </w:pPr>
      <w:r w:rsidRPr="00D305C8">
        <w:rPr>
          <w:sz w:val="22"/>
        </w:rPr>
        <w:t xml:space="preserve">For many students, </w:t>
      </w:r>
      <w:r w:rsidRPr="00D305C8">
        <w:rPr>
          <w:b/>
          <w:sz w:val="22"/>
        </w:rPr>
        <w:t xml:space="preserve">adult services </w:t>
      </w:r>
      <w:r w:rsidR="00D245C6" w:rsidRPr="00D305C8">
        <w:rPr>
          <w:sz w:val="22"/>
        </w:rPr>
        <w:t>provided by</w:t>
      </w:r>
      <w:r w:rsidR="00D245C6" w:rsidRPr="00D305C8">
        <w:rPr>
          <w:b/>
          <w:sz w:val="22"/>
        </w:rPr>
        <w:t xml:space="preserve"> </w:t>
      </w:r>
      <w:hyperlink r:id="rId14" w:history="1">
        <w:r w:rsidRPr="00F84A53">
          <w:rPr>
            <w:rStyle w:val="Hyperlink"/>
            <w:sz w:val="22"/>
          </w:rPr>
          <w:t>state agencies</w:t>
        </w:r>
      </w:hyperlink>
      <w:r w:rsidRPr="00D305C8">
        <w:rPr>
          <w:sz w:val="22"/>
        </w:rPr>
        <w:t xml:space="preserve"> can be a </w:t>
      </w:r>
      <w:r w:rsidR="00D245C6" w:rsidRPr="00D305C8">
        <w:rPr>
          <w:sz w:val="22"/>
        </w:rPr>
        <w:t>critical</w:t>
      </w:r>
      <w:r w:rsidRPr="00D305C8">
        <w:rPr>
          <w:sz w:val="22"/>
        </w:rPr>
        <w:t xml:space="preserve"> factor in their success. If an IEP team determines that a student would benefit from supports </w:t>
      </w:r>
      <w:r w:rsidR="00D245C6" w:rsidRPr="00D305C8">
        <w:rPr>
          <w:sz w:val="22"/>
        </w:rPr>
        <w:t>delivered</w:t>
      </w:r>
      <w:r w:rsidRPr="00D305C8">
        <w:rPr>
          <w:sz w:val="22"/>
        </w:rPr>
        <w:t xml:space="preserve"> by an agency such as the Department of Developmental Services (DDS), the Massachusetts Rehabilitation Commission (MRC), or the Department of Mental Health (DMH), then a 688 referral is made two years before the student’s anticipated date of exit. </w:t>
      </w:r>
      <w:r w:rsidR="00173227" w:rsidRPr="00D305C8">
        <w:rPr>
          <w:sz w:val="22"/>
        </w:rPr>
        <w:t xml:space="preserve">State agency representatives can be invited to join the student’s IEP team. </w:t>
      </w:r>
      <w:r w:rsidRPr="00D305C8">
        <w:rPr>
          <w:sz w:val="22"/>
        </w:rPr>
        <w:t>For more informatio</w:t>
      </w:r>
      <w:r w:rsidR="00D30CB2" w:rsidRPr="00D305C8">
        <w:rPr>
          <w:sz w:val="22"/>
        </w:rPr>
        <w:t>n on the 688 process</w:t>
      </w:r>
      <w:r w:rsidR="00FF4E12" w:rsidRPr="00D305C8">
        <w:rPr>
          <w:sz w:val="22"/>
        </w:rPr>
        <w:t>,</w:t>
      </w:r>
      <w:r w:rsidR="00D30CB2" w:rsidRPr="00D305C8">
        <w:rPr>
          <w:sz w:val="22"/>
        </w:rPr>
        <w:t xml:space="preserve"> please see the </w:t>
      </w:r>
      <w:hyperlink r:id="rId15" w:history="1">
        <w:r w:rsidR="00D30CB2" w:rsidRPr="00D305C8">
          <w:rPr>
            <w:rStyle w:val="Hyperlink"/>
            <w:sz w:val="22"/>
          </w:rPr>
          <w:t>Chapter 688 page</w:t>
        </w:r>
      </w:hyperlink>
      <w:r w:rsidR="00D30CB2" w:rsidRPr="00D305C8">
        <w:rPr>
          <w:sz w:val="22"/>
        </w:rPr>
        <w:t xml:space="preserve"> on the Department of Elementary and Secondary Education (ESE) website. </w:t>
      </w:r>
    </w:p>
    <w:p w:rsidR="001C2A5B" w:rsidRPr="000669E4" w:rsidRDefault="001C2A5B" w:rsidP="000669E4">
      <w:pPr>
        <w:pStyle w:val="Heading3"/>
        <w:spacing w:before="240" w:after="240"/>
        <w:rPr>
          <w:rFonts w:asciiTheme="minorHAnsi" w:hAnsiTheme="minorHAnsi"/>
          <w:color w:val="auto"/>
          <w:sz w:val="22"/>
        </w:rPr>
      </w:pPr>
      <w:r w:rsidRPr="000669E4">
        <w:rPr>
          <w:rFonts w:asciiTheme="minorHAnsi" w:hAnsiTheme="minorHAnsi"/>
          <w:color w:val="auto"/>
          <w:sz w:val="22"/>
        </w:rPr>
        <w:t>CENTER</w:t>
      </w:r>
      <w:r w:rsidR="00F84A53" w:rsidRPr="000669E4">
        <w:rPr>
          <w:rFonts w:asciiTheme="minorHAnsi" w:hAnsiTheme="minorHAnsi"/>
          <w:color w:val="auto"/>
          <w:sz w:val="22"/>
        </w:rPr>
        <w:t xml:space="preserve"> – Tra</w:t>
      </w:r>
      <w:r w:rsidR="00105345" w:rsidRPr="000669E4">
        <w:rPr>
          <w:rFonts w:asciiTheme="minorHAnsi" w:hAnsiTheme="minorHAnsi"/>
          <w:color w:val="auto"/>
          <w:sz w:val="22"/>
        </w:rPr>
        <w:t>n</w:t>
      </w:r>
      <w:r w:rsidR="00F84A53" w:rsidRPr="000669E4">
        <w:rPr>
          <w:rFonts w:asciiTheme="minorHAnsi" w:hAnsiTheme="minorHAnsi"/>
          <w:color w:val="auto"/>
          <w:sz w:val="22"/>
        </w:rPr>
        <w:t>sition Learning Opportunities</w:t>
      </w:r>
    </w:p>
    <w:p w:rsidR="00CE3E64" w:rsidRDefault="001C2A5B" w:rsidP="00AB2F01">
      <w:pPr>
        <w:spacing w:before="240" w:after="240"/>
        <w:rPr>
          <w:sz w:val="22"/>
        </w:rPr>
      </w:pPr>
      <w:r>
        <w:rPr>
          <w:sz w:val="22"/>
        </w:rPr>
        <w:t xml:space="preserve">In the center of the model, </w:t>
      </w:r>
      <w:r w:rsidR="0083556F">
        <w:rPr>
          <w:sz w:val="22"/>
        </w:rPr>
        <w:t xml:space="preserve">the </w:t>
      </w:r>
      <w:r w:rsidR="0083556F" w:rsidRPr="00441B4B">
        <w:rPr>
          <w:b/>
          <w:color w:val="FFC000"/>
          <w:sz w:val="22"/>
        </w:rPr>
        <w:t>arrowhead</w:t>
      </w:r>
      <w:r w:rsidR="0083556F">
        <w:rPr>
          <w:sz w:val="22"/>
        </w:rPr>
        <w:t xml:space="preserve"> </w:t>
      </w:r>
      <w:r w:rsidR="00E54ABF">
        <w:rPr>
          <w:sz w:val="22"/>
        </w:rPr>
        <w:t xml:space="preserve">pointing to postsecondary success </w:t>
      </w:r>
      <w:r w:rsidR="00BE48CF">
        <w:rPr>
          <w:sz w:val="22"/>
        </w:rPr>
        <w:t xml:space="preserve">represents the </w:t>
      </w:r>
      <w:r w:rsidR="00FC620C">
        <w:rPr>
          <w:sz w:val="22"/>
        </w:rPr>
        <w:t>individualized</w:t>
      </w:r>
      <w:r w:rsidR="00BE48CF">
        <w:rPr>
          <w:sz w:val="22"/>
        </w:rPr>
        <w:t xml:space="preserve"> opportunities in the areas of education/training, competitive employment, independent living, and community participation that the student </w:t>
      </w:r>
      <w:r w:rsidR="00441B4B">
        <w:rPr>
          <w:sz w:val="22"/>
        </w:rPr>
        <w:t>experiences</w:t>
      </w:r>
      <w:r w:rsidR="00BE48CF">
        <w:rPr>
          <w:sz w:val="22"/>
        </w:rPr>
        <w:t xml:space="preserve"> during the transition years. </w:t>
      </w:r>
    </w:p>
    <w:p w:rsidR="00A73B58" w:rsidRDefault="00C96D03" w:rsidP="00AB2F01">
      <w:pPr>
        <w:spacing w:before="240" w:after="240"/>
        <w:rPr>
          <w:sz w:val="22"/>
        </w:rPr>
      </w:pPr>
      <w:r>
        <w:rPr>
          <w:sz w:val="22"/>
        </w:rPr>
        <w:tab/>
      </w:r>
      <w:r w:rsidR="00BE48CF">
        <w:rPr>
          <w:sz w:val="22"/>
        </w:rPr>
        <w:t>These opportunities</w:t>
      </w:r>
      <w:r w:rsidR="001F5A54">
        <w:rPr>
          <w:sz w:val="22"/>
        </w:rPr>
        <w:t xml:space="preserve"> – both on the school campus and in community locations – </w:t>
      </w:r>
      <w:r w:rsidR="00BE48CF">
        <w:rPr>
          <w:sz w:val="22"/>
        </w:rPr>
        <w:t>are facilitated</w:t>
      </w:r>
      <w:r w:rsidR="00AB2F01">
        <w:rPr>
          <w:sz w:val="22"/>
        </w:rPr>
        <w:t xml:space="preserve"> </w:t>
      </w:r>
      <w:r w:rsidR="00BE48CF">
        <w:rPr>
          <w:sz w:val="22"/>
        </w:rPr>
        <w:t xml:space="preserve">by </w:t>
      </w:r>
      <w:r w:rsidR="00D42C4C">
        <w:rPr>
          <w:sz w:val="22"/>
        </w:rPr>
        <w:t>those</w:t>
      </w:r>
      <w:r w:rsidR="00BE48CF">
        <w:rPr>
          <w:sz w:val="22"/>
        </w:rPr>
        <w:t xml:space="preserve"> on the left side of the visual model:</w:t>
      </w:r>
      <w:r w:rsidR="00A2013D">
        <w:rPr>
          <w:sz w:val="22"/>
        </w:rPr>
        <w:tab/>
        <w:t xml:space="preserve">the </w:t>
      </w:r>
      <w:r w:rsidR="00BE48CF">
        <w:rPr>
          <w:sz w:val="22"/>
        </w:rPr>
        <w:t>student him- or herself</w:t>
      </w:r>
      <w:r w:rsidR="006C231F">
        <w:rPr>
          <w:sz w:val="22"/>
        </w:rPr>
        <w:t>;</w:t>
      </w:r>
      <w:r w:rsidR="00BE48CF">
        <w:rPr>
          <w:sz w:val="22"/>
        </w:rPr>
        <w:t xml:space="preserve"> the whole school</w:t>
      </w:r>
      <w:r w:rsidR="006C231F">
        <w:rPr>
          <w:sz w:val="22"/>
        </w:rPr>
        <w:t xml:space="preserve">, </w:t>
      </w:r>
      <w:r>
        <w:rPr>
          <w:sz w:val="22"/>
        </w:rPr>
        <w:t>i</w:t>
      </w:r>
      <w:r w:rsidR="006C231F">
        <w:rPr>
          <w:sz w:val="22"/>
        </w:rPr>
        <w:t xml:space="preserve">ncluding special education; </w:t>
      </w:r>
      <w:r w:rsidR="00E54ABF">
        <w:rPr>
          <w:sz w:val="22"/>
        </w:rPr>
        <w:t>family; community;</w:t>
      </w:r>
      <w:r w:rsidR="006C231F">
        <w:rPr>
          <w:sz w:val="22"/>
        </w:rPr>
        <w:t xml:space="preserve"> and adult services. </w:t>
      </w:r>
      <w:r w:rsidR="00693D45">
        <w:rPr>
          <w:sz w:val="22"/>
        </w:rPr>
        <w:t xml:space="preserve">All IEP team members share </w:t>
      </w:r>
      <w:r>
        <w:rPr>
          <w:sz w:val="22"/>
        </w:rPr>
        <w:tab/>
      </w:r>
      <w:r w:rsidR="00693D45">
        <w:rPr>
          <w:sz w:val="22"/>
        </w:rPr>
        <w:t>responsibility</w:t>
      </w:r>
      <w:r w:rsidR="00E5012F">
        <w:rPr>
          <w:sz w:val="22"/>
        </w:rPr>
        <w:t xml:space="preserve"> </w:t>
      </w:r>
      <w:r w:rsidR="00693D45">
        <w:rPr>
          <w:sz w:val="22"/>
        </w:rPr>
        <w:t xml:space="preserve">for </w:t>
      </w:r>
      <w:r w:rsidR="00E5012F">
        <w:rPr>
          <w:sz w:val="22"/>
        </w:rPr>
        <w:t xml:space="preserve">planning </w:t>
      </w:r>
      <w:r w:rsidR="00693D45">
        <w:rPr>
          <w:sz w:val="22"/>
        </w:rPr>
        <w:t xml:space="preserve">these essential experiences, through which </w:t>
      </w:r>
      <w:r w:rsidR="00E54ABF">
        <w:rPr>
          <w:sz w:val="22"/>
        </w:rPr>
        <w:t>the student builds the</w:t>
      </w:r>
      <w:r w:rsidR="00AB2F01">
        <w:rPr>
          <w:sz w:val="22"/>
        </w:rPr>
        <w:t xml:space="preserve"> </w:t>
      </w:r>
      <w:r w:rsidR="00E54ABF">
        <w:rPr>
          <w:sz w:val="22"/>
        </w:rPr>
        <w:t xml:space="preserve">knowledge and skills he or she needs in order to </w:t>
      </w:r>
      <w:r w:rsidR="00AB2F01">
        <w:rPr>
          <w:sz w:val="22"/>
        </w:rPr>
        <w:tab/>
      </w:r>
      <w:r w:rsidR="00441B4B">
        <w:rPr>
          <w:sz w:val="22"/>
        </w:rPr>
        <w:t>achieve his or her postsecondary vision</w:t>
      </w:r>
      <w:r w:rsidR="001F5A54">
        <w:rPr>
          <w:sz w:val="22"/>
        </w:rPr>
        <w:t>/PSG</w:t>
      </w:r>
      <w:r w:rsidR="00441B4B">
        <w:rPr>
          <w:sz w:val="22"/>
        </w:rPr>
        <w:t>.</w:t>
      </w:r>
      <w:r w:rsidR="00E54ABF">
        <w:rPr>
          <w:sz w:val="22"/>
        </w:rPr>
        <w:t xml:space="preserve"> </w:t>
      </w:r>
    </w:p>
    <w:p w:rsidR="00CA3084" w:rsidRPr="00CC4FEE" w:rsidRDefault="00A27F47" w:rsidP="00AB2F01">
      <w:pPr>
        <w:pStyle w:val="Heading3"/>
        <w:spacing w:before="240" w:after="240"/>
        <w:rPr>
          <w:rFonts w:asciiTheme="minorHAnsi" w:hAnsiTheme="minorHAnsi"/>
          <w:color w:val="auto"/>
          <w:sz w:val="22"/>
        </w:rPr>
      </w:pPr>
      <w:r w:rsidRPr="00CC4FEE">
        <w:rPr>
          <w:rFonts w:asciiTheme="minorHAnsi" w:hAnsiTheme="minorHAnsi"/>
          <w:color w:val="auto"/>
          <w:sz w:val="22"/>
        </w:rPr>
        <w:lastRenderedPageBreak/>
        <w:t>RIGHT SIDE</w:t>
      </w:r>
      <w:r w:rsidR="00F84A53" w:rsidRPr="00CC4FEE">
        <w:rPr>
          <w:rFonts w:asciiTheme="minorHAnsi" w:hAnsiTheme="minorHAnsi"/>
          <w:color w:val="auto"/>
          <w:sz w:val="22"/>
        </w:rPr>
        <w:t xml:space="preserve"> – Secondary Transition and Successful Adult Outcomes</w:t>
      </w:r>
    </w:p>
    <w:p w:rsidR="002A5244" w:rsidRPr="00EA316D" w:rsidRDefault="002A5244" w:rsidP="00EA316D">
      <w:pPr>
        <w:pStyle w:val="Heading4"/>
        <w:rPr>
          <w:rFonts w:asciiTheme="minorHAnsi" w:hAnsiTheme="minorHAnsi"/>
          <w:b w:val="0"/>
          <w:color w:val="auto"/>
          <w:sz w:val="22"/>
        </w:rPr>
      </w:pPr>
      <w:r w:rsidRPr="00EA316D">
        <w:rPr>
          <w:rFonts w:asciiTheme="minorHAnsi" w:hAnsiTheme="minorHAnsi"/>
          <w:b w:val="0"/>
          <w:color w:val="auto"/>
          <w:sz w:val="22"/>
        </w:rPr>
        <w:t>On the right side of the model is the adult with disabilities, beyond secondary school.</w:t>
      </w:r>
    </w:p>
    <w:p w:rsidR="00CE3E64" w:rsidRDefault="0069582F" w:rsidP="00AB2F01">
      <w:pPr>
        <w:spacing w:before="240" w:after="240"/>
        <w:rPr>
          <w:sz w:val="22"/>
        </w:rPr>
      </w:pPr>
      <w:r>
        <w:rPr>
          <w:sz w:val="22"/>
        </w:rPr>
        <w:t>On the right side of the model, the student’s vision</w:t>
      </w:r>
      <w:r w:rsidR="00F84A53">
        <w:rPr>
          <w:sz w:val="22"/>
        </w:rPr>
        <w:t>/PSG</w:t>
      </w:r>
      <w:r>
        <w:rPr>
          <w:sz w:val="22"/>
        </w:rPr>
        <w:t xml:space="preserve"> is actualized. No longer in secondary school, the student </w:t>
      </w:r>
      <w:r w:rsidR="00AD74CC">
        <w:rPr>
          <w:sz w:val="22"/>
        </w:rPr>
        <w:t>has achieved his or her postsecondary goals</w:t>
      </w:r>
      <w:r w:rsidR="00E5012F">
        <w:rPr>
          <w:sz w:val="22"/>
        </w:rPr>
        <w:t xml:space="preserve"> </w:t>
      </w:r>
      <w:r w:rsidR="00C52B4E">
        <w:rPr>
          <w:sz w:val="22"/>
        </w:rPr>
        <w:t xml:space="preserve">– the </w:t>
      </w:r>
      <w:r w:rsidR="00C52B4E" w:rsidRPr="00C52B4E">
        <w:rPr>
          <w:b/>
          <w:color w:val="FFC000"/>
          <w:sz w:val="22"/>
        </w:rPr>
        <w:t>gold star</w:t>
      </w:r>
      <w:r w:rsidR="00C52B4E" w:rsidRPr="00C52B4E">
        <w:rPr>
          <w:color w:val="FFC000"/>
          <w:sz w:val="22"/>
        </w:rPr>
        <w:t xml:space="preserve"> </w:t>
      </w:r>
      <w:r w:rsidR="00C52B4E">
        <w:rPr>
          <w:sz w:val="22"/>
        </w:rPr>
        <w:t xml:space="preserve">– in the </w:t>
      </w:r>
      <w:r w:rsidR="00AD74CC">
        <w:rPr>
          <w:sz w:val="22"/>
        </w:rPr>
        <w:t>domains of education/training, competitive employment, independent living, and community participation.</w:t>
      </w:r>
      <w:r w:rsidR="009B5148">
        <w:rPr>
          <w:sz w:val="22"/>
        </w:rPr>
        <w:t xml:space="preserve"> </w:t>
      </w:r>
    </w:p>
    <w:p w:rsidR="0047461C" w:rsidRDefault="009B5148" w:rsidP="00AB2F01">
      <w:pPr>
        <w:spacing w:before="240" w:after="240"/>
        <w:rPr>
          <w:sz w:val="22"/>
        </w:rPr>
      </w:pPr>
      <w:r>
        <w:rPr>
          <w:sz w:val="22"/>
        </w:rPr>
        <w:t>This is not to say that this young adult</w:t>
      </w:r>
      <w:r w:rsidR="00D84D35">
        <w:rPr>
          <w:sz w:val="22"/>
        </w:rPr>
        <w:t>’s journey is finished.</w:t>
      </w:r>
      <w:r w:rsidR="00521D79">
        <w:rPr>
          <w:sz w:val="22"/>
        </w:rPr>
        <w:t xml:space="preserve"> Personal goal-setting</w:t>
      </w:r>
      <w:r w:rsidR="00D84D35">
        <w:rPr>
          <w:sz w:val="22"/>
        </w:rPr>
        <w:t xml:space="preserve"> and accomplishment</w:t>
      </w:r>
      <w:r w:rsidR="00521D79">
        <w:rPr>
          <w:sz w:val="22"/>
        </w:rPr>
        <w:t xml:space="preserve"> is a contin</w:t>
      </w:r>
      <w:r w:rsidR="00D84D35">
        <w:rPr>
          <w:sz w:val="22"/>
        </w:rPr>
        <w:t>uous</w:t>
      </w:r>
      <w:r w:rsidR="00521D79">
        <w:rPr>
          <w:sz w:val="22"/>
        </w:rPr>
        <w:t xml:space="preserve"> process</w:t>
      </w:r>
      <w:r>
        <w:rPr>
          <w:sz w:val="22"/>
        </w:rPr>
        <w:t>. As the years pass, the individual</w:t>
      </w:r>
      <w:r w:rsidR="00D84D35">
        <w:rPr>
          <w:sz w:val="22"/>
        </w:rPr>
        <w:t xml:space="preserve"> with disabilities</w:t>
      </w:r>
      <w:r>
        <w:rPr>
          <w:sz w:val="22"/>
        </w:rPr>
        <w:t xml:space="preserve"> will set new short- and long-term goals</w:t>
      </w:r>
      <w:r w:rsidR="00D84D35">
        <w:rPr>
          <w:sz w:val="22"/>
        </w:rPr>
        <w:t xml:space="preserve">, and – as the </w:t>
      </w:r>
      <w:r w:rsidR="007B2163" w:rsidRPr="00607BB3">
        <w:rPr>
          <w:b/>
          <w:color w:val="17365D" w:themeColor="text2" w:themeShade="BF"/>
          <w:sz w:val="22"/>
        </w:rPr>
        <w:t>infinity symbol</w:t>
      </w:r>
      <w:r w:rsidR="007B2163" w:rsidRPr="00607BB3">
        <w:rPr>
          <w:color w:val="17365D" w:themeColor="text2" w:themeShade="BF"/>
          <w:sz w:val="22"/>
        </w:rPr>
        <w:t xml:space="preserve"> </w:t>
      </w:r>
      <w:r w:rsidR="007B2163">
        <w:rPr>
          <w:sz w:val="22"/>
        </w:rPr>
        <w:t>indicates</w:t>
      </w:r>
      <w:r w:rsidR="00D84D35">
        <w:rPr>
          <w:sz w:val="22"/>
        </w:rPr>
        <w:t xml:space="preserve"> – will continue </w:t>
      </w:r>
      <w:r w:rsidR="00984258">
        <w:rPr>
          <w:sz w:val="22"/>
        </w:rPr>
        <w:t>to receive support</w:t>
      </w:r>
      <w:r w:rsidR="00D84D35">
        <w:rPr>
          <w:sz w:val="22"/>
        </w:rPr>
        <w:t>, as needed, from adult services and from his or her family and community.</w:t>
      </w:r>
      <w:r w:rsidR="001973EB">
        <w:rPr>
          <w:sz w:val="22"/>
        </w:rPr>
        <w:t xml:space="preserve"> </w:t>
      </w:r>
      <w:r w:rsidR="0004106D">
        <w:rPr>
          <w:sz w:val="22"/>
        </w:rPr>
        <w:t>In this way, adults with disabilities are like all people, living interdependent lives, each person</w:t>
      </w:r>
      <w:r w:rsidR="00090382">
        <w:rPr>
          <w:sz w:val="22"/>
        </w:rPr>
        <w:t xml:space="preserve"> drawing strength from the other, each person’s</w:t>
      </w:r>
      <w:r w:rsidR="0004106D">
        <w:rPr>
          <w:sz w:val="22"/>
        </w:rPr>
        <w:t xml:space="preserve"> strengths </w:t>
      </w:r>
      <w:r w:rsidR="004135E8">
        <w:rPr>
          <w:sz w:val="22"/>
        </w:rPr>
        <w:t xml:space="preserve">enriching </w:t>
      </w:r>
      <w:r w:rsidR="0004106D">
        <w:rPr>
          <w:sz w:val="22"/>
        </w:rPr>
        <w:t xml:space="preserve">the entire community. </w:t>
      </w:r>
      <w:r w:rsidR="00984258">
        <w:rPr>
          <w:sz w:val="22"/>
        </w:rPr>
        <w:t xml:space="preserve"> </w:t>
      </w:r>
    </w:p>
    <w:sectPr w:rsidR="0047461C" w:rsidSect="00FE39FC">
      <w:footerReference w:type="default" r:id="rId16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8B" w:rsidRDefault="00A97E8B" w:rsidP="00CA3084">
      <w:r>
        <w:separator/>
      </w:r>
    </w:p>
  </w:endnote>
  <w:endnote w:type="continuationSeparator" w:id="0">
    <w:p w:rsidR="00A97E8B" w:rsidRDefault="00A97E8B" w:rsidP="00CA3084">
      <w:r>
        <w:continuationSeparator/>
      </w:r>
    </w:p>
  </w:endnote>
  <w:endnote w:id="1">
    <w:p w:rsidR="00CA3084" w:rsidRDefault="00CA3084">
      <w:pPr>
        <w:pStyle w:val="EndnoteText"/>
      </w:pPr>
      <w:r>
        <w:rPr>
          <w:rStyle w:val="EndnoteReference"/>
        </w:rPr>
        <w:endnoteRef/>
      </w:r>
      <w:r>
        <w:t xml:space="preserve"> 34 CFR </w:t>
      </w:r>
      <w:r w:rsidRPr="00CA3084">
        <w:t>§ 300.43</w:t>
      </w:r>
      <w:r>
        <w:t>(a)(1)</w:t>
      </w:r>
    </w:p>
  </w:endnote>
  <w:endnote w:id="2">
    <w:p w:rsidR="008E1F41" w:rsidRDefault="008E1F4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22"/>
          <w:szCs w:val="22"/>
        </w:rPr>
        <w:t xml:space="preserve">Wehmeyer, M. L. (2007). Overview of Self-Determination and Self-Determined Learning. In </w:t>
      </w:r>
      <w:r>
        <w:rPr>
          <w:rStyle w:val="em1"/>
          <w:sz w:val="22"/>
          <w:szCs w:val="22"/>
        </w:rPr>
        <w:t>Promoting Self-Determination in Students with Developmental Disabilities</w:t>
      </w:r>
      <w:r>
        <w:rPr>
          <w:sz w:val="22"/>
          <w:szCs w:val="22"/>
        </w:rPr>
        <w:t>. (1st ed.). (pp. 3 - 16). New York, NY: The Guilford Press, p. 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JE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727"/>
      <w:docPartObj>
        <w:docPartGallery w:val="Page Numbers (Bottom of Page)"/>
        <w:docPartUnique/>
      </w:docPartObj>
    </w:sdtPr>
    <w:sdtEndPr/>
    <w:sdtContent>
      <w:p w:rsidR="00A934BD" w:rsidRDefault="0067164D">
        <w:pPr>
          <w:pStyle w:val="Footer"/>
          <w:jc w:val="right"/>
        </w:pPr>
        <w:r w:rsidRPr="00A934BD">
          <w:rPr>
            <w:sz w:val="20"/>
            <w:szCs w:val="20"/>
          </w:rPr>
          <w:fldChar w:fldCharType="begin"/>
        </w:r>
        <w:r w:rsidR="00A934BD" w:rsidRPr="00A934BD">
          <w:rPr>
            <w:sz w:val="20"/>
            <w:szCs w:val="20"/>
          </w:rPr>
          <w:instrText xml:space="preserve"> PAGE   \* MERGEFORMAT </w:instrText>
        </w:r>
        <w:r w:rsidRPr="00A934BD">
          <w:rPr>
            <w:sz w:val="20"/>
            <w:szCs w:val="20"/>
          </w:rPr>
          <w:fldChar w:fldCharType="separate"/>
        </w:r>
        <w:r w:rsidR="0007382D">
          <w:rPr>
            <w:noProof/>
            <w:sz w:val="20"/>
            <w:szCs w:val="20"/>
          </w:rPr>
          <w:t>5</w:t>
        </w:r>
        <w:r w:rsidRPr="00A934BD">
          <w:rPr>
            <w:sz w:val="20"/>
            <w:szCs w:val="20"/>
          </w:rPr>
          <w:fldChar w:fldCharType="end"/>
        </w:r>
      </w:p>
    </w:sdtContent>
  </w:sdt>
  <w:p w:rsidR="00A73B58" w:rsidRDefault="00A73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8B" w:rsidRDefault="00A97E8B" w:rsidP="00CA3084">
      <w:r>
        <w:separator/>
      </w:r>
    </w:p>
  </w:footnote>
  <w:footnote w:type="continuationSeparator" w:id="0">
    <w:p w:rsidR="00A97E8B" w:rsidRDefault="00A97E8B" w:rsidP="00CA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8B5"/>
    <w:multiLevelType w:val="hybridMultilevel"/>
    <w:tmpl w:val="F984BDF6"/>
    <w:lvl w:ilvl="0" w:tplc="15D6F326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8A104C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CF9F8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D05C60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860F6C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2A02A0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F835CC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0D1A6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C4254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34792B"/>
    <w:multiLevelType w:val="hybridMultilevel"/>
    <w:tmpl w:val="8C84088E"/>
    <w:lvl w:ilvl="0" w:tplc="5354235C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71D7"/>
    <w:multiLevelType w:val="hybridMultilevel"/>
    <w:tmpl w:val="11FA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1E3D"/>
    <w:multiLevelType w:val="hybridMultilevel"/>
    <w:tmpl w:val="F2789EA4"/>
    <w:lvl w:ilvl="0" w:tplc="67B03668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26E8"/>
    <w:multiLevelType w:val="hybridMultilevel"/>
    <w:tmpl w:val="B8C0212E"/>
    <w:lvl w:ilvl="0" w:tplc="5354235C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97457"/>
    <w:multiLevelType w:val="hybridMultilevel"/>
    <w:tmpl w:val="3C260F32"/>
    <w:lvl w:ilvl="0" w:tplc="EB4C6A2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B09D5"/>
    <w:multiLevelType w:val="hybridMultilevel"/>
    <w:tmpl w:val="FBA0ED4C"/>
    <w:lvl w:ilvl="0" w:tplc="5354235C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93"/>
    <w:rsid w:val="00010922"/>
    <w:rsid w:val="00014362"/>
    <w:rsid w:val="00035562"/>
    <w:rsid w:val="0004106D"/>
    <w:rsid w:val="000436CE"/>
    <w:rsid w:val="000636FF"/>
    <w:rsid w:val="00065E1B"/>
    <w:rsid w:val="000669E4"/>
    <w:rsid w:val="000704F7"/>
    <w:rsid w:val="0007382D"/>
    <w:rsid w:val="00083305"/>
    <w:rsid w:val="00090382"/>
    <w:rsid w:val="000A2C9C"/>
    <w:rsid w:val="000C52A2"/>
    <w:rsid w:val="000D1C2F"/>
    <w:rsid w:val="000D35C1"/>
    <w:rsid w:val="001017F9"/>
    <w:rsid w:val="00105345"/>
    <w:rsid w:val="00124F34"/>
    <w:rsid w:val="001273EE"/>
    <w:rsid w:val="00155458"/>
    <w:rsid w:val="00156EC3"/>
    <w:rsid w:val="00163521"/>
    <w:rsid w:val="00173227"/>
    <w:rsid w:val="0018026B"/>
    <w:rsid w:val="0018756A"/>
    <w:rsid w:val="0019060D"/>
    <w:rsid w:val="001973EB"/>
    <w:rsid w:val="001A6830"/>
    <w:rsid w:val="001C2621"/>
    <w:rsid w:val="001C2A5B"/>
    <w:rsid w:val="001C2F02"/>
    <w:rsid w:val="001D3667"/>
    <w:rsid w:val="001F00D1"/>
    <w:rsid w:val="001F5A54"/>
    <w:rsid w:val="0020427C"/>
    <w:rsid w:val="00212CDA"/>
    <w:rsid w:val="002157E1"/>
    <w:rsid w:val="002161AD"/>
    <w:rsid w:val="00227748"/>
    <w:rsid w:val="00240937"/>
    <w:rsid w:val="00245748"/>
    <w:rsid w:val="00264FF6"/>
    <w:rsid w:val="0027071E"/>
    <w:rsid w:val="00274B46"/>
    <w:rsid w:val="00286897"/>
    <w:rsid w:val="00291D50"/>
    <w:rsid w:val="00294273"/>
    <w:rsid w:val="0029430D"/>
    <w:rsid w:val="00297A78"/>
    <w:rsid w:val="00297E87"/>
    <w:rsid w:val="002A5244"/>
    <w:rsid w:val="002B2C0D"/>
    <w:rsid w:val="002C00A8"/>
    <w:rsid w:val="002C273B"/>
    <w:rsid w:val="002C357F"/>
    <w:rsid w:val="002C686A"/>
    <w:rsid w:val="002D0958"/>
    <w:rsid w:val="002D11E7"/>
    <w:rsid w:val="002D1998"/>
    <w:rsid w:val="002F0D24"/>
    <w:rsid w:val="002F64F2"/>
    <w:rsid w:val="00300070"/>
    <w:rsid w:val="003122D9"/>
    <w:rsid w:val="00316B5D"/>
    <w:rsid w:val="00321078"/>
    <w:rsid w:val="00321BCD"/>
    <w:rsid w:val="003230BC"/>
    <w:rsid w:val="003243B8"/>
    <w:rsid w:val="00325505"/>
    <w:rsid w:val="00351FB3"/>
    <w:rsid w:val="003542B2"/>
    <w:rsid w:val="00361313"/>
    <w:rsid w:val="003631DB"/>
    <w:rsid w:val="003634FB"/>
    <w:rsid w:val="00376875"/>
    <w:rsid w:val="00392E10"/>
    <w:rsid w:val="00393342"/>
    <w:rsid w:val="00395CA0"/>
    <w:rsid w:val="003E287D"/>
    <w:rsid w:val="003F4291"/>
    <w:rsid w:val="00406B71"/>
    <w:rsid w:val="004135E8"/>
    <w:rsid w:val="00437A9C"/>
    <w:rsid w:val="00441218"/>
    <w:rsid w:val="00441B4B"/>
    <w:rsid w:val="00461E3D"/>
    <w:rsid w:val="004629CB"/>
    <w:rsid w:val="00473379"/>
    <w:rsid w:val="0047461C"/>
    <w:rsid w:val="00475ECB"/>
    <w:rsid w:val="00481402"/>
    <w:rsid w:val="00491DA1"/>
    <w:rsid w:val="004A29D6"/>
    <w:rsid w:val="004A30A8"/>
    <w:rsid w:val="004C1737"/>
    <w:rsid w:val="004C6614"/>
    <w:rsid w:val="004D5540"/>
    <w:rsid w:val="00507915"/>
    <w:rsid w:val="005155F1"/>
    <w:rsid w:val="00520C72"/>
    <w:rsid w:val="00521D79"/>
    <w:rsid w:val="00553D67"/>
    <w:rsid w:val="00567A56"/>
    <w:rsid w:val="0057710D"/>
    <w:rsid w:val="00582A3B"/>
    <w:rsid w:val="00584F95"/>
    <w:rsid w:val="005A4BD0"/>
    <w:rsid w:val="005A4EF6"/>
    <w:rsid w:val="005B58B2"/>
    <w:rsid w:val="005B6562"/>
    <w:rsid w:val="005C62E0"/>
    <w:rsid w:val="005C6C8A"/>
    <w:rsid w:val="005D68A9"/>
    <w:rsid w:val="005E5084"/>
    <w:rsid w:val="005F4B71"/>
    <w:rsid w:val="006027D3"/>
    <w:rsid w:val="00607BB3"/>
    <w:rsid w:val="00610B19"/>
    <w:rsid w:val="00612A53"/>
    <w:rsid w:val="00616E99"/>
    <w:rsid w:val="0062168A"/>
    <w:rsid w:val="00621C74"/>
    <w:rsid w:val="006262D3"/>
    <w:rsid w:val="00642418"/>
    <w:rsid w:val="00655F2C"/>
    <w:rsid w:val="0067164D"/>
    <w:rsid w:val="00677156"/>
    <w:rsid w:val="006874EA"/>
    <w:rsid w:val="00692AF4"/>
    <w:rsid w:val="00693D45"/>
    <w:rsid w:val="00694033"/>
    <w:rsid w:val="0069582F"/>
    <w:rsid w:val="006A378E"/>
    <w:rsid w:val="006B46C3"/>
    <w:rsid w:val="006B5880"/>
    <w:rsid w:val="006C231F"/>
    <w:rsid w:val="006C5E8D"/>
    <w:rsid w:val="006D4686"/>
    <w:rsid w:val="006D5365"/>
    <w:rsid w:val="006E0F79"/>
    <w:rsid w:val="006F26B1"/>
    <w:rsid w:val="0070036E"/>
    <w:rsid w:val="00700E47"/>
    <w:rsid w:val="00714B93"/>
    <w:rsid w:val="00751E26"/>
    <w:rsid w:val="0075274D"/>
    <w:rsid w:val="00757DF9"/>
    <w:rsid w:val="007642CD"/>
    <w:rsid w:val="00767C6B"/>
    <w:rsid w:val="0078793E"/>
    <w:rsid w:val="00792566"/>
    <w:rsid w:val="00795080"/>
    <w:rsid w:val="007A4184"/>
    <w:rsid w:val="007B2163"/>
    <w:rsid w:val="007B560D"/>
    <w:rsid w:val="007B6A2B"/>
    <w:rsid w:val="007C2A6E"/>
    <w:rsid w:val="007C3634"/>
    <w:rsid w:val="007D4F90"/>
    <w:rsid w:val="007E40B1"/>
    <w:rsid w:val="007E65F1"/>
    <w:rsid w:val="008015D5"/>
    <w:rsid w:val="00814FF0"/>
    <w:rsid w:val="008151B0"/>
    <w:rsid w:val="00826A14"/>
    <w:rsid w:val="008304AE"/>
    <w:rsid w:val="008306EF"/>
    <w:rsid w:val="0083556F"/>
    <w:rsid w:val="00861CFF"/>
    <w:rsid w:val="00862D18"/>
    <w:rsid w:val="00877E68"/>
    <w:rsid w:val="00891C4C"/>
    <w:rsid w:val="008A0D06"/>
    <w:rsid w:val="008A4ED2"/>
    <w:rsid w:val="008A5F08"/>
    <w:rsid w:val="008A6395"/>
    <w:rsid w:val="008C1FF5"/>
    <w:rsid w:val="008C29A8"/>
    <w:rsid w:val="008C7A94"/>
    <w:rsid w:val="008D74A7"/>
    <w:rsid w:val="008E1F41"/>
    <w:rsid w:val="008E502F"/>
    <w:rsid w:val="008F117F"/>
    <w:rsid w:val="00902E40"/>
    <w:rsid w:val="00903FA8"/>
    <w:rsid w:val="00905B1B"/>
    <w:rsid w:val="00920D08"/>
    <w:rsid w:val="009221B6"/>
    <w:rsid w:val="00927DB8"/>
    <w:rsid w:val="00934289"/>
    <w:rsid w:val="00943F97"/>
    <w:rsid w:val="0096420A"/>
    <w:rsid w:val="0097008D"/>
    <w:rsid w:val="0097139F"/>
    <w:rsid w:val="00977E86"/>
    <w:rsid w:val="00984258"/>
    <w:rsid w:val="009A50C2"/>
    <w:rsid w:val="009A5273"/>
    <w:rsid w:val="009A6A85"/>
    <w:rsid w:val="009B2FA5"/>
    <w:rsid w:val="009B5148"/>
    <w:rsid w:val="009B6D60"/>
    <w:rsid w:val="009C08F1"/>
    <w:rsid w:val="009C6D8B"/>
    <w:rsid w:val="009D55B6"/>
    <w:rsid w:val="009D611B"/>
    <w:rsid w:val="009E1F16"/>
    <w:rsid w:val="009F4199"/>
    <w:rsid w:val="00A029D0"/>
    <w:rsid w:val="00A05184"/>
    <w:rsid w:val="00A2013D"/>
    <w:rsid w:val="00A256B8"/>
    <w:rsid w:val="00A27F47"/>
    <w:rsid w:val="00A44E66"/>
    <w:rsid w:val="00A46DCA"/>
    <w:rsid w:val="00A52094"/>
    <w:rsid w:val="00A625EC"/>
    <w:rsid w:val="00A639C1"/>
    <w:rsid w:val="00A67A09"/>
    <w:rsid w:val="00A71EEE"/>
    <w:rsid w:val="00A726E0"/>
    <w:rsid w:val="00A73B58"/>
    <w:rsid w:val="00A73B8A"/>
    <w:rsid w:val="00A934BD"/>
    <w:rsid w:val="00A9623B"/>
    <w:rsid w:val="00A97E8B"/>
    <w:rsid w:val="00AA75A1"/>
    <w:rsid w:val="00AB2F01"/>
    <w:rsid w:val="00AB5AEE"/>
    <w:rsid w:val="00AB5EF9"/>
    <w:rsid w:val="00AB6F0E"/>
    <w:rsid w:val="00AC299F"/>
    <w:rsid w:val="00AC60C8"/>
    <w:rsid w:val="00AD74CC"/>
    <w:rsid w:val="00AD758F"/>
    <w:rsid w:val="00AE74DA"/>
    <w:rsid w:val="00AF6834"/>
    <w:rsid w:val="00AF7C42"/>
    <w:rsid w:val="00B34CC4"/>
    <w:rsid w:val="00B34CE4"/>
    <w:rsid w:val="00B46375"/>
    <w:rsid w:val="00B52729"/>
    <w:rsid w:val="00B54E11"/>
    <w:rsid w:val="00B56655"/>
    <w:rsid w:val="00B641BF"/>
    <w:rsid w:val="00B75635"/>
    <w:rsid w:val="00B75DD2"/>
    <w:rsid w:val="00B800D7"/>
    <w:rsid w:val="00B85B62"/>
    <w:rsid w:val="00BB03B2"/>
    <w:rsid w:val="00BB4DFC"/>
    <w:rsid w:val="00BC09A4"/>
    <w:rsid w:val="00BE48CF"/>
    <w:rsid w:val="00C07874"/>
    <w:rsid w:val="00C203C3"/>
    <w:rsid w:val="00C25923"/>
    <w:rsid w:val="00C2670F"/>
    <w:rsid w:val="00C27FBF"/>
    <w:rsid w:val="00C50474"/>
    <w:rsid w:val="00C528C4"/>
    <w:rsid w:val="00C52B4E"/>
    <w:rsid w:val="00C628B9"/>
    <w:rsid w:val="00C73D29"/>
    <w:rsid w:val="00C87A0F"/>
    <w:rsid w:val="00C9295A"/>
    <w:rsid w:val="00C96D03"/>
    <w:rsid w:val="00CA3084"/>
    <w:rsid w:val="00CB78D1"/>
    <w:rsid w:val="00CC3650"/>
    <w:rsid w:val="00CC4FEE"/>
    <w:rsid w:val="00CD2C1E"/>
    <w:rsid w:val="00CD793A"/>
    <w:rsid w:val="00CE3E64"/>
    <w:rsid w:val="00D105A0"/>
    <w:rsid w:val="00D16084"/>
    <w:rsid w:val="00D22C11"/>
    <w:rsid w:val="00D245C6"/>
    <w:rsid w:val="00D305C8"/>
    <w:rsid w:val="00D30CB2"/>
    <w:rsid w:val="00D310E5"/>
    <w:rsid w:val="00D42C4C"/>
    <w:rsid w:val="00D439BE"/>
    <w:rsid w:val="00D44E38"/>
    <w:rsid w:val="00D456F2"/>
    <w:rsid w:val="00D46ADF"/>
    <w:rsid w:val="00D51E30"/>
    <w:rsid w:val="00D5265D"/>
    <w:rsid w:val="00D53AE1"/>
    <w:rsid w:val="00D55B8B"/>
    <w:rsid w:val="00D7007F"/>
    <w:rsid w:val="00D84D35"/>
    <w:rsid w:val="00DE135E"/>
    <w:rsid w:val="00DE3CF5"/>
    <w:rsid w:val="00DE3F87"/>
    <w:rsid w:val="00DE7CA2"/>
    <w:rsid w:val="00E30A6C"/>
    <w:rsid w:val="00E41400"/>
    <w:rsid w:val="00E5012F"/>
    <w:rsid w:val="00E54ABF"/>
    <w:rsid w:val="00E64111"/>
    <w:rsid w:val="00E726A2"/>
    <w:rsid w:val="00E74513"/>
    <w:rsid w:val="00E86862"/>
    <w:rsid w:val="00E9129A"/>
    <w:rsid w:val="00E92493"/>
    <w:rsid w:val="00E95079"/>
    <w:rsid w:val="00E953C6"/>
    <w:rsid w:val="00E95870"/>
    <w:rsid w:val="00EA316D"/>
    <w:rsid w:val="00EA6EB6"/>
    <w:rsid w:val="00EB1CC5"/>
    <w:rsid w:val="00EC3C90"/>
    <w:rsid w:val="00EC6C97"/>
    <w:rsid w:val="00ED39DF"/>
    <w:rsid w:val="00ED6EC3"/>
    <w:rsid w:val="00EE4D2A"/>
    <w:rsid w:val="00F0622F"/>
    <w:rsid w:val="00F077A8"/>
    <w:rsid w:val="00F11647"/>
    <w:rsid w:val="00F11B4E"/>
    <w:rsid w:val="00F15C9E"/>
    <w:rsid w:val="00F16FCC"/>
    <w:rsid w:val="00F23B89"/>
    <w:rsid w:val="00F32FDA"/>
    <w:rsid w:val="00F40071"/>
    <w:rsid w:val="00F4063D"/>
    <w:rsid w:val="00F5194A"/>
    <w:rsid w:val="00F564E8"/>
    <w:rsid w:val="00F80B75"/>
    <w:rsid w:val="00F84A53"/>
    <w:rsid w:val="00FA2A5D"/>
    <w:rsid w:val="00FA52D7"/>
    <w:rsid w:val="00FA7168"/>
    <w:rsid w:val="00FB0107"/>
    <w:rsid w:val="00FB193C"/>
    <w:rsid w:val="00FC08AF"/>
    <w:rsid w:val="00FC620C"/>
    <w:rsid w:val="00FE165B"/>
    <w:rsid w:val="00FE388B"/>
    <w:rsid w:val="00FE39FC"/>
    <w:rsid w:val="00FF15D6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7A325-5FCC-415F-AE8B-D06B218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C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1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08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0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0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0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0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54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E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C11"/>
    <w:pPr>
      <w:autoSpaceDE w:val="0"/>
      <w:autoSpaceDN w:val="0"/>
      <w:adjustRightInd w:val="0"/>
    </w:pPr>
    <w:rPr>
      <w:rFonts w:ascii="CKJEIP+TimesNewRoman" w:hAnsi="CKJEIP+TimesNewRoman" w:cs="CKJEIP+TimesNew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7A8"/>
    <w:rPr>
      <w:sz w:val="24"/>
    </w:rPr>
  </w:style>
  <w:style w:type="character" w:customStyle="1" w:styleId="em1">
    <w:name w:val="em1"/>
    <w:basedOn w:val="DefaultParagraphFont"/>
    <w:rsid w:val="008E1F4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203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B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7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B5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1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1F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31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065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696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sped/688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ped/688/humanservice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DESE-231-55363</_dlc_DocId>
    <_dlc_DocIdUrl xmlns="733efe1c-5bbe-4968-87dc-d400e65c879f">
      <Url>https://sharepoint.doemass.org/ese/webteam/cps/_layouts/DocIdRedir.aspx?ID=DESE-231-55363</Url>
      <Description>DESE-231-55363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7267-E81D-4929-8ACE-0ECFD6A8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657CF-D8D7-445A-BA97-F6B0DA253C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F9B76C-B5EE-4D9D-9AFD-C0A989414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09408-B761-430E-8C19-9DCF4BB411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C3B5407F-7954-4BB1-A7BD-F8D756D5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Student-Driven Secondary Transition Model</vt:lpstr>
    </vt:vector>
  </TitlesOfParts>
  <Company>MA Department of Elementary and Secondary Education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Student-Driven Secondary Transition Model</dc:title>
  <dc:creator>DESE</dc:creator>
  <cp:keywords>student, secondary transition, special education, IEP, postsecondary</cp:keywords>
  <cp:lastModifiedBy>Zou, Dong (EOE)</cp:lastModifiedBy>
  <cp:revision>4</cp:revision>
  <cp:lastPrinted>2014-10-28T13:11:00Z</cp:lastPrinted>
  <dcterms:created xsi:type="dcterms:W3CDTF">2019-10-10T13:20:00Z</dcterms:created>
  <dcterms:modified xsi:type="dcterms:W3CDTF">2019-11-22T16:34:00Z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2019</vt:lpwstr>
  </property>
</Properties>
</file>