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9505446"/>
    <w:p w14:paraId="5EEC8AD2" w14:textId="414FE8D9" w:rsidR="00F7096B" w:rsidRPr="006670A1" w:rsidRDefault="009D44AD" w:rsidP="00F7096B">
      <w:pPr>
        <w:shd w:val="clear" w:color="auto" w:fill="FFFFFF"/>
        <w:spacing w:before="100" w:beforeAutospacing="1" w:after="100" w:afterAutospacing="1" w:line="240" w:lineRule="auto"/>
        <w:outlineLvl w:val="1"/>
        <w:rPr>
          <w:rFonts w:eastAsia="Times New Roman"/>
          <w:b/>
          <w:bCs/>
          <w:shd w:val="clear" w:color="auto" w:fill="FFFFFF"/>
        </w:rPr>
      </w:pPr>
      <w:r>
        <w:rPr>
          <w:rFonts w:ascii="SimSun" w:eastAsia="SimSun" w:hAnsi="SimSun" w:cs="SimSun"/>
          <w:b/>
          <w:bCs/>
          <w:shd w:val="clear" w:color="auto" w:fill="FFFFFF"/>
        </w:rPr>
        <w:fldChar w:fldCharType="begin"/>
      </w:r>
      <w:r>
        <w:rPr>
          <w:rFonts w:ascii="SimSun" w:eastAsia="SimSun" w:hAnsi="SimSun" w:cs="SimSun"/>
          <w:b/>
          <w:bCs/>
          <w:shd w:val="clear" w:color="auto" w:fill="FFFFFF"/>
        </w:rPr>
        <w:instrText xml:space="preserve"> HYPERLINK "https://www.doe.mass.edu/sped/spp/indicators/indicator10/" </w:instrText>
      </w:r>
      <w:r>
        <w:rPr>
          <w:rFonts w:ascii="SimSun" w:eastAsia="SimSun" w:hAnsi="SimSun" w:cs="SimSun"/>
          <w:b/>
          <w:bCs/>
          <w:shd w:val="clear" w:color="auto" w:fill="FFFFFF"/>
        </w:rPr>
        <w:fldChar w:fldCharType="separate"/>
      </w:r>
      <w:r w:rsidR="00F7096B" w:rsidRPr="009D44AD">
        <w:rPr>
          <w:rStyle w:val="Hyperlink"/>
          <w:rFonts w:ascii="SimSun" w:eastAsia="SimSun" w:hAnsi="SimSun" w:cs="SimSun"/>
          <w:b/>
          <w:bCs/>
          <w:shd w:val="clear" w:color="auto" w:fill="FFFFFF"/>
        </w:rPr>
        <w:t>English</w:t>
      </w:r>
      <w:r>
        <w:rPr>
          <w:rFonts w:ascii="SimSun" w:eastAsia="SimSun" w:hAnsi="SimSun" w:cs="SimSun"/>
          <w:b/>
          <w:bCs/>
          <w:shd w:val="clear" w:color="auto" w:fill="FFFFFF"/>
        </w:rPr>
        <w:fldChar w:fldCharType="end"/>
      </w:r>
      <w:r w:rsidR="00F7096B" w:rsidRPr="006670A1">
        <w:rPr>
          <w:rFonts w:ascii="SimSun" w:eastAsia="SimSun" w:hAnsi="SimSun" w:cs="SimSun"/>
          <w:b/>
          <w:bCs/>
          <w:shd w:val="clear" w:color="auto" w:fill="FFFFFF"/>
        </w:rPr>
        <w:t> | </w:t>
      </w:r>
      <w:r w:rsidR="00F7096B" w:rsidRPr="009D44AD">
        <w:rPr>
          <w:rFonts w:ascii="SimSun" w:eastAsia="SimSun" w:hAnsi="SimSun" w:cs="SimSun" w:hint="eastAsia"/>
          <w:b/>
          <w:bCs/>
        </w:rPr>
        <w:t>繁體中文</w:t>
      </w:r>
      <w:r w:rsidR="00F7096B" w:rsidRPr="006670A1">
        <w:rPr>
          <w:rFonts w:ascii="SimSun" w:eastAsia="SimSun" w:hAnsi="SimSun" w:cs="SimSun"/>
          <w:b/>
          <w:bCs/>
          <w:shd w:val="clear" w:color="auto" w:fill="FFFFFF"/>
        </w:rPr>
        <w:t> | </w:t>
      </w:r>
      <w:hyperlink r:id="rId9" w:history="1">
        <w:r w:rsidR="00F7096B" w:rsidRPr="009D44AD">
          <w:rPr>
            <w:rStyle w:val="Hyperlink"/>
            <w:rFonts w:ascii="SimSun" w:eastAsia="SimSun" w:hAnsi="SimSun" w:cs="SimSun"/>
            <w:b/>
            <w:bCs/>
            <w:shd w:val="clear" w:color="auto" w:fill="FFFFFF"/>
          </w:rPr>
          <w:t>Kreyòl Ayisyen</w:t>
        </w:r>
      </w:hyperlink>
      <w:r w:rsidR="00F7096B" w:rsidRPr="006670A1">
        <w:rPr>
          <w:rFonts w:ascii="SimSun" w:eastAsia="SimSun" w:hAnsi="SimSun" w:cs="SimSun"/>
          <w:b/>
          <w:bCs/>
          <w:shd w:val="clear" w:color="auto" w:fill="FFFFFF"/>
        </w:rPr>
        <w:t> | </w:t>
      </w:r>
      <w:hyperlink r:id="rId10" w:history="1">
        <w:r w:rsidR="00F7096B" w:rsidRPr="009D44AD">
          <w:rPr>
            <w:rStyle w:val="Hyperlink"/>
            <w:rFonts w:ascii="SimSun" w:eastAsia="SimSun" w:hAnsi="SimSun" w:cs="SimSun"/>
            <w:b/>
            <w:bCs/>
            <w:shd w:val="clear" w:color="auto" w:fill="FFFFFF"/>
          </w:rPr>
          <w:t>português</w:t>
        </w:r>
      </w:hyperlink>
      <w:r w:rsidR="00F7096B" w:rsidRPr="006670A1">
        <w:rPr>
          <w:rFonts w:ascii="SimSun" w:eastAsia="SimSun" w:hAnsi="SimSun" w:cs="SimSun"/>
          <w:b/>
          <w:bCs/>
          <w:shd w:val="clear" w:color="auto" w:fill="FFFFFF"/>
        </w:rPr>
        <w:t>​ | </w:t>
      </w:r>
      <w:hyperlink r:id="rId11" w:history="1">
        <w:r w:rsidR="00F7096B" w:rsidRPr="009D44AD">
          <w:rPr>
            <w:rStyle w:val="Hyperlink"/>
            <w:rFonts w:ascii="SimSun" w:eastAsia="SimSun" w:hAnsi="SimSun" w:cs="SimSun"/>
            <w:b/>
            <w:bCs/>
            <w:shd w:val="clear" w:color="auto" w:fill="FFFFFF"/>
          </w:rPr>
          <w:t>español</w:t>
        </w:r>
      </w:hyperlink>
      <w:r w:rsidR="00F7096B" w:rsidRPr="006670A1">
        <w:rPr>
          <w:rFonts w:ascii="SimSun" w:eastAsia="SimSun" w:hAnsi="SimSun" w:cs="SimSun"/>
          <w:b/>
          <w:bCs/>
          <w:shd w:val="clear" w:color="auto" w:fill="FFFFFF"/>
        </w:rPr>
        <w:t> | </w:t>
      </w:r>
      <w:hyperlink r:id="rId12" w:history="1">
        <w:r w:rsidR="00F7096B" w:rsidRPr="009D44AD">
          <w:rPr>
            <w:rStyle w:val="Hyperlink"/>
            <w:rFonts w:ascii="SimSun" w:eastAsia="SimSun" w:hAnsi="SimSun" w:cs="SimSun"/>
            <w:b/>
            <w:bCs/>
            <w:shd w:val="clear" w:color="auto" w:fill="FFFFFF"/>
          </w:rPr>
          <w:t>Vi</w:t>
        </w:r>
        <w:r w:rsidR="00F7096B" w:rsidRPr="009D44AD">
          <w:rPr>
            <w:rStyle w:val="Hyperlink"/>
            <w:rFonts w:ascii="Cambria" w:eastAsia="SimSun" w:hAnsi="Cambria" w:cs="Cambria"/>
            <w:b/>
            <w:bCs/>
            <w:shd w:val="clear" w:color="auto" w:fill="FFFFFF"/>
          </w:rPr>
          <w:t>ệ</w:t>
        </w:r>
        <w:r w:rsidR="00F7096B" w:rsidRPr="009D44AD">
          <w:rPr>
            <w:rStyle w:val="Hyperlink"/>
            <w:rFonts w:ascii="SimSun" w:eastAsia="SimSun" w:hAnsi="SimSun" w:cs="SimSun"/>
            <w:b/>
            <w:bCs/>
            <w:shd w:val="clear" w:color="auto" w:fill="FFFFFF"/>
          </w:rPr>
          <w:t>t</w:t>
        </w:r>
      </w:hyperlink>
    </w:p>
    <w:bookmarkEnd w:id="0"/>
    <w:p w14:paraId="4310ADA8" w14:textId="10E0E2B3" w:rsidR="004D7235" w:rsidRDefault="00904EC0" w:rsidP="025790DD">
      <w:pPr>
        <w:pStyle w:val="Heading1"/>
        <w:spacing w:line="240" w:lineRule="auto"/>
      </w:pPr>
      <w:r>
        <w:rPr>
          <w:rFonts w:ascii="SimSun" w:eastAsia="SimSun" w:hAnsi="SimSun" w:cs="SimSun"/>
        </w:rPr>
        <w:t>指标10：特殊残疾类别不成比例</w:t>
      </w:r>
    </w:p>
    <w:p w14:paraId="5B37F5E7" w14:textId="385774CD" w:rsidR="00D14FCC" w:rsidRPr="00D14FCC" w:rsidRDefault="00904EC0" w:rsidP="025790DD">
      <w:pPr>
        <w:pStyle w:val="Heading1"/>
        <w:spacing w:line="240" w:lineRule="auto"/>
        <w:rPr>
          <w:rFonts w:asciiTheme="minorHAnsi" w:hAnsiTheme="minorHAnsi" w:cstheme="minorBidi"/>
          <w:b/>
          <w:bCs/>
          <w:color w:val="000000" w:themeColor="text1"/>
          <w:sz w:val="24"/>
          <w:szCs w:val="24"/>
        </w:rPr>
      </w:pPr>
      <w:r w:rsidRPr="3BD34A9C">
        <w:rPr>
          <w:rFonts w:ascii="SimSun" w:eastAsia="SimSun" w:hAnsi="SimSun" w:cs="SimSun"/>
          <w:b/>
          <w:bCs/>
          <w:color w:val="000000" w:themeColor="text1"/>
          <w:sz w:val="24"/>
          <w:szCs w:val="24"/>
        </w:rPr>
        <w:t>什么是指标10？</w:t>
      </w:r>
    </w:p>
    <w:p w14:paraId="68E9C28D" w14:textId="02F0FF95" w:rsidR="025790DD" w:rsidRDefault="00904EC0" w:rsidP="3BD34A9C">
      <w:pPr>
        <w:rPr>
          <w:rFonts w:ascii="Calibri" w:eastAsia="Calibri" w:hAnsi="Calibri" w:cs="Calibri"/>
        </w:rPr>
      </w:pPr>
      <w:r w:rsidRPr="3BD34A9C">
        <w:rPr>
          <w:rFonts w:ascii="SimSun" w:eastAsia="SimSun" w:hAnsi="SimSun" w:cs="SimSun"/>
        </w:rPr>
        <w:t>如果学区连续三年的可能过高比例的加权比或替代风险比不小于4.0，那么，学区应标记为不成比例。基于该定量分析，在特殊残疾类别中标记为不成比例的学区会收到中小学教育部（“该部门”）发出的信函，告知各学区的情况，并要求各学区将政策、惯例和程序提交给“该部门”审查。</w:t>
      </w:r>
    </w:p>
    <w:p w14:paraId="7D9F533B" w14:textId="34465D41" w:rsidR="025790DD" w:rsidRDefault="025790DD" w:rsidP="025790DD">
      <w:pPr>
        <w:spacing w:after="0" w:line="240" w:lineRule="auto"/>
        <w:rPr>
          <w:rFonts w:ascii="Calibri" w:eastAsia="Calibri" w:hAnsi="Calibri" w:cs="Calibri"/>
        </w:rPr>
      </w:pPr>
    </w:p>
    <w:p w14:paraId="0A147BCE" w14:textId="71D2F64E" w:rsidR="025790DD" w:rsidRDefault="00904EC0" w:rsidP="025790DD">
      <w:pPr>
        <w:spacing w:after="0" w:line="240" w:lineRule="auto"/>
        <w:rPr>
          <w:rFonts w:ascii="Calibri" w:eastAsia="Calibri" w:hAnsi="Calibri" w:cs="Calibri"/>
          <w:i/>
          <w:iCs/>
        </w:rPr>
      </w:pPr>
      <w:r w:rsidRPr="025790DD">
        <w:rPr>
          <w:rFonts w:ascii="SimSun" w:eastAsia="SimSun" w:hAnsi="SimSun" w:cs="SimSun"/>
          <w:i/>
          <w:iCs/>
        </w:rPr>
        <w:t>如果在审查中，“该部门”认为政策、惯例和程序不适当，或在其他方面不符合联邦和州的法规要求，且得出结论是政策、惯例和程序可能导致不成比例，那么，LEA应认定为识别不当导致不成比例，且需采取纠正措施。</w:t>
      </w:r>
    </w:p>
    <w:p w14:paraId="47CC442A" w14:textId="5C0AEA70" w:rsidR="025790DD" w:rsidRDefault="025790DD" w:rsidP="025790DD">
      <w:pPr>
        <w:spacing w:after="0" w:line="240" w:lineRule="auto"/>
        <w:rPr>
          <w:rFonts w:ascii="Calibri" w:eastAsia="Calibri" w:hAnsi="Calibri" w:cs="Calibri"/>
        </w:rPr>
      </w:pPr>
    </w:p>
    <w:p w14:paraId="09F85CB6" w14:textId="357B9979" w:rsidR="00D14FCC" w:rsidRDefault="00904EC0" w:rsidP="025790DD">
      <w:pPr>
        <w:spacing w:after="0" w:line="240" w:lineRule="auto"/>
        <w:rPr>
          <w:b/>
          <w:bCs/>
          <w:color w:val="000000" w:themeColor="text1"/>
          <w:sz w:val="24"/>
          <w:szCs w:val="24"/>
        </w:rPr>
      </w:pPr>
      <w:r w:rsidRPr="3BD34A9C">
        <w:rPr>
          <w:rFonts w:ascii="SimSun" w:eastAsia="SimSun" w:hAnsi="SimSun" w:cs="SimSun"/>
          <w:b/>
          <w:bCs/>
          <w:color w:val="000000" w:themeColor="text1"/>
          <w:sz w:val="24"/>
          <w:szCs w:val="24"/>
        </w:rPr>
        <w:t>指标10数据</w:t>
      </w:r>
    </w:p>
    <w:p w14:paraId="340D403C" w14:textId="1EB16B45" w:rsidR="025790DD" w:rsidRDefault="00904EC0" w:rsidP="025790DD">
      <w:pPr>
        <w:spacing w:after="0" w:line="240" w:lineRule="auto"/>
        <w:rPr>
          <w:i/>
          <w:iCs/>
          <w:color w:val="000000" w:themeColor="text1"/>
        </w:rPr>
      </w:pPr>
      <w:r w:rsidRPr="025790DD">
        <w:rPr>
          <w:rFonts w:ascii="SimSun" w:eastAsia="SimSun" w:hAnsi="SimSun" w:cs="SimSun"/>
          <w:i/>
          <w:iCs/>
          <w:color w:val="000000" w:themeColor="text1"/>
        </w:rPr>
        <w:t>基线</w:t>
      </w:r>
    </w:p>
    <w:tbl>
      <w:tblPr>
        <w:tblStyle w:val="TableGrid"/>
        <w:tblW w:w="0" w:type="auto"/>
        <w:tblLayout w:type="fixed"/>
        <w:tblLook w:val="04A0" w:firstRow="1" w:lastRow="0" w:firstColumn="1" w:lastColumn="0" w:noHBand="0" w:noVBand="1"/>
      </w:tblPr>
      <w:tblGrid>
        <w:gridCol w:w="1785"/>
        <w:gridCol w:w="1785"/>
      </w:tblGrid>
      <w:tr w:rsidR="00181698" w14:paraId="00E89536" w14:textId="77777777" w:rsidTr="025790DD">
        <w:trPr>
          <w:trHeight w:val="300"/>
        </w:trPr>
        <w:tc>
          <w:tcPr>
            <w:tcW w:w="1785" w:type="dxa"/>
          </w:tcPr>
          <w:p w14:paraId="5718C44D" w14:textId="317F5298" w:rsidR="025790DD" w:rsidRDefault="00904EC0" w:rsidP="025790DD">
            <w:pPr>
              <w:spacing w:before="60" w:after="60"/>
              <w:jc w:val="center"/>
              <w:rPr>
                <w:rFonts w:ascii="Calibri" w:eastAsia="Calibri" w:hAnsi="Calibri" w:cs="Calibri"/>
                <w:color w:val="000000" w:themeColor="text1"/>
              </w:rPr>
            </w:pPr>
            <w:r w:rsidRPr="025790DD">
              <w:rPr>
                <w:rFonts w:ascii="SimSun" w:eastAsia="SimSun" w:hAnsi="SimSun" w:cs="SimSun"/>
                <w:b/>
                <w:bCs/>
                <w:color w:val="000000" w:themeColor="text1"/>
              </w:rPr>
              <w:t>基准年</w:t>
            </w:r>
          </w:p>
        </w:tc>
        <w:tc>
          <w:tcPr>
            <w:tcW w:w="1785" w:type="dxa"/>
          </w:tcPr>
          <w:p w14:paraId="78A2E14F" w14:textId="57604027" w:rsidR="025790DD" w:rsidRDefault="00904EC0" w:rsidP="025790DD">
            <w:pPr>
              <w:spacing w:before="60" w:after="60"/>
              <w:jc w:val="center"/>
              <w:rPr>
                <w:rFonts w:ascii="Calibri" w:eastAsia="Calibri" w:hAnsi="Calibri" w:cs="Calibri"/>
                <w:color w:val="000000" w:themeColor="text1"/>
              </w:rPr>
            </w:pPr>
            <w:r w:rsidRPr="025790DD">
              <w:rPr>
                <w:rFonts w:ascii="SimSun" w:eastAsia="SimSun" w:hAnsi="SimSun" w:cs="SimSun"/>
                <w:b/>
                <w:bCs/>
                <w:color w:val="000000" w:themeColor="text1"/>
              </w:rPr>
              <w:t>基线数据</w:t>
            </w:r>
          </w:p>
        </w:tc>
      </w:tr>
      <w:tr w:rsidR="00181698" w14:paraId="38DF9DF2" w14:textId="77777777" w:rsidTr="025790DD">
        <w:trPr>
          <w:trHeight w:val="300"/>
        </w:trPr>
        <w:tc>
          <w:tcPr>
            <w:tcW w:w="1785" w:type="dxa"/>
            <w:vAlign w:val="center"/>
          </w:tcPr>
          <w:p w14:paraId="570EC9C6" w14:textId="568F5CDB" w:rsidR="025790DD" w:rsidRDefault="00904EC0" w:rsidP="025790DD">
            <w:pPr>
              <w:spacing w:before="60" w:after="60"/>
              <w:jc w:val="center"/>
              <w:rPr>
                <w:rFonts w:ascii="Calibri" w:eastAsia="Calibri" w:hAnsi="Calibri" w:cs="Calibri"/>
                <w:color w:val="000000" w:themeColor="text1"/>
              </w:rPr>
            </w:pPr>
            <w:r w:rsidRPr="025790DD">
              <w:rPr>
                <w:rFonts w:ascii="SimSun" w:eastAsia="SimSun" w:hAnsi="SimSun" w:cs="SimSun"/>
                <w:color w:val="000000" w:themeColor="text1"/>
              </w:rPr>
              <w:t>2016</w:t>
            </w:r>
          </w:p>
        </w:tc>
        <w:tc>
          <w:tcPr>
            <w:tcW w:w="1785" w:type="dxa"/>
            <w:vAlign w:val="center"/>
          </w:tcPr>
          <w:p w14:paraId="4AA6F9AA" w14:textId="03E0B0EA" w:rsidR="025790DD" w:rsidRDefault="00904EC0" w:rsidP="025790DD">
            <w:pPr>
              <w:spacing w:before="60" w:after="60"/>
              <w:jc w:val="center"/>
              <w:rPr>
                <w:rFonts w:ascii="Calibri" w:eastAsia="Calibri" w:hAnsi="Calibri" w:cs="Calibri"/>
                <w:color w:val="000000" w:themeColor="text1"/>
              </w:rPr>
            </w:pPr>
            <w:r w:rsidRPr="025790DD">
              <w:rPr>
                <w:rFonts w:ascii="SimSun" w:eastAsia="SimSun" w:hAnsi="SimSun" w:cs="SimSun"/>
                <w:color w:val="000000" w:themeColor="text1"/>
              </w:rPr>
              <w:t>0.00%</w:t>
            </w:r>
          </w:p>
        </w:tc>
      </w:tr>
    </w:tbl>
    <w:p w14:paraId="14C3AB0C" w14:textId="5B9CAB27" w:rsidR="025790DD" w:rsidRDefault="025790DD" w:rsidP="025790DD">
      <w:pPr>
        <w:spacing w:before="60" w:after="60" w:line="240" w:lineRule="auto"/>
        <w:rPr>
          <w:rFonts w:ascii="Calibri" w:eastAsia="Calibri" w:hAnsi="Calibri" w:cs="Calibri"/>
          <w:color w:val="000000" w:themeColor="text1"/>
        </w:rPr>
      </w:pPr>
    </w:p>
    <w:p w14:paraId="2FC2DD05" w14:textId="6FD95E12" w:rsidR="025790DD" w:rsidRDefault="00904EC0" w:rsidP="025790DD">
      <w:pPr>
        <w:spacing w:before="60" w:after="60" w:line="240" w:lineRule="auto"/>
        <w:rPr>
          <w:rFonts w:ascii="Calibri" w:eastAsia="Calibri" w:hAnsi="Calibri" w:cs="Calibri"/>
          <w:color w:val="000000" w:themeColor="text1"/>
        </w:rPr>
      </w:pPr>
      <w:r w:rsidRPr="025790DD">
        <w:rPr>
          <w:rFonts w:ascii="SimSun" w:eastAsia="SimSun" w:hAnsi="SimSun" w:cs="SimSun"/>
          <w:color w:val="000000" w:themeColor="text1"/>
        </w:rPr>
        <w:t>历史数据</w:t>
      </w:r>
    </w:p>
    <w:tbl>
      <w:tblPr>
        <w:tblW w:w="0" w:type="auto"/>
        <w:tblLayout w:type="fixed"/>
        <w:tblLook w:val="0000" w:firstRow="0" w:lastRow="0" w:firstColumn="0" w:lastColumn="0" w:noHBand="0" w:noVBand="0"/>
      </w:tblPr>
      <w:tblGrid>
        <w:gridCol w:w="1558"/>
        <w:gridCol w:w="1558"/>
        <w:gridCol w:w="1558"/>
        <w:gridCol w:w="1558"/>
        <w:gridCol w:w="1558"/>
        <w:gridCol w:w="1571"/>
      </w:tblGrid>
      <w:tr w:rsidR="00181698" w14:paraId="605B6772" w14:textId="77777777" w:rsidTr="025790DD">
        <w:trPr>
          <w:trHeight w:val="345"/>
        </w:trPr>
        <w:tc>
          <w:tcPr>
            <w:tcW w:w="1558" w:type="dxa"/>
            <w:tcBorders>
              <w:top w:val="single" w:sz="6" w:space="0" w:color="auto"/>
              <w:left w:val="single" w:sz="6" w:space="0" w:color="auto"/>
              <w:bottom w:val="single" w:sz="6" w:space="0" w:color="auto"/>
              <w:right w:val="single" w:sz="6" w:space="0" w:color="auto"/>
            </w:tcBorders>
          </w:tcPr>
          <w:p w14:paraId="6B3CEB8B" w14:textId="4A1AC882"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b/>
                <w:bCs/>
                <w:color w:val="000000" w:themeColor="text1"/>
              </w:rPr>
              <w:t>联邦财政年度（FFY）</w:t>
            </w:r>
          </w:p>
        </w:tc>
        <w:tc>
          <w:tcPr>
            <w:tcW w:w="1558" w:type="dxa"/>
            <w:tcBorders>
              <w:top w:val="single" w:sz="6" w:space="0" w:color="auto"/>
              <w:left w:val="single" w:sz="6" w:space="0" w:color="auto"/>
              <w:bottom w:val="single" w:sz="6" w:space="0" w:color="auto"/>
              <w:right w:val="single" w:sz="6" w:space="0" w:color="auto"/>
            </w:tcBorders>
          </w:tcPr>
          <w:p w14:paraId="4B66D3B7" w14:textId="47BA1B55"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b/>
                <w:bCs/>
                <w:color w:val="000000" w:themeColor="text1"/>
              </w:rPr>
              <w:t>2014</w:t>
            </w:r>
          </w:p>
        </w:tc>
        <w:tc>
          <w:tcPr>
            <w:tcW w:w="1558" w:type="dxa"/>
            <w:tcBorders>
              <w:top w:val="single" w:sz="6" w:space="0" w:color="auto"/>
              <w:left w:val="single" w:sz="6" w:space="0" w:color="auto"/>
              <w:bottom w:val="single" w:sz="6" w:space="0" w:color="auto"/>
              <w:right w:val="single" w:sz="6" w:space="0" w:color="auto"/>
            </w:tcBorders>
          </w:tcPr>
          <w:p w14:paraId="5587669E" w14:textId="05C4D446"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b/>
                <w:bCs/>
                <w:color w:val="000000" w:themeColor="text1"/>
              </w:rPr>
              <w:t>2015</w:t>
            </w:r>
          </w:p>
        </w:tc>
        <w:tc>
          <w:tcPr>
            <w:tcW w:w="1558" w:type="dxa"/>
            <w:tcBorders>
              <w:top w:val="single" w:sz="6" w:space="0" w:color="auto"/>
              <w:left w:val="single" w:sz="6" w:space="0" w:color="auto"/>
              <w:bottom w:val="single" w:sz="6" w:space="0" w:color="auto"/>
              <w:right w:val="single" w:sz="6" w:space="0" w:color="auto"/>
            </w:tcBorders>
            <w:vAlign w:val="center"/>
          </w:tcPr>
          <w:p w14:paraId="77820A47" w14:textId="194D9070"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b/>
                <w:bCs/>
                <w:color w:val="000000" w:themeColor="text1"/>
              </w:rPr>
              <w:t>2016</w:t>
            </w:r>
          </w:p>
        </w:tc>
        <w:tc>
          <w:tcPr>
            <w:tcW w:w="1558" w:type="dxa"/>
            <w:tcBorders>
              <w:top w:val="single" w:sz="6" w:space="0" w:color="auto"/>
              <w:left w:val="single" w:sz="6" w:space="0" w:color="auto"/>
              <w:bottom w:val="single" w:sz="6" w:space="0" w:color="auto"/>
              <w:right w:val="single" w:sz="6" w:space="0" w:color="auto"/>
            </w:tcBorders>
            <w:vAlign w:val="center"/>
          </w:tcPr>
          <w:p w14:paraId="653794FE" w14:textId="639A329D"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b/>
                <w:bCs/>
                <w:color w:val="000000" w:themeColor="text1"/>
              </w:rPr>
              <w:t>2017</w:t>
            </w:r>
          </w:p>
        </w:tc>
        <w:tc>
          <w:tcPr>
            <w:tcW w:w="1571" w:type="dxa"/>
            <w:tcBorders>
              <w:top w:val="single" w:sz="6" w:space="0" w:color="auto"/>
              <w:left w:val="single" w:sz="6" w:space="0" w:color="auto"/>
              <w:bottom w:val="single" w:sz="6" w:space="0" w:color="auto"/>
              <w:right w:val="single" w:sz="6" w:space="0" w:color="auto"/>
            </w:tcBorders>
            <w:vAlign w:val="center"/>
          </w:tcPr>
          <w:p w14:paraId="0D353E47" w14:textId="6309ACF7"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b/>
                <w:bCs/>
                <w:color w:val="000000" w:themeColor="text1"/>
              </w:rPr>
              <w:t>2018</w:t>
            </w:r>
          </w:p>
        </w:tc>
      </w:tr>
      <w:tr w:rsidR="00181698" w14:paraId="4C68AB1D" w14:textId="77777777" w:rsidTr="025790DD">
        <w:trPr>
          <w:trHeight w:val="345"/>
        </w:trPr>
        <w:tc>
          <w:tcPr>
            <w:tcW w:w="1558" w:type="dxa"/>
            <w:tcBorders>
              <w:top w:val="single" w:sz="6" w:space="0" w:color="auto"/>
              <w:left w:val="single" w:sz="6" w:space="0" w:color="auto"/>
              <w:bottom w:val="single" w:sz="6" w:space="0" w:color="auto"/>
              <w:right w:val="single" w:sz="6" w:space="0" w:color="auto"/>
            </w:tcBorders>
          </w:tcPr>
          <w:p w14:paraId="13477ED7" w14:textId="65DDB05F" w:rsidR="025790DD" w:rsidRDefault="00904EC0" w:rsidP="025790DD">
            <w:pPr>
              <w:spacing w:before="60" w:after="60" w:line="240" w:lineRule="auto"/>
              <w:rPr>
                <w:rFonts w:ascii="Calibri" w:eastAsia="Calibri" w:hAnsi="Calibri" w:cs="Calibri"/>
                <w:color w:val="000000" w:themeColor="text1"/>
              </w:rPr>
            </w:pPr>
            <w:r w:rsidRPr="025790DD">
              <w:rPr>
                <w:rFonts w:ascii="SimSun" w:eastAsia="SimSun" w:hAnsi="SimSun" w:cs="SimSun"/>
                <w:color w:val="000000" w:themeColor="text1"/>
              </w:rPr>
              <w:t>目标</w:t>
            </w:r>
          </w:p>
        </w:tc>
        <w:tc>
          <w:tcPr>
            <w:tcW w:w="1558" w:type="dxa"/>
            <w:tcBorders>
              <w:top w:val="single" w:sz="6" w:space="0" w:color="auto"/>
              <w:left w:val="single" w:sz="6" w:space="0" w:color="auto"/>
              <w:bottom w:val="single" w:sz="6" w:space="0" w:color="auto"/>
              <w:right w:val="single" w:sz="6" w:space="0" w:color="auto"/>
            </w:tcBorders>
          </w:tcPr>
          <w:p w14:paraId="1FFB8CC0" w14:textId="1567EE79"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700FE83F" w14:textId="2ADBB82E"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7E29F37D" w14:textId="7CE031B2"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05B05585" w14:textId="1AEC2051"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w:t>
            </w:r>
          </w:p>
        </w:tc>
        <w:tc>
          <w:tcPr>
            <w:tcW w:w="1571" w:type="dxa"/>
            <w:tcBorders>
              <w:top w:val="single" w:sz="6" w:space="0" w:color="auto"/>
              <w:left w:val="single" w:sz="6" w:space="0" w:color="auto"/>
              <w:bottom w:val="single" w:sz="6" w:space="0" w:color="auto"/>
              <w:right w:val="single" w:sz="6" w:space="0" w:color="auto"/>
            </w:tcBorders>
          </w:tcPr>
          <w:p w14:paraId="166DBACF" w14:textId="5FDED409"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w:t>
            </w:r>
          </w:p>
        </w:tc>
      </w:tr>
      <w:tr w:rsidR="00181698" w14:paraId="4990C00E" w14:textId="77777777" w:rsidTr="025790DD">
        <w:trPr>
          <w:trHeight w:val="75"/>
        </w:trPr>
        <w:tc>
          <w:tcPr>
            <w:tcW w:w="1558" w:type="dxa"/>
            <w:tcBorders>
              <w:top w:val="single" w:sz="6" w:space="0" w:color="auto"/>
              <w:left w:val="single" w:sz="6" w:space="0" w:color="auto"/>
              <w:bottom w:val="single" w:sz="6" w:space="0" w:color="auto"/>
              <w:right w:val="single" w:sz="6" w:space="0" w:color="auto"/>
            </w:tcBorders>
          </w:tcPr>
          <w:p w14:paraId="1375644D" w14:textId="65EBA3AE" w:rsidR="025790DD" w:rsidRDefault="00904EC0" w:rsidP="025790DD">
            <w:pPr>
              <w:spacing w:before="60" w:after="60" w:line="240" w:lineRule="auto"/>
              <w:rPr>
                <w:rFonts w:ascii="Calibri" w:eastAsia="Calibri" w:hAnsi="Calibri" w:cs="Calibri"/>
                <w:color w:val="000000" w:themeColor="text1"/>
              </w:rPr>
            </w:pPr>
            <w:r w:rsidRPr="025790DD">
              <w:rPr>
                <w:rFonts w:ascii="SimSun" w:eastAsia="SimSun" w:hAnsi="SimSun" w:cs="SimSun"/>
                <w:color w:val="000000" w:themeColor="text1"/>
              </w:rPr>
              <w:t>数据</w:t>
            </w:r>
          </w:p>
        </w:tc>
        <w:tc>
          <w:tcPr>
            <w:tcW w:w="1558" w:type="dxa"/>
            <w:tcBorders>
              <w:top w:val="single" w:sz="6" w:space="0" w:color="auto"/>
              <w:left w:val="single" w:sz="6" w:space="0" w:color="auto"/>
              <w:bottom w:val="single" w:sz="6" w:space="0" w:color="auto"/>
              <w:right w:val="single" w:sz="6" w:space="0" w:color="auto"/>
            </w:tcBorders>
          </w:tcPr>
          <w:p w14:paraId="77AAD7AB" w14:textId="0C6115C0"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tcPr>
          <w:p w14:paraId="7D6EE415" w14:textId="5738EF7A"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32D2C685" w14:textId="4BD3E66A"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7BCB5E3D" w14:textId="3BF940C6"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0.00%</w:t>
            </w:r>
          </w:p>
        </w:tc>
        <w:tc>
          <w:tcPr>
            <w:tcW w:w="1571" w:type="dxa"/>
            <w:tcBorders>
              <w:top w:val="single" w:sz="6" w:space="0" w:color="auto"/>
              <w:left w:val="single" w:sz="6" w:space="0" w:color="auto"/>
              <w:bottom w:val="single" w:sz="6" w:space="0" w:color="auto"/>
              <w:right w:val="single" w:sz="6" w:space="0" w:color="auto"/>
            </w:tcBorders>
            <w:vAlign w:val="center"/>
          </w:tcPr>
          <w:p w14:paraId="2A0E6A28" w14:textId="57AD4507" w:rsidR="025790DD" w:rsidRDefault="00904EC0" w:rsidP="025790DD">
            <w:pPr>
              <w:spacing w:before="60" w:after="60" w:line="240" w:lineRule="auto"/>
              <w:jc w:val="center"/>
              <w:rPr>
                <w:rFonts w:ascii="Calibri" w:eastAsia="Calibri" w:hAnsi="Calibri" w:cs="Calibri"/>
                <w:color w:val="000000" w:themeColor="text1"/>
              </w:rPr>
            </w:pPr>
            <w:r w:rsidRPr="025790DD">
              <w:rPr>
                <w:rFonts w:ascii="SimSun" w:eastAsia="SimSun" w:hAnsi="SimSun" w:cs="SimSun"/>
                <w:color w:val="000000" w:themeColor="text1"/>
              </w:rPr>
              <w:t>0.00%</w:t>
            </w:r>
          </w:p>
        </w:tc>
      </w:tr>
    </w:tbl>
    <w:p w14:paraId="78B6E185" w14:textId="787BE358" w:rsidR="025790DD" w:rsidRDefault="025790DD" w:rsidP="025790DD">
      <w:pPr>
        <w:spacing w:after="0" w:line="240" w:lineRule="auto"/>
        <w:rPr>
          <w:b/>
          <w:bCs/>
          <w:color w:val="000000" w:themeColor="text1"/>
          <w:sz w:val="24"/>
          <w:szCs w:val="24"/>
        </w:rPr>
      </w:pPr>
    </w:p>
    <w:p w14:paraId="115626C5" w14:textId="0DB496C0" w:rsidR="025790DD" w:rsidRDefault="00904EC0" w:rsidP="025790DD">
      <w:pPr>
        <w:spacing w:after="0" w:line="240" w:lineRule="auto"/>
        <w:rPr>
          <w:color w:val="000000" w:themeColor="text1"/>
          <w:sz w:val="24"/>
          <w:szCs w:val="24"/>
        </w:rPr>
      </w:pPr>
      <w:r w:rsidRPr="3BD34A9C">
        <w:rPr>
          <w:rFonts w:ascii="SimSun" w:eastAsia="SimSun" w:hAnsi="SimSun" w:cs="SimSun"/>
          <w:color w:val="000000" w:themeColor="text1"/>
        </w:rPr>
        <w:t>19联邦财政年度（FFY19 ）</w:t>
      </w:r>
    </w:p>
    <w:tbl>
      <w:tblPr>
        <w:tblW w:w="0" w:type="auto"/>
        <w:tblLayout w:type="fixed"/>
        <w:tblLook w:val="0000" w:firstRow="0" w:lastRow="0" w:firstColumn="0" w:lastColumn="0" w:noHBand="0" w:noVBand="0"/>
      </w:tblPr>
      <w:tblGrid>
        <w:gridCol w:w="1294"/>
        <w:gridCol w:w="1294"/>
        <w:gridCol w:w="1490"/>
        <w:gridCol w:w="928"/>
        <w:gridCol w:w="1425"/>
        <w:gridCol w:w="824"/>
      </w:tblGrid>
      <w:tr w:rsidR="00181698" w14:paraId="0D0D262A" w14:textId="77777777" w:rsidTr="3BD34A9C">
        <w:trPr>
          <w:trHeight w:val="345"/>
        </w:trPr>
        <w:tc>
          <w:tcPr>
            <w:tcW w:w="1294" w:type="dxa"/>
            <w:tcBorders>
              <w:top w:val="single" w:sz="6" w:space="0" w:color="auto"/>
              <w:left w:val="single" w:sz="6" w:space="0" w:color="auto"/>
              <w:bottom w:val="single" w:sz="6" w:space="0" w:color="auto"/>
              <w:right w:val="single" w:sz="6" w:space="0" w:color="auto"/>
            </w:tcBorders>
            <w:vAlign w:val="bottom"/>
          </w:tcPr>
          <w:p w14:paraId="715BA132" w14:textId="202428C4" w:rsidR="3BD34A9C" w:rsidRDefault="00904EC0" w:rsidP="3BD34A9C">
            <w:pPr>
              <w:spacing w:before="60" w:after="60" w:line="240" w:lineRule="auto"/>
              <w:jc w:val="center"/>
              <w:rPr>
                <w:rFonts w:eastAsiaTheme="minorEastAsia"/>
                <w:color w:val="000000" w:themeColor="text1"/>
                <w:sz w:val="16"/>
                <w:szCs w:val="16"/>
              </w:rPr>
            </w:pPr>
            <w:r w:rsidRPr="3BD34A9C">
              <w:rPr>
                <w:rFonts w:ascii="SimSun" w:eastAsia="SimSun" w:hAnsi="SimSun" w:cs="SimSun"/>
                <w:b/>
                <w:bCs/>
                <w:color w:val="000000" w:themeColor="text1"/>
                <w:sz w:val="16"/>
                <w:szCs w:val="16"/>
              </w:rPr>
              <w:t>特定的残疾类别的种族和民族不成比例的学区数量</w:t>
            </w:r>
          </w:p>
        </w:tc>
        <w:tc>
          <w:tcPr>
            <w:tcW w:w="1294" w:type="dxa"/>
            <w:tcBorders>
              <w:top w:val="single" w:sz="6" w:space="0" w:color="auto"/>
              <w:left w:val="single" w:sz="6" w:space="0" w:color="auto"/>
              <w:bottom w:val="single" w:sz="6" w:space="0" w:color="auto"/>
              <w:right w:val="single" w:sz="6" w:space="0" w:color="auto"/>
            </w:tcBorders>
            <w:vAlign w:val="bottom"/>
          </w:tcPr>
          <w:p w14:paraId="734F806B" w14:textId="7A827E57" w:rsidR="3BD34A9C" w:rsidRDefault="00904EC0" w:rsidP="3BD34A9C">
            <w:pPr>
              <w:spacing w:before="60" w:after="60" w:line="240" w:lineRule="auto"/>
              <w:jc w:val="center"/>
              <w:rPr>
                <w:rFonts w:eastAsiaTheme="minorEastAsia"/>
                <w:color w:val="000000" w:themeColor="text1"/>
                <w:sz w:val="16"/>
                <w:szCs w:val="16"/>
              </w:rPr>
            </w:pPr>
            <w:r w:rsidRPr="3BD34A9C">
              <w:rPr>
                <w:rFonts w:ascii="SimSun" w:eastAsia="SimSun" w:hAnsi="SimSun" w:cs="SimSun"/>
                <w:b/>
                <w:bCs/>
                <w:color w:val="000000" w:themeColor="text1"/>
                <w:sz w:val="16"/>
                <w:szCs w:val="16"/>
              </w:rPr>
              <w:t>由于鉴定不当造成的特殊残疾类别的种族和民族不成比例的学区数量</w:t>
            </w:r>
          </w:p>
        </w:tc>
        <w:tc>
          <w:tcPr>
            <w:tcW w:w="1490" w:type="dxa"/>
            <w:tcBorders>
              <w:top w:val="single" w:sz="6" w:space="0" w:color="auto"/>
              <w:left w:val="single" w:sz="6" w:space="0" w:color="auto"/>
              <w:bottom w:val="single" w:sz="6" w:space="0" w:color="auto"/>
              <w:right w:val="single" w:sz="6" w:space="0" w:color="auto"/>
            </w:tcBorders>
            <w:vAlign w:val="bottom"/>
          </w:tcPr>
          <w:p w14:paraId="694EC5C9" w14:textId="13114075" w:rsidR="3BD34A9C" w:rsidRDefault="00904EC0" w:rsidP="3BD34A9C">
            <w:pPr>
              <w:spacing w:before="60" w:after="60" w:line="240" w:lineRule="auto"/>
              <w:jc w:val="center"/>
              <w:rPr>
                <w:rFonts w:eastAsiaTheme="minorEastAsia"/>
                <w:color w:val="000000" w:themeColor="text1"/>
                <w:sz w:val="16"/>
                <w:szCs w:val="16"/>
              </w:rPr>
            </w:pPr>
            <w:r w:rsidRPr="3BD34A9C">
              <w:rPr>
                <w:rFonts w:ascii="SimSun" w:eastAsia="SimSun" w:hAnsi="SimSun" w:cs="SimSun"/>
                <w:b/>
                <w:bCs/>
                <w:color w:val="000000" w:themeColor="text1"/>
                <w:sz w:val="16"/>
                <w:szCs w:val="16"/>
              </w:rPr>
              <w:t>满足州最小n-规模要求的学区数量</w:t>
            </w:r>
          </w:p>
        </w:tc>
        <w:tc>
          <w:tcPr>
            <w:tcW w:w="928" w:type="dxa"/>
            <w:tcBorders>
              <w:top w:val="single" w:sz="6" w:space="0" w:color="auto"/>
              <w:left w:val="single" w:sz="6" w:space="0" w:color="auto"/>
              <w:bottom w:val="single" w:sz="6" w:space="0" w:color="auto"/>
              <w:right w:val="single" w:sz="6" w:space="0" w:color="auto"/>
            </w:tcBorders>
            <w:vAlign w:val="bottom"/>
          </w:tcPr>
          <w:p w14:paraId="292E6412" w14:textId="0E32DA40" w:rsidR="3BD34A9C" w:rsidRDefault="00904EC0" w:rsidP="3BD34A9C">
            <w:pPr>
              <w:spacing w:before="60" w:after="60" w:line="240" w:lineRule="auto"/>
              <w:jc w:val="center"/>
              <w:rPr>
                <w:rFonts w:eastAsiaTheme="minorEastAsia"/>
                <w:color w:val="000000" w:themeColor="text1"/>
                <w:sz w:val="16"/>
                <w:szCs w:val="16"/>
              </w:rPr>
            </w:pPr>
            <w:r w:rsidRPr="3BD34A9C">
              <w:rPr>
                <w:rFonts w:ascii="SimSun" w:eastAsia="SimSun" w:hAnsi="SimSun" w:cs="SimSun"/>
                <w:b/>
                <w:bCs/>
                <w:color w:val="000000" w:themeColor="text1"/>
                <w:sz w:val="16"/>
                <w:szCs w:val="16"/>
              </w:rPr>
              <w:t>2018联邦财政年度（FFY）数据</w:t>
            </w:r>
          </w:p>
        </w:tc>
        <w:tc>
          <w:tcPr>
            <w:tcW w:w="1425" w:type="dxa"/>
            <w:tcBorders>
              <w:top w:val="single" w:sz="6" w:space="0" w:color="auto"/>
              <w:left w:val="single" w:sz="6" w:space="0" w:color="auto"/>
              <w:bottom w:val="single" w:sz="6" w:space="0" w:color="auto"/>
              <w:right w:val="single" w:sz="6" w:space="0" w:color="auto"/>
            </w:tcBorders>
            <w:vAlign w:val="bottom"/>
          </w:tcPr>
          <w:p w14:paraId="2C77A4E0" w14:textId="00FE6FE9" w:rsidR="3BD34A9C" w:rsidRDefault="00904EC0" w:rsidP="3BD34A9C">
            <w:pPr>
              <w:spacing w:before="60" w:after="60" w:line="240" w:lineRule="auto"/>
              <w:jc w:val="center"/>
              <w:rPr>
                <w:rFonts w:eastAsiaTheme="minorEastAsia"/>
                <w:color w:val="000000" w:themeColor="text1"/>
                <w:sz w:val="16"/>
                <w:szCs w:val="16"/>
              </w:rPr>
            </w:pPr>
            <w:r w:rsidRPr="3BD34A9C">
              <w:rPr>
                <w:rFonts w:ascii="SimSun" w:eastAsia="SimSun" w:hAnsi="SimSun" w:cs="SimSun"/>
                <w:b/>
                <w:bCs/>
                <w:color w:val="000000" w:themeColor="text1"/>
                <w:sz w:val="16"/>
                <w:szCs w:val="16"/>
              </w:rPr>
              <w:t>2019 联邦财政年度（FFY）目标</w:t>
            </w:r>
          </w:p>
        </w:tc>
        <w:tc>
          <w:tcPr>
            <w:tcW w:w="824" w:type="dxa"/>
            <w:tcBorders>
              <w:top w:val="single" w:sz="6" w:space="0" w:color="auto"/>
              <w:left w:val="single" w:sz="6" w:space="0" w:color="auto"/>
              <w:bottom w:val="single" w:sz="6" w:space="0" w:color="auto"/>
              <w:right w:val="single" w:sz="6" w:space="0" w:color="auto"/>
            </w:tcBorders>
            <w:vAlign w:val="bottom"/>
          </w:tcPr>
          <w:p w14:paraId="6B89994D" w14:textId="3392E116" w:rsidR="3BD34A9C" w:rsidRDefault="00904EC0" w:rsidP="3BD34A9C">
            <w:pPr>
              <w:spacing w:before="60" w:after="60" w:line="240" w:lineRule="auto"/>
              <w:jc w:val="center"/>
              <w:rPr>
                <w:rFonts w:eastAsiaTheme="minorEastAsia"/>
                <w:color w:val="000000" w:themeColor="text1"/>
                <w:sz w:val="16"/>
                <w:szCs w:val="16"/>
              </w:rPr>
            </w:pPr>
            <w:r w:rsidRPr="3BD34A9C">
              <w:rPr>
                <w:rFonts w:ascii="SimSun" w:eastAsia="SimSun" w:hAnsi="SimSun" w:cs="SimSun"/>
                <w:b/>
                <w:bCs/>
                <w:color w:val="000000" w:themeColor="text1"/>
                <w:sz w:val="16"/>
                <w:szCs w:val="16"/>
              </w:rPr>
              <w:t>2019联邦财政年度（FFY）数据</w:t>
            </w:r>
          </w:p>
        </w:tc>
      </w:tr>
      <w:tr w:rsidR="00181698" w14:paraId="3CE162F5" w14:textId="77777777" w:rsidTr="3BD34A9C">
        <w:trPr>
          <w:trHeight w:val="360"/>
        </w:trPr>
        <w:tc>
          <w:tcPr>
            <w:tcW w:w="1294" w:type="dxa"/>
            <w:tcBorders>
              <w:top w:val="single" w:sz="6" w:space="0" w:color="auto"/>
              <w:left w:val="single" w:sz="6" w:space="0" w:color="auto"/>
              <w:bottom w:val="single" w:sz="6" w:space="0" w:color="auto"/>
              <w:right w:val="single" w:sz="6" w:space="0" w:color="auto"/>
            </w:tcBorders>
            <w:vAlign w:val="center"/>
          </w:tcPr>
          <w:p w14:paraId="228BC94B" w14:textId="73DA7CCD" w:rsidR="3BD34A9C" w:rsidRDefault="00904EC0" w:rsidP="3BD34A9C">
            <w:pPr>
              <w:spacing w:before="60" w:after="60" w:line="240" w:lineRule="auto"/>
              <w:jc w:val="center"/>
              <w:rPr>
                <w:rFonts w:eastAsiaTheme="minorEastAsia"/>
                <w:color w:val="000000" w:themeColor="text1"/>
              </w:rPr>
            </w:pPr>
            <w:r w:rsidRPr="3BD34A9C">
              <w:rPr>
                <w:rFonts w:ascii="SimSun" w:eastAsia="SimSun" w:hAnsi="SimSun" w:cs="SimSun"/>
                <w:color w:val="000000" w:themeColor="text1"/>
              </w:rPr>
              <w:t>8</w:t>
            </w:r>
          </w:p>
        </w:tc>
        <w:tc>
          <w:tcPr>
            <w:tcW w:w="1294" w:type="dxa"/>
            <w:tcBorders>
              <w:top w:val="single" w:sz="6" w:space="0" w:color="auto"/>
              <w:left w:val="single" w:sz="6" w:space="0" w:color="auto"/>
              <w:bottom w:val="single" w:sz="6" w:space="0" w:color="auto"/>
              <w:right w:val="single" w:sz="6" w:space="0" w:color="auto"/>
            </w:tcBorders>
            <w:vAlign w:val="center"/>
          </w:tcPr>
          <w:p w14:paraId="04728E9B" w14:textId="2F2D2169" w:rsidR="3BD34A9C" w:rsidRDefault="00904EC0" w:rsidP="3BD34A9C">
            <w:pPr>
              <w:spacing w:before="60" w:after="60" w:line="240" w:lineRule="auto"/>
              <w:jc w:val="center"/>
              <w:rPr>
                <w:rFonts w:eastAsiaTheme="minorEastAsia"/>
                <w:color w:val="000000" w:themeColor="text1"/>
              </w:rPr>
            </w:pPr>
            <w:r w:rsidRPr="3BD34A9C">
              <w:rPr>
                <w:rFonts w:ascii="SimSun" w:eastAsia="SimSun" w:hAnsi="SimSun" w:cs="SimSun"/>
                <w:color w:val="000000" w:themeColor="text1"/>
              </w:rPr>
              <w:t>0</w:t>
            </w:r>
          </w:p>
        </w:tc>
        <w:tc>
          <w:tcPr>
            <w:tcW w:w="1490" w:type="dxa"/>
            <w:tcBorders>
              <w:top w:val="single" w:sz="6" w:space="0" w:color="auto"/>
              <w:left w:val="single" w:sz="6" w:space="0" w:color="auto"/>
              <w:bottom w:val="single" w:sz="6" w:space="0" w:color="auto"/>
              <w:right w:val="single" w:sz="6" w:space="0" w:color="auto"/>
            </w:tcBorders>
          </w:tcPr>
          <w:p w14:paraId="4CE10792" w14:textId="7460630B" w:rsidR="3BD34A9C" w:rsidRDefault="00904EC0" w:rsidP="3BD34A9C">
            <w:pPr>
              <w:spacing w:before="60" w:after="60" w:line="240" w:lineRule="auto"/>
              <w:jc w:val="center"/>
              <w:rPr>
                <w:rFonts w:eastAsiaTheme="minorEastAsia"/>
                <w:color w:val="000000" w:themeColor="text1"/>
              </w:rPr>
            </w:pPr>
            <w:r w:rsidRPr="3BD34A9C">
              <w:rPr>
                <w:rFonts w:ascii="SimSun" w:eastAsia="SimSun" w:hAnsi="SimSun" w:cs="SimSun"/>
                <w:color w:val="000000" w:themeColor="text1"/>
              </w:rPr>
              <w:t>360</w:t>
            </w:r>
          </w:p>
        </w:tc>
        <w:tc>
          <w:tcPr>
            <w:tcW w:w="928" w:type="dxa"/>
            <w:tcBorders>
              <w:top w:val="single" w:sz="6" w:space="0" w:color="auto"/>
              <w:left w:val="single" w:sz="6" w:space="0" w:color="auto"/>
              <w:bottom w:val="single" w:sz="6" w:space="0" w:color="auto"/>
              <w:right w:val="single" w:sz="6" w:space="0" w:color="auto"/>
            </w:tcBorders>
          </w:tcPr>
          <w:p w14:paraId="13816390" w14:textId="08F009B8" w:rsidR="3BD34A9C" w:rsidRDefault="00904EC0" w:rsidP="3BD34A9C">
            <w:pPr>
              <w:spacing w:before="60" w:after="60" w:line="240" w:lineRule="auto"/>
              <w:jc w:val="center"/>
              <w:rPr>
                <w:rFonts w:eastAsiaTheme="minorEastAsia"/>
                <w:color w:val="000000" w:themeColor="text1"/>
              </w:rPr>
            </w:pPr>
            <w:r w:rsidRPr="3BD34A9C">
              <w:rPr>
                <w:rFonts w:ascii="SimSun" w:eastAsia="SimSun" w:hAnsi="SimSun" w:cs="SimSun"/>
                <w:color w:val="000000" w:themeColor="text1"/>
              </w:rPr>
              <w:t>0.00%</w:t>
            </w:r>
          </w:p>
        </w:tc>
        <w:tc>
          <w:tcPr>
            <w:tcW w:w="1425" w:type="dxa"/>
            <w:tcBorders>
              <w:top w:val="single" w:sz="6" w:space="0" w:color="auto"/>
              <w:left w:val="single" w:sz="6" w:space="0" w:color="auto"/>
              <w:bottom w:val="single" w:sz="6" w:space="0" w:color="auto"/>
              <w:right w:val="single" w:sz="6" w:space="0" w:color="auto"/>
            </w:tcBorders>
          </w:tcPr>
          <w:p w14:paraId="4FBCE0EE" w14:textId="1544A3C5" w:rsidR="3BD34A9C" w:rsidRDefault="00904EC0" w:rsidP="3BD34A9C">
            <w:pPr>
              <w:spacing w:before="60" w:after="60" w:line="240" w:lineRule="auto"/>
              <w:jc w:val="center"/>
              <w:rPr>
                <w:rFonts w:eastAsiaTheme="minorEastAsia"/>
                <w:color w:val="000000" w:themeColor="text1"/>
              </w:rPr>
            </w:pPr>
            <w:r w:rsidRPr="3BD34A9C">
              <w:rPr>
                <w:rFonts w:ascii="SimSun" w:eastAsia="SimSun" w:hAnsi="SimSun" w:cs="SimSun"/>
                <w:color w:val="000000" w:themeColor="text1"/>
              </w:rPr>
              <w:t>0%</w:t>
            </w:r>
          </w:p>
        </w:tc>
        <w:tc>
          <w:tcPr>
            <w:tcW w:w="824" w:type="dxa"/>
            <w:tcBorders>
              <w:top w:val="single" w:sz="6" w:space="0" w:color="auto"/>
              <w:left w:val="single" w:sz="6" w:space="0" w:color="auto"/>
              <w:bottom w:val="single" w:sz="6" w:space="0" w:color="auto"/>
              <w:right w:val="single" w:sz="6" w:space="0" w:color="auto"/>
            </w:tcBorders>
          </w:tcPr>
          <w:p w14:paraId="7E7D585A" w14:textId="189A06C6" w:rsidR="3BD34A9C" w:rsidRDefault="00904EC0" w:rsidP="3BD34A9C">
            <w:pPr>
              <w:spacing w:before="60" w:after="60" w:line="240" w:lineRule="auto"/>
              <w:jc w:val="center"/>
              <w:rPr>
                <w:rFonts w:eastAsiaTheme="minorEastAsia"/>
                <w:color w:val="000000" w:themeColor="text1"/>
              </w:rPr>
            </w:pPr>
            <w:r w:rsidRPr="3BD34A9C">
              <w:rPr>
                <w:rFonts w:ascii="SimSun" w:eastAsia="SimSun" w:hAnsi="SimSun" w:cs="SimSun"/>
                <w:color w:val="000000" w:themeColor="text1"/>
              </w:rPr>
              <w:t>0.00%</w:t>
            </w:r>
          </w:p>
        </w:tc>
      </w:tr>
    </w:tbl>
    <w:p w14:paraId="00EF2B8E" w14:textId="57A205AE" w:rsidR="025790DD" w:rsidRDefault="025790DD" w:rsidP="3BD34A9C">
      <w:pPr>
        <w:spacing w:after="0" w:line="240" w:lineRule="auto"/>
        <w:rPr>
          <w:color w:val="000000" w:themeColor="text1"/>
          <w:sz w:val="24"/>
          <w:szCs w:val="24"/>
        </w:rPr>
      </w:pPr>
    </w:p>
    <w:p w14:paraId="048210BC" w14:textId="50F36D88" w:rsidR="025790DD" w:rsidRDefault="025790DD" w:rsidP="025790DD">
      <w:pPr>
        <w:spacing w:after="0" w:line="240" w:lineRule="auto"/>
        <w:rPr>
          <w:rFonts w:ascii="Calibri" w:eastAsia="Calibri" w:hAnsi="Calibri" w:cs="Calibri"/>
        </w:rPr>
      </w:pPr>
    </w:p>
    <w:p w14:paraId="25BDDF56" w14:textId="77777777" w:rsidR="00EC0F5D" w:rsidRDefault="00EC0F5D" w:rsidP="025790DD">
      <w:pPr>
        <w:spacing w:after="0" w:line="240" w:lineRule="auto"/>
        <w:rPr>
          <w:rFonts w:ascii="Calibri" w:eastAsia="Calibri" w:hAnsi="Calibri" w:cs="Calibri"/>
        </w:rPr>
      </w:pPr>
    </w:p>
    <w:p w14:paraId="08A2AF18" w14:textId="23DC581A" w:rsidR="025790DD" w:rsidRDefault="00904EC0" w:rsidP="025790DD">
      <w:pPr>
        <w:spacing w:after="0" w:line="240" w:lineRule="auto"/>
        <w:rPr>
          <w:b/>
          <w:bCs/>
          <w:color w:val="000000" w:themeColor="text1"/>
          <w:sz w:val="24"/>
          <w:szCs w:val="24"/>
        </w:rPr>
      </w:pPr>
      <w:r w:rsidRPr="3BD34A9C">
        <w:rPr>
          <w:rFonts w:ascii="SimSun" w:eastAsia="SimSun" w:hAnsi="SimSun" w:cs="SimSun"/>
          <w:b/>
          <w:bCs/>
          <w:color w:val="000000" w:themeColor="text1"/>
          <w:sz w:val="24"/>
          <w:szCs w:val="24"/>
        </w:rPr>
        <w:t>如果一个学区的加权比或替代风险比不小于4.0，这表明什么？</w:t>
      </w:r>
    </w:p>
    <w:p w14:paraId="0DB9F57D" w14:textId="364C8D0F" w:rsidR="025790DD" w:rsidRDefault="00904EC0" w:rsidP="025790DD">
      <w:pPr>
        <w:spacing w:after="0" w:line="240" w:lineRule="auto"/>
        <w:rPr>
          <w:color w:val="000000" w:themeColor="text1"/>
        </w:rPr>
      </w:pPr>
      <w:r w:rsidRPr="3BD34A9C">
        <w:rPr>
          <w:rFonts w:ascii="SimSun" w:eastAsia="SimSun" w:hAnsi="SimSun" w:cs="SimSun"/>
          <w:color w:val="000000" w:themeColor="text1"/>
        </w:rPr>
        <w:t>这表明，一个特定种族或民族的学生被认定符合残疾类别的可能性似乎是基于该种族或民族总体发生率的预期的三倍。</w:t>
      </w:r>
    </w:p>
    <w:p w14:paraId="5EA7681E" w14:textId="5733F0E3" w:rsidR="025790DD" w:rsidRDefault="025790DD" w:rsidP="025790DD">
      <w:pPr>
        <w:spacing w:after="0" w:line="240" w:lineRule="auto"/>
        <w:rPr>
          <w:b/>
          <w:bCs/>
          <w:color w:val="000000" w:themeColor="text1"/>
          <w:sz w:val="24"/>
          <w:szCs w:val="24"/>
        </w:rPr>
      </w:pPr>
    </w:p>
    <w:p w14:paraId="7EAD145F" w14:textId="002DB36C" w:rsidR="00EC0F5D" w:rsidRDefault="00EC0F5D" w:rsidP="025790DD">
      <w:pPr>
        <w:spacing w:after="0" w:line="240" w:lineRule="auto"/>
        <w:rPr>
          <w:b/>
          <w:bCs/>
          <w:color w:val="000000" w:themeColor="text1"/>
          <w:sz w:val="24"/>
          <w:szCs w:val="24"/>
        </w:rPr>
      </w:pPr>
    </w:p>
    <w:p w14:paraId="7448ED27" w14:textId="77777777" w:rsidR="00EC0F5D" w:rsidRDefault="00EC0F5D" w:rsidP="025790DD">
      <w:pPr>
        <w:spacing w:after="0" w:line="240" w:lineRule="auto"/>
        <w:rPr>
          <w:b/>
          <w:bCs/>
          <w:color w:val="000000" w:themeColor="text1"/>
          <w:sz w:val="24"/>
          <w:szCs w:val="24"/>
        </w:rPr>
      </w:pPr>
    </w:p>
    <w:p w14:paraId="50250186" w14:textId="1DCCB1F8" w:rsidR="025790DD" w:rsidRDefault="00904EC0" w:rsidP="025790DD">
      <w:pPr>
        <w:spacing w:after="0" w:line="240" w:lineRule="auto"/>
        <w:rPr>
          <w:b/>
          <w:bCs/>
          <w:color w:val="000000" w:themeColor="text1"/>
          <w:sz w:val="24"/>
          <w:szCs w:val="24"/>
        </w:rPr>
      </w:pPr>
      <w:r w:rsidRPr="3BD34A9C">
        <w:rPr>
          <w:rFonts w:ascii="SimSun" w:eastAsia="SimSun" w:hAnsi="SimSun" w:cs="SimSun"/>
          <w:b/>
          <w:bCs/>
          <w:color w:val="000000" w:themeColor="text1"/>
          <w:sz w:val="24"/>
          <w:szCs w:val="24"/>
        </w:rPr>
        <w:lastRenderedPageBreak/>
        <w:t>加权风险比何时用于计算指标10?替代风险比何时用于计算指标10？</w:t>
      </w:r>
    </w:p>
    <w:p w14:paraId="3FB685D2" w14:textId="68F84F43" w:rsidR="025790DD" w:rsidRDefault="00904EC0" w:rsidP="025790DD">
      <w:pPr>
        <w:spacing w:after="0" w:line="240" w:lineRule="auto"/>
        <w:rPr>
          <w:rFonts w:ascii="Calibri" w:eastAsia="Calibri" w:hAnsi="Calibri" w:cs="Calibri"/>
        </w:rPr>
      </w:pPr>
      <w:r w:rsidRPr="3BD34A9C">
        <w:rPr>
          <w:rFonts w:ascii="SimSun" w:eastAsia="SimSun" w:hAnsi="SimSun" w:cs="SimSun"/>
        </w:rPr>
        <w:t>如果学区一个特定残疾类别相关的种族/民族中至少有10名学生，且对照组中至少有10名学生，则学区采用加权风险比方法（所有其他种族/民族的学生有资格接受整体特殊教育或者一个特定残疾类别的特殊教育）。</w:t>
      </w:r>
    </w:p>
    <w:p w14:paraId="6180DA00" w14:textId="4E697E30" w:rsidR="025790DD" w:rsidRDefault="025790DD" w:rsidP="025790DD">
      <w:pPr>
        <w:spacing w:after="0" w:line="240" w:lineRule="auto"/>
        <w:rPr>
          <w:rFonts w:ascii="Calibri" w:eastAsia="Calibri" w:hAnsi="Calibri" w:cs="Calibri"/>
        </w:rPr>
      </w:pPr>
    </w:p>
    <w:p w14:paraId="585A6180" w14:textId="613E728B" w:rsidR="025790DD" w:rsidRDefault="00904EC0" w:rsidP="025790DD">
      <w:pPr>
        <w:spacing w:after="0" w:line="240" w:lineRule="auto"/>
        <w:rPr>
          <w:rFonts w:ascii="Calibri" w:eastAsia="Calibri" w:hAnsi="Calibri" w:cs="Calibri"/>
        </w:rPr>
      </w:pPr>
      <w:r w:rsidRPr="3BD34A9C">
        <w:rPr>
          <w:rFonts w:ascii="SimSun" w:eastAsia="SimSun" w:hAnsi="SimSun" w:cs="SimSun"/>
        </w:rPr>
        <w:t>如果学区某一特定残疾类别相关的种族/民族中至少有10名学生，而对照组中学生少于10名，则学区采用替代风险比方法（所有其他种族/民族的学生有资格接受整体特殊教育或者一个特定残疾类别的特殊教育）。</w:t>
      </w:r>
    </w:p>
    <w:p w14:paraId="5BBC1764" w14:textId="49C60B22" w:rsidR="025790DD" w:rsidRDefault="025790DD" w:rsidP="025790DD">
      <w:pPr>
        <w:spacing w:after="0" w:line="240" w:lineRule="auto"/>
        <w:rPr>
          <w:b/>
          <w:bCs/>
          <w:color w:val="000000" w:themeColor="text1"/>
          <w:sz w:val="24"/>
          <w:szCs w:val="24"/>
        </w:rPr>
      </w:pPr>
    </w:p>
    <w:p w14:paraId="1E738649" w14:textId="29B3E4D3" w:rsidR="025790DD" w:rsidRDefault="00904EC0" w:rsidP="025790DD">
      <w:pPr>
        <w:spacing w:after="0" w:line="240" w:lineRule="auto"/>
        <w:rPr>
          <w:b/>
          <w:bCs/>
          <w:color w:val="000000" w:themeColor="text1"/>
          <w:sz w:val="24"/>
          <w:szCs w:val="24"/>
        </w:rPr>
      </w:pPr>
      <w:r w:rsidRPr="025790DD">
        <w:rPr>
          <w:rFonts w:ascii="SimSun" w:eastAsia="SimSun" w:hAnsi="SimSun" w:cs="SimSun"/>
          <w:b/>
          <w:bCs/>
          <w:color w:val="000000" w:themeColor="text1"/>
          <w:sz w:val="24"/>
          <w:szCs w:val="24"/>
        </w:rPr>
        <w:t>加权风险比和替代风险比的计算公式是什么?</w:t>
      </w:r>
    </w:p>
    <w:p w14:paraId="146C6E7F" w14:textId="0035C758" w:rsidR="025790DD" w:rsidRDefault="025790DD" w:rsidP="025790DD">
      <w:pPr>
        <w:spacing w:after="0" w:line="240" w:lineRule="auto"/>
        <w:rPr>
          <w:rFonts w:ascii="Calibri" w:eastAsia="Calibri" w:hAnsi="Calibri" w:cs="Calibri"/>
          <w:i/>
          <w:iCs/>
          <w:sz w:val="24"/>
          <w:szCs w:val="24"/>
        </w:rPr>
      </w:pPr>
    </w:p>
    <w:p w14:paraId="44ACA53F" w14:textId="0A56B264" w:rsidR="025790DD" w:rsidRDefault="00904EC0" w:rsidP="025790DD">
      <w:pPr>
        <w:spacing w:after="0" w:line="240" w:lineRule="auto"/>
        <w:rPr>
          <w:rFonts w:ascii="Calibri" w:eastAsia="Calibri" w:hAnsi="Calibri" w:cs="Calibri"/>
          <w:i/>
          <w:iCs/>
          <w:sz w:val="24"/>
          <w:szCs w:val="24"/>
        </w:rPr>
      </w:pPr>
      <w:r w:rsidRPr="025790DD">
        <w:rPr>
          <w:rFonts w:ascii="SimSun" w:eastAsia="SimSun" w:hAnsi="SimSun" w:cs="SimSun"/>
          <w:i/>
          <w:iCs/>
          <w:sz w:val="24"/>
          <w:szCs w:val="24"/>
        </w:rPr>
        <w:t>加权风险比</w:t>
      </w:r>
    </w:p>
    <w:p w14:paraId="406DACE2" w14:textId="7F58C9D4" w:rsidR="025790DD" w:rsidRDefault="00904EC0" w:rsidP="025790DD">
      <w:pPr>
        <w:spacing w:after="0" w:line="240" w:lineRule="auto"/>
        <w:rPr>
          <w:rFonts w:ascii="Calibri" w:eastAsia="Calibri" w:hAnsi="Calibri" w:cs="Calibri"/>
        </w:rPr>
      </w:pPr>
      <w:r w:rsidRPr="025790DD">
        <w:rPr>
          <w:rFonts w:ascii="SimSun" w:eastAsia="SimSun" w:hAnsi="SimSun" w:cs="SimSun"/>
        </w:rPr>
        <w:t>与该学区的所有其他种族/民族相比，</w:t>
      </w:r>
      <w:r w:rsidRPr="025790DD">
        <w:rPr>
          <w:rFonts w:ascii="SimSun" w:eastAsia="SimSun" w:hAnsi="SimSun" w:cs="SimSun"/>
          <w:u w:val="single"/>
        </w:rPr>
        <w:t>西班牙裔学生</w:t>
      </w:r>
      <w:r w:rsidRPr="025790DD">
        <w:rPr>
          <w:rFonts w:ascii="SimSun" w:eastAsia="SimSun" w:hAnsi="SimSun" w:cs="SimSun"/>
        </w:rPr>
        <w:t>认定为有资格接受特殊教育和</w:t>
      </w:r>
      <w:r w:rsidRPr="025790DD">
        <w:rPr>
          <w:rFonts w:ascii="SimSun" w:eastAsia="SimSun" w:hAnsi="SimSun" w:cs="SimSun"/>
          <w:u w:val="single"/>
        </w:rPr>
        <w:t>特殊学习障碍（SLD）</w:t>
      </w:r>
      <w:r w:rsidRPr="025790DD">
        <w:rPr>
          <w:rFonts w:ascii="SimSun" w:eastAsia="SimSun" w:hAnsi="SimSun" w:cs="SimSun"/>
        </w:rPr>
        <w:t>相关服务的风险比其他种族/民族高多少倍?</w:t>
      </w:r>
    </w:p>
    <w:p w14:paraId="0260EB97" w14:textId="282452DD"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[(1-州的西班牙裔学生+拉丁裔学生)*拉美裔SLD学生的学区风险]</w:t>
      </w:r>
    </w:p>
    <w:p w14:paraId="3CB27EF1" w14:textId="50981FD7"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÷（除以）</w:t>
      </w:r>
    </w:p>
    <w:p w14:paraId="04CB5C80" w14:textId="2078A9AC"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[(州非裔美国学生 * 非裔美国 SLD 学生的学区风险)</w:t>
      </w:r>
    </w:p>
    <w:p w14:paraId="79D3BB5D" w14:textId="4DDB4E2F"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0D3D0A5E" w14:textId="22F301B8"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（州的亚洲学生*亚洲SLD学生的学区风险）</w:t>
      </w:r>
    </w:p>
    <w:p w14:paraId="7DBA84DB" w14:textId="5652AC18"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109BC069" w14:textId="71A3B0EB"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（州美国本土学生* 美国本土SLD学生的学区风险）</w:t>
      </w:r>
    </w:p>
    <w:p w14:paraId="76DC4F34" w14:textId="4981C1B6"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52AC2A77" w14:textId="786D4993"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（州夏威夷本土学生*夏威夷本土SLD学生的学区风险）</w:t>
      </w:r>
    </w:p>
    <w:p w14:paraId="1B685395" w14:textId="546FC9F6"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742A5D6C" w14:textId="20C4C37E"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（州多民族学生*多民族SLD学生的学区风险）</w:t>
      </w:r>
    </w:p>
    <w:p w14:paraId="559427E3" w14:textId="30024F41"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1CFA7257" w14:textId="450A1210"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（州白人学生*SLD白人学生的学区风险）</w:t>
      </w:r>
    </w:p>
    <w:p w14:paraId="2EA6982C" w14:textId="58153179" w:rsidR="025790DD" w:rsidRDefault="025790DD" w:rsidP="025790DD">
      <w:pPr>
        <w:spacing w:after="0" w:line="240" w:lineRule="auto"/>
        <w:rPr>
          <w:b/>
          <w:bCs/>
          <w:color w:val="000000" w:themeColor="text1"/>
        </w:rPr>
      </w:pPr>
    </w:p>
    <w:p w14:paraId="3DC8B1B9" w14:textId="4B702EC0" w:rsidR="025790DD" w:rsidRDefault="00904EC0" w:rsidP="025790DD">
      <w:pPr>
        <w:spacing w:after="0" w:line="240" w:lineRule="auto"/>
        <w:rPr>
          <w:rFonts w:ascii="Calibri" w:eastAsia="Calibri" w:hAnsi="Calibri" w:cs="Calibri"/>
          <w:i/>
          <w:iCs/>
        </w:rPr>
      </w:pPr>
      <w:r w:rsidRPr="025790DD">
        <w:rPr>
          <w:rFonts w:ascii="SimSun" w:eastAsia="SimSun" w:hAnsi="SimSun" w:cs="SimSun"/>
          <w:i/>
          <w:iCs/>
        </w:rPr>
        <w:t>替代风险比</w:t>
      </w:r>
    </w:p>
    <w:p w14:paraId="435C20BC" w14:textId="766DA4B6" w:rsidR="025790DD" w:rsidRDefault="00904EC0" w:rsidP="025790DD">
      <w:pPr>
        <w:spacing w:after="0" w:line="240" w:lineRule="auto"/>
        <w:rPr>
          <w:rFonts w:ascii="Calibri" w:eastAsia="Calibri" w:hAnsi="Calibri" w:cs="Calibri"/>
        </w:rPr>
      </w:pPr>
      <w:r w:rsidRPr="025790DD">
        <w:rPr>
          <w:rFonts w:ascii="SimSun" w:eastAsia="SimSun" w:hAnsi="SimSun" w:cs="SimSun"/>
          <w:u w:val="single"/>
        </w:rPr>
        <w:t>与州所有其他种族/民族相比，西班牙裔学生和拉丁裔学生</w:t>
      </w:r>
      <w:r w:rsidRPr="025790DD">
        <w:rPr>
          <w:rFonts w:ascii="SimSun" w:eastAsia="SimSun" w:hAnsi="SimSun" w:cs="SimSun"/>
        </w:rPr>
        <w:t>认定为有资格接受特殊教育和</w:t>
      </w:r>
      <w:r w:rsidRPr="025790DD">
        <w:rPr>
          <w:rFonts w:ascii="SimSun" w:eastAsia="SimSun" w:hAnsi="SimSun" w:cs="SimSun"/>
          <w:u w:val="single"/>
        </w:rPr>
        <w:t>特殊学习障碍（SLD）</w:t>
      </w:r>
      <w:r w:rsidRPr="025790DD">
        <w:rPr>
          <w:rFonts w:ascii="SimSun" w:eastAsia="SimSun" w:hAnsi="SimSun" w:cs="SimSun"/>
        </w:rPr>
        <w:t>的相关服务的风险高多少倍?</w:t>
      </w:r>
    </w:p>
    <w:p w14:paraId="7176DB47" w14:textId="2F72327C" w:rsidR="025790DD" w:rsidRDefault="025790DD" w:rsidP="025790DD">
      <w:pPr>
        <w:spacing w:after="0" w:line="240" w:lineRule="auto"/>
        <w:jc w:val="center"/>
        <w:rPr>
          <w:rFonts w:ascii="Calibri" w:eastAsia="Calibri" w:hAnsi="Calibri" w:cs="Calibri"/>
        </w:rPr>
      </w:pPr>
    </w:p>
    <w:p w14:paraId="0832EA30" w14:textId="62B15E6C"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（西班牙裔学生和拉丁裔特定学习障碍学生的学区风险）</w:t>
      </w:r>
    </w:p>
    <w:p w14:paraId="7FEA5646" w14:textId="30349C15"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÷（除以） [（州非裔美国特定学习障碍学生的风险)</w:t>
      </w:r>
    </w:p>
    <w:p w14:paraId="60C420BC" w14:textId="5E4CB91C"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009326F2" w14:textId="336570CF"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（州的亚洲特定学习障碍学生的风险）</w:t>
      </w:r>
    </w:p>
    <w:p w14:paraId="49F0DACB" w14:textId="6CCAFD48"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62A515CC" w14:textId="4E464895"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（州美国本土特定学习障碍学生的风险）</w:t>
      </w:r>
    </w:p>
    <w:p w14:paraId="7EDA8534" w14:textId="05CDCF5F"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0F17A8DB" w14:textId="69C91ABD"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（州夏威夷本土特定学习障碍学生的风险）</w:t>
      </w:r>
    </w:p>
    <w:p w14:paraId="4B4D08FF" w14:textId="0F015490"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43106625" w14:textId="1E9A74EB"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（州多民族SLD学生的风险）</w:t>
      </w:r>
    </w:p>
    <w:p w14:paraId="2C18934F" w14:textId="1FCE3D38"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+（加）</w:t>
      </w:r>
    </w:p>
    <w:p w14:paraId="7C9DFB67" w14:textId="2867ECE6" w:rsidR="025790DD" w:rsidRDefault="00904EC0" w:rsidP="025790DD">
      <w:pPr>
        <w:spacing w:after="0" w:line="240" w:lineRule="auto"/>
        <w:jc w:val="center"/>
        <w:rPr>
          <w:rFonts w:ascii="Calibri" w:eastAsia="Calibri" w:hAnsi="Calibri" w:cs="Calibri"/>
        </w:rPr>
      </w:pPr>
      <w:r w:rsidRPr="025790DD">
        <w:rPr>
          <w:rFonts w:ascii="SimSun" w:eastAsia="SimSun" w:hAnsi="SimSun" w:cs="SimSun"/>
        </w:rPr>
        <w:t>（州特定学习障碍白人学生的风险）]</w:t>
      </w:r>
    </w:p>
    <w:p w14:paraId="4DF778F4" w14:textId="2A5D1D8C" w:rsidR="025790DD" w:rsidRDefault="025790DD" w:rsidP="025790DD">
      <w:pPr>
        <w:spacing w:after="0" w:line="240" w:lineRule="auto"/>
        <w:rPr>
          <w:b/>
          <w:bCs/>
          <w:color w:val="000000" w:themeColor="text1"/>
          <w:sz w:val="24"/>
          <w:szCs w:val="24"/>
        </w:rPr>
      </w:pPr>
    </w:p>
    <w:p w14:paraId="15698BBB" w14:textId="55D6B9A8" w:rsidR="025790DD" w:rsidRDefault="00904EC0" w:rsidP="025790DD">
      <w:pPr>
        <w:spacing w:after="0" w:line="240" w:lineRule="auto"/>
        <w:rPr>
          <w:rFonts w:ascii="Calibri" w:eastAsia="Calibri" w:hAnsi="Calibri" w:cs="Calibri"/>
          <w:b/>
          <w:bCs/>
          <w:sz w:val="24"/>
          <w:szCs w:val="24"/>
        </w:rPr>
      </w:pPr>
      <w:r w:rsidRPr="025790DD">
        <w:rPr>
          <w:rFonts w:ascii="SimSun" w:eastAsia="SimSun" w:hAnsi="SimSun" w:cs="SimSun"/>
          <w:b/>
          <w:bCs/>
          <w:sz w:val="24"/>
          <w:szCs w:val="24"/>
        </w:rPr>
        <w:lastRenderedPageBreak/>
        <w:t>如何解释加权风险比和替代风险比？</w:t>
      </w:r>
    </w:p>
    <w:p w14:paraId="0D851928" w14:textId="48C3B6F0" w:rsidR="025790DD" w:rsidRDefault="00904EC0" w:rsidP="3BD34A9C">
      <w:pPr>
        <w:spacing w:after="0" w:line="240" w:lineRule="auto"/>
        <w:rPr>
          <w:rFonts w:ascii="Calibri" w:eastAsia="Calibri" w:hAnsi="Calibri" w:cs="Calibri"/>
        </w:rPr>
      </w:pPr>
      <w:r w:rsidRPr="3BD34A9C">
        <w:rPr>
          <w:rFonts w:ascii="SimSun" w:eastAsia="SimSun" w:hAnsi="SimSun" w:cs="SimSun"/>
        </w:rPr>
        <w:t>当适用于一个学区内按残疾类别划分的资格（SPP指标10）时，加权风险比回答了以下问题：“与学区内其他种族/民族相比，一个特定种族/民族确定为有资格接受特殊教育及相关特定残疾类别的服务的风险高多少倍?”</w:t>
      </w:r>
    </w:p>
    <w:p w14:paraId="37373B66" w14:textId="5184AD07" w:rsidR="025790DD" w:rsidRDefault="025790DD" w:rsidP="3BD34A9C">
      <w:pPr>
        <w:spacing w:after="0" w:line="240" w:lineRule="auto"/>
        <w:rPr>
          <w:rFonts w:ascii="Calibri" w:eastAsia="Calibri" w:hAnsi="Calibri" w:cs="Calibri"/>
        </w:rPr>
      </w:pPr>
    </w:p>
    <w:p w14:paraId="23DF3A5A" w14:textId="6A91DC8A" w:rsidR="025790DD" w:rsidRDefault="00904EC0" w:rsidP="3BD34A9C">
      <w:pPr>
        <w:spacing w:after="0" w:line="240" w:lineRule="auto"/>
        <w:rPr>
          <w:rFonts w:ascii="Calibri" w:eastAsia="Calibri" w:hAnsi="Calibri" w:cs="Calibri"/>
        </w:rPr>
      </w:pPr>
      <w:r w:rsidRPr="3BD34A9C">
        <w:rPr>
          <w:rFonts w:ascii="SimSun" w:eastAsia="SimSun" w:hAnsi="SimSun" w:cs="SimSun"/>
        </w:rPr>
        <w:t>当应用于一个学区内按残疾类别划分的资格(SPP指标10)时，替代风险比回答了以下问题：“与州所有其他种族/民族相比，一个特定种族/民族认定为有资格接受特殊教育和特定残疾类别的相关服务的风险高多少倍？”</w:t>
      </w:r>
    </w:p>
    <w:p w14:paraId="56872673" w14:textId="61D103A0" w:rsidR="025790DD" w:rsidRDefault="025790DD" w:rsidP="3BD34A9C">
      <w:pPr>
        <w:spacing w:after="0" w:line="240" w:lineRule="auto"/>
        <w:rPr>
          <w:rFonts w:ascii="Calibri" w:eastAsia="Calibri" w:hAnsi="Calibri" w:cs="Calibri"/>
        </w:rPr>
      </w:pPr>
    </w:p>
    <w:p w14:paraId="0118D05E" w14:textId="195DF4FB" w:rsidR="025790DD" w:rsidRDefault="00904EC0" w:rsidP="3BD34A9C">
      <w:pPr>
        <w:spacing w:after="0" w:line="240" w:lineRule="auto"/>
        <w:rPr>
          <w:rFonts w:ascii="Calibri" w:eastAsia="Calibri" w:hAnsi="Calibri" w:cs="Calibri"/>
        </w:rPr>
      </w:pPr>
      <w:r w:rsidRPr="3BD34A9C">
        <w:rPr>
          <w:rFonts w:ascii="SimSun" w:eastAsia="SimSun" w:hAnsi="SimSun" w:cs="SimSun"/>
        </w:rPr>
        <w:t>在这两种情况下，风险比为1.0表明来自该种族/民族的学生与所有其他学生一样有可能认定为有资格接受特殊教育。风险比大于1.0表明种族/民族学生不成比例的程度。比如，智力障碍类别的非裔美国学生的风险比为4.17，这表明该学区的非裔美国学生被确定为智力障碍类别的可能性是该学区（加权风险比）或州（替代风险比）所有其他学生的4.17倍。</w:t>
      </w:r>
    </w:p>
    <w:p w14:paraId="1138C044" w14:textId="7BAC6A48" w:rsidR="025790DD" w:rsidRDefault="025790DD" w:rsidP="025790DD">
      <w:pPr>
        <w:spacing w:after="0" w:line="240" w:lineRule="auto"/>
        <w:rPr>
          <w:rFonts w:ascii="Calibri" w:eastAsia="Calibri" w:hAnsi="Calibri" w:cs="Calibri"/>
          <w:sz w:val="24"/>
          <w:szCs w:val="24"/>
        </w:rPr>
      </w:pPr>
    </w:p>
    <w:p w14:paraId="0AAE1FB2" w14:textId="72D851D7" w:rsidR="025790DD" w:rsidRDefault="00904EC0" w:rsidP="025790DD">
      <w:pPr>
        <w:spacing w:after="0" w:line="240" w:lineRule="auto"/>
        <w:rPr>
          <w:rFonts w:ascii="Calibri" w:eastAsia="Calibri" w:hAnsi="Calibri" w:cs="Calibri"/>
          <w:b/>
          <w:bCs/>
          <w:sz w:val="24"/>
          <w:szCs w:val="24"/>
        </w:rPr>
      </w:pPr>
      <w:r w:rsidRPr="025790DD">
        <w:rPr>
          <w:rFonts w:ascii="SimSun" w:eastAsia="SimSun" w:hAnsi="SimSun" w:cs="SimSun"/>
          <w:b/>
          <w:bCs/>
          <w:sz w:val="24"/>
          <w:szCs w:val="24"/>
        </w:rPr>
        <w:t>“该部门”是否发现学区有因识别不当造成的特殊教育种族/民族不成比例？</w:t>
      </w:r>
    </w:p>
    <w:p w14:paraId="532ABF0A" w14:textId="70761370" w:rsidR="025790DD" w:rsidRDefault="025790DD" w:rsidP="025790DD">
      <w:pPr>
        <w:spacing w:after="0" w:line="240" w:lineRule="auto"/>
        <w:rPr>
          <w:rFonts w:ascii="Calibri" w:eastAsia="Calibri" w:hAnsi="Calibri" w:cs="Calibri"/>
        </w:rPr>
      </w:pPr>
    </w:p>
    <w:p w14:paraId="06C7853B" w14:textId="2A2D7A58" w:rsidR="025790DD" w:rsidRDefault="00904EC0" w:rsidP="025790DD">
      <w:pPr>
        <w:spacing w:after="0" w:line="240" w:lineRule="auto"/>
        <w:rPr>
          <w:rFonts w:ascii="Calibri" w:eastAsia="Calibri" w:hAnsi="Calibri" w:cs="Calibri"/>
        </w:rPr>
      </w:pPr>
      <w:r w:rsidRPr="025790DD">
        <w:rPr>
          <w:rFonts w:ascii="SimSun" w:eastAsia="SimSun" w:hAnsi="SimSun" w:cs="SimSun"/>
        </w:rPr>
        <w:t>没有，按照这些分析和验证程序，“该部门”没有发现因使用不适当或不一致的政策、惯例和程序进行残疾和资格确定所导致的不成比例。即使“该部门”没有发布调查结果，然而，“该部门”标记为不成比例的学区应采取具体措施，审查他们自己的数据并进行自我评估，来反思可能导致不成比例的政策、惯例、程序和基本假设。</w:t>
      </w:r>
    </w:p>
    <w:p w14:paraId="2BCB35A5" w14:textId="713723BD" w:rsidR="025790DD" w:rsidRDefault="025790DD" w:rsidP="025790DD">
      <w:pPr>
        <w:spacing w:after="0" w:line="240" w:lineRule="auto"/>
        <w:rPr>
          <w:rFonts w:ascii="Calibri" w:eastAsia="Calibri" w:hAnsi="Calibri" w:cs="Calibri"/>
          <w:sz w:val="24"/>
          <w:szCs w:val="24"/>
        </w:rPr>
      </w:pPr>
    </w:p>
    <w:p w14:paraId="07A95046" w14:textId="029375A2" w:rsidR="00DB68D0" w:rsidRDefault="00904EC0" w:rsidP="025790DD">
      <w:pPr>
        <w:spacing w:after="0" w:line="240" w:lineRule="auto"/>
        <w:rPr>
          <w:b/>
          <w:bCs/>
          <w:color w:val="000000" w:themeColor="text1"/>
          <w:sz w:val="24"/>
          <w:szCs w:val="24"/>
        </w:rPr>
      </w:pPr>
      <w:r>
        <w:rPr>
          <w:rFonts w:ascii="SimSun" w:eastAsia="SimSun" w:hAnsi="SimSun" w:cs="SimSun"/>
          <w:b/>
          <w:bCs/>
          <w:color w:val="000000" w:themeColor="text1"/>
          <w:sz w:val="24"/>
          <w:szCs w:val="24"/>
        </w:rPr>
        <w:t>资源</w:t>
      </w:r>
    </w:p>
    <w:p w14:paraId="7ACF147C" w14:textId="41E27F37" w:rsidR="025790DD" w:rsidRPr="00DB68D0" w:rsidRDefault="002C4A14" w:rsidP="00DB68D0">
      <w:pPr>
        <w:spacing w:after="0" w:line="240" w:lineRule="auto"/>
        <w:ind w:left="720"/>
        <w:rPr>
          <w:i/>
          <w:iCs/>
          <w:color w:val="000000" w:themeColor="text1"/>
          <w:sz w:val="24"/>
          <w:szCs w:val="24"/>
        </w:rPr>
      </w:pPr>
      <w:hyperlink r:id="rId13" w:history="1">
        <w:r w:rsidR="00904EC0" w:rsidRPr="00F40EED">
          <w:rPr>
            <w:rStyle w:val="Hyperlink"/>
            <w:rFonts w:ascii="SimSun" w:eastAsia="SimSun" w:hAnsi="SimSun" w:cs="SimSun"/>
            <w:i/>
            <w:iCs/>
            <w:sz w:val="24"/>
            <w:szCs w:val="24"/>
          </w:rPr>
          <w:t>指标10 PowerPoint</w:t>
        </w:r>
      </w:hyperlink>
    </w:p>
    <w:sectPr w:rsidR="025790DD" w:rsidRPr="00DB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E034CF16">
      <w:start w:val="1"/>
      <w:numFmt w:val="bullet"/>
      <w:lvlText w:val=""/>
      <w:lvlJc w:val="left"/>
      <w:pPr>
        <w:ind w:left="720" w:hanging="360"/>
      </w:pPr>
      <w:rPr>
        <w:rFonts w:ascii="Symbol" w:hAnsi="Symbol" w:hint="default"/>
      </w:rPr>
    </w:lvl>
    <w:lvl w:ilvl="1" w:tplc="0B1CB050" w:tentative="1">
      <w:start w:val="1"/>
      <w:numFmt w:val="bullet"/>
      <w:lvlText w:val="o"/>
      <w:lvlJc w:val="left"/>
      <w:pPr>
        <w:ind w:left="1440" w:hanging="360"/>
      </w:pPr>
      <w:rPr>
        <w:rFonts w:ascii="Courier New" w:hAnsi="Courier New" w:cs="Courier New" w:hint="default"/>
      </w:rPr>
    </w:lvl>
    <w:lvl w:ilvl="2" w:tplc="83EC8944" w:tentative="1">
      <w:start w:val="1"/>
      <w:numFmt w:val="bullet"/>
      <w:lvlText w:val=""/>
      <w:lvlJc w:val="left"/>
      <w:pPr>
        <w:ind w:left="2160" w:hanging="360"/>
      </w:pPr>
      <w:rPr>
        <w:rFonts w:ascii="Wingdings" w:hAnsi="Wingdings" w:hint="default"/>
      </w:rPr>
    </w:lvl>
    <w:lvl w:ilvl="3" w:tplc="8E8053C2" w:tentative="1">
      <w:start w:val="1"/>
      <w:numFmt w:val="bullet"/>
      <w:lvlText w:val=""/>
      <w:lvlJc w:val="left"/>
      <w:pPr>
        <w:ind w:left="2880" w:hanging="360"/>
      </w:pPr>
      <w:rPr>
        <w:rFonts w:ascii="Symbol" w:hAnsi="Symbol" w:hint="default"/>
      </w:rPr>
    </w:lvl>
    <w:lvl w:ilvl="4" w:tplc="C49ADF36" w:tentative="1">
      <w:start w:val="1"/>
      <w:numFmt w:val="bullet"/>
      <w:lvlText w:val="o"/>
      <w:lvlJc w:val="left"/>
      <w:pPr>
        <w:ind w:left="3600" w:hanging="360"/>
      </w:pPr>
      <w:rPr>
        <w:rFonts w:ascii="Courier New" w:hAnsi="Courier New" w:cs="Courier New" w:hint="default"/>
      </w:rPr>
    </w:lvl>
    <w:lvl w:ilvl="5" w:tplc="AA7A7B1A" w:tentative="1">
      <w:start w:val="1"/>
      <w:numFmt w:val="bullet"/>
      <w:lvlText w:val=""/>
      <w:lvlJc w:val="left"/>
      <w:pPr>
        <w:ind w:left="4320" w:hanging="360"/>
      </w:pPr>
      <w:rPr>
        <w:rFonts w:ascii="Wingdings" w:hAnsi="Wingdings" w:hint="default"/>
      </w:rPr>
    </w:lvl>
    <w:lvl w:ilvl="6" w:tplc="0A72FEBC" w:tentative="1">
      <w:start w:val="1"/>
      <w:numFmt w:val="bullet"/>
      <w:lvlText w:val=""/>
      <w:lvlJc w:val="left"/>
      <w:pPr>
        <w:ind w:left="5040" w:hanging="360"/>
      </w:pPr>
      <w:rPr>
        <w:rFonts w:ascii="Symbol" w:hAnsi="Symbol" w:hint="default"/>
      </w:rPr>
    </w:lvl>
    <w:lvl w:ilvl="7" w:tplc="3CD2C1C2" w:tentative="1">
      <w:start w:val="1"/>
      <w:numFmt w:val="bullet"/>
      <w:lvlText w:val="o"/>
      <w:lvlJc w:val="left"/>
      <w:pPr>
        <w:ind w:left="5760" w:hanging="360"/>
      </w:pPr>
      <w:rPr>
        <w:rFonts w:ascii="Courier New" w:hAnsi="Courier New" w:cs="Courier New" w:hint="default"/>
      </w:rPr>
    </w:lvl>
    <w:lvl w:ilvl="8" w:tplc="AC68BEF6"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72FE1DDC">
      <w:start w:val="1"/>
      <w:numFmt w:val="bullet"/>
      <w:lvlText w:val=""/>
      <w:lvlJc w:val="left"/>
      <w:pPr>
        <w:ind w:left="720" w:hanging="360"/>
      </w:pPr>
      <w:rPr>
        <w:rFonts w:ascii="Symbol" w:hAnsi="Symbol" w:hint="default"/>
      </w:rPr>
    </w:lvl>
    <w:lvl w:ilvl="1" w:tplc="0A3027BC" w:tentative="1">
      <w:start w:val="1"/>
      <w:numFmt w:val="bullet"/>
      <w:lvlText w:val="o"/>
      <w:lvlJc w:val="left"/>
      <w:pPr>
        <w:ind w:left="1440" w:hanging="360"/>
      </w:pPr>
      <w:rPr>
        <w:rFonts w:ascii="Courier New" w:hAnsi="Courier New" w:cs="Courier New" w:hint="default"/>
      </w:rPr>
    </w:lvl>
    <w:lvl w:ilvl="2" w:tplc="E0E421CC" w:tentative="1">
      <w:start w:val="1"/>
      <w:numFmt w:val="bullet"/>
      <w:lvlText w:val=""/>
      <w:lvlJc w:val="left"/>
      <w:pPr>
        <w:ind w:left="2160" w:hanging="360"/>
      </w:pPr>
      <w:rPr>
        <w:rFonts w:ascii="Wingdings" w:hAnsi="Wingdings" w:hint="default"/>
      </w:rPr>
    </w:lvl>
    <w:lvl w:ilvl="3" w:tplc="062C3860" w:tentative="1">
      <w:start w:val="1"/>
      <w:numFmt w:val="bullet"/>
      <w:lvlText w:val=""/>
      <w:lvlJc w:val="left"/>
      <w:pPr>
        <w:ind w:left="2880" w:hanging="360"/>
      </w:pPr>
      <w:rPr>
        <w:rFonts w:ascii="Symbol" w:hAnsi="Symbol" w:hint="default"/>
      </w:rPr>
    </w:lvl>
    <w:lvl w:ilvl="4" w:tplc="0C406BF8" w:tentative="1">
      <w:start w:val="1"/>
      <w:numFmt w:val="bullet"/>
      <w:lvlText w:val="o"/>
      <w:lvlJc w:val="left"/>
      <w:pPr>
        <w:ind w:left="3600" w:hanging="360"/>
      </w:pPr>
      <w:rPr>
        <w:rFonts w:ascii="Courier New" w:hAnsi="Courier New" w:cs="Courier New" w:hint="default"/>
      </w:rPr>
    </w:lvl>
    <w:lvl w:ilvl="5" w:tplc="9F6EA5D8" w:tentative="1">
      <w:start w:val="1"/>
      <w:numFmt w:val="bullet"/>
      <w:lvlText w:val=""/>
      <w:lvlJc w:val="left"/>
      <w:pPr>
        <w:ind w:left="4320" w:hanging="360"/>
      </w:pPr>
      <w:rPr>
        <w:rFonts w:ascii="Wingdings" w:hAnsi="Wingdings" w:hint="default"/>
      </w:rPr>
    </w:lvl>
    <w:lvl w:ilvl="6" w:tplc="D86E8110" w:tentative="1">
      <w:start w:val="1"/>
      <w:numFmt w:val="bullet"/>
      <w:lvlText w:val=""/>
      <w:lvlJc w:val="left"/>
      <w:pPr>
        <w:ind w:left="5040" w:hanging="360"/>
      </w:pPr>
      <w:rPr>
        <w:rFonts w:ascii="Symbol" w:hAnsi="Symbol" w:hint="default"/>
      </w:rPr>
    </w:lvl>
    <w:lvl w:ilvl="7" w:tplc="BBFC68CC" w:tentative="1">
      <w:start w:val="1"/>
      <w:numFmt w:val="bullet"/>
      <w:lvlText w:val="o"/>
      <w:lvlJc w:val="left"/>
      <w:pPr>
        <w:ind w:left="5760" w:hanging="360"/>
      </w:pPr>
      <w:rPr>
        <w:rFonts w:ascii="Courier New" w:hAnsi="Courier New" w:cs="Courier New" w:hint="default"/>
      </w:rPr>
    </w:lvl>
    <w:lvl w:ilvl="8" w:tplc="CE5E75BE"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513822A0">
      <w:start w:val="1"/>
      <w:numFmt w:val="decimal"/>
      <w:lvlText w:val="%1."/>
      <w:lvlJc w:val="left"/>
      <w:pPr>
        <w:ind w:left="720" w:hanging="360"/>
      </w:pPr>
      <w:rPr>
        <w:rFonts w:hint="default"/>
        <w:b w:val="0"/>
        <w:bCs w:val="0"/>
      </w:rPr>
    </w:lvl>
    <w:lvl w:ilvl="1" w:tplc="CB64372E" w:tentative="1">
      <w:start w:val="1"/>
      <w:numFmt w:val="lowerLetter"/>
      <w:lvlText w:val="%2."/>
      <w:lvlJc w:val="left"/>
      <w:pPr>
        <w:ind w:left="1440" w:hanging="360"/>
      </w:pPr>
    </w:lvl>
    <w:lvl w:ilvl="2" w:tplc="470C1F7A" w:tentative="1">
      <w:start w:val="1"/>
      <w:numFmt w:val="lowerRoman"/>
      <w:lvlText w:val="%3."/>
      <w:lvlJc w:val="right"/>
      <w:pPr>
        <w:ind w:left="2160" w:hanging="180"/>
      </w:pPr>
    </w:lvl>
    <w:lvl w:ilvl="3" w:tplc="E1AAD762" w:tentative="1">
      <w:start w:val="1"/>
      <w:numFmt w:val="decimal"/>
      <w:lvlText w:val="%4."/>
      <w:lvlJc w:val="left"/>
      <w:pPr>
        <w:ind w:left="2880" w:hanging="360"/>
      </w:pPr>
    </w:lvl>
    <w:lvl w:ilvl="4" w:tplc="7FF660FC" w:tentative="1">
      <w:start w:val="1"/>
      <w:numFmt w:val="lowerLetter"/>
      <w:lvlText w:val="%5."/>
      <w:lvlJc w:val="left"/>
      <w:pPr>
        <w:ind w:left="3600" w:hanging="360"/>
      </w:pPr>
    </w:lvl>
    <w:lvl w:ilvl="5" w:tplc="3354785A" w:tentative="1">
      <w:start w:val="1"/>
      <w:numFmt w:val="lowerRoman"/>
      <w:lvlText w:val="%6."/>
      <w:lvlJc w:val="right"/>
      <w:pPr>
        <w:ind w:left="4320" w:hanging="180"/>
      </w:pPr>
    </w:lvl>
    <w:lvl w:ilvl="6" w:tplc="BAE43CAC" w:tentative="1">
      <w:start w:val="1"/>
      <w:numFmt w:val="decimal"/>
      <w:lvlText w:val="%7."/>
      <w:lvlJc w:val="left"/>
      <w:pPr>
        <w:ind w:left="5040" w:hanging="360"/>
      </w:pPr>
    </w:lvl>
    <w:lvl w:ilvl="7" w:tplc="EECCA480" w:tentative="1">
      <w:start w:val="1"/>
      <w:numFmt w:val="lowerLetter"/>
      <w:lvlText w:val="%8."/>
      <w:lvlJc w:val="left"/>
      <w:pPr>
        <w:ind w:left="5760" w:hanging="360"/>
      </w:pPr>
    </w:lvl>
    <w:lvl w:ilvl="8" w:tplc="5FAE0C92"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98684C38">
      <w:start w:val="1"/>
      <w:numFmt w:val="bullet"/>
      <w:lvlText w:val=""/>
      <w:lvlJc w:val="left"/>
      <w:pPr>
        <w:ind w:left="720" w:hanging="360"/>
      </w:pPr>
      <w:rPr>
        <w:rFonts w:ascii="Symbol" w:hAnsi="Symbol" w:hint="default"/>
      </w:rPr>
    </w:lvl>
    <w:lvl w:ilvl="1" w:tplc="94BC7CC8" w:tentative="1">
      <w:start w:val="1"/>
      <w:numFmt w:val="bullet"/>
      <w:lvlText w:val="o"/>
      <w:lvlJc w:val="left"/>
      <w:pPr>
        <w:ind w:left="1440" w:hanging="360"/>
      </w:pPr>
      <w:rPr>
        <w:rFonts w:ascii="Courier New" w:hAnsi="Courier New" w:cs="Courier New" w:hint="default"/>
      </w:rPr>
    </w:lvl>
    <w:lvl w:ilvl="2" w:tplc="A4C82462" w:tentative="1">
      <w:start w:val="1"/>
      <w:numFmt w:val="bullet"/>
      <w:lvlText w:val=""/>
      <w:lvlJc w:val="left"/>
      <w:pPr>
        <w:ind w:left="2160" w:hanging="360"/>
      </w:pPr>
      <w:rPr>
        <w:rFonts w:ascii="Wingdings" w:hAnsi="Wingdings" w:hint="default"/>
      </w:rPr>
    </w:lvl>
    <w:lvl w:ilvl="3" w:tplc="1B04E780" w:tentative="1">
      <w:start w:val="1"/>
      <w:numFmt w:val="bullet"/>
      <w:lvlText w:val=""/>
      <w:lvlJc w:val="left"/>
      <w:pPr>
        <w:ind w:left="2880" w:hanging="360"/>
      </w:pPr>
      <w:rPr>
        <w:rFonts w:ascii="Symbol" w:hAnsi="Symbol" w:hint="default"/>
      </w:rPr>
    </w:lvl>
    <w:lvl w:ilvl="4" w:tplc="C8A4C9A6" w:tentative="1">
      <w:start w:val="1"/>
      <w:numFmt w:val="bullet"/>
      <w:lvlText w:val="o"/>
      <w:lvlJc w:val="left"/>
      <w:pPr>
        <w:ind w:left="3600" w:hanging="360"/>
      </w:pPr>
      <w:rPr>
        <w:rFonts w:ascii="Courier New" w:hAnsi="Courier New" w:cs="Courier New" w:hint="default"/>
      </w:rPr>
    </w:lvl>
    <w:lvl w:ilvl="5" w:tplc="57EA323A" w:tentative="1">
      <w:start w:val="1"/>
      <w:numFmt w:val="bullet"/>
      <w:lvlText w:val=""/>
      <w:lvlJc w:val="left"/>
      <w:pPr>
        <w:ind w:left="4320" w:hanging="360"/>
      </w:pPr>
      <w:rPr>
        <w:rFonts w:ascii="Wingdings" w:hAnsi="Wingdings" w:hint="default"/>
      </w:rPr>
    </w:lvl>
    <w:lvl w:ilvl="6" w:tplc="65B2D73A" w:tentative="1">
      <w:start w:val="1"/>
      <w:numFmt w:val="bullet"/>
      <w:lvlText w:val=""/>
      <w:lvlJc w:val="left"/>
      <w:pPr>
        <w:ind w:left="5040" w:hanging="360"/>
      </w:pPr>
      <w:rPr>
        <w:rFonts w:ascii="Symbol" w:hAnsi="Symbol" w:hint="default"/>
      </w:rPr>
    </w:lvl>
    <w:lvl w:ilvl="7" w:tplc="6FA22A8C" w:tentative="1">
      <w:start w:val="1"/>
      <w:numFmt w:val="bullet"/>
      <w:lvlText w:val="o"/>
      <w:lvlJc w:val="left"/>
      <w:pPr>
        <w:ind w:left="5760" w:hanging="360"/>
      </w:pPr>
      <w:rPr>
        <w:rFonts w:ascii="Courier New" w:hAnsi="Courier New" w:cs="Courier New" w:hint="default"/>
      </w:rPr>
    </w:lvl>
    <w:lvl w:ilvl="8" w:tplc="8872FF4A"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44DC1D08">
      <w:start w:val="1"/>
      <w:numFmt w:val="upperLetter"/>
      <w:lvlText w:val="(%1)"/>
      <w:lvlJc w:val="left"/>
      <w:pPr>
        <w:ind w:left="720" w:hanging="360"/>
      </w:pPr>
      <w:rPr>
        <w:rFonts w:hint="default"/>
      </w:rPr>
    </w:lvl>
    <w:lvl w:ilvl="1" w:tplc="34143AA8" w:tentative="1">
      <w:start w:val="1"/>
      <w:numFmt w:val="lowerLetter"/>
      <w:lvlText w:val="%2."/>
      <w:lvlJc w:val="left"/>
      <w:pPr>
        <w:ind w:left="1440" w:hanging="360"/>
      </w:pPr>
    </w:lvl>
    <w:lvl w:ilvl="2" w:tplc="9B3A72C2" w:tentative="1">
      <w:start w:val="1"/>
      <w:numFmt w:val="lowerRoman"/>
      <w:lvlText w:val="%3."/>
      <w:lvlJc w:val="right"/>
      <w:pPr>
        <w:ind w:left="2160" w:hanging="180"/>
      </w:pPr>
    </w:lvl>
    <w:lvl w:ilvl="3" w:tplc="1FA6719C" w:tentative="1">
      <w:start w:val="1"/>
      <w:numFmt w:val="decimal"/>
      <w:lvlText w:val="%4."/>
      <w:lvlJc w:val="left"/>
      <w:pPr>
        <w:ind w:left="2880" w:hanging="360"/>
      </w:pPr>
    </w:lvl>
    <w:lvl w:ilvl="4" w:tplc="0940216E" w:tentative="1">
      <w:start w:val="1"/>
      <w:numFmt w:val="lowerLetter"/>
      <w:lvlText w:val="%5."/>
      <w:lvlJc w:val="left"/>
      <w:pPr>
        <w:ind w:left="3600" w:hanging="360"/>
      </w:pPr>
    </w:lvl>
    <w:lvl w:ilvl="5" w:tplc="F796E34A" w:tentative="1">
      <w:start w:val="1"/>
      <w:numFmt w:val="lowerRoman"/>
      <w:lvlText w:val="%6."/>
      <w:lvlJc w:val="right"/>
      <w:pPr>
        <w:ind w:left="4320" w:hanging="180"/>
      </w:pPr>
    </w:lvl>
    <w:lvl w:ilvl="6" w:tplc="5442E29C" w:tentative="1">
      <w:start w:val="1"/>
      <w:numFmt w:val="decimal"/>
      <w:lvlText w:val="%7."/>
      <w:lvlJc w:val="left"/>
      <w:pPr>
        <w:ind w:left="5040" w:hanging="360"/>
      </w:pPr>
    </w:lvl>
    <w:lvl w:ilvl="7" w:tplc="06624DB4" w:tentative="1">
      <w:start w:val="1"/>
      <w:numFmt w:val="lowerLetter"/>
      <w:lvlText w:val="%8."/>
      <w:lvlJc w:val="left"/>
      <w:pPr>
        <w:ind w:left="5760" w:hanging="360"/>
      </w:pPr>
    </w:lvl>
    <w:lvl w:ilvl="8" w:tplc="73701D10"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F6EEBB14">
      <w:start w:val="1"/>
      <w:numFmt w:val="bullet"/>
      <w:lvlText w:val=""/>
      <w:lvlJc w:val="left"/>
      <w:pPr>
        <w:tabs>
          <w:tab w:val="num" w:pos="0"/>
        </w:tabs>
        <w:ind w:left="0" w:hanging="360"/>
      </w:pPr>
      <w:rPr>
        <w:rFonts w:ascii="Symbol" w:hAnsi="Symbol" w:hint="default"/>
      </w:rPr>
    </w:lvl>
    <w:lvl w:ilvl="1" w:tplc="90F8FD6C" w:tentative="1">
      <w:start w:val="1"/>
      <w:numFmt w:val="bullet"/>
      <w:lvlText w:val="•"/>
      <w:lvlJc w:val="left"/>
      <w:pPr>
        <w:tabs>
          <w:tab w:val="num" w:pos="720"/>
        </w:tabs>
        <w:ind w:left="720" w:hanging="360"/>
      </w:pPr>
      <w:rPr>
        <w:rFonts w:ascii="Arial" w:hAnsi="Arial" w:hint="default"/>
      </w:rPr>
    </w:lvl>
    <w:lvl w:ilvl="2" w:tplc="A002FDE0" w:tentative="1">
      <w:start w:val="1"/>
      <w:numFmt w:val="bullet"/>
      <w:lvlText w:val="•"/>
      <w:lvlJc w:val="left"/>
      <w:pPr>
        <w:tabs>
          <w:tab w:val="num" w:pos="1440"/>
        </w:tabs>
        <w:ind w:left="1440" w:hanging="360"/>
      </w:pPr>
      <w:rPr>
        <w:rFonts w:ascii="Arial" w:hAnsi="Arial" w:hint="default"/>
      </w:rPr>
    </w:lvl>
    <w:lvl w:ilvl="3" w:tplc="FDF2DF58" w:tentative="1">
      <w:start w:val="1"/>
      <w:numFmt w:val="bullet"/>
      <w:lvlText w:val="•"/>
      <w:lvlJc w:val="left"/>
      <w:pPr>
        <w:tabs>
          <w:tab w:val="num" w:pos="2160"/>
        </w:tabs>
        <w:ind w:left="2160" w:hanging="360"/>
      </w:pPr>
      <w:rPr>
        <w:rFonts w:ascii="Arial" w:hAnsi="Arial" w:hint="default"/>
      </w:rPr>
    </w:lvl>
    <w:lvl w:ilvl="4" w:tplc="B3A2F2E6" w:tentative="1">
      <w:start w:val="1"/>
      <w:numFmt w:val="bullet"/>
      <w:lvlText w:val="•"/>
      <w:lvlJc w:val="left"/>
      <w:pPr>
        <w:tabs>
          <w:tab w:val="num" w:pos="2880"/>
        </w:tabs>
        <w:ind w:left="2880" w:hanging="360"/>
      </w:pPr>
      <w:rPr>
        <w:rFonts w:ascii="Arial" w:hAnsi="Arial" w:hint="default"/>
      </w:rPr>
    </w:lvl>
    <w:lvl w:ilvl="5" w:tplc="1B74A3BA" w:tentative="1">
      <w:start w:val="1"/>
      <w:numFmt w:val="bullet"/>
      <w:lvlText w:val="•"/>
      <w:lvlJc w:val="left"/>
      <w:pPr>
        <w:tabs>
          <w:tab w:val="num" w:pos="3600"/>
        </w:tabs>
        <w:ind w:left="3600" w:hanging="360"/>
      </w:pPr>
      <w:rPr>
        <w:rFonts w:ascii="Arial" w:hAnsi="Arial" w:hint="default"/>
      </w:rPr>
    </w:lvl>
    <w:lvl w:ilvl="6" w:tplc="B338F9AE" w:tentative="1">
      <w:start w:val="1"/>
      <w:numFmt w:val="bullet"/>
      <w:lvlText w:val="•"/>
      <w:lvlJc w:val="left"/>
      <w:pPr>
        <w:tabs>
          <w:tab w:val="num" w:pos="4320"/>
        </w:tabs>
        <w:ind w:left="4320" w:hanging="360"/>
      </w:pPr>
      <w:rPr>
        <w:rFonts w:ascii="Arial" w:hAnsi="Arial" w:hint="default"/>
      </w:rPr>
    </w:lvl>
    <w:lvl w:ilvl="7" w:tplc="24FE66CC" w:tentative="1">
      <w:start w:val="1"/>
      <w:numFmt w:val="bullet"/>
      <w:lvlText w:val="•"/>
      <w:lvlJc w:val="left"/>
      <w:pPr>
        <w:tabs>
          <w:tab w:val="num" w:pos="5040"/>
        </w:tabs>
        <w:ind w:left="5040" w:hanging="360"/>
      </w:pPr>
      <w:rPr>
        <w:rFonts w:ascii="Arial" w:hAnsi="Arial" w:hint="default"/>
      </w:rPr>
    </w:lvl>
    <w:lvl w:ilvl="8" w:tplc="F8E05296"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80023D8E">
      <w:start w:val="1"/>
      <w:numFmt w:val="bullet"/>
      <w:lvlText w:val=""/>
      <w:lvlJc w:val="left"/>
      <w:pPr>
        <w:tabs>
          <w:tab w:val="num" w:pos="-720"/>
        </w:tabs>
        <w:ind w:left="-720" w:hanging="360"/>
      </w:pPr>
      <w:rPr>
        <w:rFonts w:ascii="Symbol" w:hAnsi="Symbol" w:hint="default"/>
      </w:rPr>
    </w:lvl>
    <w:lvl w:ilvl="1" w:tplc="007044C2">
      <w:numFmt w:val="bullet"/>
      <w:lvlText w:val="o"/>
      <w:lvlJc w:val="left"/>
      <w:pPr>
        <w:tabs>
          <w:tab w:val="num" w:pos="0"/>
        </w:tabs>
        <w:ind w:left="0" w:hanging="360"/>
      </w:pPr>
      <w:rPr>
        <w:rFonts w:ascii="Courier New" w:hAnsi="Courier New" w:hint="default"/>
      </w:rPr>
    </w:lvl>
    <w:lvl w:ilvl="2" w:tplc="27207AB8" w:tentative="1">
      <w:start w:val="1"/>
      <w:numFmt w:val="bullet"/>
      <w:lvlText w:val="•"/>
      <w:lvlJc w:val="left"/>
      <w:pPr>
        <w:tabs>
          <w:tab w:val="num" w:pos="720"/>
        </w:tabs>
        <w:ind w:left="720" w:hanging="360"/>
      </w:pPr>
      <w:rPr>
        <w:rFonts w:ascii="Arial" w:hAnsi="Arial" w:hint="default"/>
      </w:rPr>
    </w:lvl>
    <w:lvl w:ilvl="3" w:tplc="4C5A9CAC" w:tentative="1">
      <w:start w:val="1"/>
      <w:numFmt w:val="bullet"/>
      <w:lvlText w:val="•"/>
      <w:lvlJc w:val="left"/>
      <w:pPr>
        <w:tabs>
          <w:tab w:val="num" w:pos="1440"/>
        </w:tabs>
        <w:ind w:left="1440" w:hanging="360"/>
      </w:pPr>
      <w:rPr>
        <w:rFonts w:ascii="Arial" w:hAnsi="Arial" w:hint="default"/>
      </w:rPr>
    </w:lvl>
    <w:lvl w:ilvl="4" w:tplc="EEE67E8C" w:tentative="1">
      <w:start w:val="1"/>
      <w:numFmt w:val="bullet"/>
      <w:lvlText w:val="•"/>
      <w:lvlJc w:val="left"/>
      <w:pPr>
        <w:tabs>
          <w:tab w:val="num" w:pos="2160"/>
        </w:tabs>
        <w:ind w:left="2160" w:hanging="360"/>
      </w:pPr>
      <w:rPr>
        <w:rFonts w:ascii="Arial" w:hAnsi="Arial" w:hint="default"/>
      </w:rPr>
    </w:lvl>
    <w:lvl w:ilvl="5" w:tplc="25C8E910" w:tentative="1">
      <w:start w:val="1"/>
      <w:numFmt w:val="bullet"/>
      <w:lvlText w:val="•"/>
      <w:lvlJc w:val="left"/>
      <w:pPr>
        <w:tabs>
          <w:tab w:val="num" w:pos="2880"/>
        </w:tabs>
        <w:ind w:left="2880" w:hanging="360"/>
      </w:pPr>
      <w:rPr>
        <w:rFonts w:ascii="Arial" w:hAnsi="Arial" w:hint="default"/>
      </w:rPr>
    </w:lvl>
    <w:lvl w:ilvl="6" w:tplc="B9A698B6" w:tentative="1">
      <w:start w:val="1"/>
      <w:numFmt w:val="bullet"/>
      <w:lvlText w:val="•"/>
      <w:lvlJc w:val="left"/>
      <w:pPr>
        <w:tabs>
          <w:tab w:val="num" w:pos="3600"/>
        </w:tabs>
        <w:ind w:left="3600" w:hanging="360"/>
      </w:pPr>
      <w:rPr>
        <w:rFonts w:ascii="Arial" w:hAnsi="Arial" w:hint="default"/>
      </w:rPr>
    </w:lvl>
    <w:lvl w:ilvl="7" w:tplc="2E62E00E" w:tentative="1">
      <w:start w:val="1"/>
      <w:numFmt w:val="bullet"/>
      <w:lvlText w:val="•"/>
      <w:lvlJc w:val="left"/>
      <w:pPr>
        <w:tabs>
          <w:tab w:val="num" w:pos="4320"/>
        </w:tabs>
        <w:ind w:left="4320" w:hanging="360"/>
      </w:pPr>
      <w:rPr>
        <w:rFonts w:ascii="Arial" w:hAnsi="Arial" w:hint="default"/>
      </w:rPr>
    </w:lvl>
    <w:lvl w:ilvl="8" w:tplc="009E0D8A"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E2C06E6A">
      <w:start w:val="1"/>
      <w:numFmt w:val="decimal"/>
      <w:lvlText w:val="%1."/>
      <w:lvlJc w:val="left"/>
      <w:pPr>
        <w:ind w:left="770" w:hanging="360"/>
      </w:pPr>
      <w:rPr>
        <w:rFonts w:hint="default"/>
        <w:b w:val="0"/>
        <w:bCs w:val="0"/>
      </w:rPr>
    </w:lvl>
    <w:lvl w:ilvl="1" w:tplc="49385BC6" w:tentative="1">
      <w:start w:val="1"/>
      <w:numFmt w:val="lowerLetter"/>
      <w:lvlText w:val="%2."/>
      <w:lvlJc w:val="left"/>
      <w:pPr>
        <w:ind w:left="1490" w:hanging="360"/>
      </w:pPr>
    </w:lvl>
    <w:lvl w:ilvl="2" w:tplc="57BC607C" w:tentative="1">
      <w:start w:val="1"/>
      <w:numFmt w:val="lowerRoman"/>
      <w:lvlText w:val="%3."/>
      <w:lvlJc w:val="right"/>
      <w:pPr>
        <w:ind w:left="2210" w:hanging="180"/>
      </w:pPr>
    </w:lvl>
    <w:lvl w:ilvl="3" w:tplc="E0CC99EE" w:tentative="1">
      <w:start w:val="1"/>
      <w:numFmt w:val="decimal"/>
      <w:lvlText w:val="%4."/>
      <w:lvlJc w:val="left"/>
      <w:pPr>
        <w:ind w:left="2930" w:hanging="360"/>
      </w:pPr>
    </w:lvl>
    <w:lvl w:ilvl="4" w:tplc="A7063D42" w:tentative="1">
      <w:start w:val="1"/>
      <w:numFmt w:val="lowerLetter"/>
      <w:lvlText w:val="%5."/>
      <w:lvlJc w:val="left"/>
      <w:pPr>
        <w:ind w:left="3650" w:hanging="360"/>
      </w:pPr>
    </w:lvl>
    <w:lvl w:ilvl="5" w:tplc="9DCAF318" w:tentative="1">
      <w:start w:val="1"/>
      <w:numFmt w:val="lowerRoman"/>
      <w:lvlText w:val="%6."/>
      <w:lvlJc w:val="right"/>
      <w:pPr>
        <w:ind w:left="4370" w:hanging="180"/>
      </w:pPr>
    </w:lvl>
    <w:lvl w:ilvl="6" w:tplc="A3346B0E" w:tentative="1">
      <w:start w:val="1"/>
      <w:numFmt w:val="decimal"/>
      <w:lvlText w:val="%7."/>
      <w:lvlJc w:val="left"/>
      <w:pPr>
        <w:ind w:left="5090" w:hanging="360"/>
      </w:pPr>
    </w:lvl>
    <w:lvl w:ilvl="7" w:tplc="84A8A89E" w:tentative="1">
      <w:start w:val="1"/>
      <w:numFmt w:val="lowerLetter"/>
      <w:lvlText w:val="%8."/>
      <w:lvlJc w:val="left"/>
      <w:pPr>
        <w:ind w:left="5810" w:hanging="360"/>
      </w:pPr>
    </w:lvl>
    <w:lvl w:ilvl="8" w:tplc="655E4936"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63EAA232">
      <w:start w:val="1"/>
      <w:numFmt w:val="bullet"/>
      <w:lvlText w:val="•"/>
      <w:lvlJc w:val="left"/>
      <w:pPr>
        <w:tabs>
          <w:tab w:val="num" w:pos="0"/>
        </w:tabs>
        <w:ind w:left="0" w:hanging="360"/>
      </w:pPr>
      <w:rPr>
        <w:rFonts w:ascii="Arial" w:hAnsi="Arial" w:hint="default"/>
      </w:rPr>
    </w:lvl>
    <w:lvl w:ilvl="1" w:tplc="FECC9C8A" w:tentative="1">
      <w:start w:val="1"/>
      <w:numFmt w:val="bullet"/>
      <w:lvlText w:val="•"/>
      <w:lvlJc w:val="left"/>
      <w:pPr>
        <w:tabs>
          <w:tab w:val="num" w:pos="720"/>
        </w:tabs>
        <w:ind w:left="720" w:hanging="360"/>
      </w:pPr>
      <w:rPr>
        <w:rFonts w:ascii="Arial" w:hAnsi="Arial" w:hint="default"/>
      </w:rPr>
    </w:lvl>
    <w:lvl w:ilvl="2" w:tplc="F3EC4924" w:tentative="1">
      <w:start w:val="1"/>
      <w:numFmt w:val="bullet"/>
      <w:lvlText w:val="•"/>
      <w:lvlJc w:val="left"/>
      <w:pPr>
        <w:tabs>
          <w:tab w:val="num" w:pos="1440"/>
        </w:tabs>
        <w:ind w:left="1440" w:hanging="360"/>
      </w:pPr>
      <w:rPr>
        <w:rFonts w:ascii="Arial" w:hAnsi="Arial" w:hint="default"/>
      </w:rPr>
    </w:lvl>
    <w:lvl w:ilvl="3" w:tplc="7ACC49E2" w:tentative="1">
      <w:start w:val="1"/>
      <w:numFmt w:val="bullet"/>
      <w:lvlText w:val="•"/>
      <w:lvlJc w:val="left"/>
      <w:pPr>
        <w:tabs>
          <w:tab w:val="num" w:pos="2160"/>
        </w:tabs>
        <w:ind w:left="2160" w:hanging="360"/>
      </w:pPr>
      <w:rPr>
        <w:rFonts w:ascii="Arial" w:hAnsi="Arial" w:hint="default"/>
      </w:rPr>
    </w:lvl>
    <w:lvl w:ilvl="4" w:tplc="F6D86DEA" w:tentative="1">
      <w:start w:val="1"/>
      <w:numFmt w:val="bullet"/>
      <w:lvlText w:val="•"/>
      <w:lvlJc w:val="left"/>
      <w:pPr>
        <w:tabs>
          <w:tab w:val="num" w:pos="2880"/>
        </w:tabs>
        <w:ind w:left="2880" w:hanging="360"/>
      </w:pPr>
      <w:rPr>
        <w:rFonts w:ascii="Arial" w:hAnsi="Arial" w:hint="default"/>
      </w:rPr>
    </w:lvl>
    <w:lvl w:ilvl="5" w:tplc="447842FE" w:tentative="1">
      <w:start w:val="1"/>
      <w:numFmt w:val="bullet"/>
      <w:lvlText w:val="•"/>
      <w:lvlJc w:val="left"/>
      <w:pPr>
        <w:tabs>
          <w:tab w:val="num" w:pos="3600"/>
        </w:tabs>
        <w:ind w:left="3600" w:hanging="360"/>
      </w:pPr>
      <w:rPr>
        <w:rFonts w:ascii="Arial" w:hAnsi="Arial" w:hint="default"/>
      </w:rPr>
    </w:lvl>
    <w:lvl w:ilvl="6" w:tplc="5D6434E4" w:tentative="1">
      <w:start w:val="1"/>
      <w:numFmt w:val="bullet"/>
      <w:lvlText w:val="•"/>
      <w:lvlJc w:val="left"/>
      <w:pPr>
        <w:tabs>
          <w:tab w:val="num" w:pos="4320"/>
        </w:tabs>
        <w:ind w:left="4320" w:hanging="360"/>
      </w:pPr>
      <w:rPr>
        <w:rFonts w:ascii="Arial" w:hAnsi="Arial" w:hint="default"/>
      </w:rPr>
    </w:lvl>
    <w:lvl w:ilvl="7" w:tplc="7C705AD8" w:tentative="1">
      <w:start w:val="1"/>
      <w:numFmt w:val="bullet"/>
      <w:lvlText w:val="•"/>
      <w:lvlJc w:val="left"/>
      <w:pPr>
        <w:tabs>
          <w:tab w:val="num" w:pos="5040"/>
        </w:tabs>
        <w:ind w:left="5040" w:hanging="360"/>
      </w:pPr>
      <w:rPr>
        <w:rFonts w:ascii="Arial" w:hAnsi="Arial" w:hint="default"/>
      </w:rPr>
    </w:lvl>
    <w:lvl w:ilvl="8" w:tplc="9C1ED716"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E1761A22">
      <w:start w:val="1"/>
      <w:numFmt w:val="bullet"/>
      <w:lvlText w:val=""/>
      <w:lvlJc w:val="left"/>
      <w:pPr>
        <w:ind w:left="720" w:hanging="360"/>
      </w:pPr>
      <w:rPr>
        <w:rFonts w:ascii="Symbol" w:hAnsi="Symbol" w:hint="default"/>
      </w:rPr>
    </w:lvl>
    <w:lvl w:ilvl="1" w:tplc="E092F264" w:tentative="1">
      <w:start w:val="1"/>
      <w:numFmt w:val="bullet"/>
      <w:lvlText w:val="o"/>
      <w:lvlJc w:val="left"/>
      <w:pPr>
        <w:ind w:left="1440" w:hanging="360"/>
      </w:pPr>
      <w:rPr>
        <w:rFonts w:ascii="Courier New" w:hAnsi="Courier New" w:cs="Courier New" w:hint="default"/>
      </w:rPr>
    </w:lvl>
    <w:lvl w:ilvl="2" w:tplc="6AF2428E" w:tentative="1">
      <w:start w:val="1"/>
      <w:numFmt w:val="bullet"/>
      <w:lvlText w:val=""/>
      <w:lvlJc w:val="left"/>
      <w:pPr>
        <w:ind w:left="2160" w:hanging="360"/>
      </w:pPr>
      <w:rPr>
        <w:rFonts w:ascii="Wingdings" w:hAnsi="Wingdings" w:hint="default"/>
      </w:rPr>
    </w:lvl>
    <w:lvl w:ilvl="3" w:tplc="8CA895C6" w:tentative="1">
      <w:start w:val="1"/>
      <w:numFmt w:val="bullet"/>
      <w:lvlText w:val=""/>
      <w:lvlJc w:val="left"/>
      <w:pPr>
        <w:ind w:left="2880" w:hanging="360"/>
      </w:pPr>
      <w:rPr>
        <w:rFonts w:ascii="Symbol" w:hAnsi="Symbol" w:hint="default"/>
      </w:rPr>
    </w:lvl>
    <w:lvl w:ilvl="4" w:tplc="3A10EE1A" w:tentative="1">
      <w:start w:val="1"/>
      <w:numFmt w:val="bullet"/>
      <w:lvlText w:val="o"/>
      <w:lvlJc w:val="left"/>
      <w:pPr>
        <w:ind w:left="3600" w:hanging="360"/>
      </w:pPr>
      <w:rPr>
        <w:rFonts w:ascii="Courier New" w:hAnsi="Courier New" w:cs="Courier New" w:hint="default"/>
      </w:rPr>
    </w:lvl>
    <w:lvl w:ilvl="5" w:tplc="0ED09F5A" w:tentative="1">
      <w:start w:val="1"/>
      <w:numFmt w:val="bullet"/>
      <w:lvlText w:val=""/>
      <w:lvlJc w:val="left"/>
      <w:pPr>
        <w:ind w:left="4320" w:hanging="360"/>
      </w:pPr>
      <w:rPr>
        <w:rFonts w:ascii="Wingdings" w:hAnsi="Wingdings" w:hint="default"/>
      </w:rPr>
    </w:lvl>
    <w:lvl w:ilvl="6" w:tplc="D4AA20FC" w:tentative="1">
      <w:start w:val="1"/>
      <w:numFmt w:val="bullet"/>
      <w:lvlText w:val=""/>
      <w:lvlJc w:val="left"/>
      <w:pPr>
        <w:ind w:left="5040" w:hanging="360"/>
      </w:pPr>
      <w:rPr>
        <w:rFonts w:ascii="Symbol" w:hAnsi="Symbol" w:hint="default"/>
      </w:rPr>
    </w:lvl>
    <w:lvl w:ilvl="7" w:tplc="E8084288" w:tentative="1">
      <w:start w:val="1"/>
      <w:numFmt w:val="bullet"/>
      <w:lvlText w:val="o"/>
      <w:lvlJc w:val="left"/>
      <w:pPr>
        <w:ind w:left="5760" w:hanging="360"/>
      </w:pPr>
      <w:rPr>
        <w:rFonts w:ascii="Courier New" w:hAnsi="Courier New" w:cs="Courier New" w:hint="default"/>
      </w:rPr>
    </w:lvl>
    <w:lvl w:ilvl="8" w:tplc="CF1E63B2"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407C0"/>
    <w:rsid w:val="00063A3E"/>
    <w:rsid w:val="0009018E"/>
    <w:rsid w:val="000A0CA5"/>
    <w:rsid w:val="000A2649"/>
    <w:rsid w:val="000A6254"/>
    <w:rsid w:val="000D25C4"/>
    <w:rsid w:val="000D5F42"/>
    <w:rsid w:val="000F194D"/>
    <w:rsid w:val="00127372"/>
    <w:rsid w:val="00133F0A"/>
    <w:rsid w:val="00144DEB"/>
    <w:rsid w:val="00154869"/>
    <w:rsid w:val="001641E1"/>
    <w:rsid w:val="00181698"/>
    <w:rsid w:val="001A68E1"/>
    <w:rsid w:val="001B543E"/>
    <w:rsid w:val="001C3548"/>
    <w:rsid w:val="00211BB4"/>
    <w:rsid w:val="00214B39"/>
    <w:rsid w:val="00225985"/>
    <w:rsid w:val="00234DF6"/>
    <w:rsid w:val="00236453"/>
    <w:rsid w:val="00246310"/>
    <w:rsid w:val="00265095"/>
    <w:rsid w:val="00292F66"/>
    <w:rsid w:val="002A3D03"/>
    <w:rsid w:val="002B2FE0"/>
    <w:rsid w:val="002C10EA"/>
    <w:rsid w:val="002C3CD9"/>
    <w:rsid w:val="002C4A14"/>
    <w:rsid w:val="002C6CC8"/>
    <w:rsid w:val="002E6D55"/>
    <w:rsid w:val="002F1258"/>
    <w:rsid w:val="00326A7D"/>
    <w:rsid w:val="003320A5"/>
    <w:rsid w:val="00377479"/>
    <w:rsid w:val="0038658C"/>
    <w:rsid w:val="003A1864"/>
    <w:rsid w:val="003B3A39"/>
    <w:rsid w:val="004203F8"/>
    <w:rsid w:val="00450780"/>
    <w:rsid w:val="00465018"/>
    <w:rsid w:val="00480F4F"/>
    <w:rsid w:val="004A11D3"/>
    <w:rsid w:val="004D7235"/>
    <w:rsid w:val="004E0037"/>
    <w:rsid w:val="004F68F1"/>
    <w:rsid w:val="0050262D"/>
    <w:rsid w:val="00506AB3"/>
    <w:rsid w:val="0052062C"/>
    <w:rsid w:val="00525EFD"/>
    <w:rsid w:val="00550799"/>
    <w:rsid w:val="00563EE0"/>
    <w:rsid w:val="00581B3C"/>
    <w:rsid w:val="00595B31"/>
    <w:rsid w:val="005A1F50"/>
    <w:rsid w:val="005C7305"/>
    <w:rsid w:val="005E5347"/>
    <w:rsid w:val="005F3ED8"/>
    <w:rsid w:val="00602554"/>
    <w:rsid w:val="006072B3"/>
    <w:rsid w:val="006103D6"/>
    <w:rsid w:val="00633B88"/>
    <w:rsid w:val="00643AE1"/>
    <w:rsid w:val="0065111C"/>
    <w:rsid w:val="00655026"/>
    <w:rsid w:val="00672107"/>
    <w:rsid w:val="00680D12"/>
    <w:rsid w:val="006811A9"/>
    <w:rsid w:val="00696D50"/>
    <w:rsid w:val="006A0318"/>
    <w:rsid w:val="00707D25"/>
    <w:rsid w:val="00707FC2"/>
    <w:rsid w:val="00711CBF"/>
    <w:rsid w:val="00734EC6"/>
    <w:rsid w:val="00771952"/>
    <w:rsid w:val="007737ED"/>
    <w:rsid w:val="00774563"/>
    <w:rsid w:val="007840C3"/>
    <w:rsid w:val="007A2F7D"/>
    <w:rsid w:val="007B2620"/>
    <w:rsid w:val="00807494"/>
    <w:rsid w:val="00825121"/>
    <w:rsid w:val="00825FD0"/>
    <w:rsid w:val="00831F2C"/>
    <w:rsid w:val="00873D90"/>
    <w:rsid w:val="00875502"/>
    <w:rsid w:val="008854CC"/>
    <w:rsid w:val="00893589"/>
    <w:rsid w:val="008C3EE7"/>
    <w:rsid w:val="00904EC0"/>
    <w:rsid w:val="00914BE8"/>
    <w:rsid w:val="0091720B"/>
    <w:rsid w:val="009379A0"/>
    <w:rsid w:val="009772A2"/>
    <w:rsid w:val="00977FB0"/>
    <w:rsid w:val="009A5F2F"/>
    <w:rsid w:val="009A7F7D"/>
    <w:rsid w:val="009C38BA"/>
    <w:rsid w:val="009D44AD"/>
    <w:rsid w:val="009E145D"/>
    <w:rsid w:val="00A342C5"/>
    <w:rsid w:val="00A616D3"/>
    <w:rsid w:val="00A63F6B"/>
    <w:rsid w:val="00A932CA"/>
    <w:rsid w:val="00AB52DF"/>
    <w:rsid w:val="00AD66DA"/>
    <w:rsid w:val="00AE39AE"/>
    <w:rsid w:val="00AE6DF7"/>
    <w:rsid w:val="00B0460A"/>
    <w:rsid w:val="00B26C60"/>
    <w:rsid w:val="00B32A23"/>
    <w:rsid w:val="00B51964"/>
    <w:rsid w:val="00B6593A"/>
    <w:rsid w:val="00BB2899"/>
    <w:rsid w:val="00BB2DFD"/>
    <w:rsid w:val="00BC3F1F"/>
    <w:rsid w:val="00BE2415"/>
    <w:rsid w:val="00BF6941"/>
    <w:rsid w:val="00C06ED8"/>
    <w:rsid w:val="00C32E56"/>
    <w:rsid w:val="00C61BEA"/>
    <w:rsid w:val="00C72012"/>
    <w:rsid w:val="00C83F13"/>
    <w:rsid w:val="00C855E0"/>
    <w:rsid w:val="00CA05BE"/>
    <w:rsid w:val="00CA28FA"/>
    <w:rsid w:val="00CB6927"/>
    <w:rsid w:val="00CC1B25"/>
    <w:rsid w:val="00CC2357"/>
    <w:rsid w:val="00D056E8"/>
    <w:rsid w:val="00D10EEB"/>
    <w:rsid w:val="00D14FCC"/>
    <w:rsid w:val="00D457AB"/>
    <w:rsid w:val="00D603B4"/>
    <w:rsid w:val="00D667AD"/>
    <w:rsid w:val="00D852A2"/>
    <w:rsid w:val="00D96F34"/>
    <w:rsid w:val="00DA15DD"/>
    <w:rsid w:val="00DB1447"/>
    <w:rsid w:val="00DB68D0"/>
    <w:rsid w:val="00DC116E"/>
    <w:rsid w:val="00DF10AD"/>
    <w:rsid w:val="00E56BF1"/>
    <w:rsid w:val="00EB4DF5"/>
    <w:rsid w:val="00EC0F5D"/>
    <w:rsid w:val="00EC5391"/>
    <w:rsid w:val="00EF4C0A"/>
    <w:rsid w:val="00F1347A"/>
    <w:rsid w:val="00F40EED"/>
    <w:rsid w:val="00F571BC"/>
    <w:rsid w:val="00F7096B"/>
    <w:rsid w:val="00F9186A"/>
    <w:rsid w:val="00F93C61"/>
    <w:rsid w:val="00FB6F9A"/>
    <w:rsid w:val="00FF369A"/>
    <w:rsid w:val="025790DD"/>
    <w:rsid w:val="06C45FAC"/>
    <w:rsid w:val="0AB4E2E7"/>
    <w:rsid w:val="0CE0B683"/>
    <w:rsid w:val="0CE91731"/>
    <w:rsid w:val="0D1F01C2"/>
    <w:rsid w:val="0D3533A2"/>
    <w:rsid w:val="0F78DFC5"/>
    <w:rsid w:val="11F272E5"/>
    <w:rsid w:val="124ADA52"/>
    <w:rsid w:val="1274D7BA"/>
    <w:rsid w:val="12CD3CE6"/>
    <w:rsid w:val="152A13A7"/>
    <w:rsid w:val="18FE7A28"/>
    <w:rsid w:val="19C70C5D"/>
    <w:rsid w:val="1A3CC3DA"/>
    <w:rsid w:val="1D52AD7A"/>
    <w:rsid w:val="1DFB20B4"/>
    <w:rsid w:val="1E8BC248"/>
    <w:rsid w:val="1F1034FD"/>
    <w:rsid w:val="217CE269"/>
    <w:rsid w:val="232104F7"/>
    <w:rsid w:val="23F417A9"/>
    <w:rsid w:val="243153E3"/>
    <w:rsid w:val="255FFE53"/>
    <w:rsid w:val="2759B20C"/>
    <w:rsid w:val="2A8AEB0C"/>
    <w:rsid w:val="2C5C4BC0"/>
    <w:rsid w:val="2CB11B9B"/>
    <w:rsid w:val="2DF81C21"/>
    <w:rsid w:val="3231A882"/>
    <w:rsid w:val="339F6A3F"/>
    <w:rsid w:val="36079B18"/>
    <w:rsid w:val="3AB2E870"/>
    <w:rsid w:val="3BD34A9C"/>
    <w:rsid w:val="3D524D4C"/>
    <w:rsid w:val="3D7AD1EB"/>
    <w:rsid w:val="3F89807C"/>
    <w:rsid w:val="4333BF87"/>
    <w:rsid w:val="454FFC7F"/>
    <w:rsid w:val="47D1AF25"/>
    <w:rsid w:val="496D7F86"/>
    <w:rsid w:val="4A75E1E7"/>
    <w:rsid w:val="4C11B248"/>
    <w:rsid w:val="4C2D1C79"/>
    <w:rsid w:val="551E8025"/>
    <w:rsid w:val="55FCF2E0"/>
    <w:rsid w:val="58CFDDCC"/>
    <w:rsid w:val="5A4F2CF9"/>
    <w:rsid w:val="5C3B7961"/>
    <w:rsid w:val="62222DCD"/>
    <w:rsid w:val="622C4662"/>
    <w:rsid w:val="62C1B738"/>
    <w:rsid w:val="65A0F08D"/>
    <w:rsid w:val="65D0191E"/>
    <w:rsid w:val="6A4C35E7"/>
    <w:rsid w:val="6B9C4562"/>
    <w:rsid w:val="6F2B5172"/>
    <w:rsid w:val="71A99E5C"/>
    <w:rsid w:val="75A4AA90"/>
    <w:rsid w:val="765B3149"/>
    <w:rsid w:val="79523BD2"/>
    <w:rsid w:val="79B4B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BDB"/>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B3"/>
    <w:rPr>
      <w:rFonts w:ascii="Segoe UI" w:hAnsi="Segoe UI" w:cs="Segoe UI"/>
      <w:sz w:val="18"/>
      <w:szCs w:val="18"/>
    </w:rPr>
  </w:style>
  <w:style w:type="paragraph" w:styleId="Revision">
    <w:name w:val="Revision"/>
    <w:hidden/>
    <w:uiPriority w:val="99"/>
    <w:semiHidden/>
    <w:rsid w:val="000F194D"/>
    <w:pPr>
      <w:spacing w:after="0" w:line="240" w:lineRule="auto"/>
    </w:pPr>
  </w:style>
  <w:style w:type="character" w:customStyle="1" w:styleId="UnresolvedMention1">
    <w:name w:val="Unresolved Mention1"/>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9A7F7D"/>
    <w:rPr>
      <w:b/>
      <w:bCs/>
    </w:rPr>
  </w:style>
  <w:style w:type="character" w:customStyle="1" w:styleId="CommentSubjectChar">
    <w:name w:val="Comment Subject Char"/>
    <w:basedOn w:val="CommentTextChar"/>
    <w:link w:val="CommentSubject"/>
    <w:uiPriority w:val="99"/>
    <w:semiHidden/>
    <w:rsid w:val="009A7F7D"/>
    <w:rPr>
      <w:b/>
      <w:bCs/>
      <w:sz w:val="20"/>
      <w:szCs w:val="20"/>
    </w:rPr>
  </w:style>
  <w:style w:type="character" w:styleId="UnresolvedMention">
    <w:name w:val="Unresolved Mention"/>
    <w:basedOn w:val="DefaultParagraphFont"/>
    <w:uiPriority w:val="99"/>
    <w:rsid w:val="009D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s-9-10-slides-chinese.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10/indicator10-vietnames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10/indicator10-spanish.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doe.mass.edu/sped/spp/indicators/indicator10/indicator10-portugu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10/indicator10-haitiancreol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2.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4.xml><?xml version="1.0" encoding="utf-8"?>
<ds:datastoreItem xmlns:ds="http://schemas.openxmlformats.org/officeDocument/2006/customXml" ds:itemID="{F49DA2A9-E114-4C39-84EB-B73343F3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1261</Words>
  <Characters>1389</Characters>
  <Application>Microsoft Office Word</Application>
  <DocSecurity>0</DocSecurity>
  <Lines>106</Lines>
  <Paragraphs>115</Paragraphs>
  <ScaleCrop>false</ScaleCrop>
  <HeadingPairs>
    <vt:vector size="2" baseType="variant">
      <vt:variant>
        <vt:lpstr>Title</vt:lpstr>
      </vt:variant>
      <vt:variant>
        <vt:i4>1</vt:i4>
      </vt:variant>
    </vt:vector>
  </HeadingPairs>
  <TitlesOfParts>
    <vt:vector size="1" baseType="lpstr">
      <vt:lpstr>Indicator 10: Disproportionate Representation in Specific Disability Categories — Chinese</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10: Disproportionate Representation in Specific Disability Categories — Chinese</dc:title>
  <dc:subject/>
  <dc:creator>DESE</dc:creator>
  <cp:keywords/>
  <cp:lastModifiedBy>Zou, Dong (EOE)</cp:lastModifiedBy>
  <cp:revision>14</cp:revision>
  <dcterms:created xsi:type="dcterms:W3CDTF">2022-10-18T13:30:00Z</dcterms:created>
  <dcterms:modified xsi:type="dcterms:W3CDTF">2023-01-26T18:06:00Z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