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0ADC6" w14:textId="71DCB1BC" w:rsidR="005C4316" w:rsidRPr="006670A1" w:rsidRDefault="00100A1A" w:rsidP="005C4316">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5C4316" w:rsidRPr="00715A9B">
          <w:rPr>
            <w:rStyle w:val="Hyperlink"/>
            <w:rFonts w:ascii="SimSun" w:eastAsia="SimSun" w:hAnsi="SimSun" w:cs="SimSun"/>
            <w:b/>
            <w:bCs/>
            <w:shd w:val="clear" w:color="auto" w:fill="FFFFFF"/>
          </w:rPr>
          <w:t>English</w:t>
        </w:r>
      </w:hyperlink>
      <w:r w:rsidR="005C4316" w:rsidRPr="006670A1">
        <w:rPr>
          <w:rFonts w:ascii="SimSun" w:eastAsia="SimSun" w:hAnsi="SimSun" w:cs="SimSun"/>
          <w:b/>
          <w:bCs/>
          <w:shd w:val="clear" w:color="auto" w:fill="FFFFFF"/>
        </w:rPr>
        <w:t> | </w:t>
      </w:r>
      <w:hyperlink r:id="rId9" w:history="1">
        <w:r w:rsidR="005C4316" w:rsidRPr="00647704">
          <w:rPr>
            <w:rStyle w:val="Hyperlink"/>
            <w:rFonts w:ascii="SimSun" w:eastAsia="SimSun" w:hAnsi="SimSun" w:cs="SimSun" w:hint="eastAsia"/>
            <w:b/>
            <w:bCs/>
          </w:rPr>
          <w:t>繁體中文</w:t>
        </w:r>
      </w:hyperlink>
      <w:r w:rsidR="005C4316" w:rsidRPr="006670A1">
        <w:rPr>
          <w:rFonts w:ascii="SimSun" w:eastAsia="SimSun" w:hAnsi="SimSun" w:cs="SimSun"/>
          <w:b/>
          <w:bCs/>
          <w:shd w:val="clear" w:color="auto" w:fill="FFFFFF"/>
        </w:rPr>
        <w:t> | </w:t>
      </w:r>
      <w:r w:rsidR="005C4316" w:rsidRPr="00647704">
        <w:rPr>
          <w:rFonts w:ascii="SimSun" w:eastAsia="SimSun" w:hAnsi="SimSun" w:cs="SimSun"/>
          <w:b/>
          <w:bCs/>
          <w:shd w:val="clear" w:color="auto" w:fill="FFFFFF"/>
        </w:rPr>
        <w:t>Kreyòl Ayisyen</w:t>
      </w:r>
      <w:r w:rsidR="005C4316" w:rsidRPr="006670A1">
        <w:rPr>
          <w:rFonts w:ascii="SimSun" w:eastAsia="SimSun" w:hAnsi="SimSun" w:cs="SimSun"/>
          <w:b/>
          <w:bCs/>
          <w:shd w:val="clear" w:color="auto" w:fill="FFFFFF"/>
        </w:rPr>
        <w:t> | </w:t>
      </w:r>
      <w:hyperlink r:id="rId10" w:history="1">
        <w:r w:rsidR="005C4316" w:rsidRPr="00715A9B">
          <w:rPr>
            <w:rStyle w:val="Hyperlink"/>
            <w:rFonts w:ascii="SimSun" w:eastAsia="SimSun" w:hAnsi="SimSun" w:cs="SimSun"/>
            <w:b/>
            <w:bCs/>
            <w:shd w:val="clear" w:color="auto" w:fill="FFFFFF"/>
          </w:rPr>
          <w:t>português</w:t>
        </w:r>
      </w:hyperlink>
      <w:r w:rsidR="005C4316" w:rsidRPr="006670A1">
        <w:rPr>
          <w:rFonts w:ascii="SimSun" w:eastAsia="SimSun" w:hAnsi="SimSun" w:cs="SimSun"/>
          <w:b/>
          <w:bCs/>
          <w:shd w:val="clear" w:color="auto" w:fill="FFFFFF"/>
        </w:rPr>
        <w:t>​ | </w:t>
      </w:r>
      <w:hyperlink r:id="rId11" w:history="1">
        <w:r w:rsidR="005C4316" w:rsidRPr="00715A9B">
          <w:rPr>
            <w:rStyle w:val="Hyperlink"/>
            <w:rFonts w:ascii="SimSun" w:eastAsia="SimSun" w:hAnsi="SimSun" w:cs="SimSun"/>
            <w:b/>
            <w:bCs/>
            <w:shd w:val="clear" w:color="auto" w:fill="FFFFFF"/>
          </w:rPr>
          <w:t>español</w:t>
        </w:r>
      </w:hyperlink>
      <w:r w:rsidR="005C4316" w:rsidRPr="006670A1">
        <w:rPr>
          <w:rFonts w:ascii="SimSun" w:eastAsia="SimSun" w:hAnsi="SimSun" w:cs="SimSun"/>
          <w:b/>
          <w:bCs/>
          <w:shd w:val="clear" w:color="auto" w:fill="FFFFFF"/>
        </w:rPr>
        <w:t> | </w:t>
      </w:r>
      <w:hyperlink r:id="rId12" w:history="1">
        <w:r w:rsidR="005C4316" w:rsidRPr="00715A9B">
          <w:rPr>
            <w:rStyle w:val="Hyperlink"/>
            <w:rFonts w:ascii="SimSun" w:eastAsia="SimSun" w:hAnsi="SimSun" w:cs="SimSun"/>
            <w:b/>
            <w:bCs/>
            <w:shd w:val="clear" w:color="auto" w:fill="FFFFFF"/>
          </w:rPr>
          <w:t>Vi</w:t>
        </w:r>
        <w:r w:rsidR="005C4316" w:rsidRPr="00715A9B">
          <w:rPr>
            <w:rStyle w:val="Hyperlink"/>
            <w:rFonts w:ascii="Cambria" w:eastAsia="SimSun" w:hAnsi="Cambria" w:cs="Cambria"/>
            <w:b/>
            <w:bCs/>
            <w:shd w:val="clear" w:color="auto" w:fill="FFFFFF"/>
          </w:rPr>
          <w:t>ệ</w:t>
        </w:r>
        <w:r w:rsidR="005C4316" w:rsidRPr="00715A9B">
          <w:rPr>
            <w:rStyle w:val="Hyperlink"/>
            <w:rFonts w:ascii="SimSun" w:eastAsia="SimSun" w:hAnsi="SimSun" w:cs="SimSun"/>
            <w:b/>
            <w:bCs/>
            <w:shd w:val="clear" w:color="auto" w:fill="FFFFFF"/>
          </w:rPr>
          <w:t>t</w:t>
        </w:r>
      </w:hyperlink>
    </w:p>
    <w:p w14:paraId="4871E179" w14:textId="152728D6" w:rsidR="000A196B" w:rsidRPr="004F6CBE" w:rsidRDefault="00F17167" w:rsidP="000F6373">
      <w:pPr>
        <w:rPr>
          <w:b/>
          <w:bCs/>
          <w:sz w:val="24"/>
          <w:szCs w:val="24"/>
        </w:rPr>
      </w:pPr>
      <w:r>
        <w:rPr>
          <w:b/>
          <w:sz w:val="24"/>
        </w:rPr>
        <w:t>Endikatè 17: Plan Amelyorasyon Sistemik Eta a</w:t>
      </w:r>
    </w:p>
    <w:p w14:paraId="5A28BFE2" w14:textId="16D83C44" w:rsidR="004F6CBE" w:rsidRPr="004F6CBE" w:rsidRDefault="004F6CBE" w:rsidP="001A59F2">
      <w:pPr>
        <w:rPr>
          <w:b/>
          <w:bCs/>
        </w:rPr>
      </w:pPr>
      <w:r>
        <w:rPr>
          <w:b/>
        </w:rPr>
        <w:t xml:space="preserve">Kisa Endikatè 17 ye? </w:t>
      </w:r>
    </w:p>
    <w:p w14:paraId="1C8EC8FE" w14:textId="588000D5" w:rsidR="001A59F2" w:rsidRDefault="00B02345" w:rsidP="001A59F2">
      <w:hyperlink r:id="rId13" w:history="1">
        <w:r w:rsidR="005C1B27">
          <w:rPr>
            <w:rStyle w:val="Hyperlink"/>
          </w:rPr>
          <w:t>Endikatè 17</w:t>
        </w:r>
      </w:hyperlink>
      <w:r w:rsidR="005C1B27">
        <w:t xml:space="preserve"> la se Plan Amelyorasyon Sistemik Eta a oswa SSIP (State Systemic Improvement Plan) SSIP a se yon plan sou plizyè ane ki konsantre sou amelyorasyon rezilte timoun ki gen andikap yo. Nan kad SSIP a, eta yo dwe idantifye yon Rezilta Mezirab Eta an Idantifye (oswa SiMR, State-identified Measurable Result) ak yon pratik ki baze sou prèv pou amelyore rezilta SiMR mezire yo. Massachusetts chwazi sou-endikatè 7A an (pousantaj timoun ki ann preskolè, ki gen laj 3 rive 5 lane ki gen IEP ki gen konpetans sosyo-emosyonèl pozitif) antanke SiMR epi li chwazi Modèl Piramid la antan ke yon pratik ki baze sou prèv. </w:t>
      </w:r>
    </w:p>
    <w:p w14:paraId="1B8EF0A8" w14:textId="0AEF2C54" w:rsidR="00316DFC" w:rsidRDefault="00316DFC" w:rsidP="00316DFC">
      <w:pPr>
        <w:rPr>
          <w:b/>
          <w:bCs/>
        </w:rPr>
      </w:pPr>
      <w:r>
        <w:rPr>
          <w:b/>
        </w:rPr>
        <w:t>Poukisa Massachusetts chwazi Sou-endikatè 7A antanke SiMR la?</w:t>
      </w:r>
    </w:p>
    <w:p w14:paraId="7DFFA99E" w14:textId="7E030EB8" w:rsidR="00316DFC" w:rsidRPr="004E5900" w:rsidRDefault="00316DFC" w:rsidP="00316DFC">
      <w:pPr>
        <w:numPr>
          <w:ilvl w:val="0"/>
          <w:numId w:val="1"/>
        </w:numPr>
        <w:spacing w:after="0" w:line="240" w:lineRule="auto"/>
        <w:ind w:left="720"/>
        <w:contextualSpacing/>
        <w:rPr>
          <w:rFonts w:eastAsia="Times New Roman" w:cstheme="minorHAnsi"/>
        </w:rPr>
      </w:pPr>
      <w:r>
        <w:t>Sante sosyo-emosyonèl gen yon enpak sou devlòpman ak aprantisaj (</w:t>
      </w:r>
      <w:hyperlink r:id="rId14" w:history="1">
        <w:r>
          <w:rPr>
            <w:color w:val="0070C0"/>
            <w:u w:val="single"/>
          </w:rPr>
          <w:t>NAEYC, 2018</w:t>
        </w:r>
      </w:hyperlink>
      <w:r>
        <w:t>)</w:t>
      </w:r>
    </w:p>
    <w:p w14:paraId="541B02B7" w14:textId="77777777" w:rsidR="00316DFC" w:rsidRPr="004E5900" w:rsidRDefault="00316DFC" w:rsidP="00316DFC">
      <w:pPr>
        <w:numPr>
          <w:ilvl w:val="1"/>
          <w:numId w:val="1"/>
        </w:numPr>
        <w:spacing w:after="0" w:line="240" w:lineRule="auto"/>
        <w:ind w:left="1440"/>
        <w:contextualSpacing/>
        <w:rPr>
          <w:rFonts w:eastAsia="Times New Roman" w:cstheme="minorHAnsi"/>
        </w:rPr>
      </w:pPr>
      <w:r>
        <w:t xml:space="preserve">Motivasyon ak atitid pou benefis lekòl </w:t>
      </w:r>
    </w:p>
    <w:p w14:paraId="2B440B1C" w14:textId="77777777" w:rsidR="00316DFC" w:rsidRPr="004E5900" w:rsidRDefault="00316DFC" w:rsidP="00316DFC">
      <w:pPr>
        <w:numPr>
          <w:ilvl w:val="1"/>
          <w:numId w:val="1"/>
        </w:numPr>
        <w:spacing w:after="0" w:line="240" w:lineRule="auto"/>
        <w:ind w:left="1440"/>
        <w:contextualSpacing/>
        <w:rPr>
          <w:rFonts w:eastAsia="Times New Roman" w:cstheme="minorHAnsi"/>
        </w:rPr>
      </w:pPr>
      <w:r>
        <w:t>Konsantrasyon ak patisipasyon nan aktivite klas yo</w:t>
      </w:r>
    </w:p>
    <w:p w14:paraId="6C6B08D6" w14:textId="77777777" w:rsidR="00316DFC" w:rsidRPr="004E5900" w:rsidRDefault="00316DFC" w:rsidP="00316DFC">
      <w:pPr>
        <w:numPr>
          <w:ilvl w:val="1"/>
          <w:numId w:val="1"/>
        </w:numPr>
        <w:spacing w:after="0" w:line="240" w:lineRule="auto"/>
        <w:ind w:left="1440"/>
        <w:contextualSpacing/>
        <w:rPr>
          <w:rFonts w:eastAsia="Times New Roman" w:cstheme="minorHAnsi"/>
        </w:rPr>
      </w:pPr>
      <w:r>
        <w:t>Pèfòmans akademik</w:t>
      </w:r>
    </w:p>
    <w:p w14:paraId="1484380F" w14:textId="666B4D2E" w:rsidR="00316DFC" w:rsidRDefault="00316DFC" w:rsidP="00316DFC">
      <w:pPr>
        <w:numPr>
          <w:ilvl w:val="1"/>
          <w:numId w:val="1"/>
        </w:numPr>
        <w:spacing w:after="0" w:line="240" w:lineRule="auto"/>
        <w:ind w:left="1440"/>
        <w:contextualSpacing/>
        <w:rPr>
          <w:rFonts w:eastAsia="Times New Roman" w:cstheme="minorHAnsi"/>
        </w:rPr>
      </w:pPr>
      <w:r>
        <w:t>Kontwòl emosyonèl</w:t>
      </w:r>
    </w:p>
    <w:p w14:paraId="3D7CD333" w14:textId="3D31BE12" w:rsidR="00316DFC" w:rsidRPr="00316DFC" w:rsidRDefault="00316DFC" w:rsidP="00316DFC">
      <w:pPr>
        <w:numPr>
          <w:ilvl w:val="0"/>
          <w:numId w:val="1"/>
        </w:numPr>
        <w:tabs>
          <w:tab w:val="clear" w:pos="-720"/>
        </w:tabs>
        <w:spacing w:after="0" w:line="240" w:lineRule="auto"/>
        <w:ind w:left="720"/>
        <w:contextualSpacing/>
        <w:rPr>
          <w:rFonts w:eastAsia="Times New Roman" w:cstheme="minorHAnsi"/>
        </w:rPr>
      </w:pPr>
      <w:r>
        <w:t>Devlòpman sosyo-emosyonèl kontribiye nan preparasyon pou lekòl (</w:t>
      </w:r>
      <w:hyperlink r:id="rId15" w:anchor=":~:text=This%20brief%20summarizes%20early%20childhood%20through%20early%20postsecondary,early%20as%20prekindergarten%20and%20throughout%20their%20academic%20career." w:history="1">
        <w:r>
          <w:rPr>
            <w:rStyle w:val="Hyperlink"/>
          </w:rPr>
          <w:t>The College &amp; Career Readiness &amp; Success Center, 2013</w:t>
        </w:r>
      </w:hyperlink>
      <w:r>
        <w:t>)</w:t>
      </w:r>
    </w:p>
    <w:p w14:paraId="38559D9E" w14:textId="478C9183" w:rsidR="00316DFC" w:rsidRDefault="00316DFC" w:rsidP="00316DFC">
      <w:pPr>
        <w:spacing w:after="0" w:line="240" w:lineRule="auto"/>
        <w:contextualSpacing/>
        <w:rPr>
          <w:rFonts w:eastAsiaTheme="minorEastAsia" w:cstheme="minorHAnsi"/>
          <w:kern w:val="24"/>
          <w:position w:val="1"/>
        </w:rPr>
      </w:pPr>
    </w:p>
    <w:p w14:paraId="76B723A1" w14:textId="6CFF89FA" w:rsidR="00316DFC" w:rsidRDefault="000E68FD" w:rsidP="00316DFC">
      <w:pPr>
        <w:spacing w:line="240" w:lineRule="auto"/>
        <w:rPr>
          <w:rFonts w:eastAsiaTheme="minorEastAsia" w:cstheme="minorHAnsi"/>
          <w:b/>
          <w:bCs/>
          <w:kern w:val="24"/>
          <w:position w:val="1"/>
        </w:rPr>
      </w:pPr>
      <w:r>
        <w:rPr>
          <w:b/>
        </w:rPr>
        <w:t>Done ak Objektif Endikatè 17 SiMR la</w:t>
      </w:r>
    </w:p>
    <w:p w14:paraId="51610C12" w14:textId="727A332B" w:rsidR="00316DFC" w:rsidRPr="00316DFC" w:rsidRDefault="000E68FD" w:rsidP="000E68FD">
      <w:pPr>
        <w:spacing w:after="0" w:line="240" w:lineRule="auto"/>
        <w:rPr>
          <w:rFonts w:eastAsiaTheme="minorEastAsia" w:cstheme="minorHAnsi"/>
          <w:kern w:val="24"/>
          <w:position w:val="1"/>
        </w:rPr>
      </w:pPr>
      <w:r>
        <w:t>Yo prezante done SiMR (Sou-endikatè 7A) yo selon de (2) deklarasyon rezime:</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001"/>
      </w:tblGrid>
      <w:tr w:rsidR="00316DFC" w14:paraId="3EB5C675" w14:textId="77777777" w:rsidTr="00272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B4C6E7" w:themeFill="accent1" w:themeFillTint="66"/>
          </w:tcPr>
          <w:p w14:paraId="61006904" w14:textId="77777777" w:rsidR="00316DFC" w:rsidRPr="000D5F42" w:rsidRDefault="00316DFC" w:rsidP="00272C61">
            <w:pPr>
              <w:rPr>
                <w:b w:val="0"/>
                <w:bCs w:val="0"/>
              </w:rPr>
            </w:pPr>
            <w:r>
              <w:rPr>
                <w:rFonts w:hAnsi="Calibri"/>
                <w:color w:val="000000" w:themeColor="text1"/>
              </w:rPr>
              <w:t>Deklarasyon Rezime 1</w:t>
            </w:r>
          </w:p>
        </w:tc>
        <w:tc>
          <w:tcPr>
            <w:tcW w:w="8005" w:type="dxa"/>
          </w:tcPr>
          <w:p w14:paraId="67C9AB19" w14:textId="77777777" w:rsidR="00316DFC" w:rsidRPr="000D5F42" w:rsidRDefault="00316DFC" w:rsidP="00272C61">
            <w:pPr>
              <w:cnfStyle w:val="100000000000" w:firstRow="1" w:lastRow="0" w:firstColumn="0" w:lastColumn="0" w:oddVBand="0" w:evenVBand="0" w:oddHBand="0" w:evenHBand="0" w:firstRowFirstColumn="0" w:firstRowLastColumn="0" w:lastRowFirstColumn="0" w:lastRowLastColumn="0"/>
            </w:pPr>
            <w:r>
              <w:rPr>
                <w:rFonts w:hAnsi="Calibri"/>
                <w:b w:val="0"/>
                <w:color w:val="000000" w:themeColor="text1"/>
              </w:rPr>
              <w:t>Nan kantite timoun ki antre nan pwogram preskolè yo ki pi ba laj yo mande a, pousantaj ki te jwenn avantaj nan moman yo vin gen 6 lane yo oswa nan moman yo vin kite pwogram lan</w:t>
            </w:r>
          </w:p>
        </w:tc>
      </w:tr>
      <w:tr w:rsidR="00316DFC" w14:paraId="2EC2FA8C" w14:textId="77777777" w:rsidTr="00272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B4C6E7" w:themeFill="accent1" w:themeFillTint="66"/>
          </w:tcPr>
          <w:p w14:paraId="5E8B5151" w14:textId="77777777" w:rsidR="00316DFC" w:rsidRPr="000D5F42" w:rsidRDefault="00316DFC" w:rsidP="00272C61">
            <w:pPr>
              <w:rPr>
                <w:b w:val="0"/>
                <w:bCs w:val="0"/>
              </w:rPr>
            </w:pPr>
            <w:r>
              <w:rPr>
                <w:color w:val="000000" w:themeColor="dark1"/>
              </w:rPr>
              <w:t>Deklarasyon Rezime 2</w:t>
            </w:r>
          </w:p>
        </w:tc>
        <w:tc>
          <w:tcPr>
            <w:tcW w:w="8005" w:type="dxa"/>
          </w:tcPr>
          <w:p w14:paraId="21BB6FF6" w14:textId="77777777" w:rsidR="00316DFC" w:rsidRPr="00211BB4" w:rsidRDefault="00316DFC" w:rsidP="00272C61">
            <w:pPr>
              <w:cnfStyle w:val="000000100000" w:firstRow="0" w:lastRow="0" w:firstColumn="0" w:lastColumn="0" w:oddVBand="0" w:evenVBand="0" w:oddHBand="1" w:evenHBand="0" w:firstRowFirstColumn="0" w:firstRowLastColumn="0" w:lastRowFirstColumn="0" w:lastRowLastColumn="0"/>
            </w:pPr>
            <w:r>
              <w:rPr>
                <w:color w:val="000000" w:themeColor="dark1"/>
              </w:rPr>
              <w:t>Pousantaj timoun ki nan preskolè ki te nan tranch laj yo mande a nan moman yo te gen 6 lane oswa yo te kite pwogram lan.</w:t>
            </w:r>
          </w:p>
        </w:tc>
      </w:tr>
    </w:tbl>
    <w:p w14:paraId="60B8C772" w14:textId="225D1AFB" w:rsidR="00316DFC" w:rsidRDefault="00316DFC" w:rsidP="00316DFC">
      <w:pPr>
        <w:spacing w:after="0" w:line="240" w:lineRule="auto"/>
        <w:contextualSpacing/>
        <w:rPr>
          <w:rFonts w:eastAsiaTheme="minorEastAsia" w:cstheme="minorHAnsi"/>
          <w:b/>
          <w:bCs/>
          <w:kern w:val="24"/>
          <w:position w:val="1"/>
        </w:rPr>
      </w:pPr>
    </w:p>
    <w:p w14:paraId="68E0DD08" w14:textId="334A6439" w:rsidR="000E68FD" w:rsidRPr="000E68FD" w:rsidRDefault="000E68FD" w:rsidP="000E68FD">
      <w:pPr>
        <w:spacing w:after="0" w:line="240" w:lineRule="auto"/>
        <w:rPr>
          <w:rFonts w:eastAsiaTheme="minorEastAsia" w:cstheme="minorHAnsi"/>
          <w:kern w:val="24"/>
          <w:position w:val="1"/>
        </w:rPr>
      </w:pPr>
      <w:r>
        <w:t>Done Endikatè 17 SiMR  yo</w:t>
      </w:r>
    </w:p>
    <w:tbl>
      <w:tblPr>
        <w:tblStyle w:val="TableGrid"/>
        <w:tblW w:w="9352" w:type="dxa"/>
        <w:tblLook w:val="04A0" w:firstRow="1" w:lastRow="0" w:firstColumn="1" w:lastColumn="0" w:noHBand="0" w:noVBand="1"/>
      </w:tblPr>
      <w:tblGrid>
        <w:gridCol w:w="1349"/>
        <w:gridCol w:w="966"/>
        <w:gridCol w:w="956"/>
        <w:gridCol w:w="1052"/>
        <w:gridCol w:w="1011"/>
        <w:gridCol w:w="1053"/>
        <w:gridCol w:w="956"/>
        <w:gridCol w:w="1053"/>
        <w:gridCol w:w="956"/>
      </w:tblGrid>
      <w:tr w:rsidR="000E68FD" w14:paraId="0FC8D483" w14:textId="77777777" w:rsidTr="0B77539F">
        <w:trPr>
          <w:trHeight w:val="796"/>
        </w:trPr>
        <w:tc>
          <w:tcPr>
            <w:tcW w:w="1261" w:type="dxa"/>
            <w:shd w:val="clear" w:color="auto" w:fill="B4C6E7" w:themeFill="accent1" w:themeFillTint="66"/>
          </w:tcPr>
          <w:p w14:paraId="41BFF479" w14:textId="186B31FB" w:rsidR="000E68FD" w:rsidRPr="000E68FD" w:rsidRDefault="000E68FD" w:rsidP="00272C61">
            <w:pPr>
              <w:rPr>
                <w:b/>
                <w:bCs/>
              </w:rPr>
            </w:pPr>
            <w:r>
              <w:rPr>
                <w:b/>
              </w:rPr>
              <w:t>SiMR (7A)</w:t>
            </w:r>
          </w:p>
        </w:tc>
        <w:tc>
          <w:tcPr>
            <w:tcW w:w="1011" w:type="dxa"/>
            <w:shd w:val="clear" w:color="auto" w:fill="B4C6E7" w:themeFill="accent1" w:themeFillTint="66"/>
          </w:tcPr>
          <w:p w14:paraId="7C128AF6" w14:textId="77777777" w:rsidR="000E68FD" w:rsidRPr="00B0460A" w:rsidRDefault="000E68FD" w:rsidP="00272C61">
            <w:pPr>
              <w:rPr>
                <w:b/>
                <w:bCs/>
              </w:rPr>
            </w:pPr>
            <w:r>
              <w:rPr>
                <w:b/>
              </w:rPr>
              <w:t>Done FFY17 (N=651)</w:t>
            </w:r>
          </w:p>
        </w:tc>
        <w:tc>
          <w:tcPr>
            <w:tcW w:w="862" w:type="dxa"/>
            <w:shd w:val="clear" w:color="auto" w:fill="B4C6E7" w:themeFill="accent1" w:themeFillTint="66"/>
          </w:tcPr>
          <w:p w14:paraId="6E6A0ABB" w14:textId="77777777" w:rsidR="000E68FD" w:rsidRPr="00B0460A" w:rsidRDefault="000E68FD" w:rsidP="00272C61">
            <w:pPr>
              <w:rPr>
                <w:b/>
                <w:bCs/>
              </w:rPr>
            </w:pPr>
            <w:r>
              <w:rPr>
                <w:b/>
              </w:rPr>
              <w:t>Objektif FFY17</w:t>
            </w:r>
          </w:p>
        </w:tc>
        <w:tc>
          <w:tcPr>
            <w:tcW w:w="1101" w:type="dxa"/>
            <w:shd w:val="clear" w:color="auto" w:fill="B4C6E7" w:themeFill="accent1" w:themeFillTint="66"/>
          </w:tcPr>
          <w:p w14:paraId="752AA270" w14:textId="77777777" w:rsidR="000E68FD" w:rsidRPr="00B0460A" w:rsidRDefault="000E68FD" w:rsidP="00272C61">
            <w:pPr>
              <w:rPr>
                <w:b/>
                <w:bCs/>
              </w:rPr>
            </w:pPr>
            <w:r>
              <w:rPr>
                <w:b/>
              </w:rPr>
              <w:t>Done FFY18 (n=1045)</w:t>
            </w:r>
          </w:p>
        </w:tc>
        <w:tc>
          <w:tcPr>
            <w:tcW w:w="1114" w:type="dxa"/>
            <w:shd w:val="clear" w:color="auto" w:fill="B4C6E7" w:themeFill="accent1" w:themeFillTint="66"/>
          </w:tcPr>
          <w:p w14:paraId="7FA6A249" w14:textId="77777777" w:rsidR="000E68FD" w:rsidRPr="00B0460A" w:rsidRDefault="000E68FD" w:rsidP="00272C61">
            <w:pPr>
              <w:rPr>
                <w:b/>
                <w:bCs/>
              </w:rPr>
            </w:pPr>
            <w:r>
              <w:rPr>
                <w:b/>
              </w:rPr>
              <w:t>Objektif FFY18</w:t>
            </w:r>
          </w:p>
        </w:tc>
        <w:tc>
          <w:tcPr>
            <w:tcW w:w="1101" w:type="dxa"/>
            <w:shd w:val="clear" w:color="auto" w:fill="B4C6E7" w:themeFill="accent1" w:themeFillTint="66"/>
          </w:tcPr>
          <w:p w14:paraId="36ACD79C" w14:textId="77777777" w:rsidR="000E68FD" w:rsidRPr="00B0460A" w:rsidRDefault="000E68FD" w:rsidP="00272C61">
            <w:pPr>
              <w:rPr>
                <w:b/>
                <w:bCs/>
              </w:rPr>
            </w:pPr>
            <w:r>
              <w:rPr>
                <w:b/>
              </w:rPr>
              <w:t>Done FFY19 (n=1150)</w:t>
            </w:r>
          </w:p>
        </w:tc>
        <w:tc>
          <w:tcPr>
            <w:tcW w:w="946" w:type="dxa"/>
            <w:shd w:val="clear" w:color="auto" w:fill="B4C6E7" w:themeFill="accent1" w:themeFillTint="66"/>
          </w:tcPr>
          <w:p w14:paraId="1FD856B6" w14:textId="77777777" w:rsidR="000E68FD" w:rsidRPr="00B0460A" w:rsidRDefault="000E68FD" w:rsidP="00272C61">
            <w:pPr>
              <w:rPr>
                <w:b/>
                <w:bCs/>
              </w:rPr>
            </w:pPr>
            <w:r>
              <w:rPr>
                <w:b/>
              </w:rPr>
              <w:t>Objektif FFY19</w:t>
            </w:r>
          </w:p>
        </w:tc>
        <w:tc>
          <w:tcPr>
            <w:tcW w:w="1101" w:type="dxa"/>
            <w:shd w:val="clear" w:color="auto" w:fill="B4C6E7" w:themeFill="accent1" w:themeFillTint="66"/>
          </w:tcPr>
          <w:p w14:paraId="49835231" w14:textId="77777777" w:rsidR="000E68FD" w:rsidRDefault="000E68FD" w:rsidP="00272C61">
            <w:pPr>
              <w:rPr>
                <w:b/>
                <w:bCs/>
              </w:rPr>
            </w:pPr>
            <w:r>
              <w:rPr>
                <w:b/>
              </w:rPr>
              <w:t>Done</w:t>
            </w:r>
          </w:p>
          <w:p w14:paraId="4DF505FB" w14:textId="77777777" w:rsidR="000E68FD" w:rsidRDefault="000E68FD" w:rsidP="00272C61">
            <w:pPr>
              <w:rPr>
                <w:b/>
                <w:bCs/>
              </w:rPr>
            </w:pPr>
            <w:r>
              <w:rPr>
                <w:b/>
              </w:rPr>
              <w:t>FFY20</w:t>
            </w:r>
          </w:p>
          <w:p w14:paraId="4BF34267" w14:textId="77777777" w:rsidR="000E68FD" w:rsidRPr="00B0460A" w:rsidRDefault="000E68FD" w:rsidP="00272C61">
            <w:pPr>
              <w:rPr>
                <w:b/>
                <w:bCs/>
              </w:rPr>
            </w:pPr>
            <w:r>
              <w:rPr>
                <w:b/>
              </w:rPr>
              <w:t>(n=1316)</w:t>
            </w:r>
          </w:p>
        </w:tc>
        <w:tc>
          <w:tcPr>
            <w:tcW w:w="855" w:type="dxa"/>
            <w:shd w:val="clear" w:color="auto" w:fill="B4C6E7" w:themeFill="accent1" w:themeFillTint="66"/>
          </w:tcPr>
          <w:p w14:paraId="4E47498D" w14:textId="77777777" w:rsidR="000E68FD" w:rsidRDefault="000E68FD" w:rsidP="00272C61">
            <w:pPr>
              <w:rPr>
                <w:b/>
                <w:bCs/>
              </w:rPr>
            </w:pPr>
            <w:r>
              <w:rPr>
                <w:b/>
              </w:rPr>
              <w:t>Objektif</w:t>
            </w:r>
          </w:p>
          <w:p w14:paraId="1FDD81CA" w14:textId="77777777" w:rsidR="000E68FD" w:rsidRPr="00B0460A" w:rsidRDefault="000E68FD" w:rsidP="00272C61">
            <w:pPr>
              <w:rPr>
                <w:b/>
                <w:bCs/>
              </w:rPr>
            </w:pPr>
            <w:r>
              <w:rPr>
                <w:b/>
              </w:rPr>
              <w:t>FFY20</w:t>
            </w:r>
          </w:p>
        </w:tc>
      </w:tr>
      <w:tr w:rsidR="000E68FD" w14:paraId="7606AAF6" w14:textId="77777777" w:rsidTr="0B77539F">
        <w:trPr>
          <w:trHeight w:val="807"/>
        </w:trPr>
        <w:tc>
          <w:tcPr>
            <w:tcW w:w="1261" w:type="dxa"/>
          </w:tcPr>
          <w:p w14:paraId="268D6CEC" w14:textId="77777777" w:rsidR="000E68FD" w:rsidRPr="00B0460A" w:rsidRDefault="000E68FD" w:rsidP="00272C61">
            <w:pPr>
              <w:rPr>
                <w:b/>
                <w:bCs/>
              </w:rPr>
            </w:pPr>
            <w:r>
              <w:rPr>
                <w:b/>
              </w:rPr>
              <w:t>Deklarasyon Rezime 1</w:t>
            </w:r>
          </w:p>
        </w:tc>
        <w:tc>
          <w:tcPr>
            <w:tcW w:w="1011" w:type="dxa"/>
          </w:tcPr>
          <w:p w14:paraId="1A987094" w14:textId="77777777" w:rsidR="000E68FD" w:rsidRDefault="000E68FD" w:rsidP="00272C61">
            <w:r>
              <w:t>85.61%</w:t>
            </w:r>
          </w:p>
        </w:tc>
        <w:tc>
          <w:tcPr>
            <w:tcW w:w="862" w:type="dxa"/>
          </w:tcPr>
          <w:p w14:paraId="6523A53F" w14:textId="77777777" w:rsidR="000E68FD" w:rsidRDefault="000E68FD" w:rsidP="00272C61">
            <w:r>
              <w:t>--</w:t>
            </w:r>
          </w:p>
        </w:tc>
        <w:tc>
          <w:tcPr>
            <w:tcW w:w="1101" w:type="dxa"/>
          </w:tcPr>
          <w:p w14:paraId="238746AB" w14:textId="77777777" w:rsidR="000E68FD" w:rsidRDefault="000E68FD" w:rsidP="00272C61">
            <w:r>
              <w:t>85.17%</w:t>
            </w:r>
          </w:p>
        </w:tc>
        <w:tc>
          <w:tcPr>
            <w:tcW w:w="1114" w:type="dxa"/>
          </w:tcPr>
          <w:p w14:paraId="17AECD5D" w14:textId="77777777" w:rsidR="000E68FD" w:rsidRPr="00B0460A" w:rsidRDefault="000E68FD" w:rsidP="00272C61">
            <w:pPr>
              <w:rPr>
                <w:b/>
                <w:bCs/>
              </w:rPr>
            </w:pPr>
            <w:r>
              <w:rPr>
                <w:b/>
              </w:rPr>
              <w:t>86.00%</w:t>
            </w:r>
          </w:p>
        </w:tc>
        <w:tc>
          <w:tcPr>
            <w:tcW w:w="1101" w:type="dxa"/>
          </w:tcPr>
          <w:p w14:paraId="280927F4" w14:textId="77777777" w:rsidR="000E68FD" w:rsidRDefault="000E68FD" w:rsidP="00272C61">
            <w:r>
              <w:t>82.44%</w:t>
            </w:r>
          </w:p>
        </w:tc>
        <w:tc>
          <w:tcPr>
            <w:tcW w:w="946" w:type="dxa"/>
          </w:tcPr>
          <w:p w14:paraId="024E73D7" w14:textId="77777777" w:rsidR="000E68FD" w:rsidRPr="00B0460A" w:rsidRDefault="000E68FD" w:rsidP="00272C61">
            <w:pPr>
              <w:rPr>
                <w:b/>
                <w:bCs/>
              </w:rPr>
            </w:pPr>
            <w:r>
              <w:rPr>
                <w:b/>
              </w:rPr>
              <w:t>86.00%</w:t>
            </w:r>
          </w:p>
        </w:tc>
        <w:tc>
          <w:tcPr>
            <w:tcW w:w="1101" w:type="dxa"/>
          </w:tcPr>
          <w:p w14:paraId="16BEBB6D" w14:textId="77777777" w:rsidR="000E68FD" w:rsidRPr="004243FF" w:rsidRDefault="000E68FD" w:rsidP="00272C61">
            <w:r>
              <w:t>80.09%</w:t>
            </w:r>
          </w:p>
        </w:tc>
        <w:tc>
          <w:tcPr>
            <w:tcW w:w="855" w:type="dxa"/>
          </w:tcPr>
          <w:p w14:paraId="2E29008B" w14:textId="77777777" w:rsidR="000E68FD" w:rsidRPr="00B0460A" w:rsidRDefault="000E68FD" w:rsidP="00272C61">
            <w:pPr>
              <w:rPr>
                <w:b/>
                <w:bCs/>
              </w:rPr>
            </w:pPr>
            <w:r>
              <w:rPr>
                <w:b/>
              </w:rPr>
              <w:t>86.00%</w:t>
            </w:r>
          </w:p>
        </w:tc>
      </w:tr>
      <w:tr w:rsidR="000E68FD" w14:paraId="1CB4C1C0" w14:textId="77777777" w:rsidTr="0B77539F">
        <w:trPr>
          <w:trHeight w:val="807"/>
        </w:trPr>
        <w:tc>
          <w:tcPr>
            <w:tcW w:w="1261" w:type="dxa"/>
          </w:tcPr>
          <w:p w14:paraId="78D990BB" w14:textId="77777777" w:rsidR="000E68FD" w:rsidRPr="00B0460A" w:rsidRDefault="000E68FD" w:rsidP="00272C61">
            <w:pPr>
              <w:rPr>
                <w:b/>
                <w:bCs/>
              </w:rPr>
            </w:pPr>
            <w:r>
              <w:rPr>
                <w:b/>
              </w:rPr>
              <w:t>Deklarasyon Rezime 2</w:t>
            </w:r>
          </w:p>
        </w:tc>
        <w:tc>
          <w:tcPr>
            <w:tcW w:w="1011" w:type="dxa"/>
          </w:tcPr>
          <w:p w14:paraId="4D924F64" w14:textId="77777777" w:rsidR="000E68FD" w:rsidRDefault="000E68FD" w:rsidP="00272C61">
            <w:r>
              <w:t>47.00%</w:t>
            </w:r>
          </w:p>
        </w:tc>
        <w:tc>
          <w:tcPr>
            <w:tcW w:w="862" w:type="dxa"/>
          </w:tcPr>
          <w:p w14:paraId="00FC9A1B" w14:textId="77777777" w:rsidR="000E68FD" w:rsidRDefault="000E68FD" w:rsidP="00272C61">
            <w:r>
              <w:t>--</w:t>
            </w:r>
          </w:p>
        </w:tc>
        <w:tc>
          <w:tcPr>
            <w:tcW w:w="1101" w:type="dxa"/>
          </w:tcPr>
          <w:p w14:paraId="75B0AB10" w14:textId="77777777" w:rsidR="000E68FD" w:rsidRDefault="000E68FD" w:rsidP="00272C61">
            <w:r>
              <w:t>46.03%</w:t>
            </w:r>
          </w:p>
        </w:tc>
        <w:tc>
          <w:tcPr>
            <w:tcW w:w="1114" w:type="dxa"/>
          </w:tcPr>
          <w:p w14:paraId="159F79EE" w14:textId="77777777" w:rsidR="000E68FD" w:rsidRPr="00B0460A" w:rsidRDefault="000E68FD" w:rsidP="00272C61">
            <w:pPr>
              <w:rPr>
                <w:b/>
                <w:bCs/>
              </w:rPr>
            </w:pPr>
            <w:r>
              <w:rPr>
                <w:b/>
              </w:rPr>
              <w:t>50.00%</w:t>
            </w:r>
          </w:p>
        </w:tc>
        <w:tc>
          <w:tcPr>
            <w:tcW w:w="1101" w:type="dxa"/>
          </w:tcPr>
          <w:p w14:paraId="22155AE2" w14:textId="77777777" w:rsidR="000E68FD" w:rsidRDefault="000E68FD" w:rsidP="00272C61">
            <w:r>
              <w:t>43.74%</w:t>
            </w:r>
          </w:p>
        </w:tc>
        <w:tc>
          <w:tcPr>
            <w:tcW w:w="946" w:type="dxa"/>
          </w:tcPr>
          <w:p w14:paraId="284C4527" w14:textId="77777777" w:rsidR="000E68FD" w:rsidRPr="00B0460A" w:rsidRDefault="000E68FD" w:rsidP="00272C61">
            <w:pPr>
              <w:rPr>
                <w:b/>
                <w:bCs/>
              </w:rPr>
            </w:pPr>
            <w:r>
              <w:rPr>
                <w:b/>
              </w:rPr>
              <w:t>50.00%</w:t>
            </w:r>
          </w:p>
        </w:tc>
        <w:tc>
          <w:tcPr>
            <w:tcW w:w="1101" w:type="dxa"/>
          </w:tcPr>
          <w:p w14:paraId="1105B3BA" w14:textId="77777777" w:rsidR="000E68FD" w:rsidRPr="004243FF" w:rsidRDefault="000E68FD" w:rsidP="00272C61">
            <w:r>
              <w:t>44.53%</w:t>
            </w:r>
          </w:p>
        </w:tc>
        <w:tc>
          <w:tcPr>
            <w:tcW w:w="855" w:type="dxa"/>
          </w:tcPr>
          <w:p w14:paraId="22CC8FC8" w14:textId="77777777" w:rsidR="000E68FD" w:rsidRDefault="000E68FD" w:rsidP="00272C61">
            <w:pPr>
              <w:rPr>
                <w:b/>
                <w:bCs/>
              </w:rPr>
            </w:pPr>
            <w:r>
              <w:rPr>
                <w:b/>
              </w:rPr>
              <w:t>50.00%</w:t>
            </w:r>
          </w:p>
        </w:tc>
      </w:tr>
    </w:tbl>
    <w:p w14:paraId="3F301961" w14:textId="77777777" w:rsidR="000E68FD" w:rsidRDefault="000E68FD" w:rsidP="00316DFC">
      <w:pPr>
        <w:spacing w:after="0" w:line="240" w:lineRule="auto"/>
        <w:contextualSpacing/>
        <w:rPr>
          <w:rFonts w:eastAsiaTheme="minorEastAsia" w:cstheme="minorHAnsi"/>
          <w:b/>
          <w:bCs/>
          <w:kern w:val="24"/>
          <w:position w:val="1"/>
        </w:rPr>
      </w:pPr>
    </w:p>
    <w:p w14:paraId="12C6569B" w14:textId="058393E1" w:rsidR="00316DFC" w:rsidRDefault="00316DFC" w:rsidP="00316DFC">
      <w:pPr>
        <w:spacing w:after="0" w:line="240" w:lineRule="auto"/>
        <w:contextualSpacing/>
        <w:rPr>
          <w:rFonts w:eastAsia="Times New Roman" w:cstheme="minorHAnsi"/>
        </w:rPr>
      </w:pPr>
      <w:r>
        <w:t>Objektif SiMR pouy Ane Fiskal Federal 2020 - Ane Fiskal Federal 2025 lan:</w:t>
      </w:r>
    </w:p>
    <w:tbl>
      <w:tblPr>
        <w:tblStyle w:val="ListTable3-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94"/>
        <w:gridCol w:w="1338"/>
        <w:gridCol w:w="1231"/>
        <w:gridCol w:w="1262"/>
        <w:gridCol w:w="1283"/>
        <w:gridCol w:w="1305"/>
        <w:gridCol w:w="1337"/>
      </w:tblGrid>
      <w:tr w:rsidR="00316DFC" w:rsidRPr="00316DFC" w14:paraId="1215904E" w14:textId="77777777" w:rsidTr="000E68FD">
        <w:trPr>
          <w:cnfStyle w:val="100000000000" w:firstRow="1" w:lastRow="0" w:firstColumn="0" w:lastColumn="0" w:oddVBand="0" w:evenVBand="0" w:oddHBand="0" w:evenHBand="0" w:firstRowFirstColumn="0" w:firstRowLastColumn="0" w:lastRowFirstColumn="0" w:lastRowLastColumn="0"/>
          <w:trHeight w:val="421"/>
        </w:trPr>
        <w:tc>
          <w:tcPr>
            <w:tcW w:w="852" w:type="pct"/>
            <w:shd w:val="clear" w:color="auto" w:fill="B4C6E7" w:themeFill="accent1" w:themeFillTint="66"/>
            <w:hideMark/>
          </w:tcPr>
          <w:p w14:paraId="1F86A239" w14:textId="77777777" w:rsidR="00316DFC" w:rsidRPr="00316DFC" w:rsidRDefault="00316DFC" w:rsidP="00316DFC">
            <w:pPr>
              <w:contextualSpacing/>
              <w:rPr>
                <w:rFonts w:eastAsia="Times New Roman" w:cstheme="minorHAnsi"/>
                <w:color w:val="auto"/>
              </w:rPr>
            </w:pPr>
            <w:r>
              <w:rPr>
                <w:color w:val="auto"/>
              </w:rPr>
              <w:t>SiMR (7A)</w:t>
            </w:r>
          </w:p>
        </w:tc>
        <w:tc>
          <w:tcPr>
            <w:tcW w:w="715" w:type="pct"/>
            <w:shd w:val="clear" w:color="auto" w:fill="B4C6E7" w:themeFill="accent1" w:themeFillTint="66"/>
            <w:hideMark/>
          </w:tcPr>
          <w:p w14:paraId="0B0A3509" w14:textId="77777777" w:rsidR="00316DFC" w:rsidRPr="00316DFC" w:rsidRDefault="00316DFC" w:rsidP="00316DFC">
            <w:pPr>
              <w:contextualSpacing/>
              <w:rPr>
                <w:rFonts w:eastAsia="Times New Roman" w:cstheme="minorHAnsi"/>
                <w:color w:val="auto"/>
              </w:rPr>
            </w:pPr>
          </w:p>
        </w:tc>
        <w:tc>
          <w:tcPr>
            <w:tcW w:w="658" w:type="pct"/>
            <w:shd w:val="clear" w:color="auto" w:fill="B4C6E7" w:themeFill="accent1" w:themeFillTint="66"/>
            <w:hideMark/>
          </w:tcPr>
          <w:p w14:paraId="21A142F5" w14:textId="77777777" w:rsidR="00316DFC" w:rsidRPr="00316DFC" w:rsidRDefault="00316DFC" w:rsidP="00316DFC">
            <w:pPr>
              <w:contextualSpacing/>
              <w:rPr>
                <w:rFonts w:eastAsia="Times New Roman" w:cstheme="minorHAnsi"/>
                <w:color w:val="auto"/>
              </w:rPr>
            </w:pPr>
          </w:p>
        </w:tc>
        <w:tc>
          <w:tcPr>
            <w:tcW w:w="675" w:type="pct"/>
            <w:shd w:val="clear" w:color="auto" w:fill="B4C6E7" w:themeFill="accent1" w:themeFillTint="66"/>
            <w:hideMark/>
          </w:tcPr>
          <w:p w14:paraId="42927CAF" w14:textId="77777777" w:rsidR="00316DFC" w:rsidRPr="00316DFC" w:rsidRDefault="00316DFC" w:rsidP="00316DFC">
            <w:pPr>
              <w:contextualSpacing/>
              <w:rPr>
                <w:rFonts w:eastAsia="Times New Roman" w:cstheme="minorHAnsi"/>
                <w:color w:val="auto"/>
              </w:rPr>
            </w:pPr>
            <w:r>
              <w:rPr>
                <w:color w:val="auto"/>
              </w:rPr>
              <w:t>Objektif</w:t>
            </w:r>
          </w:p>
        </w:tc>
        <w:tc>
          <w:tcPr>
            <w:tcW w:w="686" w:type="pct"/>
            <w:shd w:val="clear" w:color="auto" w:fill="B4C6E7" w:themeFill="accent1" w:themeFillTint="66"/>
            <w:hideMark/>
          </w:tcPr>
          <w:p w14:paraId="08C60A96" w14:textId="77777777" w:rsidR="00316DFC" w:rsidRPr="00316DFC" w:rsidRDefault="00316DFC" w:rsidP="00316DFC">
            <w:pPr>
              <w:contextualSpacing/>
              <w:rPr>
                <w:rFonts w:eastAsia="Times New Roman" w:cstheme="minorHAnsi"/>
                <w:color w:val="auto"/>
              </w:rPr>
            </w:pPr>
          </w:p>
        </w:tc>
        <w:tc>
          <w:tcPr>
            <w:tcW w:w="698" w:type="pct"/>
            <w:shd w:val="clear" w:color="auto" w:fill="B4C6E7" w:themeFill="accent1" w:themeFillTint="66"/>
            <w:hideMark/>
          </w:tcPr>
          <w:p w14:paraId="3090DB22" w14:textId="77777777" w:rsidR="00316DFC" w:rsidRPr="00316DFC" w:rsidRDefault="00316DFC" w:rsidP="00316DFC">
            <w:pPr>
              <w:contextualSpacing/>
              <w:rPr>
                <w:rFonts w:eastAsia="Times New Roman" w:cstheme="minorHAnsi"/>
                <w:color w:val="auto"/>
              </w:rPr>
            </w:pPr>
          </w:p>
        </w:tc>
        <w:tc>
          <w:tcPr>
            <w:tcW w:w="715" w:type="pct"/>
            <w:shd w:val="clear" w:color="auto" w:fill="B4C6E7" w:themeFill="accent1" w:themeFillTint="66"/>
            <w:hideMark/>
          </w:tcPr>
          <w:p w14:paraId="40337B7F" w14:textId="77777777" w:rsidR="00316DFC" w:rsidRPr="00316DFC" w:rsidRDefault="00316DFC" w:rsidP="00316DFC">
            <w:pPr>
              <w:contextualSpacing/>
              <w:rPr>
                <w:rFonts w:eastAsia="Times New Roman" w:cstheme="minorHAnsi"/>
                <w:color w:val="auto"/>
              </w:rPr>
            </w:pPr>
          </w:p>
        </w:tc>
      </w:tr>
      <w:tr w:rsidR="000E68FD" w:rsidRPr="00316DFC" w14:paraId="5193CD78" w14:textId="77777777" w:rsidTr="000E68FD">
        <w:trPr>
          <w:cnfStyle w:val="000000100000" w:firstRow="0" w:lastRow="0" w:firstColumn="0" w:lastColumn="0" w:oddVBand="0" w:evenVBand="0" w:oddHBand="1" w:evenHBand="0" w:firstRowFirstColumn="0" w:firstRowLastColumn="0" w:lastRowFirstColumn="0" w:lastRowLastColumn="0"/>
          <w:trHeight w:val="417"/>
        </w:trPr>
        <w:tc>
          <w:tcPr>
            <w:tcW w:w="852" w:type="pct"/>
            <w:hideMark/>
          </w:tcPr>
          <w:p w14:paraId="604DB9A8" w14:textId="77777777" w:rsidR="00316DFC" w:rsidRPr="00316DFC" w:rsidRDefault="00316DFC" w:rsidP="00316DFC">
            <w:pPr>
              <w:contextualSpacing/>
              <w:rPr>
                <w:rFonts w:eastAsia="Times New Roman" w:cstheme="minorHAnsi"/>
              </w:rPr>
            </w:pPr>
            <w:r>
              <w:rPr>
                <w:b/>
              </w:rPr>
              <w:t>FFY</w:t>
            </w:r>
          </w:p>
        </w:tc>
        <w:tc>
          <w:tcPr>
            <w:tcW w:w="715" w:type="pct"/>
            <w:hideMark/>
          </w:tcPr>
          <w:p w14:paraId="20D83A26" w14:textId="77777777" w:rsidR="00316DFC" w:rsidRPr="00316DFC" w:rsidRDefault="00316DFC" w:rsidP="00316DFC">
            <w:pPr>
              <w:contextualSpacing/>
              <w:rPr>
                <w:rFonts w:eastAsia="Times New Roman" w:cstheme="minorHAnsi"/>
              </w:rPr>
            </w:pPr>
            <w:r>
              <w:rPr>
                <w:b/>
              </w:rPr>
              <w:t>2020</w:t>
            </w:r>
          </w:p>
        </w:tc>
        <w:tc>
          <w:tcPr>
            <w:tcW w:w="658" w:type="pct"/>
            <w:hideMark/>
          </w:tcPr>
          <w:p w14:paraId="223B8EA9" w14:textId="77777777" w:rsidR="00316DFC" w:rsidRPr="00316DFC" w:rsidRDefault="00316DFC" w:rsidP="00316DFC">
            <w:pPr>
              <w:contextualSpacing/>
              <w:rPr>
                <w:rFonts w:eastAsia="Times New Roman" w:cstheme="minorHAnsi"/>
              </w:rPr>
            </w:pPr>
            <w:r>
              <w:rPr>
                <w:b/>
              </w:rPr>
              <w:t>2021</w:t>
            </w:r>
          </w:p>
        </w:tc>
        <w:tc>
          <w:tcPr>
            <w:tcW w:w="675" w:type="pct"/>
            <w:hideMark/>
          </w:tcPr>
          <w:p w14:paraId="61DCAE7A" w14:textId="77777777" w:rsidR="00316DFC" w:rsidRPr="00316DFC" w:rsidRDefault="00316DFC" w:rsidP="00316DFC">
            <w:pPr>
              <w:contextualSpacing/>
              <w:rPr>
                <w:rFonts w:eastAsia="Times New Roman" w:cstheme="minorHAnsi"/>
              </w:rPr>
            </w:pPr>
            <w:r>
              <w:rPr>
                <w:b/>
              </w:rPr>
              <w:t>2022</w:t>
            </w:r>
          </w:p>
        </w:tc>
        <w:tc>
          <w:tcPr>
            <w:tcW w:w="686" w:type="pct"/>
            <w:hideMark/>
          </w:tcPr>
          <w:p w14:paraId="6A1E6A4A" w14:textId="77777777" w:rsidR="00316DFC" w:rsidRPr="00316DFC" w:rsidRDefault="00316DFC" w:rsidP="00316DFC">
            <w:pPr>
              <w:contextualSpacing/>
              <w:rPr>
                <w:rFonts w:eastAsia="Times New Roman" w:cstheme="minorHAnsi"/>
              </w:rPr>
            </w:pPr>
            <w:r>
              <w:rPr>
                <w:b/>
              </w:rPr>
              <w:t>2023</w:t>
            </w:r>
          </w:p>
        </w:tc>
        <w:tc>
          <w:tcPr>
            <w:tcW w:w="698" w:type="pct"/>
            <w:hideMark/>
          </w:tcPr>
          <w:p w14:paraId="2BE08F45" w14:textId="77777777" w:rsidR="00316DFC" w:rsidRPr="00316DFC" w:rsidRDefault="00316DFC" w:rsidP="00316DFC">
            <w:pPr>
              <w:contextualSpacing/>
              <w:rPr>
                <w:rFonts w:eastAsia="Times New Roman" w:cstheme="minorHAnsi"/>
              </w:rPr>
            </w:pPr>
            <w:r>
              <w:rPr>
                <w:b/>
              </w:rPr>
              <w:t>2024</w:t>
            </w:r>
          </w:p>
        </w:tc>
        <w:tc>
          <w:tcPr>
            <w:tcW w:w="715" w:type="pct"/>
            <w:hideMark/>
          </w:tcPr>
          <w:p w14:paraId="60E5239B" w14:textId="77777777" w:rsidR="00316DFC" w:rsidRPr="00316DFC" w:rsidRDefault="00316DFC" w:rsidP="00316DFC">
            <w:pPr>
              <w:contextualSpacing/>
              <w:rPr>
                <w:rFonts w:eastAsia="Times New Roman" w:cstheme="minorHAnsi"/>
              </w:rPr>
            </w:pPr>
            <w:r>
              <w:rPr>
                <w:b/>
              </w:rPr>
              <w:t>2025</w:t>
            </w:r>
          </w:p>
        </w:tc>
      </w:tr>
      <w:tr w:rsidR="000E68FD" w:rsidRPr="00316DFC" w14:paraId="1CDB6B22" w14:textId="77777777" w:rsidTr="000E68FD">
        <w:trPr>
          <w:trHeight w:val="466"/>
        </w:trPr>
        <w:tc>
          <w:tcPr>
            <w:tcW w:w="852" w:type="pct"/>
            <w:hideMark/>
          </w:tcPr>
          <w:p w14:paraId="2E3E5E78" w14:textId="77777777" w:rsidR="00316DFC" w:rsidRPr="00316DFC" w:rsidRDefault="00316DFC" w:rsidP="00316DFC">
            <w:pPr>
              <w:contextualSpacing/>
              <w:rPr>
                <w:rFonts w:eastAsia="Times New Roman" w:cstheme="minorHAnsi"/>
              </w:rPr>
            </w:pPr>
            <w:r>
              <w:rPr>
                <w:b/>
              </w:rPr>
              <w:lastRenderedPageBreak/>
              <w:t>Deklarasyon Rezime 1</w:t>
            </w:r>
          </w:p>
        </w:tc>
        <w:tc>
          <w:tcPr>
            <w:tcW w:w="715" w:type="pct"/>
            <w:hideMark/>
          </w:tcPr>
          <w:p w14:paraId="29BAEE52" w14:textId="77777777" w:rsidR="00316DFC" w:rsidRPr="00316DFC" w:rsidRDefault="00316DFC" w:rsidP="00316DFC">
            <w:pPr>
              <w:contextualSpacing/>
              <w:rPr>
                <w:rFonts w:eastAsia="Times New Roman" w:cstheme="minorHAnsi"/>
              </w:rPr>
            </w:pPr>
            <w:r>
              <w:t>86.00%</w:t>
            </w:r>
          </w:p>
        </w:tc>
        <w:tc>
          <w:tcPr>
            <w:tcW w:w="658" w:type="pct"/>
            <w:hideMark/>
          </w:tcPr>
          <w:p w14:paraId="035599A2" w14:textId="77777777" w:rsidR="00316DFC" w:rsidRPr="00316DFC" w:rsidRDefault="00316DFC" w:rsidP="00316DFC">
            <w:pPr>
              <w:contextualSpacing/>
              <w:rPr>
                <w:rFonts w:eastAsia="Times New Roman" w:cstheme="minorHAnsi"/>
              </w:rPr>
            </w:pPr>
            <w:r>
              <w:t>86.00%</w:t>
            </w:r>
          </w:p>
        </w:tc>
        <w:tc>
          <w:tcPr>
            <w:tcW w:w="675" w:type="pct"/>
            <w:hideMark/>
          </w:tcPr>
          <w:p w14:paraId="05F3872A" w14:textId="77777777" w:rsidR="00316DFC" w:rsidRPr="00316DFC" w:rsidRDefault="00316DFC" w:rsidP="00316DFC">
            <w:pPr>
              <w:contextualSpacing/>
              <w:rPr>
                <w:rFonts w:eastAsia="Times New Roman" w:cstheme="minorHAnsi"/>
              </w:rPr>
            </w:pPr>
            <w:r>
              <w:t>86.00%</w:t>
            </w:r>
          </w:p>
        </w:tc>
        <w:tc>
          <w:tcPr>
            <w:tcW w:w="686" w:type="pct"/>
            <w:hideMark/>
          </w:tcPr>
          <w:p w14:paraId="6A950948" w14:textId="77777777" w:rsidR="00316DFC" w:rsidRPr="00316DFC" w:rsidRDefault="00316DFC" w:rsidP="00316DFC">
            <w:pPr>
              <w:contextualSpacing/>
              <w:rPr>
                <w:rFonts w:eastAsia="Times New Roman" w:cstheme="minorHAnsi"/>
              </w:rPr>
            </w:pPr>
            <w:r>
              <w:t>86.50%</w:t>
            </w:r>
          </w:p>
        </w:tc>
        <w:tc>
          <w:tcPr>
            <w:tcW w:w="698" w:type="pct"/>
            <w:hideMark/>
          </w:tcPr>
          <w:p w14:paraId="729203BE" w14:textId="77777777" w:rsidR="00316DFC" w:rsidRPr="00316DFC" w:rsidRDefault="00316DFC" w:rsidP="00316DFC">
            <w:pPr>
              <w:contextualSpacing/>
              <w:rPr>
                <w:rFonts w:eastAsia="Times New Roman" w:cstheme="minorHAnsi"/>
              </w:rPr>
            </w:pPr>
            <w:r>
              <w:t>87.00%</w:t>
            </w:r>
          </w:p>
        </w:tc>
        <w:tc>
          <w:tcPr>
            <w:tcW w:w="715" w:type="pct"/>
            <w:hideMark/>
          </w:tcPr>
          <w:p w14:paraId="66A68223" w14:textId="77777777" w:rsidR="00316DFC" w:rsidRPr="00316DFC" w:rsidRDefault="00316DFC" w:rsidP="00316DFC">
            <w:pPr>
              <w:contextualSpacing/>
              <w:rPr>
                <w:rFonts w:eastAsia="Times New Roman" w:cstheme="minorHAnsi"/>
              </w:rPr>
            </w:pPr>
            <w:r>
              <w:t>88.00%</w:t>
            </w:r>
          </w:p>
        </w:tc>
      </w:tr>
      <w:tr w:rsidR="000E68FD" w:rsidRPr="00316DFC" w14:paraId="3E05ED6B" w14:textId="77777777" w:rsidTr="000E68FD">
        <w:trPr>
          <w:cnfStyle w:val="000000100000" w:firstRow="0" w:lastRow="0" w:firstColumn="0" w:lastColumn="0" w:oddVBand="0" w:evenVBand="0" w:oddHBand="1" w:evenHBand="0" w:firstRowFirstColumn="0" w:firstRowLastColumn="0" w:lastRowFirstColumn="0" w:lastRowLastColumn="0"/>
          <w:trHeight w:val="484"/>
        </w:trPr>
        <w:tc>
          <w:tcPr>
            <w:tcW w:w="852" w:type="pct"/>
            <w:hideMark/>
          </w:tcPr>
          <w:p w14:paraId="28A9B8D7" w14:textId="77777777" w:rsidR="00316DFC" w:rsidRPr="00316DFC" w:rsidRDefault="00316DFC" w:rsidP="00316DFC">
            <w:pPr>
              <w:contextualSpacing/>
              <w:rPr>
                <w:rFonts w:eastAsia="Times New Roman" w:cstheme="minorHAnsi"/>
              </w:rPr>
            </w:pPr>
            <w:r>
              <w:rPr>
                <w:b/>
              </w:rPr>
              <w:t>Deklarasyon Rezime 2</w:t>
            </w:r>
          </w:p>
        </w:tc>
        <w:tc>
          <w:tcPr>
            <w:tcW w:w="715" w:type="pct"/>
            <w:hideMark/>
          </w:tcPr>
          <w:p w14:paraId="1224E082" w14:textId="77777777" w:rsidR="00316DFC" w:rsidRPr="00316DFC" w:rsidRDefault="00316DFC" w:rsidP="00316DFC">
            <w:pPr>
              <w:contextualSpacing/>
              <w:rPr>
                <w:rFonts w:eastAsia="Times New Roman" w:cstheme="minorHAnsi"/>
              </w:rPr>
            </w:pPr>
            <w:r>
              <w:t>50.00%</w:t>
            </w:r>
          </w:p>
        </w:tc>
        <w:tc>
          <w:tcPr>
            <w:tcW w:w="658" w:type="pct"/>
            <w:hideMark/>
          </w:tcPr>
          <w:p w14:paraId="2BC58AE2" w14:textId="77777777" w:rsidR="00316DFC" w:rsidRPr="00316DFC" w:rsidRDefault="00316DFC" w:rsidP="00316DFC">
            <w:pPr>
              <w:contextualSpacing/>
              <w:rPr>
                <w:rFonts w:eastAsia="Times New Roman" w:cstheme="minorHAnsi"/>
              </w:rPr>
            </w:pPr>
            <w:r>
              <w:t>50.00%</w:t>
            </w:r>
          </w:p>
        </w:tc>
        <w:tc>
          <w:tcPr>
            <w:tcW w:w="675" w:type="pct"/>
            <w:hideMark/>
          </w:tcPr>
          <w:p w14:paraId="546DC7A8" w14:textId="77777777" w:rsidR="00316DFC" w:rsidRPr="00316DFC" w:rsidRDefault="00316DFC" w:rsidP="00316DFC">
            <w:pPr>
              <w:contextualSpacing/>
              <w:rPr>
                <w:rFonts w:eastAsia="Times New Roman" w:cstheme="minorHAnsi"/>
              </w:rPr>
            </w:pPr>
            <w:r>
              <w:t>50.00%</w:t>
            </w:r>
          </w:p>
        </w:tc>
        <w:tc>
          <w:tcPr>
            <w:tcW w:w="686" w:type="pct"/>
            <w:hideMark/>
          </w:tcPr>
          <w:p w14:paraId="129163C8" w14:textId="77777777" w:rsidR="00316DFC" w:rsidRPr="00316DFC" w:rsidRDefault="00316DFC" w:rsidP="00316DFC">
            <w:pPr>
              <w:contextualSpacing/>
              <w:rPr>
                <w:rFonts w:eastAsia="Times New Roman" w:cstheme="minorHAnsi"/>
              </w:rPr>
            </w:pPr>
            <w:r>
              <w:t>50.25%</w:t>
            </w:r>
          </w:p>
        </w:tc>
        <w:tc>
          <w:tcPr>
            <w:tcW w:w="698" w:type="pct"/>
            <w:hideMark/>
          </w:tcPr>
          <w:p w14:paraId="6EADAAC6" w14:textId="77777777" w:rsidR="00316DFC" w:rsidRPr="00316DFC" w:rsidRDefault="00316DFC" w:rsidP="00316DFC">
            <w:pPr>
              <w:contextualSpacing/>
              <w:rPr>
                <w:rFonts w:eastAsia="Times New Roman" w:cstheme="minorHAnsi"/>
              </w:rPr>
            </w:pPr>
            <w:r>
              <w:t>50.50%</w:t>
            </w:r>
          </w:p>
        </w:tc>
        <w:tc>
          <w:tcPr>
            <w:tcW w:w="715" w:type="pct"/>
            <w:hideMark/>
          </w:tcPr>
          <w:p w14:paraId="177D53D6" w14:textId="77777777" w:rsidR="00316DFC" w:rsidRPr="00316DFC" w:rsidRDefault="00316DFC" w:rsidP="00316DFC">
            <w:pPr>
              <w:contextualSpacing/>
              <w:rPr>
                <w:rFonts w:eastAsia="Times New Roman" w:cstheme="minorHAnsi"/>
              </w:rPr>
            </w:pPr>
            <w:r>
              <w:t>51.00%</w:t>
            </w:r>
          </w:p>
        </w:tc>
      </w:tr>
    </w:tbl>
    <w:p w14:paraId="3CB70450" w14:textId="77777777" w:rsidR="005C1B27" w:rsidRDefault="005C1B27" w:rsidP="001A59F2">
      <w:pPr>
        <w:rPr>
          <w:b/>
          <w:bCs/>
        </w:rPr>
      </w:pPr>
    </w:p>
    <w:p w14:paraId="64D99BBB" w14:textId="027AD12B" w:rsidR="001A59F2" w:rsidRDefault="000E68FD" w:rsidP="001A59F2">
      <w:pPr>
        <w:rPr>
          <w:b/>
          <w:bCs/>
        </w:rPr>
      </w:pPr>
      <w:r>
        <w:rPr>
          <w:b/>
        </w:rPr>
        <w:t xml:space="preserve">Lòt Enfòmasyon : </w:t>
      </w:r>
    </w:p>
    <w:p w14:paraId="3A018418" w14:textId="1BEBBCF8" w:rsidR="000E68FD" w:rsidRDefault="00B02345" w:rsidP="00100A1A">
      <w:pPr>
        <w:pStyle w:val="ListParagraph"/>
        <w:numPr>
          <w:ilvl w:val="0"/>
          <w:numId w:val="4"/>
        </w:numPr>
        <w:spacing w:after="0"/>
      </w:pPr>
      <w:hyperlink r:id="rId16" w:history="1">
        <w:r w:rsidR="000E68FD">
          <w:rPr>
            <w:rStyle w:val="Hyperlink"/>
          </w:rPr>
          <w:t>Teyori Aksyon</w:t>
        </w:r>
      </w:hyperlink>
      <w:r w:rsidR="000E68FD">
        <w:t xml:space="preserve"> SSIP Massachusetts la</w:t>
      </w:r>
    </w:p>
    <w:p w14:paraId="42193698" w14:textId="5CCC4ED8" w:rsidR="00BF2B77" w:rsidRDefault="00B02345" w:rsidP="00100A1A">
      <w:pPr>
        <w:pStyle w:val="ListParagraph"/>
        <w:numPr>
          <w:ilvl w:val="0"/>
          <w:numId w:val="4"/>
        </w:numPr>
        <w:spacing w:after="0"/>
      </w:pPr>
      <w:hyperlink r:id="rId17" w:history="1">
        <w:r w:rsidR="00BF2B77">
          <w:rPr>
            <w:rStyle w:val="Hyperlink"/>
          </w:rPr>
          <w:t>Plan Evalyasyon</w:t>
        </w:r>
      </w:hyperlink>
      <w:r w:rsidR="00BF2B77">
        <w:t xml:space="preserve"> SSIP Massachusetts la</w:t>
      </w:r>
    </w:p>
    <w:p w14:paraId="0DBFC910" w14:textId="3EB4D2A3" w:rsidR="000E68FD" w:rsidRPr="000E68FD" w:rsidRDefault="000E68FD" w:rsidP="00100A1A">
      <w:pPr>
        <w:pStyle w:val="ListParagraph"/>
        <w:numPr>
          <w:ilvl w:val="0"/>
          <w:numId w:val="4"/>
        </w:numPr>
        <w:spacing w:after="0"/>
      </w:pPr>
      <w:r>
        <w:t xml:space="preserve">Sant Nasyonal pou Inovasyon Modèl Piramid yo: </w:t>
      </w:r>
      <w:hyperlink r:id="rId18" w:history="1">
        <w:r>
          <w:rPr>
            <w:rStyle w:val="Hyperlink"/>
          </w:rPr>
          <w:t>Sant Nasyonal pou Inovasyon Modèl Piramid yo (challengingbehavior.org)</w:t>
        </w:r>
      </w:hyperlink>
    </w:p>
    <w:p w14:paraId="11911753" w14:textId="77777777" w:rsidR="000E68FD" w:rsidRPr="000E68FD" w:rsidRDefault="000E68FD" w:rsidP="00100A1A">
      <w:pPr>
        <w:pStyle w:val="ListParagraph"/>
        <w:numPr>
          <w:ilvl w:val="0"/>
          <w:numId w:val="4"/>
        </w:numPr>
        <w:spacing w:after="0"/>
      </w:pPr>
      <w:r>
        <w:t xml:space="preserve">Konsòsyòm Modèl Piramid: </w:t>
      </w:r>
      <w:hyperlink r:id="rId19" w:history="1">
        <w:r>
          <w:rPr>
            <w:rStyle w:val="Hyperlink"/>
          </w:rPr>
          <w:t>Konsòsyòm Modèl Piramid - Sipò pou PBIS pou Timoun Piti yo</w:t>
        </w:r>
      </w:hyperlink>
    </w:p>
    <w:p w14:paraId="06387A96" w14:textId="77777777" w:rsidR="000E68FD" w:rsidRPr="000E68FD" w:rsidRDefault="000E68FD" w:rsidP="00100A1A">
      <w:pPr>
        <w:pStyle w:val="ListParagraph"/>
        <w:numPr>
          <w:ilvl w:val="0"/>
          <w:numId w:val="4"/>
        </w:numPr>
        <w:spacing w:after="0"/>
      </w:pPr>
      <w:r>
        <w:t xml:space="preserve">Plan Amelyorasyon Sistemik Eta a (SSIP) : </w:t>
      </w:r>
      <w:hyperlink r:id="rId20" w:history="1">
        <w:r>
          <w:rPr>
            <w:rStyle w:val="Hyperlink"/>
          </w:rPr>
          <w:t>Sant ECTA:</w:t>
        </w:r>
      </w:hyperlink>
      <w:hyperlink r:id="rId21" w:history="1">
        <w:r>
          <w:rPr>
            <w:rStyle w:val="Hyperlink"/>
          </w:rPr>
          <w:t xml:space="preserve"> Plan Amelyorasyon Sistemik Eta an (SSIP)</w:t>
        </w:r>
      </w:hyperlink>
    </w:p>
    <w:p w14:paraId="3ECD6F02" w14:textId="1A3EF415" w:rsidR="001A59F2" w:rsidRDefault="001A59F2" w:rsidP="001A59F2"/>
    <w:p w14:paraId="7C268C03" w14:textId="428BFEEE" w:rsidR="00100A1A" w:rsidRPr="00100A1A" w:rsidRDefault="00100A1A" w:rsidP="001A59F2">
      <w:pPr>
        <w:rPr>
          <w:b/>
          <w:bCs/>
        </w:rPr>
      </w:pPr>
      <w:r w:rsidRPr="00100A1A">
        <w:rPr>
          <w:b/>
          <w:bCs/>
        </w:rPr>
        <w:t>Aprann plis sou Endiketè # 17:</w:t>
      </w:r>
    </w:p>
    <w:p w14:paraId="0FBFC189" w14:textId="7AC2CE79" w:rsidR="00100A1A" w:rsidRDefault="00B02345" w:rsidP="00100A1A">
      <w:pPr>
        <w:pStyle w:val="ListParagraph"/>
        <w:numPr>
          <w:ilvl w:val="0"/>
          <w:numId w:val="3"/>
        </w:numPr>
      </w:pPr>
      <w:hyperlink r:id="rId22" w:history="1">
        <w:r w:rsidR="00100A1A" w:rsidRPr="00100A1A">
          <w:rPr>
            <w:rStyle w:val="Hyperlink"/>
          </w:rPr>
          <w:t>Endikatè 17 PowerPoint</w:t>
        </w:r>
      </w:hyperlink>
    </w:p>
    <w:sectPr w:rsidR="00100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1933"/>
    <w:multiLevelType w:val="hybridMultilevel"/>
    <w:tmpl w:val="B9C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63DD4"/>
    <w:multiLevelType w:val="hybridMultilevel"/>
    <w:tmpl w:val="475295A8"/>
    <w:lvl w:ilvl="0" w:tplc="B28674D2">
      <w:start w:val="1"/>
      <w:numFmt w:val="bullet"/>
      <w:lvlText w:val="•"/>
      <w:lvlJc w:val="left"/>
      <w:pPr>
        <w:tabs>
          <w:tab w:val="num" w:pos="720"/>
        </w:tabs>
        <w:ind w:left="720" w:hanging="360"/>
      </w:pPr>
      <w:rPr>
        <w:rFonts w:ascii="Arial" w:hAnsi="Arial" w:hint="default"/>
      </w:rPr>
    </w:lvl>
    <w:lvl w:ilvl="1" w:tplc="0DA4AE3A" w:tentative="1">
      <w:start w:val="1"/>
      <w:numFmt w:val="bullet"/>
      <w:lvlText w:val="•"/>
      <w:lvlJc w:val="left"/>
      <w:pPr>
        <w:tabs>
          <w:tab w:val="num" w:pos="1440"/>
        </w:tabs>
        <w:ind w:left="1440" w:hanging="360"/>
      </w:pPr>
      <w:rPr>
        <w:rFonts w:ascii="Arial" w:hAnsi="Arial" w:hint="default"/>
      </w:rPr>
    </w:lvl>
    <w:lvl w:ilvl="2" w:tplc="8B3CF156" w:tentative="1">
      <w:start w:val="1"/>
      <w:numFmt w:val="bullet"/>
      <w:lvlText w:val="•"/>
      <w:lvlJc w:val="left"/>
      <w:pPr>
        <w:tabs>
          <w:tab w:val="num" w:pos="2160"/>
        </w:tabs>
        <w:ind w:left="2160" w:hanging="360"/>
      </w:pPr>
      <w:rPr>
        <w:rFonts w:ascii="Arial" w:hAnsi="Arial" w:hint="default"/>
      </w:rPr>
    </w:lvl>
    <w:lvl w:ilvl="3" w:tplc="370C16A2" w:tentative="1">
      <w:start w:val="1"/>
      <w:numFmt w:val="bullet"/>
      <w:lvlText w:val="•"/>
      <w:lvlJc w:val="left"/>
      <w:pPr>
        <w:tabs>
          <w:tab w:val="num" w:pos="2880"/>
        </w:tabs>
        <w:ind w:left="2880" w:hanging="360"/>
      </w:pPr>
      <w:rPr>
        <w:rFonts w:ascii="Arial" w:hAnsi="Arial" w:hint="default"/>
      </w:rPr>
    </w:lvl>
    <w:lvl w:ilvl="4" w:tplc="9A86AF84" w:tentative="1">
      <w:start w:val="1"/>
      <w:numFmt w:val="bullet"/>
      <w:lvlText w:val="•"/>
      <w:lvlJc w:val="left"/>
      <w:pPr>
        <w:tabs>
          <w:tab w:val="num" w:pos="3600"/>
        </w:tabs>
        <w:ind w:left="3600" w:hanging="360"/>
      </w:pPr>
      <w:rPr>
        <w:rFonts w:ascii="Arial" w:hAnsi="Arial" w:hint="default"/>
      </w:rPr>
    </w:lvl>
    <w:lvl w:ilvl="5" w:tplc="1062CB48" w:tentative="1">
      <w:start w:val="1"/>
      <w:numFmt w:val="bullet"/>
      <w:lvlText w:val="•"/>
      <w:lvlJc w:val="left"/>
      <w:pPr>
        <w:tabs>
          <w:tab w:val="num" w:pos="4320"/>
        </w:tabs>
        <w:ind w:left="4320" w:hanging="360"/>
      </w:pPr>
      <w:rPr>
        <w:rFonts w:ascii="Arial" w:hAnsi="Arial" w:hint="default"/>
      </w:rPr>
    </w:lvl>
    <w:lvl w:ilvl="6" w:tplc="0A7E0464" w:tentative="1">
      <w:start w:val="1"/>
      <w:numFmt w:val="bullet"/>
      <w:lvlText w:val="•"/>
      <w:lvlJc w:val="left"/>
      <w:pPr>
        <w:tabs>
          <w:tab w:val="num" w:pos="5040"/>
        </w:tabs>
        <w:ind w:left="5040" w:hanging="360"/>
      </w:pPr>
      <w:rPr>
        <w:rFonts w:ascii="Arial" w:hAnsi="Arial" w:hint="default"/>
      </w:rPr>
    </w:lvl>
    <w:lvl w:ilvl="7" w:tplc="CAFE080A" w:tentative="1">
      <w:start w:val="1"/>
      <w:numFmt w:val="bullet"/>
      <w:lvlText w:val="•"/>
      <w:lvlJc w:val="left"/>
      <w:pPr>
        <w:tabs>
          <w:tab w:val="num" w:pos="5760"/>
        </w:tabs>
        <w:ind w:left="5760" w:hanging="360"/>
      </w:pPr>
      <w:rPr>
        <w:rFonts w:ascii="Arial" w:hAnsi="Arial" w:hint="default"/>
      </w:rPr>
    </w:lvl>
    <w:lvl w:ilvl="8" w:tplc="BE8C7C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7A2DFB"/>
    <w:multiLevelType w:val="hybridMultilevel"/>
    <w:tmpl w:val="FA02A326"/>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3" w15:restartNumberingAfterBreak="0">
    <w:nsid w:val="724052FF"/>
    <w:multiLevelType w:val="hybridMultilevel"/>
    <w:tmpl w:val="9638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67"/>
    <w:rsid w:val="00027B4B"/>
    <w:rsid w:val="000952C2"/>
    <w:rsid w:val="000A196B"/>
    <w:rsid w:val="000E68FD"/>
    <w:rsid w:val="000F6373"/>
    <w:rsid w:val="00100A1A"/>
    <w:rsid w:val="001A59F2"/>
    <w:rsid w:val="002A3E79"/>
    <w:rsid w:val="00316DFC"/>
    <w:rsid w:val="004F6CBE"/>
    <w:rsid w:val="005C1B27"/>
    <w:rsid w:val="005C4316"/>
    <w:rsid w:val="00647704"/>
    <w:rsid w:val="00685B8A"/>
    <w:rsid w:val="008E6867"/>
    <w:rsid w:val="009B1DE9"/>
    <w:rsid w:val="00A306CD"/>
    <w:rsid w:val="00B02345"/>
    <w:rsid w:val="00BF2B77"/>
    <w:rsid w:val="00E251EA"/>
    <w:rsid w:val="00F17167"/>
    <w:rsid w:val="068CDBB3"/>
    <w:rsid w:val="0B77539F"/>
    <w:rsid w:val="5C8C6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521"/>
  <w15:chartTrackingRefBased/>
  <w15:docId w15:val="{4CE8175C-52F1-4E85-9C6B-23947D4E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C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CBE"/>
    <w:rPr>
      <w:color w:val="0563C1" w:themeColor="hyperlink"/>
      <w:u w:val="single"/>
    </w:rPr>
  </w:style>
  <w:style w:type="character" w:styleId="UnresolvedMention">
    <w:name w:val="Unresolved Mention"/>
    <w:basedOn w:val="DefaultParagraphFont"/>
    <w:uiPriority w:val="99"/>
    <w:semiHidden/>
    <w:unhideWhenUsed/>
    <w:rsid w:val="004F6CBE"/>
    <w:rPr>
      <w:color w:val="605E5C"/>
      <w:shd w:val="clear" w:color="auto" w:fill="E1DFDD"/>
    </w:rPr>
  </w:style>
  <w:style w:type="paragraph" w:styleId="ListParagraph">
    <w:name w:val="List Paragraph"/>
    <w:basedOn w:val="Normal"/>
    <w:uiPriority w:val="34"/>
    <w:qFormat/>
    <w:rsid w:val="00316DFC"/>
    <w:pPr>
      <w:ind w:left="720"/>
      <w:contextualSpacing/>
    </w:pPr>
  </w:style>
  <w:style w:type="character" w:styleId="FollowedHyperlink">
    <w:name w:val="FollowedHyperlink"/>
    <w:basedOn w:val="DefaultParagraphFont"/>
    <w:uiPriority w:val="99"/>
    <w:semiHidden/>
    <w:unhideWhenUsed/>
    <w:rsid w:val="00316DFC"/>
    <w:rPr>
      <w:color w:val="954F72" w:themeColor="followedHyperlink"/>
      <w:u w:val="single"/>
    </w:rPr>
  </w:style>
  <w:style w:type="table" w:styleId="PlainTable2">
    <w:name w:val="Plain Table 2"/>
    <w:basedOn w:val="TableNormal"/>
    <w:uiPriority w:val="42"/>
    <w:rsid w:val="00316D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E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0E68F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0F6373"/>
    <w:rPr>
      <w:sz w:val="16"/>
      <w:szCs w:val="16"/>
    </w:rPr>
  </w:style>
  <w:style w:type="paragraph" w:styleId="CommentText">
    <w:name w:val="annotation text"/>
    <w:basedOn w:val="Normal"/>
    <w:link w:val="CommentTextChar"/>
    <w:uiPriority w:val="99"/>
    <w:semiHidden/>
    <w:unhideWhenUsed/>
    <w:rsid w:val="000F6373"/>
    <w:pPr>
      <w:spacing w:line="240" w:lineRule="auto"/>
    </w:pPr>
    <w:rPr>
      <w:sz w:val="20"/>
      <w:szCs w:val="20"/>
    </w:rPr>
  </w:style>
  <w:style w:type="character" w:customStyle="1" w:styleId="CommentTextChar">
    <w:name w:val="Comment Text Char"/>
    <w:basedOn w:val="DefaultParagraphFont"/>
    <w:link w:val="CommentText"/>
    <w:uiPriority w:val="99"/>
    <w:semiHidden/>
    <w:rsid w:val="000F6373"/>
    <w:rPr>
      <w:sz w:val="20"/>
      <w:szCs w:val="20"/>
    </w:rPr>
  </w:style>
  <w:style w:type="paragraph" w:styleId="CommentSubject">
    <w:name w:val="annotation subject"/>
    <w:basedOn w:val="CommentText"/>
    <w:next w:val="CommentText"/>
    <w:link w:val="CommentSubjectChar"/>
    <w:uiPriority w:val="99"/>
    <w:semiHidden/>
    <w:unhideWhenUsed/>
    <w:rsid w:val="000F6373"/>
    <w:rPr>
      <w:b/>
      <w:bCs/>
    </w:rPr>
  </w:style>
  <w:style w:type="character" w:customStyle="1" w:styleId="CommentSubjectChar">
    <w:name w:val="Comment Subject Char"/>
    <w:basedOn w:val="CommentTextChar"/>
    <w:link w:val="CommentSubject"/>
    <w:uiPriority w:val="99"/>
    <w:semiHidden/>
    <w:rsid w:val="000F6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22544">
      <w:bodyDiv w:val="1"/>
      <w:marLeft w:val="0"/>
      <w:marRight w:val="0"/>
      <w:marTop w:val="0"/>
      <w:marBottom w:val="0"/>
      <w:divBdr>
        <w:top w:val="none" w:sz="0" w:space="0" w:color="auto"/>
        <w:left w:val="none" w:sz="0" w:space="0" w:color="auto"/>
        <w:bottom w:val="none" w:sz="0" w:space="0" w:color="auto"/>
        <w:right w:val="none" w:sz="0" w:space="0" w:color="auto"/>
      </w:divBdr>
    </w:div>
    <w:div w:id="1397825284">
      <w:bodyDiv w:val="1"/>
      <w:marLeft w:val="0"/>
      <w:marRight w:val="0"/>
      <w:marTop w:val="0"/>
      <w:marBottom w:val="0"/>
      <w:divBdr>
        <w:top w:val="none" w:sz="0" w:space="0" w:color="auto"/>
        <w:left w:val="none" w:sz="0" w:space="0" w:color="auto"/>
        <w:bottom w:val="none" w:sz="0" w:space="0" w:color="auto"/>
        <w:right w:val="none" w:sz="0" w:space="0" w:color="auto"/>
      </w:divBdr>
      <w:divsChild>
        <w:div w:id="701981335">
          <w:marLeft w:val="360"/>
          <w:marRight w:val="0"/>
          <w:marTop w:val="200"/>
          <w:marBottom w:val="0"/>
          <w:divBdr>
            <w:top w:val="none" w:sz="0" w:space="0" w:color="auto"/>
            <w:left w:val="none" w:sz="0" w:space="0" w:color="auto"/>
            <w:bottom w:val="none" w:sz="0" w:space="0" w:color="auto"/>
            <w:right w:val="none" w:sz="0" w:space="0" w:color="auto"/>
          </w:divBdr>
        </w:div>
        <w:div w:id="441725064">
          <w:marLeft w:val="360"/>
          <w:marRight w:val="0"/>
          <w:marTop w:val="200"/>
          <w:marBottom w:val="0"/>
          <w:divBdr>
            <w:top w:val="none" w:sz="0" w:space="0" w:color="auto"/>
            <w:left w:val="none" w:sz="0" w:space="0" w:color="auto"/>
            <w:bottom w:val="none" w:sz="0" w:space="0" w:color="auto"/>
            <w:right w:val="none" w:sz="0" w:space="0" w:color="auto"/>
          </w:divBdr>
        </w:div>
        <w:div w:id="1512527980">
          <w:marLeft w:val="360"/>
          <w:marRight w:val="0"/>
          <w:marTop w:val="200"/>
          <w:marBottom w:val="0"/>
          <w:divBdr>
            <w:top w:val="none" w:sz="0" w:space="0" w:color="auto"/>
            <w:left w:val="none" w:sz="0" w:space="0" w:color="auto"/>
            <w:bottom w:val="none" w:sz="0" w:space="0" w:color="auto"/>
            <w:right w:val="none" w:sz="0" w:space="0" w:color="auto"/>
          </w:divBdr>
        </w:div>
      </w:divsChild>
    </w:div>
    <w:div w:id="1673407828">
      <w:bodyDiv w:val="1"/>
      <w:marLeft w:val="0"/>
      <w:marRight w:val="0"/>
      <w:marTop w:val="0"/>
      <w:marBottom w:val="0"/>
      <w:divBdr>
        <w:top w:val="none" w:sz="0" w:space="0" w:color="auto"/>
        <w:left w:val="none" w:sz="0" w:space="0" w:color="auto"/>
        <w:bottom w:val="none" w:sz="0" w:space="0" w:color="auto"/>
        <w:right w:val="none" w:sz="0" w:space="0" w:color="auto"/>
      </w:divBdr>
    </w:div>
    <w:div w:id="16905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7/" TargetMode="External"/><Relationship Id="rId13" Type="http://schemas.openxmlformats.org/officeDocument/2006/relationships/hyperlink" Target="https://ideadata.org/sites/default/files/media/documents/2022-06/IDC%20Laminated%20Cards%20(2).pdf" TargetMode="External"/><Relationship Id="rId18" Type="http://schemas.openxmlformats.org/officeDocument/2006/relationships/hyperlink" Target="https://challengingbehavior.org/" TargetMode="External"/><Relationship Id="rId3" Type="http://schemas.openxmlformats.org/officeDocument/2006/relationships/customXml" Target="../customXml/item3.xml"/><Relationship Id="rId21" Type="http://schemas.openxmlformats.org/officeDocument/2006/relationships/hyperlink" Target="https://ectacenter.org/topics/ssip/" TargetMode="External"/><Relationship Id="rId7" Type="http://schemas.openxmlformats.org/officeDocument/2006/relationships/webSettings" Target="webSettings.xml"/><Relationship Id="rId12" Type="http://schemas.openxmlformats.org/officeDocument/2006/relationships/hyperlink" Target="https://www.doe.mass.edu/sped/spp/indicators/indicator17/indicator17-vietnamese.docx" TargetMode="External"/><Relationship Id="rId17" Type="http://schemas.openxmlformats.org/officeDocument/2006/relationships/hyperlink" Target="https://www.doe.mass.edu/sped/spp/ssip-evaluation-plan.docx" TargetMode="External"/><Relationship Id="rId2" Type="http://schemas.openxmlformats.org/officeDocument/2006/relationships/customXml" Target="../customXml/item2.xml"/><Relationship Id="rId16" Type="http://schemas.openxmlformats.org/officeDocument/2006/relationships/hyperlink" Target="https://www.doe.mass.edu/sped/spp/ssip-action-theory.docx" TargetMode="External"/><Relationship Id="rId20" Type="http://schemas.openxmlformats.org/officeDocument/2006/relationships/hyperlink" Target="https://ectacenter.org/topics/ss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7/indicator17-spanish.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rscenter.org/products-resources/predictors-postsecondary-success" TargetMode="External"/><Relationship Id="rId23" Type="http://schemas.openxmlformats.org/officeDocument/2006/relationships/fontTable" Target="fontTable.xml"/><Relationship Id="rId10" Type="http://schemas.openxmlformats.org/officeDocument/2006/relationships/hyperlink" Target="https://www.doe.mass.edu/sped/spp/indicators/indicator17/indicator17-portuguese.docx" TargetMode="External"/><Relationship Id="rId19" Type="http://schemas.openxmlformats.org/officeDocument/2006/relationships/hyperlink" Target="https://www.pyramidmodel.org/" TargetMode="External"/><Relationship Id="rId4" Type="http://schemas.openxmlformats.org/officeDocument/2006/relationships/numbering" Target="numbering.xml"/><Relationship Id="rId9" Type="http://schemas.openxmlformats.org/officeDocument/2006/relationships/hyperlink" Target="https://www.doe.mass.edu/sped/spp/indicators/indicator17/indicator17-chinese.docx" TargetMode="External"/><Relationship Id="rId14" Type="http://schemas.openxmlformats.org/officeDocument/2006/relationships/hyperlink" Target="https://www.naeyc.org/resources/pubs/yc/mar2018/promoting-social-and-emotional-health" TargetMode="External"/><Relationship Id="rId22" Type="http://schemas.openxmlformats.org/officeDocument/2006/relationships/hyperlink" Target="https://www.doe.mass.edu/sped/spp/indicators/indicator17/indicator17-slides-haitiancreol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12BDD-7DD2-474C-8689-3EA77213BA02}">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F1695A33-5097-477C-844A-D05DA0F9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F4D6-E9C5-468D-B21E-9AFC95281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3366</Characters>
  <Application>Microsoft Office Word</Application>
  <DocSecurity>0</DocSecurity>
  <Lines>187</Lines>
  <Paragraphs>143</Paragraphs>
  <ScaleCrop>false</ScaleCrop>
  <HeadingPairs>
    <vt:vector size="2" baseType="variant">
      <vt:variant>
        <vt:lpstr>Title</vt:lpstr>
      </vt:variant>
      <vt:variant>
        <vt:i4>1</vt:i4>
      </vt:variant>
    </vt:vector>
  </HeadingPairs>
  <TitlesOfParts>
    <vt:vector size="1" baseType="lpstr">
      <vt:lpstr>Indicator 17: State Systemic Improvement Plan — Haitian Creole</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17: State Systemic Improvement Plan — Haitian Creole</dc:title>
  <dc:subject/>
  <dc:creator>DESE</dc:creator>
  <cp:keywords/>
  <dc:description/>
  <cp:lastModifiedBy>Zou, Dong (EOE)</cp:lastModifiedBy>
  <cp:revision>9</cp:revision>
  <dcterms:created xsi:type="dcterms:W3CDTF">2022-11-01T13:10:00Z</dcterms:created>
  <dcterms:modified xsi:type="dcterms:W3CDTF">2023-02-09T20:27:00Z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2023 12:00AM</vt:lpwstr>
  </property>
</Properties>
</file>