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ADA8" w14:textId="40145126" w:rsidR="004D7235" w:rsidRPr="005F7E50" w:rsidRDefault="00BB2899" w:rsidP="009379A0">
      <w:pPr>
        <w:pStyle w:val="Heading1"/>
        <w:rPr>
          <w:b/>
          <w:bCs/>
          <w:lang w:val="es-ES"/>
        </w:rPr>
      </w:pPr>
      <w:r w:rsidRPr="005F7E50">
        <w:rPr>
          <w:b/>
          <w:bCs/>
          <w:lang w:val="es"/>
        </w:rPr>
        <w:t>Indicador 7: Resultados de la educación preescolar en estudiantes con un IEP</w:t>
      </w:r>
    </w:p>
    <w:p w14:paraId="5B37F5E7" w14:textId="64D4E8F9" w:rsidR="00D14FCC" w:rsidRPr="00D2027D" w:rsidRDefault="00D14FCC" w:rsidP="00D14FCC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"/>
        </w:rPr>
        <w:t xml:space="preserve">¿Qué es el Indicador 7? </w:t>
      </w:r>
    </w:p>
    <w:p w14:paraId="398D0764" w14:textId="0C93A7C3" w:rsidR="00234DF6" w:rsidRPr="00D2027D" w:rsidRDefault="00CD7A03" w:rsidP="00BE2415">
      <w:pPr>
        <w:spacing w:after="120"/>
        <w:rPr>
          <w:b/>
          <w:bCs/>
          <w:lang w:val="es-ES"/>
        </w:rPr>
      </w:pPr>
      <w:r>
        <w:rPr>
          <w:b/>
          <w:bCs/>
          <w:lang w:val="es"/>
        </w:rPr>
        <w:t xml:space="preserve">El </w:t>
      </w:r>
      <w:hyperlink r:id="rId9" w:anchor=":~:text=IDC%20has%20created%20a%20laminated%20card%20that%20states,back%20includes%20information%20about%20the%20SSIP%20Indicator%20B17." w:history="1">
        <w:r>
          <w:rPr>
            <w:rStyle w:val="Hyperlink"/>
            <w:rFonts w:eastAsiaTheme="minorEastAsia"/>
            <w:b/>
            <w:bCs/>
            <w:color w:val="2F5496" w:themeColor="accent1" w:themeShade="BF"/>
            <w:lang w:val="es"/>
          </w:rPr>
          <w:t>Indicador 7</w:t>
        </w:r>
      </w:hyperlink>
      <w:r>
        <w:rPr>
          <w:b/>
          <w:bCs/>
          <w:color w:val="2F5496" w:themeColor="accent1" w:themeShade="BF"/>
          <w:lang w:val="es"/>
        </w:rPr>
        <w:t xml:space="preserve"> </w:t>
      </w:r>
      <w:r>
        <w:rPr>
          <w:b/>
          <w:bCs/>
          <w:lang w:val="es"/>
        </w:rPr>
        <w:t>se enfoca en el porcentaje de niños de preescolar con un Programa de Educación Individualizado (</w:t>
      </w:r>
      <w:proofErr w:type="spellStart"/>
      <w:r>
        <w:rPr>
          <w:b/>
          <w:bCs/>
          <w:lang w:val="es"/>
        </w:rPr>
        <w:t>Individualized</w:t>
      </w:r>
      <w:proofErr w:type="spellEnd"/>
      <w:r>
        <w:rPr>
          <w:b/>
          <w:bCs/>
          <w:lang w:val="es"/>
        </w:rPr>
        <w:t xml:space="preserve"> Education </w:t>
      </w:r>
      <w:proofErr w:type="spellStart"/>
      <w:r>
        <w:rPr>
          <w:b/>
          <w:bCs/>
          <w:lang w:val="es"/>
        </w:rPr>
        <w:t>Program</w:t>
      </w:r>
      <w:proofErr w:type="spellEnd"/>
      <w:r>
        <w:rPr>
          <w:b/>
          <w:bCs/>
          <w:lang w:val="es"/>
        </w:rPr>
        <w:t xml:space="preserve">, </w:t>
      </w:r>
      <w:hyperlink r:id="rId10" w:history="1">
        <w:r>
          <w:rPr>
            <w:rStyle w:val="Hyperlink"/>
            <w:b/>
            <w:bCs/>
            <w:lang w:val="es"/>
          </w:rPr>
          <w:t>IEP</w:t>
        </w:r>
      </w:hyperlink>
      <w:r w:rsidR="00D2027D">
        <w:rPr>
          <w:b/>
          <w:bCs/>
          <w:lang w:val="es"/>
        </w:rPr>
        <w:t xml:space="preserve">) </w:t>
      </w:r>
      <w:r>
        <w:rPr>
          <w:b/>
          <w:bCs/>
          <w:lang w:val="es"/>
        </w:rPr>
        <w:t xml:space="preserve">(de entre 3 y 5 años) que mejoran en 3 áreas de resultado: </w:t>
      </w:r>
    </w:p>
    <w:p w14:paraId="32CC35FE" w14:textId="5D60AE73" w:rsidR="00234DF6" w:rsidRPr="00234DF6" w:rsidRDefault="00234DF6" w:rsidP="00234DF6">
      <w:pPr>
        <w:pStyle w:val="ListParagraph"/>
        <w:numPr>
          <w:ilvl w:val="0"/>
          <w:numId w:val="1"/>
        </w:numPr>
      </w:pPr>
      <w:r>
        <w:rPr>
          <w:lang w:val="es"/>
        </w:rPr>
        <w:t xml:space="preserve">Habilidades socioemocionales positivas </w:t>
      </w:r>
    </w:p>
    <w:p w14:paraId="5A04133F" w14:textId="59EA725F" w:rsidR="000A2649" w:rsidRPr="00D2027D" w:rsidRDefault="00525EFD" w:rsidP="00234DF6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"/>
        </w:rPr>
        <w:t xml:space="preserve">Avance y uso del conocimiento y las habilidades </w:t>
      </w:r>
    </w:p>
    <w:p w14:paraId="3EF9DDAC" w14:textId="3AED6FBA" w:rsidR="00234DF6" w:rsidRPr="00D2027D" w:rsidRDefault="00234DF6" w:rsidP="00BE2415">
      <w:pPr>
        <w:pStyle w:val="ListParagraph"/>
        <w:numPr>
          <w:ilvl w:val="0"/>
          <w:numId w:val="1"/>
        </w:numPr>
        <w:spacing w:after="120"/>
        <w:rPr>
          <w:lang w:val="es-ES"/>
        </w:rPr>
      </w:pPr>
      <w:r>
        <w:rPr>
          <w:lang w:val="es"/>
        </w:rPr>
        <w:t>Uso de comportamientos aceptables para cubrir sus necesidades</w:t>
      </w:r>
    </w:p>
    <w:p w14:paraId="3C48A64A" w14:textId="7C3F8587" w:rsidR="00234DF6" w:rsidRPr="00D2027D" w:rsidRDefault="00B32A23" w:rsidP="00BE2415">
      <w:pPr>
        <w:spacing w:after="120"/>
        <w:rPr>
          <w:b/>
          <w:bCs/>
          <w:lang w:val="es-ES"/>
        </w:rPr>
      </w:pPr>
      <w:r>
        <w:rPr>
          <w:b/>
          <w:bCs/>
          <w:lang w:val="es"/>
        </w:rPr>
        <w:t>Cada resultado tiene dos declaraciones: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7711"/>
      </w:tblGrid>
      <w:tr w:rsidR="00211BB4" w:rsidRPr="00405C7B" w14:paraId="74BAA250" w14:textId="77777777" w:rsidTr="3D524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B4C6E7" w:themeFill="accent1" w:themeFillTint="66"/>
          </w:tcPr>
          <w:p w14:paraId="474ED023" w14:textId="3D478B2B" w:rsidR="00211BB4" w:rsidRPr="000D5F42" w:rsidRDefault="00211BB4" w:rsidP="00236453">
            <w:pPr>
              <w:rPr>
                <w:b w:val="0"/>
                <w:bCs w:val="0"/>
              </w:rPr>
            </w:pPr>
            <w:r>
              <w:rPr>
                <w:rFonts w:eastAsiaTheme="minorEastAsia"/>
                <w:color w:val="000000" w:themeColor="text1"/>
                <w:kern w:val="24"/>
                <w:lang w:val="es"/>
              </w:rPr>
              <w:t>Declaración recapitulativa 1</w:t>
            </w:r>
          </w:p>
        </w:tc>
        <w:tc>
          <w:tcPr>
            <w:tcW w:w="8005" w:type="dxa"/>
          </w:tcPr>
          <w:p w14:paraId="5A11B787" w14:textId="5159447A" w:rsidR="00211BB4" w:rsidRPr="00D2027D" w:rsidRDefault="00211BB4" w:rsidP="00236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rFonts w:eastAsiaTheme="minorEastAsia"/>
                <w:b w:val="0"/>
                <w:bCs w:val="0"/>
                <w:color w:val="000000" w:themeColor="text1"/>
                <w:kern w:val="24"/>
                <w:lang w:val="es"/>
              </w:rPr>
              <w:t>De los niños que ingresaron a un programa de preescolar con una edad menor a la esperada, el porcentaje que logró avances en el momento en que cumplieron 6 años o abandonaron el programa.</w:t>
            </w:r>
          </w:p>
        </w:tc>
      </w:tr>
      <w:tr w:rsidR="00211BB4" w:rsidRPr="00405C7B" w14:paraId="73D1206B" w14:textId="77777777" w:rsidTr="3D524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B4C6E7" w:themeFill="accent1" w:themeFillTint="66"/>
          </w:tcPr>
          <w:p w14:paraId="31D63B15" w14:textId="731656A3" w:rsidR="00211BB4" w:rsidRPr="000D5F42" w:rsidRDefault="00211BB4" w:rsidP="00236453">
            <w:pPr>
              <w:rPr>
                <w:b w:val="0"/>
                <w:bCs w:val="0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val="es"/>
              </w:rPr>
              <w:t>Declaración recapitulativa 2</w:t>
            </w:r>
          </w:p>
        </w:tc>
        <w:tc>
          <w:tcPr>
            <w:tcW w:w="8005" w:type="dxa"/>
          </w:tcPr>
          <w:p w14:paraId="36F1C2F6" w14:textId="7B90ADE3" w:rsidR="00211BB4" w:rsidRPr="00D2027D" w:rsidRDefault="00211BB4" w:rsidP="00236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rFonts w:eastAsiaTheme="minorEastAsia"/>
                <w:color w:val="000000" w:themeColor="dark1"/>
                <w:kern w:val="24"/>
                <w:lang w:val="es"/>
              </w:rPr>
              <w:t>El porcentaje de niños de preescolar que tuvieron un desempeño acorde a su edad en el momento en que cumplieron 6 años o abandonaron el programa.</w:t>
            </w:r>
          </w:p>
        </w:tc>
      </w:tr>
    </w:tbl>
    <w:p w14:paraId="54F01580" w14:textId="5B46A39A" w:rsidR="005E5347" w:rsidRPr="00D2027D" w:rsidRDefault="005E5347" w:rsidP="00D14FCC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"/>
        </w:rPr>
        <w:t>¿Por qué el Indicador 7 es importante?</w:t>
      </w:r>
    </w:p>
    <w:p w14:paraId="482D3249" w14:textId="77777777" w:rsidR="0050262D" w:rsidRPr="00D2027D" w:rsidRDefault="0050262D" w:rsidP="0050262D">
      <w:pPr>
        <w:numPr>
          <w:ilvl w:val="0"/>
          <w:numId w:val="9"/>
        </w:numPr>
        <w:spacing w:after="0" w:line="240" w:lineRule="auto"/>
        <w:ind w:left="720"/>
        <w:contextualSpacing/>
        <w:rPr>
          <w:rFonts w:eastAsia="Times New Roman" w:cstheme="minorHAnsi"/>
          <w:lang w:val="es-ES"/>
        </w:rPr>
      </w:pPr>
      <w:r>
        <w:rPr>
          <w:rFonts w:eastAsiaTheme="minorEastAsia" w:cstheme="minorHAnsi"/>
          <w:kern w:val="24"/>
          <w:lang w:val="es"/>
        </w:rPr>
        <w:t>La salud socioemocional afecta el desarrollo y el aprendizaje (Asociación Nacional para la Educación Infantil [</w:t>
      </w:r>
      <w:proofErr w:type="spellStart"/>
      <w:r>
        <w:rPr>
          <w:rFonts w:eastAsiaTheme="minorEastAsia" w:cstheme="minorHAnsi"/>
          <w:kern w:val="24"/>
          <w:lang w:val="es"/>
        </w:rPr>
        <w:t>National</w:t>
      </w:r>
      <w:proofErr w:type="spellEnd"/>
      <w:r>
        <w:rPr>
          <w:rFonts w:eastAsiaTheme="minorEastAsia" w:cstheme="minorHAnsi"/>
          <w:kern w:val="24"/>
          <w:lang w:val="es"/>
        </w:rPr>
        <w:t xml:space="preserve"> </w:t>
      </w:r>
      <w:proofErr w:type="spellStart"/>
      <w:r>
        <w:rPr>
          <w:rFonts w:eastAsiaTheme="minorEastAsia" w:cstheme="minorHAnsi"/>
          <w:kern w:val="24"/>
          <w:lang w:val="es"/>
        </w:rPr>
        <w:t>Association</w:t>
      </w:r>
      <w:proofErr w:type="spellEnd"/>
      <w:r>
        <w:rPr>
          <w:rFonts w:eastAsiaTheme="minorEastAsia" w:cstheme="minorHAnsi"/>
          <w:kern w:val="24"/>
          <w:lang w:val="es"/>
        </w:rPr>
        <w:t xml:space="preserve"> </w:t>
      </w:r>
      <w:proofErr w:type="spellStart"/>
      <w:r>
        <w:rPr>
          <w:rFonts w:eastAsiaTheme="minorEastAsia" w:cstheme="minorHAnsi"/>
          <w:kern w:val="24"/>
          <w:lang w:val="es"/>
        </w:rPr>
        <w:t>for</w:t>
      </w:r>
      <w:proofErr w:type="spellEnd"/>
      <w:r>
        <w:rPr>
          <w:rFonts w:eastAsiaTheme="minorEastAsia" w:cstheme="minorHAnsi"/>
          <w:kern w:val="24"/>
          <w:lang w:val="es"/>
        </w:rPr>
        <w:t xml:space="preserve"> </w:t>
      </w:r>
      <w:proofErr w:type="spellStart"/>
      <w:r>
        <w:rPr>
          <w:rFonts w:eastAsiaTheme="minorEastAsia" w:cstheme="minorHAnsi"/>
          <w:kern w:val="24"/>
          <w:lang w:val="es"/>
        </w:rPr>
        <w:t>the</w:t>
      </w:r>
      <w:proofErr w:type="spellEnd"/>
      <w:r>
        <w:rPr>
          <w:rFonts w:eastAsiaTheme="minorEastAsia" w:cstheme="minorHAnsi"/>
          <w:kern w:val="24"/>
          <w:lang w:val="es"/>
        </w:rPr>
        <w:t xml:space="preserve"> Education of Young </w:t>
      </w:r>
      <w:proofErr w:type="spellStart"/>
      <w:r>
        <w:rPr>
          <w:rFonts w:eastAsiaTheme="minorEastAsia" w:cstheme="minorHAnsi"/>
          <w:kern w:val="24"/>
          <w:lang w:val="es"/>
        </w:rPr>
        <w:t>Children</w:t>
      </w:r>
      <w:proofErr w:type="spellEnd"/>
      <w:r>
        <w:rPr>
          <w:rFonts w:eastAsiaTheme="minorEastAsia" w:cstheme="minorHAnsi"/>
          <w:kern w:val="24"/>
          <w:lang w:val="es"/>
        </w:rPr>
        <w:t xml:space="preserve">, </w:t>
      </w:r>
      <w:hyperlink r:id="rId11" w:history="1">
        <w:r>
          <w:rPr>
            <w:rFonts w:eastAsiaTheme="minorEastAsia" w:cstheme="minorHAnsi"/>
            <w:color w:val="0070C0"/>
            <w:kern w:val="24"/>
            <w:u w:val="single"/>
            <w:lang w:val="es"/>
          </w:rPr>
          <w:t>NAEYC], 2018</w:t>
        </w:r>
      </w:hyperlink>
      <w:r>
        <w:rPr>
          <w:rFonts w:eastAsiaTheme="minorEastAsia" w:cstheme="minorHAnsi"/>
          <w:kern w:val="24"/>
          <w:lang w:val="es"/>
        </w:rPr>
        <w:t>):</w:t>
      </w:r>
    </w:p>
    <w:p w14:paraId="08EF0765" w14:textId="77777777" w:rsidR="0050262D" w:rsidRPr="00D2027D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  <w:lang w:val="es-ES"/>
        </w:rPr>
      </w:pPr>
      <w:r>
        <w:rPr>
          <w:rFonts w:eastAsiaTheme="minorEastAsia" w:cstheme="minorHAnsi"/>
          <w:kern w:val="24"/>
          <w:lang w:val="es"/>
        </w:rPr>
        <w:t xml:space="preserve">Motivación y actitud ante la escuela </w:t>
      </w:r>
    </w:p>
    <w:p w14:paraId="54FB5E3E" w14:textId="77777777" w:rsidR="0050262D" w:rsidRPr="00D2027D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  <w:lang w:val="es-ES"/>
        </w:rPr>
      </w:pPr>
      <w:r>
        <w:rPr>
          <w:rFonts w:eastAsiaTheme="minorEastAsia" w:cstheme="minorHAnsi"/>
          <w:kern w:val="24"/>
          <w:lang w:val="es"/>
        </w:rPr>
        <w:t>Concentración y participación en las actividades de las clases</w:t>
      </w:r>
    </w:p>
    <w:p w14:paraId="4A5B6556" w14:textId="77777777" w:rsidR="0050262D" w:rsidRPr="004E5900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r>
        <w:rPr>
          <w:rFonts w:eastAsiaTheme="minorEastAsia" w:cstheme="minorHAnsi"/>
          <w:kern w:val="24"/>
          <w:lang w:val="es"/>
        </w:rPr>
        <w:t>Desempeño académico</w:t>
      </w:r>
    </w:p>
    <w:p w14:paraId="2F4B74E7" w14:textId="77777777" w:rsidR="0050262D" w:rsidRPr="004E5900" w:rsidRDefault="0050262D" w:rsidP="0050262D">
      <w:pPr>
        <w:numPr>
          <w:ilvl w:val="1"/>
          <w:numId w:val="9"/>
        </w:numPr>
        <w:spacing w:after="0" w:line="240" w:lineRule="auto"/>
        <w:ind w:left="1440"/>
        <w:contextualSpacing/>
        <w:rPr>
          <w:rFonts w:eastAsia="Times New Roman" w:cstheme="minorHAnsi"/>
        </w:rPr>
      </w:pPr>
      <w:r>
        <w:rPr>
          <w:rFonts w:eastAsiaTheme="minorEastAsia" w:cstheme="minorHAnsi"/>
          <w:kern w:val="24"/>
          <w:lang w:val="es"/>
        </w:rPr>
        <w:t>Regulación emocional</w:t>
      </w:r>
    </w:p>
    <w:p w14:paraId="7CD08187" w14:textId="01924088" w:rsidR="0050262D" w:rsidRPr="00D2027D" w:rsidRDefault="0050262D" w:rsidP="0050262D">
      <w:pPr>
        <w:numPr>
          <w:ilvl w:val="0"/>
          <w:numId w:val="9"/>
        </w:numPr>
        <w:spacing w:after="0" w:line="240" w:lineRule="auto"/>
        <w:ind w:left="720"/>
        <w:contextualSpacing/>
        <w:rPr>
          <w:rFonts w:eastAsia="Times New Roman" w:cstheme="minorHAnsi"/>
          <w:lang w:val="es-ES"/>
        </w:rPr>
      </w:pPr>
      <w:r>
        <w:rPr>
          <w:rFonts w:eastAsiaTheme="minorEastAsia" w:cstheme="minorHAnsi"/>
          <w:kern w:val="24"/>
          <w:lang w:val="es"/>
        </w:rPr>
        <w:t>El desarrollo socioemocional, cognitivo y del lenguaje ayuda a preparar a un niño para la escuela (</w:t>
      </w:r>
      <w:proofErr w:type="spellStart"/>
      <w:r w:rsidR="00A65F94">
        <w:fldChar w:fldCharType="begin"/>
      </w:r>
      <w:r w:rsidR="00A65F94" w:rsidRPr="00405C7B">
        <w:rPr>
          <w:lang w:val="es-ES"/>
        </w:rPr>
        <w:instrText xml:space="preserve"> HYPERLINK "https://ccrscenter.org/products-resources/predictors-postsecondary-success" \l ":~:text=This%20brief%20summarizes%20early%20childhood%20through%20early%20postsecondary,early%20as%20prekindergarten%20and%20throughout%20their%20academic%20career." </w:instrText>
      </w:r>
      <w:r w:rsidR="00A65F94">
        <w:fldChar w:fldCharType="separate"/>
      </w:r>
      <w:r>
        <w:rPr>
          <w:rStyle w:val="Hyperlink"/>
          <w:rFonts w:eastAsiaTheme="minorEastAsia" w:cstheme="minorHAnsi"/>
          <w:kern w:val="24"/>
          <w:lang w:val="es"/>
        </w:rPr>
        <w:t>The</w:t>
      </w:r>
      <w:proofErr w:type="spellEnd"/>
      <w:r>
        <w:rPr>
          <w:rStyle w:val="Hyperlink"/>
          <w:rFonts w:eastAsiaTheme="minorEastAsia" w:cstheme="minorHAnsi"/>
          <w:kern w:val="24"/>
          <w:lang w:val="es"/>
        </w:rPr>
        <w:t xml:space="preserve"> </w:t>
      </w:r>
      <w:proofErr w:type="spellStart"/>
      <w:r>
        <w:rPr>
          <w:rStyle w:val="Hyperlink"/>
          <w:rFonts w:eastAsiaTheme="minorEastAsia" w:cstheme="minorHAnsi"/>
          <w:kern w:val="24"/>
          <w:lang w:val="es"/>
        </w:rPr>
        <w:t>College</w:t>
      </w:r>
      <w:proofErr w:type="spellEnd"/>
      <w:r>
        <w:rPr>
          <w:rStyle w:val="Hyperlink"/>
          <w:rFonts w:eastAsiaTheme="minorEastAsia" w:cstheme="minorHAnsi"/>
          <w:kern w:val="24"/>
          <w:lang w:val="es"/>
        </w:rPr>
        <w:t xml:space="preserve"> &amp; </w:t>
      </w:r>
      <w:proofErr w:type="spellStart"/>
      <w:r>
        <w:rPr>
          <w:rStyle w:val="Hyperlink"/>
          <w:rFonts w:eastAsiaTheme="minorEastAsia" w:cstheme="minorHAnsi"/>
          <w:kern w:val="24"/>
          <w:lang w:val="es"/>
        </w:rPr>
        <w:t>Career</w:t>
      </w:r>
      <w:proofErr w:type="spellEnd"/>
      <w:r>
        <w:rPr>
          <w:rStyle w:val="Hyperlink"/>
          <w:rFonts w:eastAsiaTheme="minorEastAsia" w:cstheme="minorHAnsi"/>
          <w:kern w:val="24"/>
          <w:lang w:val="es"/>
        </w:rPr>
        <w:t xml:space="preserve"> </w:t>
      </w:r>
      <w:proofErr w:type="spellStart"/>
      <w:r>
        <w:rPr>
          <w:rStyle w:val="Hyperlink"/>
          <w:rFonts w:eastAsiaTheme="minorEastAsia" w:cstheme="minorHAnsi"/>
          <w:kern w:val="24"/>
          <w:lang w:val="es"/>
        </w:rPr>
        <w:t>Readiness</w:t>
      </w:r>
      <w:proofErr w:type="spellEnd"/>
      <w:r>
        <w:rPr>
          <w:rStyle w:val="Hyperlink"/>
          <w:rFonts w:eastAsiaTheme="minorEastAsia" w:cstheme="minorHAnsi"/>
          <w:kern w:val="24"/>
          <w:lang w:val="es"/>
        </w:rPr>
        <w:t xml:space="preserve"> &amp; </w:t>
      </w:r>
      <w:proofErr w:type="spellStart"/>
      <w:r>
        <w:rPr>
          <w:rStyle w:val="Hyperlink"/>
          <w:rFonts w:eastAsiaTheme="minorEastAsia" w:cstheme="minorHAnsi"/>
          <w:kern w:val="24"/>
          <w:lang w:val="es"/>
        </w:rPr>
        <w:t>Success</w:t>
      </w:r>
      <w:proofErr w:type="spellEnd"/>
      <w:r>
        <w:rPr>
          <w:rStyle w:val="Hyperlink"/>
          <w:rFonts w:eastAsiaTheme="minorEastAsia" w:cstheme="minorHAnsi"/>
          <w:kern w:val="24"/>
          <w:lang w:val="es"/>
        </w:rPr>
        <w:t xml:space="preserve"> Center, 2013</w:t>
      </w:r>
      <w:r w:rsidR="00A65F94">
        <w:rPr>
          <w:rStyle w:val="Hyperlink"/>
          <w:rFonts w:eastAsiaTheme="minorEastAsia" w:cstheme="minorHAnsi"/>
          <w:kern w:val="24"/>
          <w:lang w:val="es"/>
        </w:rPr>
        <w:fldChar w:fldCharType="end"/>
      </w:r>
      <w:r>
        <w:rPr>
          <w:rFonts w:eastAsiaTheme="minorEastAsia" w:cstheme="minorHAnsi"/>
          <w:kern w:val="24"/>
          <w:lang w:val="es"/>
        </w:rPr>
        <w:t>).</w:t>
      </w:r>
    </w:p>
    <w:p w14:paraId="067FD48D" w14:textId="3DC7895F" w:rsidR="00234DF6" w:rsidRPr="00D14FCC" w:rsidRDefault="00D14FCC" w:rsidP="00D14FCC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s"/>
        </w:rPr>
        <w:t xml:space="preserve">Datos del Indicador 7 </w:t>
      </w:r>
    </w:p>
    <w:tbl>
      <w:tblPr>
        <w:tblStyle w:val="TableGrid"/>
        <w:tblW w:w="9407" w:type="dxa"/>
        <w:tblInd w:w="-5" w:type="dxa"/>
        <w:tblLook w:val="04A0" w:firstRow="1" w:lastRow="0" w:firstColumn="1" w:lastColumn="0" w:noHBand="0" w:noVBand="1"/>
      </w:tblPr>
      <w:tblGrid>
        <w:gridCol w:w="5355"/>
        <w:gridCol w:w="4052"/>
      </w:tblGrid>
      <w:tr w:rsidR="00211BB4" w14:paraId="3B67AD80" w14:textId="77777777" w:rsidTr="0CE91731">
        <w:trPr>
          <w:trHeight w:val="264"/>
        </w:trPr>
        <w:tc>
          <w:tcPr>
            <w:tcW w:w="5355" w:type="dxa"/>
            <w:shd w:val="clear" w:color="auto" w:fill="B4C6E7" w:themeFill="accent1" w:themeFillTint="66"/>
          </w:tcPr>
          <w:p w14:paraId="184F8CB8" w14:textId="3BFB85BC" w:rsidR="00211BB4" w:rsidRPr="00211BB4" w:rsidRDefault="00211BB4" w:rsidP="00211BB4">
            <w:pPr>
              <w:contextualSpacing/>
              <w:rPr>
                <w:rFonts w:eastAsiaTheme="minorEastAsia" w:cstheme="minorHAnsi"/>
                <w:b/>
                <w:bCs/>
                <w:kern w:val="24"/>
                <w:position w:val="1"/>
              </w:rPr>
            </w:pPr>
            <w:r>
              <w:rPr>
                <w:rFonts w:eastAsiaTheme="minorEastAsia" w:cstheme="minorHAnsi"/>
                <w:b/>
                <w:bCs/>
                <w:kern w:val="24"/>
                <w:lang w:val="es"/>
              </w:rPr>
              <w:t>Recopilación de datos</w:t>
            </w:r>
          </w:p>
        </w:tc>
        <w:tc>
          <w:tcPr>
            <w:tcW w:w="4052" w:type="dxa"/>
            <w:shd w:val="clear" w:color="auto" w:fill="B4C6E7" w:themeFill="accent1" w:themeFillTint="66"/>
          </w:tcPr>
          <w:p w14:paraId="3ED63979" w14:textId="03A43123" w:rsidR="00211BB4" w:rsidRPr="00211BB4" w:rsidRDefault="00211BB4" w:rsidP="00211BB4">
            <w:pPr>
              <w:contextualSpacing/>
              <w:rPr>
                <w:rFonts w:eastAsiaTheme="minorEastAsia" w:cstheme="minorHAnsi"/>
                <w:b/>
                <w:bCs/>
                <w:kern w:val="24"/>
                <w:position w:val="1"/>
              </w:rPr>
            </w:pPr>
            <w:r>
              <w:rPr>
                <w:rFonts w:eastAsiaTheme="minorEastAsia" w:cstheme="minorHAnsi"/>
                <w:b/>
                <w:bCs/>
                <w:kern w:val="24"/>
                <w:lang w:val="es"/>
              </w:rPr>
              <w:t xml:space="preserve">Conclusiones clave </w:t>
            </w:r>
          </w:p>
        </w:tc>
      </w:tr>
      <w:tr w:rsidR="00211BB4" w:rsidRPr="00405C7B" w14:paraId="385946AA" w14:textId="77777777" w:rsidTr="0CE91731">
        <w:trPr>
          <w:trHeight w:val="264"/>
        </w:trPr>
        <w:tc>
          <w:tcPr>
            <w:tcW w:w="5355" w:type="dxa"/>
          </w:tcPr>
          <w:p w14:paraId="367F47B7" w14:textId="5727EE43" w:rsidR="00211BB4" w:rsidRPr="00D2027D" w:rsidRDefault="00465018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  <w:lang w:val="es-ES"/>
              </w:rPr>
            </w:pPr>
            <w:r>
              <w:rPr>
                <w:rFonts w:eastAsiaTheme="minorEastAsia" w:cstheme="minorHAnsi"/>
                <w:kern w:val="24"/>
                <w:lang w:val="es"/>
              </w:rPr>
              <w:t>Datos de las familias y los maestros.</w:t>
            </w:r>
          </w:p>
          <w:p w14:paraId="01B4A18D" w14:textId="3B59A0BE" w:rsidR="00211BB4" w:rsidRPr="00D2027D" w:rsidRDefault="00465018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  <w:lang w:val="es-ES"/>
              </w:rPr>
            </w:pPr>
            <w:r>
              <w:rPr>
                <w:rFonts w:eastAsiaTheme="minorEastAsia" w:cstheme="minorHAnsi"/>
                <w:kern w:val="24"/>
                <w:lang w:val="es"/>
              </w:rPr>
              <w:t>Se enfoca en las capacidades del niño en diferentes momentos y lugares.</w:t>
            </w:r>
          </w:p>
          <w:p w14:paraId="5540447C" w14:textId="2E1EB09D" w:rsidR="00211BB4" w:rsidRPr="00D2027D" w:rsidRDefault="00211BB4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  <w:lang w:val="es-ES"/>
              </w:rPr>
            </w:pPr>
            <w:r>
              <w:rPr>
                <w:rFonts w:eastAsiaTheme="minorEastAsia" w:cstheme="minorHAnsi"/>
                <w:kern w:val="24"/>
                <w:lang w:val="es"/>
              </w:rPr>
              <w:t>Compara las capacidades del niño con compañeros de su edad.</w:t>
            </w:r>
          </w:p>
          <w:p w14:paraId="1377D979" w14:textId="1D90359F" w:rsidR="00211BB4" w:rsidRPr="00D2027D" w:rsidRDefault="00211BB4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rFonts w:eastAsia="Times New Roman" w:cstheme="minorHAnsi"/>
                <w:lang w:val="es-ES"/>
              </w:rPr>
            </w:pPr>
            <w:r>
              <w:rPr>
                <w:rFonts w:eastAsiaTheme="minorEastAsia" w:cstheme="minorHAnsi"/>
                <w:kern w:val="24"/>
                <w:lang w:val="es"/>
              </w:rPr>
              <w:t>Escala de calificación de 7 puntos</w:t>
            </w:r>
          </w:p>
        </w:tc>
        <w:tc>
          <w:tcPr>
            <w:tcW w:w="4052" w:type="dxa"/>
          </w:tcPr>
          <w:p w14:paraId="225F933D" w14:textId="397202C3" w:rsidR="00211BB4" w:rsidRPr="00D2027D" w:rsidRDefault="00211BB4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b/>
                <w:bCs/>
                <w:lang w:val="es-ES"/>
              </w:rPr>
            </w:pPr>
            <w:r>
              <w:rPr>
                <w:lang w:val="es"/>
              </w:rPr>
              <w:t xml:space="preserve">Los datos han permanecido iguales (año fiscal federal [Federal Fiscal </w:t>
            </w:r>
            <w:proofErr w:type="spellStart"/>
            <w:r>
              <w:rPr>
                <w:lang w:val="es"/>
              </w:rPr>
              <w:t>Year</w:t>
            </w:r>
            <w:proofErr w:type="spellEnd"/>
            <w:r>
              <w:rPr>
                <w:lang w:val="es"/>
              </w:rPr>
              <w:t>, FFY] 201</w:t>
            </w:r>
            <w:r w:rsidR="0011125B">
              <w:rPr>
                <w:lang w:val="es"/>
              </w:rPr>
              <w:t>7</w:t>
            </w:r>
            <w:r>
              <w:rPr>
                <w:lang w:val="es"/>
              </w:rPr>
              <w:t>-FFY 2019).</w:t>
            </w:r>
          </w:p>
          <w:p w14:paraId="77DEC5DA" w14:textId="7CFEF689" w:rsidR="00211BB4" w:rsidRPr="00D2027D" w:rsidRDefault="00465018" w:rsidP="00211BB4">
            <w:pPr>
              <w:pStyle w:val="ListParagraph"/>
              <w:numPr>
                <w:ilvl w:val="0"/>
                <w:numId w:val="6"/>
              </w:numPr>
              <w:ind w:left="340"/>
              <w:rPr>
                <w:b/>
                <w:bCs/>
                <w:lang w:val="es-ES"/>
              </w:rPr>
            </w:pPr>
            <w:r>
              <w:rPr>
                <w:lang w:val="es"/>
              </w:rPr>
              <w:t>La mayoría de los objetivos no se alcanzaron (FFY 201</w:t>
            </w:r>
            <w:r w:rsidR="0011125B">
              <w:rPr>
                <w:lang w:val="es"/>
              </w:rPr>
              <w:t>7</w:t>
            </w:r>
            <w:r>
              <w:rPr>
                <w:lang w:val="es"/>
              </w:rPr>
              <w:t>-FFY 2019).</w:t>
            </w:r>
          </w:p>
        </w:tc>
      </w:tr>
    </w:tbl>
    <w:p w14:paraId="27CBE610" w14:textId="7FDBC6CA" w:rsidR="00825FD0" w:rsidRDefault="00AE6DF7" w:rsidP="00D14FCC">
      <w:pPr>
        <w:pStyle w:val="Heading2"/>
        <w:spacing w:before="120"/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En las siguientes tablas, el FFY 2017 es la referencia. La referencia es un punto de partida. Se usa para medir el progreso en los próximos años.</w:t>
      </w:r>
    </w:p>
    <w:p w14:paraId="2D66317D" w14:textId="77777777" w:rsidR="00817825" w:rsidRPr="00817825" w:rsidRDefault="00817825" w:rsidP="00817825">
      <w:pPr>
        <w:rPr>
          <w:lang w:val="e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39"/>
        <w:gridCol w:w="1323"/>
        <w:gridCol w:w="1098"/>
        <w:gridCol w:w="1365"/>
        <w:gridCol w:w="1098"/>
        <w:gridCol w:w="1474"/>
        <w:gridCol w:w="1325"/>
      </w:tblGrid>
      <w:tr w:rsidR="00B6593A" w:rsidRPr="00405C7B" w14:paraId="495C8F3D" w14:textId="77777777" w:rsidTr="00893589">
        <w:trPr>
          <w:trHeight w:val="161"/>
        </w:trPr>
        <w:tc>
          <w:tcPr>
            <w:tcW w:w="0" w:type="auto"/>
            <w:shd w:val="clear" w:color="auto" w:fill="B4C6E7" w:themeFill="accent1" w:themeFillTint="66"/>
          </w:tcPr>
          <w:p w14:paraId="6A4C35E7" w14:textId="53CDEF80" w:rsidR="00B26C60" w:rsidRPr="00B26C60" w:rsidRDefault="00B26C60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7A</w:t>
            </w:r>
          </w:p>
        </w:tc>
        <w:tc>
          <w:tcPr>
            <w:tcW w:w="7709" w:type="dxa"/>
            <w:gridSpan w:val="6"/>
            <w:shd w:val="clear" w:color="auto" w:fill="B4C6E7" w:themeFill="accent1" w:themeFillTint="66"/>
          </w:tcPr>
          <w:p w14:paraId="37F129FA" w14:textId="49CEE7D2" w:rsidR="00133F0A" w:rsidRPr="00D2027D" w:rsidRDefault="00133F0A" w:rsidP="6A4C35E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"/>
              </w:rPr>
              <w:t>Datos de las habilidades socioemocionales positivas</w:t>
            </w:r>
          </w:p>
        </w:tc>
      </w:tr>
      <w:tr w:rsidR="00AB52DF" w14:paraId="4891C229" w14:textId="77777777" w:rsidTr="00893589">
        <w:trPr>
          <w:trHeight w:val="269"/>
        </w:trPr>
        <w:tc>
          <w:tcPr>
            <w:tcW w:w="1613" w:type="dxa"/>
          </w:tcPr>
          <w:p w14:paraId="7EEFF5A4" w14:textId="77777777" w:rsidR="00F1347A" w:rsidRPr="00D2027D" w:rsidRDefault="00F1347A" w:rsidP="002B33D2">
            <w:pPr>
              <w:rPr>
                <w:lang w:val="es-ES"/>
              </w:rPr>
            </w:pPr>
          </w:p>
        </w:tc>
        <w:tc>
          <w:tcPr>
            <w:tcW w:w="1330" w:type="dxa"/>
          </w:tcPr>
          <w:p w14:paraId="07233894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Datos del FFY 2017 (N = 651)</w:t>
            </w:r>
          </w:p>
        </w:tc>
        <w:tc>
          <w:tcPr>
            <w:tcW w:w="1099" w:type="dxa"/>
          </w:tcPr>
          <w:p w14:paraId="6D3E4634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Objetivo del FFY 2017</w:t>
            </w:r>
          </w:p>
        </w:tc>
        <w:tc>
          <w:tcPr>
            <w:tcW w:w="1369" w:type="dxa"/>
          </w:tcPr>
          <w:p w14:paraId="09181AD3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Datos del FFY 2018 (N = 1045)</w:t>
            </w:r>
          </w:p>
        </w:tc>
        <w:tc>
          <w:tcPr>
            <w:tcW w:w="1099" w:type="dxa"/>
          </w:tcPr>
          <w:p w14:paraId="7CC9D3B6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Objetivo del FFY 2018</w:t>
            </w:r>
          </w:p>
        </w:tc>
        <w:tc>
          <w:tcPr>
            <w:tcW w:w="1481" w:type="dxa"/>
          </w:tcPr>
          <w:p w14:paraId="65CBDCC2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Datos del FFY 2019 (N = 1150)</w:t>
            </w:r>
          </w:p>
        </w:tc>
        <w:tc>
          <w:tcPr>
            <w:tcW w:w="1328" w:type="dxa"/>
          </w:tcPr>
          <w:p w14:paraId="58E0F131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Objetivo del FFY 2019</w:t>
            </w:r>
          </w:p>
        </w:tc>
      </w:tr>
      <w:tr w:rsidR="00AB52DF" w14:paraId="19E6BB8B" w14:textId="77777777" w:rsidTr="00893589">
        <w:trPr>
          <w:trHeight w:val="431"/>
        </w:trPr>
        <w:tc>
          <w:tcPr>
            <w:tcW w:w="1613" w:type="dxa"/>
          </w:tcPr>
          <w:p w14:paraId="1AD2852D" w14:textId="2B7C0124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lastRenderedPageBreak/>
              <w:t>Declaración recapitulativa 1</w:t>
            </w:r>
          </w:p>
        </w:tc>
        <w:tc>
          <w:tcPr>
            <w:tcW w:w="1330" w:type="dxa"/>
          </w:tcPr>
          <w:p w14:paraId="410C78EE" w14:textId="41559966" w:rsidR="00F1347A" w:rsidRDefault="00F1347A" w:rsidP="002B33D2">
            <w:r>
              <w:rPr>
                <w:lang w:val="es"/>
              </w:rPr>
              <w:t>85.61 %</w:t>
            </w:r>
          </w:p>
        </w:tc>
        <w:tc>
          <w:tcPr>
            <w:tcW w:w="1099" w:type="dxa"/>
          </w:tcPr>
          <w:p w14:paraId="16882B70" w14:textId="77777777" w:rsidR="00F1347A" w:rsidRDefault="00F1347A" w:rsidP="002B33D2">
            <w:r>
              <w:rPr>
                <w:lang w:val="es"/>
              </w:rPr>
              <w:t>--</w:t>
            </w:r>
          </w:p>
        </w:tc>
        <w:tc>
          <w:tcPr>
            <w:tcW w:w="1369" w:type="dxa"/>
          </w:tcPr>
          <w:p w14:paraId="00F72D86" w14:textId="6BBB5AF5" w:rsidR="00F1347A" w:rsidRDefault="00F1347A" w:rsidP="002B33D2">
            <w:r>
              <w:rPr>
                <w:lang w:val="es"/>
              </w:rPr>
              <w:t>85.17 %</w:t>
            </w:r>
          </w:p>
        </w:tc>
        <w:tc>
          <w:tcPr>
            <w:tcW w:w="1099" w:type="dxa"/>
          </w:tcPr>
          <w:p w14:paraId="259A2C3F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86 %</w:t>
            </w:r>
          </w:p>
        </w:tc>
        <w:tc>
          <w:tcPr>
            <w:tcW w:w="1481" w:type="dxa"/>
          </w:tcPr>
          <w:p w14:paraId="26A03A11" w14:textId="2A97D1A2" w:rsidR="00F1347A" w:rsidRDefault="00F1347A" w:rsidP="002B33D2">
            <w:r>
              <w:rPr>
                <w:lang w:val="es"/>
              </w:rPr>
              <w:t>82.44 %</w:t>
            </w:r>
          </w:p>
        </w:tc>
        <w:tc>
          <w:tcPr>
            <w:tcW w:w="1328" w:type="dxa"/>
          </w:tcPr>
          <w:p w14:paraId="6BE06099" w14:textId="77777777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86 %</w:t>
            </w:r>
          </w:p>
        </w:tc>
      </w:tr>
      <w:tr w:rsidR="00AB52DF" w14:paraId="78923A84" w14:textId="77777777" w:rsidTr="00893589">
        <w:trPr>
          <w:trHeight w:val="242"/>
        </w:trPr>
        <w:tc>
          <w:tcPr>
            <w:tcW w:w="1613" w:type="dxa"/>
          </w:tcPr>
          <w:p w14:paraId="43B57938" w14:textId="3CE287CE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Declaración recapitulativa 2</w:t>
            </w:r>
          </w:p>
        </w:tc>
        <w:tc>
          <w:tcPr>
            <w:tcW w:w="1330" w:type="dxa"/>
          </w:tcPr>
          <w:p w14:paraId="0BD77C8D" w14:textId="43E96988" w:rsidR="00F1347A" w:rsidRDefault="00F1347A" w:rsidP="002B33D2">
            <w:r>
              <w:rPr>
                <w:lang w:val="es"/>
              </w:rPr>
              <w:t>47.0 %</w:t>
            </w:r>
          </w:p>
        </w:tc>
        <w:tc>
          <w:tcPr>
            <w:tcW w:w="1099" w:type="dxa"/>
          </w:tcPr>
          <w:p w14:paraId="64D1DC0D" w14:textId="77777777" w:rsidR="00F1347A" w:rsidRDefault="00F1347A" w:rsidP="002B33D2">
            <w:r>
              <w:rPr>
                <w:lang w:val="es"/>
              </w:rPr>
              <w:t>--</w:t>
            </w:r>
          </w:p>
        </w:tc>
        <w:tc>
          <w:tcPr>
            <w:tcW w:w="1369" w:type="dxa"/>
          </w:tcPr>
          <w:p w14:paraId="61F3CCB7" w14:textId="6C8D5E0A" w:rsidR="00F1347A" w:rsidRDefault="00F1347A" w:rsidP="002B33D2">
            <w:r>
              <w:rPr>
                <w:lang w:val="es"/>
              </w:rPr>
              <w:t>46.03 %</w:t>
            </w:r>
          </w:p>
        </w:tc>
        <w:tc>
          <w:tcPr>
            <w:tcW w:w="1099" w:type="dxa"/>
          </w:tcPr>
          <w:p w14:paraId="61017B32" w14:textId="3195FF66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50 %</w:t>
            </w:r>
          </w:p>
        </w:tc>
        <w:tc>
          <w:tcPr>
            <w:tcW w:w="1481" w:type="dxa"/>
          </w:tcPr>
          <w:p w14:paraId="10E00A87" w14:textId="3C8E806D" w:rsidR="00F1347A" w:rsidRDefault="00F1347A" w:rsidP="002B33D2">
            <w:r>
              <w:rPr>
                <w:lang w:val="es"/>
              </w:rPr>
              <w:t>43.74 %</w:t>
            </w:r>
          </w:p>
        </w:tc>
        <w:tc>
          <w:tcPr>
            <w:tcW w:w="1328" w:type="dxa"/>
          </w:tcPr>
          <w:p w14:paraId="7E009CF4" w14:textId="7031B974" w:rsidR="00F1347A" w:rsidRPr="00B0460A" w:rsidRDefault="00F1347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50 %</w:t>
            </w:r>
          </w:p>
        </w:tc>
      </w:tr>
    </w:tbl>
    <w:p w14:paraId="7067009B" w14:textId="47088CF5" w:rsidR="00F1347A" w:rsidRPr="00F1347A" w:rsidRDefault="00F1347A" w:rsidP="00F1347A"/>
    <w:tbl>
      <w:tblPr>
        <w:tblStyle w:val="TableGrid"/>
        <w:tblW w:w="9322" w:type="dxa"/>
        <w:tblLook w:val="01E0" w:firstRow="1" w:lastRow="1" w:firstColumn="1" w:lastColumn="1" w:noHBand="0" w:noVBand="0"/>
      </w:tblPr>
      <w:tblGrid>
        <w:gridCol w:w="1639"/>
        <w:gridCol w:w="1328"/>
        <w:gridCol w:w="1175"/>
        <w:gridCol w:w="1387"/>
        <w:gridCol w:w="1100"/>
        <w:gridCol w:w="1541"/>
        <w:gridCol w:w="1152"/>
      </w:tblGrid>
      <w:tr w:rsidR="00B6593A" w:rsidRPr="00405C7B" w14:paraId="1EFA99A0" w14:textId="77777777" w:rsidTr="0091720B">
        <w:trPr>
          <w:trHeight w:val="220"/>
        </w:trPr>
        <w:tc>
          <w:tcPr>
            <w:tcW w:w="1617" w:type="dxa"/>
            <w:shd w:val="clear" w:color="auto" w:fill="B4C6E7" w:themeFill="accent1" w:themeFillTint="66"/>
          </w:tcPr>
          <w:p w14:paraId="38E8997E" w14:textId="10B80796" w:rsidR="00B6593A" w:rsidRPr="00B0460A" w:rsidRDefault="00B6593A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 xml:space="preserve">7B </w:t>
            </w:r>
          </w:p>
        </w:tc>
        <w:tc>
          <w:tcPr>
            <w:tcW w:w="7705" w:type="dxa"/>
            <w:gridSpan w:val="6"/>
            <w:shd w:val="clear" w:color="auto" w:fill="B4C6E7" w:themeFill="accent1" w:themeFillTint="66"/>
          </w:tcPr>
          <w:p w14:paraId="03B702FF" w14:textId="06790448" w:rsidR="00B6593A" w:rsidRPr="00D2027D" w:rsidRDefault="00B6593A" w:rsidP="002B33D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"/>
              </w:rPr>
              <w:t>Datos sobre el avance y el uso del conocimiento y las habilidades</w:t>
            </w:r>
          </w:p>
        </w:tc>
      </w:tr>
      <w:tr w:rsidR="00AB52DF" w14:paraId="620FA72D" w14:textId="77777777" w:rsidTr="00893589">
        <w:trPr>
          <w:trHeight w:val="521"/>
        </w:trPr>
        <w:tc>
          <w:tcPr>
            <w:tcW w:w="1617" w:type="dxa"/>
          </w:tcPr>
          <w:p w14:paraId="0EE45051" w14:textId="77777777" w:rsidR="00672107" w:rsidRPr="00D2027D" w:rsidRDefault="00672107" w:rsidP="002B33D2">
            <w:pPr>
              <w:rPr>
                <w:lang w:val="es-ES"/>
              </w:rPr>
            </w:pPr>
          </w:p>
        </w:tc>
        <w:tc>
          <w:tcPr>
            <w:tcW w:w="1333" w:type="dxa"/>
          </w:tcPr>
          <w:p w14:paraId="6CB498F3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Datos del FFY 2017 (N = 651)</w:t>
            </w:r>
          </w:p>
        </w:tc>
        <w:tc>
          <w:tcPr>
            <w:tcW w:w="1178" w:type="dxa"/>
          </w:tcPr>
          <w:p w14:paraId="675C899A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Objetivo del FFY 2017</w:t>
            </w:r>
          </w:p>
        </w:tc>
        <w:tc>
          <w:tcPr>
            <w:tcW w:w="1391" w:type="dxa"/>
          </w:tcPr>
          <w:p w14:paraId="6417C55D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Datos del FFY 2018 (N = 1045)</w:t>
            </w:r>
          </w:p>
        </w:tc>
        <w:tc>
          <w:tcPr>
            <w:tcW w:w="1101" w:type="dxa"/>
          </w:tcPr>
          <w:p w14:paraId="7EFB7A9D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Objetivo del FFY 2018</w:t>
            </w:r>
          </w:p>
        </w:tc>
        <w:tc>
          <w:tcPr>
            <w:tcW w:w="1548" w:type="dxa"/>
          </w:tcPr>
          <w:p w14:paraId="109BE694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Datos del FFY 2019 (N = 1150)</w:t>
            </w:r>
          </w:p>
        </w:tc>
        <w:tc>
          <w:tcPr>
            <w:tcW w:w="1150" w:type="dxa"/>
          </w:tcPr>
          <w:p w14:paraId="47E973E3" w14:textId="77777777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Objetivo del FFY 2019</w:t>
            </w:r>
          </w:p>
        </w:tc>
      </w:tr>
      <w:tr w:rsidR="00AB52DF" w14:paraId="17EC5CCF" w14:textId="77777777" w:rsidTr="00893589">
        <w:trPr>
          <w:trHeight w:val="467"/>
        </w:trPr>
        <w:tc>
          <w:tcPr>
            <w:tcW w:w="1617" w:type="dxa"/>
          </w:tcPr>
          <w:p w14:paraId="0D8D4FC7" w14:textId="481DC9E3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Declaración recapitulativa 1</w:t>
            </w:r>
          </w:p>
        </w:tc>
        <w:tc>
          <w:tcPr>
            <w:tcW w:w="1333" w:type="dxa"/>
          </w:tcPr>
          <w:p w14:paraId="4111AD9B" w14:textId="4E18CF4E" w:rsidR="00672107" w:rsidRDefault="00672107" w:rsidP="002B33D2">
            <w:r>
              <w:rPr>
                <w:lang w:val="es"/>
              </w:rPr>
              <w:t>84.90 %</w:t>
            </w:r>
          </w:p>
        </w:tc>
        <w:tc>
          <w:tcPr>
            <w:tcW w:w="1178" w:type="dxa"/>
          </w:tcPr>
          <w:p w14:paraId="5E3DDA60" w14:textId="77777777" w:rsidR="00672107" w:rsidRDefault="00672107" w:rsidP="002B33D2">
            <w:r>
              <w:rPr>
                <w:lang w:val="es"/>
              </w:rPr>
              <w:t>--</w:t>
            </w:r>
          </w:p>
        </w:tc>
        <w:tc>
          <w:tcPr>
            <w:tcW w:w="1391" w:type="dxa"/>
          </w:tcPr>
          <w:p w14:paraId="05EF8CEA" w14:textId="331965C8" w:rsidR="00672107" w:rsidRDefault="00672107" w:rsidP="002B33D2">
            <w:r>
              <w:rPr>
                <w:lang w:val="es"/>
              </w:rPr>
              <w:t>83.56 %</w:t>
            </w:r>
          </w:p>
        </w:tc>
        <w:tc>
          <w:tcPr>
            <w:tcW w:w="1101" w:type="dxa"/>
          </w:tcPr>
          <w:p w14:paraId="51FDA009" w14:textId="58476C06" w:rsidR="00672107" w:rsidRPr="00B0460A" w:rsidRDefault="00633B88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85 %</w:t>
            </w:r>
          </w:p>
        </w:tc>
        <w:tc>
          <w:tcPr>
            <w:tcW w:w="1548" w:type="dxa"/>
          </w:tcPr>
          <w:p w14:paraId="09F14780" w14:textId="29998810" w:rsidR="00672107" w:rsidRDefault="00672107" w:rsidP="002B33D2">
            <w:r>
              <w:rPr>
                <w:lang w:val="es"/>
              </w:rPr>
              <w:t>84.20 %</w:t>
            </w:r>
          </w:p>
        </w:tc>
        <w:tc>
          <w:tcPr>
            <w:tcW w:w="1150" w:type="dxa"/>
          </w:tcPr>
          <w:p w14:paraId="08509EE5" w14:textId="3C914573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85 %</w:t>
            </w:r>
          </w:p>
        </w:tc>
      </w:tr>
      <w:tr w:rsidR="00AB52DF" w14:paraId="544809D6" w14:textId="77777777" w:rsidTr="00893589">
        <w:trPr>
          <w:trHeight w:val="413"/>
        </w:trPr>
        <w:tc>
          <w:tcPr>
            <w:tcW w:w="1617" w:type="dxa"/>
          </w:tcPr>
          <w:p w14:paraId="61B12BB7" w14:textId="27042C31" w:rsidR="00672107" w:rsidRPr="00B0460A" w:rsidRDefault="00672107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Declaración recapitulativa 2</w:t>
            </w:r>
          </w:p>
        </w:tc>
        <w:tc>
          <w:tcPr>
            <w:tcW w:w="1333" w:type="dxa"/>
          </w:tcPr>
          <w:p w14:paraId="2FE68E0A" w14:textId="72DFCF30" w:rsidR="00672107" w:rsidRDefault="00633B88" w:rsidP="002B33D2">
            <w:r>
              <w:rPr>
                <w:lang w:val="es"/>
              </w:rPr>
              <w:t>48.39 %</w:t>
            </w:r>
          </w:p>
        </w:tc>
        <w:tc>
          <w:tcPr>
            <w:tcW w:w="1178" w:type="dxa"/>
          </w:tcPr>
          <w:p w14:paraId="3AE3EF9F" w14:textId="77777777" w:rsidR="00672107" w:rsidRDefault="00672107" w:rsidP="002B33D2">
            <w:r>
              <w:rPr>
                <w:lang w:val="es"/>
              </w:rPr>
              <w:t>--</w:t>
            </w:r>
          </w:p>
        </w:tc>
        <w:tc>
          <w:tcPr>
            <w:tcW w:w="1391" w:type="dxa"/>
          </w:tcPr>
          <w:p w14:paraId="556C865F" w14:textId="68201783" w:rsidR="00672107" w:rsidRDefault="00633B88" w:rsidP="002B33D2">
            <w:r>
              <w:rPr>
                <w:lang w:val="es"/>
              </w:rPr>
              <w:t>46.60 %</w:t>
            </w:r>
          </w:p>
        </w:tc>
        <w:tc>
          <w:tcPr>
            <w:tcW w:w="1101" w:type="dxa"/>
          </w:tcPr>
          <w:p w14:paraId="3F6BBBA9" w14:textId="030680AB" w:rsidR="00672107" w:rsidRPr="00B0460A" w:rsidRDefault="00633B88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49 %</w:t>
            </w:r>
          </w:p>
        </w:tc>
        <w:tc>
          <w:tcPr>
            <w:tcW w:w="1548" w:type="dxa"/>
          </w:tcPr>
          <w:p w14:paraId="230B115F" w14:textId="3C92D169" w:rsidR="00672107" w:rsidRDefault="00633B88" w:rsidP="002B33D2">
            <w:r>
              <w:rPr>
                <w:lang w:val="es"/>
              </w:rPr>
              <w:t>45.04 %</w:t>
            </w:r>
          </w:p>
        </w:tc>
        <w:tc>
          <w:tcPr>
            <w:tcW w:w="1150" w:type="dxa"/>
          </w:tcPr>
          <w:p w14:paraId="7AA62E38" w14:textId="3FB9E765" w:rsidR="00672107" w:rsidRPr="00B0460A" w:rsidRDefault="00633B88" w:rsidP="002B33D2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49 %</w:t>
            </w:r>
          </w:p>
        </w:tc>
      </w:tr>
    </w:tbl>
    <w:p w14:paraId="3B3004F1" w14:textId="77777777" w:rsidR="00F1347A" w:rsidRPr="00F1347A" w:rsidRDefault="00F1347A" w:rsidP="00F1347A"/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652"/>
        <w:gridCol w:w="1303"/>
        <w:gridCol w:w="1185"/>
        <w:gridCol w:w="1422"/>
        <w:gridCol w:w="1066"/>
        <w:gridCol w:w="1414"/>
        <w:gridCol w:w="1314"/>
      </w:tblGrid>
      <w:tr w:rsidR="00B6593A" w:rsidRPr="00405C7B" w14:paraId="2BF08EC5" w14:textId="77777777" w:rsidTr="00893589">
        <w:trPr>
          <w:trHeight w:val="58"/>
        </w:trPr>
        <w:tc>
          <w:tcPr>
            <w:tcW w:w="1652" w:type="dxa"/>
            <w:shd w:val="clear" w:color="auto" w:fill="B4C6E7" w:themeFill="accent1" w:themeFillTint="66"/>
          </w:tcPr>
          <w:p w14:paraId="5423CE74" w14:textId="13FE5D1A" w:rsidR="00B6593A" w:rsidRPr="00B0460A" w:rsidRDefault="00B6593A" w:rsidP="00DB1447">
            <w:pPr>
              <w:rPr>
                <w:b/>
                <w:bCs/>
              </w:rPr>
            </w:pPr>
            <w:bookmarkStart w:id="0" w:name="_Hlk83900585"/>
            <w:r>
              <w:rPr>
                <w:b/>
                <w:bCs/>
                <w:lang w:val="es"/>
              </w:rPr>
              <w:t xml:space="preserve">7C </w:t>
            </w:r>
          </w:p>
        </w:tc>
        <w:tc>
          <w:tcPr>
            <w:tcW w:w="7704" w:type="dxa"/>
            <w:gridSpan w:val="6"/>
            <w:shd w:val="clear" w:color="auto" w:fill="B4C6E7" w:themeFill="accent1" w:themeFillTint="66"/>
          </w:tcPr>
          <w:p w14:paraId="38518F3B" w14:textId="5C9E985C" w:rsidR="00B6593A" w:rsidRPr="00D2027D" w:rsidRDefault="00B6593A" w:rsidP="00DB144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"/>
              </w:rPr>
              <w:t>Uso de comportamientos adecuados para cubrir sus necesidades</w:t>
            </w:r>
          </w:p>
        </w:tc>
      </w:tr>
      <w:tr w:rsidR="00DB1447" w14:paraId="459460DC" w14:textId="77777777" w:rsidTr="00893589">
        <w:trPr>
          <w:trHeight w:val="620"/>
        </w:trPr>
        <w:tc>
          <w:tcPr>
            <w:tcW w:w="1652" w:type="dxa"/>
          </w:tcPr>
          <w:p w14:paraId="2659285B" w14:textId="77777777" w:rsidR="00DB1447" w:rsidRPr="00D2027D" w:rsidRDefault="00DB1447" w:rsidP="00DB1447">
            <w:pPr>
              <w:rPr>
                <w:lang w:val="es-ES"/>
              </w:rPr>
            </w:pPr>
          </w:p>
        </w:tc>
        <w:tc>
          <w:tcPr>
            <w:tcW w:w="1303" w:type="dxa"/>
          </w:tcPr>
          <w:p w14:paraId="278E691A" w14:textId="54B1C413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Datos del FFY 2017 (N = 651)</w:t>
            </w:r>
          </w:p>
        </w:tc>
        <w:tc>
          <w:tcPr>
            <w:tcW w:w="1185" w:type="dxa"/>
          </w:tcPr>
          <w:p w14:paraId="1D62C80A" w14:textId="3B6BF2D4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Objetivo del FFY 2017</w:t>
            </w:r>
          </w:p>
        </w:tc>
        <w:tc>
          <w:tcPr>
            <w:tcW w:w="1422" w:type="dxa"/>
          </w:tcPr>
          <w:p w14:paraId="71A0E6F2" w14:textId="4BC96FA4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Datos del FFY 2018 (N = 1045)</w:t>
            </w:r>
          </w:p>
        </w:tc>
        <w:tc>
          <w:tcPr>
            <w:tcW w:w="1066" w:type="dxa"/>
          </w:tcPr>
          <w:p w14:paraId="44C8BE69" w14:textId="018B77AE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Objetivo del FFY 2018</w:t>
            </w:r>
          </w:p>
        </w:tc>
        <w:tc>
          <w:tcPr>
            <w:tcW w:w="1414" w:type="dxa"/>
          </w:tcPr>
          <w:p w14:paraId="643D9C95" w14:textId="453FAEA2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Datos del FFY 2019 (N = 1150)</w:t>
            </w:r>
          </w:p>
        </w:tc>
        <w:tc>
          <w:tcPr>
            <w:tcW w:w="1311" w:type="dxa"/>
          </w:tcPr>
          <w:p w14:paraId="2AACE330" w14:textId="7C1AAC8D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Objetivo del FFY 2019</w:t>
            </w:r>
          </w:p>
        </w:tc>
      </w:tr>
      <w:tr w:rsidR="00DB1447" w14:paraId="0A75E227" w14:textId="77777777" w:rsidTr="00893589">
        <w:trPr>
          <w:trHeight w:val="611"/>
        </w:trPr>
        <w:tc>
          <w:tcPr>
            <w:tcW w:w="1652" w:type="dxa"/>
          </w:tcPr>
          <w:p w14:paraId="6854A924" w14:textId="5F24B965" w:rsidR="00DB1447" w:rsidRPr="00B0460A" w:rsidRDefault="00DB1447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Declaración recapitulativa 1</w:t>
            </w:r>
          </w:p>
        </w:tc>
        <w:tc>
          <w:tcPr>
            <w:tcW w:w="1303" w:type="dxa"/>
          </w:tcPr>
          <w:p w14:paraId="37260517" w14:textId="0909D23E" w:rsidR="00DB1447" w:rsidRDefault="0052062C" w:rsidP="00DB1447">
            <w:r>
              <w:rPr>
                <w:lang w:val="es"/>
              </w:rPr>
              <w:t>85.51 %</w:t>
            </w:r>
          </w:p>
        </w:tc>
        <w:tc>
          <w:tcPr>
            <w:tcW w:w="1185" w:type="dxa"/>
          </w:tcPr>
          <w:p w14:paraId="489E2476" w14:textId="41EAE91A" w:rsidR="00DB1447" w:rsidRDefault="0052062C" w:rsidP="00DB1447">
            <w:r>
              <w:rPr>
                <w:lang w:val="es"/>
              </w:rPr>
              <w:t>--</w:t>
            </w:r>
          </w:p>
        </w:tc>
        <w:tc>
          <w:tcPr>
            <w:tcW w:w="1422" w:type="dxa"/>
          </w:tcPr>
          <w:p w14:paraId="75E9AC4A" w14:textId="44EF3F22" w:rsidR="00DB1447" w:rsidRDefault="0052062C" w:rsidP="00DB1447">
            <w:r>
              <w:rPr>
                <w:lang w:val="es"/>
              </w:rPr>
              <w:t>86.17 %</w:t>
            </w:r>
          </w:p>
        </w:tc>
        <w:tc>
          <w:tcPr>
            <w:tcW w:w="1066" w:type="dxa"/>
          </w:tcPr>
          <w:p w14:paraId="20838287" w14:textId="48E8606A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86 %</w:t>
            </w:r>
          </w:p>
        </w:tc>
        <w:tc>
          <w:tcPr>
            <w:tcW w:w="1414" w:type="dxa"/>
          </w:tcPr>
          <w:p w14:paraId="70334164" w14:textId="3BFCA033" w:rsidR="00DB1447" w:rsidRDefault="0052062C" w:rsidP="00DB1447">
            <w:r>
              <w:rPr>
                <w:lang w:val="es"/>
              </w:rPr>
              <w:t>84.43 %</w:t>
            </w:r>
          </w:p>
        </w:tc>
        <w:tc>
          <w:tcPr>
            <w:tcW w:w="1311" w:type="dxa"/>
          </w:tcPr>
          <w:p w14:paraId="79609D0D" w14:textId="45E31ED5" w:rsidR="00DB1447" w:rsidRPr="00B0460A" w:rsidRDefault="00B0460A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86 %</w:t>
            </w:r>
          </w:p>
        </w:tc>
      </w:tr>
      <w:tr w:rsidR="00DB1447" w14:paraId="1BBDC869" w14:textId="77777777" w:rsidTr="00893589">
        <w:trPr>
          <w:trHeight w:val="539"/>
        </w:trPr>
        <w:tc>
          <w:tcPr>
            <w:tcW w:w="1652" w:type="dxa"/>
          </w:tcPr>
          <w:p w14:paraId="6771B155" w14:textId="73627B11" w:rsidR="00DB1447" w:rsidRPr="00B0460A" w:rsidRDefault="00DB1447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Declaración recapitulativa 2</w:t>
            </w:r>
          </w:p>
        </w:tc>
        <w:tc>
          <w:tcPr>
            <w:tcW w:w="1303" w:type="dxa"/>
          </w:tcPr>
          <w:p w14:paraId="6A4E3F74" w14:textId="08343FC5" w:rsidR="00DB1447" w:rsidRDefault="0052062C" w:rsidP="00DB1447">
            <w:r>
              <w:rPr>
                <w:lang w:val="es"/>
              </w:rPr>
              <w:t>60.46 %</w:t>
            </w:r>
          </w:p>
        </w:tc>
        <w:tc>
          <w:tcPr>
            <w:tcW w:w="1185" w:type="dxa"/>
          </w:tcPr>
          <w:p w14:paraId="56E52AF8" w14:textId="701D374C" w:rsidR="00DB1447" w:rsidRDefault="0052062C" w:rsidP="00DB1447">
            <w:r>
              <w:rPr>
                <w:lang w:val="es"/>
              </w:rPr>
              <w:t>--</w:t>
            </w:r>
          </w:p>
        </w:tc>
        <w:tc>
          <w:tcPr>
            <w:tcW w:w="1422" w:type="dxa"/>
          </w:tcPr>
          <w:p w14:paraId="30AE402A" w14:textId="62BB66DA" w:rsidR="00DB1447" w:rsidRDefault="0052062C" w:rsidP="00DB1447">
            <w:r>
              <w:rPr>
                <w:lang w:val="es"/>
              </w:rPr>
              <w:t>60.67 %</w:t>
            </w:r>
          </w:p>
        </w:tc>
        <w:tc>
          <w:tcPr>
            <w:tcW w:w="1066" w:type="dxa"/>
          </w:tcPr>
          <w:p w14:paraId="27E05D75" w14:textId="3736CD0D" w:rsidR="00DB1447" w:rsidRPr="00B0460A" w:rsidRDefault="0052062C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63 %</w:t>
            </w:r>
          </w:p>
        </w:tc>
        <w:tc>
          <w:tcPr>
            <w:tcW w:w="1414" w:type="dxa"/>
          </w:tcPr>
          <w:p w14:paraId="656E0EF1" w14:textId="2D2A1B2C" w:rsidR="00DB1447" w:rsidRDefault="00B0460A" w:rsidP="00DB1447">
            <w:r>
              <w:rPr>
                <w:lang w:val="es"/>
              </w:rPr>
              <w:t>58.26 %</w:t>
            </w:r>
          </w:p>
        </w:tc>
        <w:tc>
          <w:tcPr>
            <w:tcW w:w="1311" w:type="dxa"/>
          </w:tcPr>
          <w:p w14:paraId="4A4031A8" w14:textId="32301E76" w:rsidR="00DB1447" w:rsidRPr="00B0460A" w:rsidRDefault="00B0460A" w:rsidP="00DB1447">
            <w:pPr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63 %</w:t>
            </w:r>
          </w:p>
        </w:tc>
      </w:tr>
      <w:bookmarkEnd w:id="0"/>
    </w:tbl>
    <w:p w14:paraId="0C959A62" w14:textId="77777777" w:rsidR="00DB1447" w:rsidRPr="00DB1447" w:rsidRDefault="00DB1447" w:rsidP="00DB1447"/>
    <w:p w14:paraId="28D994F0" w14:textId="1B32C322" w:rsidR="0009018E" w:rsidRPr="00D2027D" w:rsidRDefault="0009018E" w:rsidP="0009018E">
      <w:pPr>
        <w:spacing w:before="120" w:after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"/>
        </w:rPr>
        <w:t>Más información:</w:t>
      </w:r>
    </w:p>
    <w:p w14:paraId="3E338152" w14:textId="77777777" w:rsidR="0009018E" w:rsidRPr="00D2027D" w:rsidRDefault="00C02E03" w:rsidP="0009018E">
      <w:pPr>
        <w:spacing w:after="0"/>
        <w:rPr>
          <w:lang w:val="es-ES"/>
        </w:rPr>
      </w:pPr>
      <w:hyperlink r:id="rId12">
        <w:r w:rsidR="00CD7A03">
          <w:rPr>
            <w:rStyle w:val="Hyperlink"/>
            <w:lang w:val="es"/>
          </w:rPr>
          <w:t>DESE: educación especial de la primera infancia</w:t>
        </w:r>
      </w:hyperlink>
    </w:p>
    <w:p w14:paraId="58F5013A" w14:textId="77777777" w:rsidR="0009018E" w:rsidRPr="00D2027D" w:rsidRDefault="00C02E03" w:rsidP="0009018E">
      <w:pPr>
        <w:spacing w:after="0"/>
        <w:rPr>
          <w:lang w:val="es-ES"/>
        </w:rPr>
      </w:pPr>
      <w:hyperlink r:id="rId13" w:history="1">
        <w:r w:rsidR="00CD7A03">
          <w:rPr>
            <w:color w:val="0070C0"/>
            <w:u w:val="single"/>
            <w:lang w:val="es"/>
          </w:rPr>
          <w:t>ECTA Center: resultados de los niños</w:t>
        </w:r>
      </w:hyperlink>
    </w:p>
    <w:p w14:paraId="4A3CF120" w14:textId="0BB97F40" w:rsidR="0009018E" w:rsidRPr="00D2027D" w:rsidRDefault="00C02E03" w:rsidP="0009018E">
      <w:pPr>
        <w:spacing w:after="0"/>
        <w:rPr>
          <w:color w:val="0070C0"/>
          <w:u w:val="single"/>
          <w:lang w:val="es-ES"/>
        </w:rPr>
      </w:pPr>
      <w:hyperlink r:id="rId14" w:history="1">
        <w:r w:rsidR="00CD7A03">
          <w:rPr>
            <w:color w:val="0070C0"/>
            <w:u w:val="single"/>
            <w:lang w:val="es"/>
          </w:rPr>
          <w:t>Impacto de la pandemia de COVID-19 en los niños, los jóvenes y las familias</w:t>
        </w:r>
      </w:hyperlink>
    </w:p>
    <w:p w14:paraId="66536448" w14:textId="283B1A8A" w:rsidR="00CD7A03" w:rsidRPr="00D2027D" w:rsidRDefault="00CD7A03" w:rsidP="0009018E">
      <w:pPr>
        <w:spacing w:after="0"/>
        <w:rPr>
          <w:color w:val="0070C0"/>
          <w:u w:val="single"/>
          <w:lang w:val="es-ES"/>
        </w:rPr>
      </w:pPr>
    </w:p>
    <w:p w14:paraId="75181FE0" w14:textId="478EF2A9" w:rsidR="00CD7A03" w:rsidRDefault="00CD7A03" w:rsidP="00CD7A03">
      <w:pPr>
        <w:rPr>
          <w:rFonts w:cstheme="minorHAnsi"/>
          <w:b/>
          <w:bCs/>
          <w:szCs w:val="24"/>
          <w:lang w:val="es"/>
        </w:rPr>
      </w:pPr>
      <w:r>
        <w:rPr>
          <w:rFonts w:cstheme="minorHAnsi"/>
          <w:b/>
          <w:bCs/>
          <w:szCs w:val="24"/>
          <w:lang w:val="es"/>
        </w:rPr>
        <w:t>Obtenga más información sobre el Indicador 7:</w:t>
      </w:r>
    </w:p>
    <w:p w14:paraId="5A77E426" w14:textId="146D9F33" w:rsidR="00BF2E61" w:rsidRDefault="00C02E03" w:rsidP="00BF2E61">
      <w:pPr>
        <w:pStyle w:val="NormalWeb"/>
        <w:numPr>
          <w:ilvl w:val="0"/>
          <w:numId w:val="8"/>
        </w:numPr>
        <w:shd w:val="clear" w:color="auto" w:fill="FFFFFF"/>
        <w:spacing w:before="0" w:beforeAutospacing="0" w:afterAutospacing="0"/>
        <w:rPr>
          <w:rFonts w:ascii="Segoe UI" w:hAnsi="Segoe UI" w:cs="Segoe UI"/>
          <w:color w:val="0070C0"/>
          <w:u w:val="single"/>
        </w:rPr>
      </w:pPr>
      <w:hyperlink r:id="rId15" w:history="1">
        <w:proofErr w:type="spellStart"/>
        <w:r w:rsidR="00BF2E61" w:rsidRPr="00C02E03">
          <w:rPr>
            <w:rStyle w:val="Hyperlink"/>
            <w:rFonts w:ascii="Segoe UI" w:hAnsi="Segoe UI" w:cs="Segoe UI"/>
          </w:rPr>
          <w:t>Indicador</w:t>
        </w:r>
        <w:proofErr w:type="spellEnd"/>
        <w:r w:rsidR="00BF2E61" w:rsidRPr="00C02E03">
          <w:rPr>
            <w:rStyle w:val="Hyperlink"/>
            <w:rFonts w:ascii="Segoe UI" w:hAnsi="Segoe UI" w:cs="Segoe UI"/>
          </w:rPr>
          <w:t xml:space="preserve"> 7 PowerPoint</w:t>
        </w:r>
      </w:hyperlink>
    </w:p>
    <w:p w14:paraId="398BD780" w14:textId="6BA760B7" w:rsidR="00CD7A03" w:rsidRPr="00D2027D" w:rsidRDefault="00817825" w:rsidP="00CD7A03">
      <w:pPr>
        <w:spacing w:after="0"/>
        <w:rPr>
          <w:rFonts w:cstheme="minorHAnsi"/>
          <w:b/>
          <w:bCs/>
          <w:szCs w:val="24"/>
          <w:lang w:val="es-ES"/>
        </w:rPr>
      </w:pPr>
      <w:r>
        <w:rPr>
          <w:rFonts w:cstheme="minorHAnsi"/>
          <w:b/>
          <w:bCs/>
          <w:szCs w:val="24"/>
          <w:lang w:val="es"/>
        </w:rPr>
        <w:t xml:space="preserve">  </w:t>
      </w:r>
    </w:p>
    <w:p w14:paraId="40A0D9AD" w14:textId="77777777" w:rsidR="004B254F" w:rsidRDefault="004B254F" w:rsidP="00CD7A03">
      <w:pPr>
        <w:rPr>
          <w:b/>
          <w:bCs/>
          <w:highlight w:val="yellow"/>
          <w:lang w:val="es"/>
        </w:rPr>
      </w:pPr>
    </w:p>
    <w:p w14:paraId="1C8F2202" w14:textId="77777777" w:rsidR="00CD7A03" w:rsidRPr="00D2027D" w:rsidRDefault="00CD7A03" w:rsidP="00CD7A03">
      <w:pPr>
        <w:rPr>
          <w:b/>
          <w:bCs/>
          <w:lang w:val="es-ES"/>
        </w:rPr>
      </w:pPr>
    </w:p>
    <w:p w14:paraId="3A187135" w14:textId="77777777" w:rsidR="00CD7A03" w:rsidRPr="00D2027D" w:rsidRDefault="00CD7A03" w:rsidP="00CD7A03">
      <w:pPr>
        <w:spacing w:after="0"/>
        <w:rPr>
          <w:color w:val="0070C0"/>
          <w:lang w:val="es-ES"/>
        </w:rPr>
      </w:pPr>
    </w:p>
    <w:p w14:paraId="7E75E7B0" w14:textId="77777777" w:rsidR="00CD7A03" w:rsidRPr="00D2027D" w:rsidRDefault="00CD7A03" w:rsidP="0009018E">
      <w:pPr>
        <w:spacing w:after="0"/>
        <w:rPr>
          <w:color w:val="0070C0"/>
          <w:lang w:val="es-ES"/>
        </w:rPr>
      </w:pPr>
    </w:p>
    <w:sectPr w:rsidR="00CD7A03" w:rsidRPr="00D20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891"/>
    <w:multiLevelType w:val="hybridMultilevel"/>
    <w:tmpl w:val="BA40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673"/>
    <w:multiLevelType w:val="hybridMultilevel"/>
    <w:tmpl w:val="9050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634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  <w:b w:val="0"/>
        <w:color w:val="0070C0"/>
        <w:sz w:val="24"/>
        <w:u w:val="singl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E07"/>
    <w:multiLevelType w:val="hybridMultilevel"/>
    <w:tmpl w:val="8E306158"/>
    <w:lvl w:ilvl="0" w:tplc="C4822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0746"/>
    <w:multiLevelType w:val="hybridMultilevel"/>
    <w:tmpl w:val="8ADE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4915"/>
    <w:multiLevelType w:val="hybridMultilevel"/>
    <w:tmpl w:val="C8529F38"/>
    <w:lvl w:ilvl="0" w:tplc="523A08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4F96"/>
    <w:multiLevelType w:val="hybridMultilevel"/>
    <w:tmpl w:val="0A522A1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6" w15:restartNumberingAfterBreak="0">
    <w:nsid w:val="487A2DFB"/>
    <w:multiLevelType w:val="hybridMultilevel"/>
    <w:tmpl w:val="C838A56C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131A0A2E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EA80F952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637C2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C42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F066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1CD8E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4736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9D984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7" w15:restartNumberingAfterBreak="0">
    <w:nsid w:val="4A1F5223"/>
    <w:multiLevelType w:val="hybridMultilevel"/>
    <w:tmpl w:val="AC42D826"/>
    <w:lvl w:ilvl="0" w:tplc="C4822070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A776F37"/>
    <w:multiLevelType w:val="hybridMultilevel"/>
    <w:tmpl w:val="A3A45DEA"/>
    <w:lvl w:ilvl="0" w:tplc="3F0AE7AC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9" w15:restartNumberingAfterBreak="0">
    <w:nsid w:val="4DE34F55"/>
    <w:multiLevelType w:val="hybridMultilevel"/>
    <w:tmpl w:val="75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41C38"/>
    <w:multiLevelType w:val="multilevel"/>
    <w:tmpl w:val="86C8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F6"/>
    <w:rsid w:val="000265B2"/>
    <w:rsid w:val="000407C0"/>
    <w:rsid w:val="00063A3E"/>
    <w:rsid w:val="0009018E"/>
    <w:rsid w:val="000A0CA5"/>
    <w:rsid w:val="000A2649"/>
    <w:rsid w:val="000A6254"/>
    <w:rsid w:val="000D25C4"/>
    <w:rsid w:val="000D5F42"/>
    <w:rsid w:val="000F194D"/>
    <w:rsid w:val="0011125B"/>
    <w:rsid w:val="00127372"/>
    <w:rsid w:val="00133F0A"/>
    <w:rsid w:val="00144DEB"/>
    <w:rsid w:val="001641E1"/>
    <w:rsid w:val="001A68E1"/>
    <w:rsid w:val="001B543E"/>
    <w:rsid w:val="001C3548"/>
    <w:rsid w:val="00211BB4"/>
    <w:rsid w:val="00214B39"/>
    <w:rsid w:val="00225985"/>
    <w:rsid w:val="00234DF6"/>
    <w:rsid w:val="00236453"/>
    <w:rsid w:val="00246310"/>
    <w:rsid w:val="00265095"/>
    <w:rsid w:val="00292F66"/>
    <w:rsid w:val="002B2FE0"/>
    <w:rsid w:val="002C10EA"/>
    <w:rsid w:val="002C3CD9"/>
    <w:rsid w:val="002C6CC8"/>
    <w:rsid w:val="002E6D55"/>
    <w:rsid w:val="002F1258"/>
    <w:rsid w:val="00326A7D"/>
    <w:rsid w:val="003320A5"/>
    <w:rsid w:val="00377479"/>
    <w:rsid w:val="0038658C"/>
    <w:rsid w:val="003A1864"/>
    <w:rsid w:val="003B3A39"/>
    <w:rsid w:val="00405C7B"/>
    <w:rsid w:val="004203F8"/>
    <w:rsid w:val="00450780"/>
    <w:rsid w:val="00465018"/>
    <w:rsid w:val="00480F4F"/>
    <w:rsid w:val="004A11D3"/>
    <w:rsid w:val="004B254F"/>
    <w:rsid w:val="004D7235"/>
    <w:rsid w:val="004E0037"/>
    <w:rsid w:val="004F68F1"/>
    <w:rsid w:val="0050262D"/>
    <w:rsid w:val="00506AB3"/>
    <w:rsid w:val="0052062C"/>
    <w:rsid w:val="00525EFD"/>
    <w:rsid w:val="00550799"/>
    <w:rsid w:val="00563EE0"/>
    <w:rsid w:val="00581B3C"/>
    <w:rsid w:val="00595B31"/>
    <w:rsid w:val="005A1F50"/>
    <w:rsid w:val="005C7305"/>
    <w:rsid w:val="005E5347"/>
    <w:rsid w:val="005F3ED8"/>
    <w:rsid w:val="005F7E50"/>
    <w:rsid w:val="00602554"/>
    <w:rsid w:val="006072B3"/>
    <w:rsid w:val="006103D6"/>
    <w:rsid w:val="00633B88"/>
    <w:rsid w:val="00643AE1"/>
    <w:rsid w:val="0065111C"/>
    <w:rsid w:val="00655026"/>
    <w:rsid w:val="00672107"/>
    <w:rsid w:val="00680D12"/>
    <w:rsid w:val="006811A9"/>
    <w:rsid w:val="00686451"/>
    <w:rsid w:val="00696D50"/>
    <w:rsid w:val="006A0318"/>
    <w:rsid w:val="00707D25"/>
    <w:rsid w:val="00707FC2"/>
    <w:rsid w:val="00711CBF"/>
    <w:rsid w:val="00734EC6"/>
    <w:rsid w:val="007737ED"/>
    <w:rsid w:val="00774563"/>
    <w:rsid w:val="007840C3"/>
    <w:rsid w:val="007A2F7D"/>
    <w:rsid w:val="007B2620"/>
    <w:rsid w:val="00807494"/>
    <w:rsid w:val="00817825"/>
    <w:rsid w:val="00825121"/>
    <w:rsid w:val="00825FD0"/>
    <w:rsid w:val="00831F2C"/>
    <w:rsid w:val="00873D90"/>
    <w:rsid w:val="00875502"/>
    <w:rsid w:val="008854CC"/>
    <w:rsid w:val="00893589"/>
    <w:rsid w:val="008C3EE7"/>
    <w:rsid w:val="00914BE8"/>
    <w:rsid w:val="0091720B"/>
    <w:rsid w:val="009379A0"/>
    <w:rsid w:val="009772A2"/>
    <w:rsid w:val="00977FB0"/>
    <w:rsid w:val="009A5F2F"/>
    <w:rsid w:val="009B70E3"/>
    <w:rsid w:val="009C38BA"/>
    <w:rsid w:val="009E145D"/>
    <w:rsid w:val="00A342C5"/>
    <w:rsid w:val="00A616D3"/>
    <w:rsid w:val="00A63F6B"/>
    <w:rsid w:val="00A65F94"/>
    <w:rsid w:val="00AB52DF"/>
    <w:rsid w:val="00AD66DA"/>
    <w:rsid w:val="00AE39AE"/>
    <w:rsid w:val="00AE6DF7"/>
    <w:rsid w:val="00B0460A"/>
    <w:rsid w:val="00B26C60"/>
    <w:rsid w:val="00B32A23"/>
    <w:rsid w:val="00B51964"/>
    <w:rsid w:val="00B6593A"/>
    <w:rsid w:val="00BB2899"/>
    <w:rsid w:val="00BB2DFD"/>
    <w:rsid w:val="00BC3F1F"/>
    <w:rsid w:val="00BE2415"/>
    <w:rsid w:val="00BF2E61"/>
    <w:rsid w:val="00BF6941"/>
    <w:rsid w:val="00C02E03"/>
    <w:rsid w:val="00C06ED8"/>
    <w:rsid w:val="00C32E56"/>
    <w:rsid w:val="00C61BEA"/>
    <w:rsid w:val="00C72012"/>
    <w:rsid w:val="00C83F13"/>
    <w:rsid w:val="00C855E0"/>
    <w:rsid w:val="00CA05BE"/>
    <w:rsid w:val="00CA28FA"/>
    <w:rsid w:val="00CB6927"/>
    <w:rsid w:val="00CC1B25"/>
    <w:rsid w:val="00CC2357"/>
    <w:rsid w:val="00CD7A03"/>
    <w:rsid w:val="00D056E8"/>
    <w:rsid w:val="00D10EEB"/>
    <w:rsid w:val="00D14FCC"/>
    <w:rsid w:val="00D2027D"/>
    <w:rsid w:val="00D457AB"/>
    <w:rsid w:val="00D603B4"/>
    <w:rsid w:val="00D667AD"/>
    <w:rsid w:val="00D96F34"/>
    <w:rsid w:val="00DA15DD"/>
    <w:rsid w:val="00DB1447"/>
    <w:rsid w:val="00DC116E"/>
    <w:rsid w:val="00DF10AD"/>
    <w:rsid w:val="00E56BF1"/>
    <w:rsid w:val="00EB4DF5"/>
    <w:rsid w:val="00EC5391"/>
    <w:rsid w:val="00EF4C0A"/>
    <w:rsid w:val="00F1347A"/>
    <w:rsid w:val="00F571BC"/>
    <w:rsid w:val="00F9186A"/>
    <w:rsid w:val="00F93C61"/>
    <w:rsid w:val="00FB6F9A"/>
    <w:rsid w:val="00FF369A"/>
    <w:rsid w:val="0CE0B683"/>
    <w:rsid w:val="0CE91731"/>
    <w:rsid w:val="12CD3CE6"/>
    <w:rsid w:val="19C70C5D"/>
    <w:rsid w:val="1E8BC248"/>
    <w:rsid w:val="2A8AEB0C"/>
    <w:rsid w:val="3231A882"/>
    <w:rsid w:val="36079B18"/>
    <w:rsid w:val="3D524D4C"/>
    <w:rsid w:val="3F89807C"/>
    <w:rsid w:val="4C2D1C79"/>
    <w:rsid w:val="551E8025"/>
    <w:rsid w:val="6A4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B32E"/>
  <w15:chartTrackingRefBased/>
  <w15:docId w15:val="{48079875-3AAE-4B9B-A84D-4C652F3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07"/>
  </w:style>
  <w:style w:type="paragraph" w:styleId="Heading1">
    <w:name w:val="heading 1"/>
    <w:basedOn w:val="Normal"/>
    <w:next w:val="Normal"/>
    <w:link w:val="Heading1Char"/>
    <w:uiPriority w:val="9"/>
    <w:qFormat/>
    <w:rsid w:val="00D14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D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364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0D5F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94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F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4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2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tacenter.org/eco/pages/childoutcome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sped/ecs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eyc.org/resources/pubs/yc/mar2018/promoting-social-and-emotional-healt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sped/spp/indicators/indicator7/indicator7-slides-spanish.pptx" TargetMode="External"/><Relationship Id="rId10" Type="http://schemas.openxmlformats.org/officeDocument/2006/relationships/hyperlink" Target="https://www.doe.mass.edu/sped/iep/defaul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deadata.org/resources/resource/1410/sppapr-indicator-cards" TargetMode="External"/><Relationship Id="rId14" Type="http://schemas.openxmlformats.org/officeDocument/2006/relationships/hyperlink" Target="https://jbcc.harvard.edu/sites/default/files/impact_of_the_covid-19_pandemic_on_children_youth_and_families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AE461-19BD-4B8F-B96F-E764C5287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03A64-D0A8-46C7-B6D7-FBE1B5EFA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4FEF4-9CCF-4F21-B868-386A2745AB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80228F-F629-45D3-9A7F-D8D9CF7D2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7: Preschool Outcomes for Students with IEPs — Spanish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7: Preschool Outcomes for Students with IEPs — Spanish</dc:title>
  <dc:subject/>
  <dc:creator>DESE</dc:creator>
  <cp:keywords/>
  <dc:description/>
  <cp:lastModifiedBy>Zou, Dong (EOE)</cp:lastModifiedBy>
  <cp:revision>11</cp:revision>
  <dcterms:created xsi:type="dcterms:W3CDTF">2021-12-02T14:35:00Z</dcterms:created>
  <dcterms:modified xsi:type="dcterms:W3CDTF">2022-02-08T20:04:00Z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8 2022</vt:lpwstr>
  </property>
</Properties>
</file>